
<file path=[Content_Types].xml><?xml version="1.0" encoding="utf-8"?>
<Types xmlns="http://schemas.openxmlformats.org/package/2006/content-types">
  <Default Extension="bin" ContentType="application/vnd.ms-word.attachedToolbar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C135AD" w14:textId="77777777" w:rsidR="00722AEA" w:rsidRDefault="00722AEA" w:rsidP="002712E4">
      <w:pPr>
        <w:spacing w:after="0"/>
        <w:jc w:val="left"/>
        <w:rPr>
          <w:rFonts w:eastAsia="MS Mincho"/>
          <w:color w:val="000000" w:themeColor="text1"/>
          <w:sz w:val="20"/>
          <w:lang w:eastAsia="ja-JP"/>
        </w:rPr>
      </w:pPr>
      <w:r>
        <w:rPr>
          <w:noProof/>
          <w:lang w:eastAsia="en-AU"/>
        </w:rPr>
        <w:drawing>
          <wp:anchor distT="0" distB="0" distL="114300" distR="114300" simplePos="0" relativeHeight="251661319" behindDoc="0" locked="0" layoutInCell="1" allowOverlap="1" wp14:anchorId="53C15F28" wp14:editId="1E7B0745">
            <wp:simplePos x="0" y="0"/>
            <wp:positionH relativeFrom="margin">
              <wp:align>center</wp:align>
            </wp:positionH>
            <wp:positionV relativeFrom="margin">
              <wp:align>top</wp:align>
            </wp:positionV>
            <wp:extent cx="6706235" cy="9457055"/>
            <wp:effectExtent l="0" t="0" r="0" b="0"/>
            <wp:wrapSquare wrapText="bothSides"/>
            <wp:docPr id="8" name="Picture 8" descr="cover page image of coral reef from the Frankland Islands and report title Marine Monitoring Program: annual report for inshore coral reef monitoring 2018-19" title="cover pag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thedock.gbrmpa.gov.au/sites/Projects/P000056/AnnualReports/Annual-Report-2018-2019/MMP%20report%20coral%202018-19%20FINAL.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706235" cy="94570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3C135AE" w14:textId="77777777" w:rsidR="00327077" w:rsidRDefault="00327077">
      <w:pPr>
        <w:jc w:val="left"/>
        <w:rPr>
          <w:rFonts w:eastAsia="MS Mincho"/>
          <w:color w:val="000000" w:themeColor="text1"/>
          <w:sz w:val="20"/>
          <w:lang w:eastAsia="ja-JP"/>
        </w:rPr>
      </w:pPr>
    </w:p>
    <w:p w14:paraId="53C135AF" w14:textId="5FFEF469" w:rsidR="007F5B3F" w:rsidRPr="001511F1" w:rsidRDefault="007F5B3F" w:rsidP="007F5B3F">
      <w:pPr>
        <w:rPr>
          <w:rFonts w:eastAsia="MS Mincho"/>
          <w:color w:val="000000" w:themeColor="text1"/>
          <w:sz w:val="20"/>
          <w:lang w:eastAsia="ja-JP"/>
        </w:rPr>
      </w:pPr>
      <w:r w:rsidRPr="001511F1">
        <w:rPr>
          <w:rFonts w:eastAsia="MS Mincho"/>
          <w:color w:val="000000" w:themeColor="text1"/>
          <w:sz w:val="20"/>
          <w:lang w:eastAsia="ja-JP"/>
        </w:rPr>
        <w:t>© Copyright Commonwealth of Australia (Australian Institute of Marine Science) 20</w:t>
      </w:r>
      <w:r w:rsidR="00B33D21">
        <w:rPr>
          <w:rFonts w:eastAsia="MS Mincho"/>
          <w:color w:val="000000" w:themeColor="text1"/>
          <w:sz w:val="20"/>
          <w:lang w:eastAsia="ja-JP"/>
        </w:rPr>
        <w:t>21</w:t>
      </w:r>
      <w:r w:rsidRPr="001511F1">
        <w:rPr>
          <w:rFonts w:eastAsia="MS Mincho"/>
          <w:color w:val="000000" w:themeColor="text1"/>
          <w:sz w:val="20"/>
          <w:lang w:eastAsia="ja-JP"/>
        </w:rPr>
        <w:t xml:space="preserve"> </w:t>
      </w:r>
    </w:p>
    <w:p w14:paraId="53C135B0" w14:textId="77777777" w:rsidR="007F5B3F" w:rsidRPr="001511F1" w:rsidRDefault="007F5B3F" w:rsidP="00234763">
      <w:pPr>
        <w:rPr>
          <w:rFonts w:eastAsia="MS Mincho"/>
          <w:color w:val="000000" w:themeColor="text1"/>
          <w:sz w:val="20"/>
          <w:lang w:eastAsia="ja-JP"/>
        </w:rPr>
      </w:pPr>
      <w:r w:rsidRPr="001511F1">
        <w:rPr>
          <w:rFonts w:eastAsia="MS Mincho"/>
          <w:color w:val="000000" w:themeColor="text1"/>
          <w:sz w:val="20"/>
          <w:lang w:eastAsia="ja-JP"/>
        </w:rPr>
        <w:t xml:space="preserve">Published by the Great Barrier Reef Marine Park Authority </w:t>
      </w:r>
    </w:p>
    <w:p w14:paraId="53C135B1" w14:textId="77777777" w:rsidR="00F7584B" w:rsidRPr="001511F1" w:rsidRDefault="00F7584B" w:rsidP="00F7584B">
      <w:pPr>
        <w:rPr>
          <w:color w:val="000000" w:themeColor="text1"/>
          <w:sz w:val="20"/>
        </w:rPr>
      </w:pPr>
    </w:p>
    <w:p w14:paraId="53C135B2" w14:textId="77777777" w:rsidR="00F7584B" w:rsidRPr="001511F1" w:rsidRDefault="00F7584B" w:rsidP="00F7584B">
      <w:pPr>
        <w:rPr>
          <w:color w:val="000000" w:themeColor="text1"/>
          <w:sz w:val="20"/>
        </w:rPr>
      </w:pPr>
      <w:r w:rsidRPr="001511F1">
        <w:rPr>
          <w:color w:val="000000" w:themeColor="text1"/>
          <w:sz w:val="20"/>
        </w:rPr>
        <w:t>ISSN</w:t>
      </w:r>
      <w:r w:rsidR="00AB2AEA" w:rsidRPr="001511F1">
        <w:rPr>
          <w:color w:val="000000" w:themeColor="text1"/>
          <w:sz w:val="20"/>
        </w:rPr>
        <w:t xml:space="preserve"> 2208-4118</w:t>
      </w:r>
    </w:p>
    <w:p w14:paraId="53C135B3" w14:textId="77777777" w:rsidR="00234763" w:rsidRPr="001511F1" w:rsidRDefault="00234763" w:rsidP="00234763">
      <w:pPr>
        <w:ind w:left="284" w:hanging="284"/>
        <w:rPr>
          <w:b/>
          <w:color w:val="000000" w:themeColor="text1"/>
          <w:sz w:val="20"/>
          <w:szCs w:val="20"/>
        </w:rPr>
      </w:pPr>
      <w:r w:rsidRPr="001511F1">
        <w:rPr>
          <w:b/>
          <w:color w:val="000000" w:themeColor="text1"/>
          <w:sz w:val="20"/>
          <w:szCs w:val="20"/>
        </w:rPr>
        <w:t>A catalogue record for this publication is available from the National Library of Australia</w:t>
      </w:r>
    </w:p>
    <w:p w14:paraId="53C135B4" w14:textId="77777777" w:rsidR="00234763" w:rsidRPr="001511F1" w:rsidRDefault="00234763" w:rsidP="00F7584B">
      <w:pPr>
        <w:rPr>
          <w:color w:val="000000" w:themeColor="text1"/>
          <w:sz w:val="20"/>
        </w:rPr>
      </w:pPr>
    </w:p>
    <w:p w14:paraId="53C135B5" w14:textId="77777777" w:rsidR="00234763" w:rsidRPr="006F1D4F" w:rsidRDefault="007F5B3F" w:rsidP="00234763">
      <w:pPr>
        <w:spacing w:before="120" w:after="0"/>
        <w:rPr>
          <w:color w:val="000000" w:themeColor="text1"/>
          <w:sz w:val="20"/>
        </w:rPr>
      </w:pPr>
      <w:r w:rsidRPr="001511F1">
        <w:rPr>
          <w:color w:val="000000" w:themeColor="text1"/>
          <w:sz w:val="20"/>
          <w:szCs w:val="20"/>
        </w:rPr>
        <w:t xml:space="preserve">This document is licensed by the Commonwealth of Australia for </w:t>
      </w:r>
      <w:r w:rsidR="001511F1">
        <w:rPr>
          <w:color w:val="000000" w:themeColor="text1"/>
          <w:sz w:val="20"/>
          <w:szCs w:val="20"/>
        </w:rPr>
        <w:t xml:space="preserve">use under a Creative Commons By </w:t>
      </w:r>
      <w:r w:rsidRPr="001511F1">
        <w:rPr>
          <w:color w:val="000000" w:themeColor="text1"/>
          <w:sz w:val="20"/>
          <w:szCs w:val="20"/>
        </w:rPr>
        <w:t xml:space="preserve">Attribution 4.0 International licence with the exception of the Coat of Arms of the Commonwealth of Australia, the logo of the Great Barrier Reef Marine Park Authority and the Australian </w:t>
      </w:r>
      <w:r w:rsidRPr="001511F1">
        <w:rPr>
          <w:color w:val="000000" w:themeColor="text1"/>
          <w:sz w:val="20"/>
          <w:szCs w:val="20"/>
        </w:rPr>
        <w:lastRenderedPageBreak/>
        <w:t xml:space="preserve">Institute of Marine Science, any other material protected by a trademark, content supplied by third parties and any photographs. For licence conditions </w:t>
      </w:r>
      <w:r w:rsidR="00234763" w:rsidRPr="001511F1">
        <w:rPr>
          <w:color w:val="000000" w:themeColor="text1"/>
          <w:sz w:val="20"/>
        </w:rPr>
        <w:t xml:space="preserve">see: </w:t>
      </w:r>
      <w:hyperlink r:id="rId14" w:history="1">
        <w:r w:rsidR="00234763" w:rsidRPr="001511F1">
          <w:rPr>
            <w:rStyle w:val="Hyperlink"/>
            <w:rFonts w:cs="Arial"/>
            <w:color w:val="000000" w:themeColor="text1"/>
            <w:sz w:val="20"/>
          </w:rPr>
          <w:t>http://creativecommons.org/licences/by/4.0</w:t>
        </w:r>
      </w:hyperlink>
      <w:r w:rsidR="00234763" w:rsidRPr="001511F1">
        <w:rPr>
          <w:color w:val="000000" w:themeColor="text1"/>
          <w:sz w:val="20"/>
        </w:rPr>
        <w:t xml:space="preserve"> </w:t>
      </w:r>
      <w:r w:rsidRPr="001511F1">
        <w:rPr>
          <w:color w:val="000000" w:themeColor="text1"/>
          <w:sz w:val="20"/>
          <w:szCs w:val="20"/>
        </w:rPr>
        <w:cr/>
      </w:r>
      <w:r w:rsidR="00234763" w:rsidRPr="00CE4E0F">
        <w:rPr>
          <w:rFonts w:eastAsiaTheme="minorEastAsia"/>
          <w:noProof/>
          <w:color w:val="548DD4" w:themeColor="text2" w:themeTint="99"/>
          <w:sz w:val="20"/>
          <w:szCs w:val="20"/>
          <w:lang w:eastAsia="en-AU"/>
        </w:rPr>
        <w:drawing>
          <wp:inline distT="0" distB="0" distL="0" distR="0" wp14:anchorId="53C15F2A" wp14:editId="53C15F2B">
            <wp:extent cx="1228725" cy="428625"/>
            <wp:effectExtent l="0" t="0" r="0" b="9525"/>
            <wp:docPr id="545" name="Picture 545" descr="This work is licensed under the Creative Commons Attribution 3.0 Australia License. To view a copy of this license, visit http://creativecommons.org/licenses/by/3.0/au/ or send a letter to Creative Commons, 444 Castro Street, Suite 900, Mountain View, California, 94041, USA." title="Creative Commons BY licence information">
              <a:hlinkClick xmlns:a="http://schemas.openxmlformats.org/drawingml/2006/main" r:id="rId15"/>
            </wp:docPr>
            <wp:cNvGraphicFramePr/>
            <a:graphic xmlns:a="http://schemas.openxmlformats.org/drawingml/2006/main">
              <a:graphicData uri="http://schemas.openxmlformats.org/drawingml/2006/picture">
                <pic:pic xmlns:pic="http://schemas.openxmlformats.org/drawingml/2006/picture">
                  <pic:nvPicPr>
                    <pic:cNvPr id="34" name="Picture 34" descr="This work is licensed under the Creative Commons Attribution 3.0 Australia License. To view a copy of this license, visit http://creativecommons.org/licenses/by/3.0/au/ or send a letter to Creative Commons, 444 Castro Street, Suite 900, Mountain View, California, 94041, USA." title="Creative Commons BY licence information">
                      <a:hlinkClick r:id="rId15"/>
                    </pic:cNvPr>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226820" cy="429260"/>
                    </a:xfrm>
                    <a:prstGeom prst="rect">
                      <a:avLst/>
                    </a:prstGeom>
                  </pic:spPr>
                </pic:pic>
              </a:graphicData>
            </a:graphic>
          </wp:inline>
        </w:drawing>
      </w:r>
    </w:p>
    <w:p w14:paraId="53C135B6" w14:textId="77777777" w:rsidR="00234763" w:rsidRPr="006F1D4F" w:rsidRDefault="00234763" w:rsidP="00234763">
      <w:pPr>
        <w:spacing w:before="120" w:after="0"/>
        <w:rPr>
          <w:color w:val="000000" w:themeColor="text1"/>
          <w:sz w:val="20"/>
        </w:rPr>
      </w:pPr>
    </w:p>
    <w:p w14:paraId="53C135B7" w14:textId="77777777" w:rsidR="00A84742" w:rsidRPr="001511F1" w:rsidRDefault="00A84742" w:rsidP="00234763">
      <w:pPr>
        <w:spacing w:before="120" w:after="0"/>
        <w:rPr>
          <w:b/>
          <w:color w:val="000000" w:themeColor="text1"/>
          <w:sz w:val="20"/>
        </w:rPr>
      </w:pPr>
      <w:r w:rsidRPr="001511F1">
        <w:rPr>
          <w:b/>
          <w:color w:val="000000" w:themeColor="text1"/>
          <w:sz w:val="20"/>
        </w:rPr>
        <w:t xml:space="preserve">This </w:t>
      </w:r>
      <w:r w:rsidR="00234763" w:rsidRPr="001511F1">
        <w:rPr>
          <w:b/>
          <w:color w:val="000000" w:themeColor="text1"/>
          <w:sz w:val="20"/>
        </w:rPr>
        <w:t>publication</w:t>
      </w:r>
      <w:r w:rsidRPr="001511F1">
        <w:rPr>
          <w:b/>
          <w:color w:val="000000" w:themeColor="text1"/>
          <w:sz w:val="20"/>
        </w:rPr>
        <w:t xml:space="preserve"> should be cited as:</w:t>
      </w:r>
    </w:p>
    <w:p w14:paraId="53C135B8" w14:textId="7954BF1C" w:rsidR="00A84742" w:rsidRPr="006F1D4F" w:rsidRDefault="00A84742" w:rsidP="00234763">
      <w:pPr>
        <w:spacing w:before="240"/>
        <w:rPr>
          <w:color w:val="000000" w:themeColor="text1"/>
          <w:sz w:val="20"/>
        </w:rPr>
      </w:pPr>
      <w:bookmarkStart w:id="0" w:name="_Hlk528761361"/>
      <w:r w:rsidRPr="001511F1">
        <w:rPr>
          <w:color w:val="000000" w:themeColor="text1"/>
          <w:sz w:val="20"/>
        </w:rPr>
        <w:t>Thompson</w:t>
      </w:r>
      <w:r w:rsidR="003F67FE">
        <w:rPr>
          <w:color w:val="000000" w:themeColor="text1"/>
          <w:sz w:val="20"/>
        </w:rPr>
        <w:t>,</w:t>
      </w:r>
      <w:r w:rsidRPr="001511F1">
        <w:rPr>
          <w:color w:val="000000" w:themeColor="text1"/>
          <w:sz w:val="20"/>
        </w:rPr>
        <w:t xml:space="preserve"> A</w:t>
      </w:r>
      <w:r w:rsidR="003F67FE">
        <w:rPr>
          <w:color w:val="000000" w:themeColor="text1"/>
          <w:sz w:val="20"/>
        </w:rPr>
        <w:t>.</w:t>
      </w:r>
      <w:r w:rsidRPr="001511F1">
        <w:rPr>
          <w:color w:val="000000" w:themeColor="text1"/>
          <w:sz w:val="20"/>
        </w:rPr>
        <w:t>, Costello</w:t>
      </w:r>
      <w:r w:rsidR="003F67FE">
        <w:rPr>
          <w:color w:val="000000" w:themeColor="text1"/>
          <w:sz w:val="20"/>
        </w:rPr>
        <w:t>,</w:t>
      </w:r>
      <w:r w:rsidRPr="001511F1">
        <w:rPr>
          <w:color w:val="000000" w:themeColor="text1"/>
          <w:sz w:val="20"/>
        </w:rPr>
        <w:t xml:space="preserve"> P</w:t>
      </w:r>
      <w:r w:rsidR="003F67FE">
        <w:rPr>
          <w:color w:val="000000" w:themeColor="text1"/>
          <w:sz w:val="20"/>
        </w:rPr>
        <w:t>.</w:t>
      </w:r>
      <w:r w:rsidRPr="001511F1">
        <w:rPr>
          <w:color w:val="000000" w:themeColor="text1"/>
          <w:sz w:val="20"/>
        </w:rPr>
        <w:t>, Davidson</w:t>
      </w:r>
      <w:r w:rsidR="003F67FE">
        <w:rPr>
          <w:color w:val="000000" w:themeColor="text1"/>
          <w:sz w:val="20"/>
        </w:rPr>
        <w:t>,</w:t>
      </w:r>
      <w:r w:rsidRPr="001511F1">
        <w:rPr>
          <w:color w:val="000000" w:themeColor="text1"/>
          <w:sz w:val="20"/>
        </w:rPr>
        <w:t xml:space="preserve"> J</w:t>
      </w:r>
      <w:r w:rsidR="003F67FE">
        <w:rPr>
          <w:color w:val="000000" w:themeColor="text1"/>
          <w:sz w:val="20"/>
        </w:rPr>
        <w:t>.</w:t>
      </w:r>
      <w:r w:rsidRPr="001511F1">
        <w:rPr>
          <w:color w:val="000000" w:themeColor="text1"/>
          <w:sz w:val="20"/>
        </w:rPr>
        <w:t>, Logan</w:t>
      </w:r>
      <w:r w:rsidR="003F67FE">
        <w:rPr>
          <w:color w:val="000000" w:themeColor="text1"/>
          <w:sz w:val="20"/>
        </w:rPr>
        <w:t>,</w:t>
      </w:r>
      <w:r w:rsidRPr="001511F1">
        <w:rPr>
          <w:color w:val="000000" w:themeColor="text1"/>
          <w:sz w:val="20"/>
        </w:rPr>
        <w:t xml:space="preserve"> M</w:t>
      </w:r>
      <w:r w:rsidR="003F67FE">
        <w:rPr>
          <w:color w:val="000000" w:themeColor="text1"/>
          <w:sz w:val="20"/>
        </w:rPr>
        <w:t>.</w:t>
      </w:r>
      <w:r w:rsidRPr="001511F1">
        <w:rPr>
          <w:color w:val="000000" w:themeColor="text1"/>
          <w:sz w:val="20"/>
        </w:rPr>
        <w:t>, Coleman</w:t>
      </w:r>
      <w:r w:rsidR="003F67FE">
        <w:rPr>
          <w:color w:val="000000" w:themeColor="text1"/>
          <w:sz w:val="20"/>
        </w:rPr>
        <w:t>,</w:t>
      </w:r>
      <w:r w:rsidR="00AB2AEA" w:rsidRPr="001511F1">
        <w:rPr>
          <w:color w:val="000000" w:themeColor="text1"/>
          <w:sz w:val="20"/>
        </w:rPr>
        <w:t xml:space="preserve"> G</w:t>
      </w:r>
      <w:r w:rsidR="003F67FE">
        <w:rPr>
          <w:color w:val="000000" w:themeColor="text1"/>
          <w:sz w:val="20"/>
        </w:rPr>
        <w:t>.</w:t>
      </w:r>
      <w:r w:rsidRPr="001511F1">
        <w:rPr>
          <w:color w:val="000000" w:themeColor="text1"/>
          <w:sz w:val="20"/>
        </w:rPr>
        <w:t xml:space="preserve"> </w:t>
      </w:r>
      <w:r w:rsidR="001511F1" w:rsidRPr="001511F1">
        <w:rPr>
          <w:color w:val="000000" w:themeColor="text1"/>
          <w:sz w:val="20"/>
        </w:rPr>
        <w:t>202</w:t>
      </w:r>
      <w:r w:rsidR="00B33D21">
        <w:rPr>
          <w:color w:val="000000" w:themeColor="text1"/>
          <w:sz w:val="20"/>
        </w:rPr>
        <w:t>1</w:t>
      </w:r>
      <w:bookmarkStart w:id="1" w:name="_GoBack"/>
      <w:bookmarkEnd w:id="1"/>
      <w:r w:rsidR="003F67FE">
        <w:rPr>
          <w:color w:val="000000" w:themeColor="text1"/>
          <w:sz w:val="20"/>
        </w:rPr>
        <w:t>,</w:t>
      </w:r>
      <w:r w:rsidRPr="001511F1">
        <w:rPr>
          <w:color w:val="000000" w:themeColor="text1"/>
          <w:sz w:val="20"/>
        </w:rPr>
        <w:t xml:space="preserve"> </w:t>
      </w:r>
      <w:r w:rsidR="00F7584B" w:rsidRPr="001511F1">
        <w:rPr>
          <w:i/>
          <w:color w:val="000000" w:themeColor="text1"/>
          <w:sz w:val="20"/>
        </w:rPr>
        <w:t>Marine Monitoring Program</w:t>
      </w:r>
      <w:r w:rsidRPr="001511F1">
        <w:rPr>
          <w:i/>
          <w:color w:val="000000" w:themeColor="text1"/>
          <w:sz w:val="20"/>
        </w:rPr>
        <w:t xml:space="preserve"> Annual Report for </w:t>
      </w:r>
      <w:r w:rsidR="00AB2AEA" w:rsidRPr="001511F1">
        <w:rPr>
          <w:i/>
          <w:color w:val="000000" w:themeColor="text1"/>
          <w:sz w:val="20"/>
        </w:rPr>
        <w:t>Inshore Coral Reef Monitoring</w:t>
      </w:r>
      <w:r w:rsidRPr="001511F1">
        <w:rPr>
          <w:i/>
          <w:color w:val="000000" w:themeColor="text1"/>
          <w:sz w:val="20"/>
        </w:rPr>
        <w:t>: 201</w:t>
      </w:r>
      <w:r w:rsidR="00DC0B12" w:rsidRPr="001511F1">
        <w:rPr>
          <w:i/>
          <w:color w:val="000000" w:themeColor="text1"/>
          <w:sz w:val="20"/>
        </w:rPr>
        <w:t>8</w:t>
      </w:r>
      <w:r w:rsidR="00F7584B" w:rsidRPr="001511F1">
        <w:rPr>
          <w:i/>
          <w:color w:val="000000" w:themeColor="text1"/>
          <w:sz w:val="20"/>
        </w:rPr>
        <w:t>–1</w:t>
      </w:r>
      <w:r w:rsidR="00DC0B12" w:rsidRPr="001511F1">
        <w:rPr>
          <w:i/>
          <w:color w:val="000000" w:themeColor="text1"/>
          <w:sz w:val="20"/>
        </w:rPr>
        <w:t>9</w:t>
      </w:r>
      <w:r w:rsidRPr="001511F1">
        <w:rPr>
          <w:color w:val="000000" w:themeColor="text1"/>
          <w:sz w:val="20"/>
        </w:rPr>
        <w:t xml:space="preserve">. </w:t>
      </w:r>
      <w:r w:rsidR="003F41AD" w:rsidRPr="003F41AD">
        <w:rPr>
          <w:i/>
          <w:color w:val="000000" w:themeColor="text1"/>
          <w:sz w:val="20"/>
        </w:rPr>
        <w:t>Report for the Great Barrier Reef Marine Park Authority</w:t>
      </w:r>
      <w:r w:rsidRPr="001511F1">
        <w:rPr>
          <w:color w:val="000000" w:themeColor="text1"/>
          <w:sz w:val="20"/>
        </w:rPr>
        <w:t xml:space="preserve">, </w:t>
      </w:r>
      <w:r w:rsidR="003F41AD" w:rsidRPr="003F41AD">
        <w:rPr>
          <w:color w:val="000000" w:themeColor="text1"/>
          <w:sz w:val="20"/>
        </w:rPr>
        <w:t>Great Barrier Reef Marine Park Authority</w:t>
      </w:r>
      <w:r w:rsidR="003F41AD">
        <w:rPr>
          <w:color w:val="000000" w:themeColor="text1"/>
          <w:sz w:val="20"/>
        </w:rPr>
        <w:t xml:space="preserve">, </w:t>
      </w:r>
      <w:r w:rsidRPr="001511F1">
        <w:rPr>
          <w:color w:val="000000" w:themeColor="text1"/>
          <w:sz w:val="20"/>
        </w:rPr>
        <w:t>Townsville</w:t>
      </w:r>
      <w:r w:rsidRPr="00D76E45">
        <w:rPr>
          <w:color w:val="000000" w:themeColor="text1"/>
          <w:sz w:val="20"/>
        </w:rPr>
        <w:t>.1</w:t>
      </w:r>
      <w:r w:rsidR="006F1D4F">
        <w:rPr>
          <w:color w:val="000000" w:themeColor="text1"/>
          <w:sz w:val="20"/>
        </w:rPr>
        <w:t>42</w:t>
      </w:r>
      <w:r w:rsidRPr="00D76E45">
        <w:rPr>
          <w:color w:val="000000" w:themeColor="text1"/>
          <w:sz w:val="20"/>
        </w:rPr>
        <w:t xml:space="preserve"> pp.</w:t>
      </w:r>
    </w:p>
    <w:bookmarkEnd w:id="0"/>
    <w:p w14:paraId="53C135B9" w14:textId="77777777" w:rsidR="00A84742" w:rsidRPr="006F1D4F" w:rsidRDefault="00A84742" w:rsidP="00F7584B">
      <w:pPr>
        <w:rPr>
          <w:color w:val="000000" w:themeColor="text1"/>
          <w:sz w:val="20"/>
        </w:rPr>
      </w:pPr>
    </w:p>
    <w:p w14:paraId="53C135BA" w14:textId="77777777" w:rsidR="00F7584B" w:rsidRPr="006F1D4F" w:rsidRDefault="00234763" w:rsidP="00F7584B">
      <w:pPr>
        <w:rPr>
          <w:color w:val="000000" w:themeColor="text1"/>
          <w:sz w:val="20"/>
        </w:rPr>
      </w:pPr>
      <w:r w:rsidRPr="006F1D4F">
        <w:rPr>
          <w:color w:val="000000" w:themeColor="text1"/>
          <w:sz w:val="20"/>
        </w:rPr>
        <w:t>Front c</w:t>
      </w:r>
      <w:r w:rsidR="005362F3" w:rsidRPr="006F1D4F">
        <w:rPr>
          <w:color w:val="000000" w:themeColor="text1"/>
          <w:sz w:val="20"/>
        </w:rPr>
        <w:t>over photo</w:t>
      </w:r>
      <w:r w:rsidRPr="006F1D4F">
        <w:rPr>
          <w:color w:val="000000" w:themeColor="text1"/>
          <w:sz w:val="20"/>
        </w:rPr>
        <w:t>: A re</w:t>
      </w:r>
      <w:r w:rsidR="003A3F0A" w:rsidRPr="006F1D4F">
        <w:rPr>
          <w:color w:val="000000" w:themeColor="text1"/>
          <w:sz w:val="20"/>
        </w:rPr>
        <w:t>silient reef</w:t>
      </w:r>
      <w:r w:rsidR="00C1042D" w:rsidRPr="006F1D4F">
        <w:rPr>
          <w:color w:val="000000" w:themeColor="text1"/>
          <w:sz w:val="20"/>
        </w:rPr>
        <w:t>,</w:t>
      </w:r>
      <w:r w:rsidRPr="006F1D4F">
        <w:rPr>
          <w:color w:val="000000" w:themeColor="text1"/>
          <w:sz w:val="20"/>
        </w:rPr>
        <w:t xml:space="preserve"> vibrant</w:t>
      </w:r>
      <w:r w:rsidR="00C1042D" w:rsidRPr="006F1D4F">
        <w:rPr>
          <w:color w:val="000000" w:themeColor="text1"/>
          <w:sz w:val="20"/>
        </w:rPr>
        <w:t xml:space="preserve"> and diverse</w:t>
      </w:r>
      <w:r w:rsidRPr="006F1D4F">
        <w:rPr>
          <w:color w:val="000000" w:themeColor="text1"/>
          <w:sz w:val="20"/>
        </w:rPr>
        <w:t xml:space="preserve"> healthy corals </w:t>
      </w:r>
      <w:r w:rsidR="00355A26" w:rsidRPr="006F1D4F">
        <w:rPr>
          <w:color w:val="000000" w:themeColor="text1"/>
          <w:sz w:val="20"/>
        </w:rPr>
        <w:t>thrive despite the presence of crown-of-thorns</w:t>
      </w:r>
      <w:r w:rsidR="00A25C8F" w:rsidRPr="006F1D4F">
        <w:rPr>
          <w:color w:val="000000" w:themeColor="text1"/>
          <w:sz w:val="20"/>
        </w:rPr>
        <w:t xml:space="preserve"> </w:t>
      </w:r>
      <w:r w:rsidR="00355A26" w:rsidRPr="006F1D4F">
        <w:rPr>
          <w:color w:val="000000" w:themeColor="text1"/>
          <w:sz w:val="20"/>
        </w:rPr>
        <w:t>starfish</w:t>
      </w:r>
      <w:r w:rsidR="005A4454" w:rsidRPr="006F1D4F">
        <w:rPr>
          <w:color w:val="000000" w:themeColor="text1"/>
          <w:sz w:val="20"/>
        </w:rPr>
        <w:t xml:space="preserve"> </w:t>
      </w:r>
      <w:r w:rsidRPr="006F1D4F">
        <w:rPr>
          <w:color w:val="000000" w:themeColor="text1"/>
          <w:sz w:val="20"/>
        </w:rPr>
        <w:t xml:space="preserve">at </w:t>
      </w:r>
      <w:r w:rsidR="005A4454" w:rsidRPr="006F1D4F">
        <w:rPr>
          <w:color w:val="000000" w:themeColor="text1"/>
          <w:sz w:val="20"/>
        </w:rPr>
        <w:t>Franklands</w:t>
      </w:r>
      <w:r w:rsidRPr="006F1D4F">
        <w:rPr>
          <w:color w:val="000000" w:themeColor="text1"/>
          <w:sz w:val="20"/>
        </w:rPr>
        <w:t xml:space="preserve"> East </w:t>
      </w:r>
      <w:r w:rsidR="002D7331" w:rsidRPr="006F1D4F">
        <w:rPr>
          <w:color w:val="000000" w:themeColor="text1"/>
          <w:sz w:val="20"/>
        </w:rPr>
        <w:t>July</w:t>
      </w:r>
      <w:r w:rsidRPr="006F1D4F">
        <w:rPr>
          <w:color w:val="000000" w:themeColor="text1"/>
          <w:sz w:val="20"/>
        </w:rPr>
        <w:t xml:space="preserve"> 201</w:t>
      </w:r>
      <w:r w:rsidR="002D7331" w:rsidRPr="006F1D4F">
        <w:rPr>
          <w:color w:val="000000" w:themeColor="text1"/>
          <w:sz w:val="20"/>
        </w:rPr>
        <w:t>9</w:t>
      </w:r>
      <w:r w:rsidRPr="006F1D4F">
        <w:rPr>
          <w:color w:val="000000" w:themeColor="text1"/>
          <w:sz w:val="20"/>
        </w:rPr>
        <w:t xml:space="preserve">. </w:t>
      </w:r>
      <w:r w:rsidR="00327077" w:rsidRPr="00327077">
        <w:rPr>
          <w:color w:val="000000" w:themeColor="text1"/>
          <w:sz w:val="20"/>
          <w:lang w:val="en-US"/>
        </w:rPr>
        <w:t>© Australian Institute of Marine Science, Photographer: Paul Costello</w:t>
      </w:r>
    </w:p>
    <w:p w14:paraId="53C135BB" w14:textId="083A5A20" w:rsidR="00095479" w:rsidRDefault="00095479" w:rsidP="00F7584B">
      <w:pPr>
        <w:rPr>
          <w:color w:val="000000" w:themeColor="text1"/>
          <w:sz w:val="20"/>
        </w:rPr>
      </w:pPr>
    </w:p>
    <w:p w14:paraId="41A0445C" w14:textId="29B61B1A" w:rsidR="00B776C0" w:rsidRPr="00B776C0" w:rsidRDefault="00B776C0" w:rsidP="00B776C0">
      <w:pPr>
        <w:spacing w:before="200"/>
        <w:rPr>
          <w:sz w:val="18"/>
          <w:szCs w:val="18"/>
        </w:rPr>
      </w:pPr>
      <w:r w:rsidRPr="0057476D">
        <w:rPr>
          <w:sz w:val="18"/>
          <w:szCs w:val="18"/>
        </w:rPr>
        <w:t>The Great Barrier Reef Marine Park Authority acknowledges the continuing Sea Country management and custodianship of the Great Barrier Reef by Aboriginal and Torres Strait Island Traditional Owners whose rich cultures, heritage values, enduring connections and shared efforts protect the Reef for future generations.</w:t>
      </w:r>
    </w:p>
    <w:p w14:paraId="53C135BC" w14:textId="77777777" w:rsidR="007A4738" w:rsidRPr="006F1D4F" w:rsidRDefault="007A4738" w:rsidP="00F7584B">
      <w:pPr>
        <w:rPr>
          <w:color w:val="000000" w:themeColor="text1"/>
          <w:sz w:val="20"/>
        </w:rPr>
      </w:pPr>
    </w:p>
    <w:p w14:paraId="53C135BD" w14:textId="77777777" w:rsidR="00A84742" w:rsidRPr="00095479" w:rsidRDefault="00F7584B" w:rsidP="00F7584B">
      <w:pPr>
        <w:rPr>
          <w:rFonts w:ascii="Arial Narrow" w:eastAsia="MS Mincho" w:hAnsi="Arial Narrow"/>
          <w:b/>
          <w:color w:val="000000" w:themeColor="text1"/>
          <w:lang w:eastAsia="ja-JP"/>
        </w:rPr>
      </w:pPr>
      <w:r w:rsidRPr="00095479">
        <w:rPr>
          <w:rFonts w:ascii="Arial Narrow" w:eastAsia="MS Mincho" w:hAnsi="Arial Narrow"/>
          <w:b/>
          <w:color w:val="000000" w:themeColor="text1"/>
          <w:lang w:eastAsia="ja-JP"/>
        </w:rPr>
        <w:t>D</w:t>
      </w:r>
      <w:r w:rsidR="00A84742" w:rsidRPr="00095479">
        <w:rPr>
          <w:rFonts w:ascii="Arial Narrow" w:eastAsia="MS Mincho" w:hAnsi="Arial Narrow"/>
          <w:b/>
          <w:color w:val="000000" w:themeColor="text1"/>
          <w:lang w:eastAsia="ja-JP"/>
        </w:rPr>
        <w:t>ISCLAIMER</w:t>
      </w:r>
    </w:p>
    <w:p w14:paraId="53C135BE" w14:textId="77777777" w:rsidR="007F5B3F" w:rsidRPr="007A4738" w:rsidRDefault="00A84742" w:rsidP="00A84742">
      <w:pPr>
        <w:spacing w:before="120"/>
        <w:rPr>
          <w:rFonts w:eastAsia="MS Mincho"/>
          <w:color w:val="000000" w:themeColor="text1"/>
          <w:sz w:val="20"/>
          <w:szCs w:val="20"/>
          <w:lang w:eastAsia="ja-JP"/>
        </w:rPr>
      </w:pPr>
      <w:r w:rsidRPr="007A4738">
        <w:rPr>
          <w:rFonts w:eastAsia="MS Mincho"/>
          <w:color w:val="000000" w:themeColor="text1"/>
          <w:sz w:val="20"/>
          <w:szCs w:val="20"/>
          <w:lang w:eastAsia="ja-JP"/>
        </w:rPr>
        <w:t>While reasonable efforts have been made to ensure that the contents of this document are factually correct, AIMS does not make any representation or give any warranty regarding the accuracy, completeness, currency or suitability for any particular purpose of the information or statements contained in this document. To the extent permitted by law AIMS shall not be liable for any loss, damage, cost or expense that may be occasioned directly or indirectly through the use of or reliance on the contents of this document.</w:t>
      </w:r>
    </w:p>
    <w:p w14:paraId="53C135BF" w14:textId="77777777" w:rsidR="00095479" w:rsidRPr="00095479" w:rsidRDefault="00095479" w:rsidP="00095479">
      <w:pPr>
        <w:autoSpaceDE w:val="0"/>
        <w:autoSpaceDN w:val="0"/>
        <w:adjustRightInd w:val="0"/>
        <w:spacing w:after="0"/>
        <w:jc w:val="left"/>
        <w:rPr>
          <w:sz w:val="20"/>
          <w:szCs w:val="20"/>
        </w:rPr>
      </w:pPr>
      <w:r w:rsidRPr="00095479">
        <w:rPr>
          <w:sz w:val="20"/>
          <w:szCs w:val="20"/>
        </w:rPr>
        <w:t>Comments and questions regarding this document are welcome and should be addressed to:</w:t>
      </w:r>
    </w:p>
    <w:p w14:paraId="53C135C0" w14:textId="77777777" w:rsidR="00095479" w:rsidRPr="00095479" w:rsidRDefault="00095479" w:rsidP="00095479">
      <w:pPr>
        <w:autoSpaceDE w:val="0"/>
        <w:autoSpaceDN w:val="0"/>
        <w:adjustRightInd w:val="0"/>
        <w:spacing w:after="0"/>
        <w:jc w:val="left"/>
        <w:rPr>
          <w:sz w:val="20"/>
          <w:szCs w:val="20"/>
        </w:rPr>
      </w:pPr>
    </w:p>
    <w:p w14:paraId="53C135C1" w14:textId="77777777" w:rsidR="00095479" w:rsidRPr="00095479" w:rsidRDefault="00095479" w:rsidP="00095479">
      <w:pPr>
        <w:autoSpaceDE w:val="0"/>
        <w:autoSpaceDN w:val="0"/>
        <w:adjustRightInd w:val="0"/>
        <w:spacing w:after="0"/>
        <w:jc w:val="left"/>
        <w:rPr>
          <w:sz w:val="20"/>
          <w:szCs w:val="20"/>
        </w:rPr>
      </w:pPr>
      <w:r w:rsidRPr="00095479">
        <w:rPr>
          <w:sz w:val="20"/>
          <w:szCs w:val="20"/>
        </w:rPr>
        <w:lastRenderedPageBreak/>
        <w:t>Australian Institute of Marine Science</w:t>
      </w:r>
    </w:p>
    <w:p w14:paraId="53C135C2" w14:textId="77777777" w:rsidR="00095479" w:rsidRPr="00095479" w:rsidRDefault="00095479" w:rsidP="00095479">
      <w:pPr>
        <w:autoSpaceDE w:val="0"/>
        <w:autoSpaceDN w:val="0"/>
        <w:adjustRightInd w:val="0"/>
        <w:spacing w:after="0"/>
        <w:jc w:val="left"/>
        <w:rPr>
          <w:sz w:val="20"/>
          <w:szCs w:val="20"/>
        </w:rPr>
      </w:pPr>
      <w:r w:rsidRPr="00095479">
        <w:rPr>
          <w:sz w:val="20"/>
          <w:szCs w:val="20"/>
        </w:rPr>
        <w:t>PMB No 3</w:t>
      </w:r>
    </w:p>
    <w:p w14:paraId="53C135C3" w14:textId="77777777" w:rsidR="00095479" w:rsidRPr="00095479" w:rsidRDefault="00095479" w:rsidP="00095479">
      <w:pPr>
        <w:autoSpaceDE w:val="0"/>
        <w:autoSpaceDN w:val="0"/>
        <w:adjustRightInd w:val="0"/>
        <w:spacing w:after="0"/>
        <w:jc w:val="left"/>
        <w:rPr>
          <w:sz w:val="20"/>
          <w:szCs w:val="20"/>
        </w:rPr>
      </w:pPr>
      <w:r w:rsidRPr="00095479">
        <w:rPr>
          <w:sz w:val="20"/>
          <w:szCs w:val="20"/>
        </w:rPr>
        <w:t>Townsville MC Qld 4810</w:t>
      </w:r>
    </w:p>
    <w:p w14:paraId="53C135C4" w14:textId="77777777" w:rsidR="00095479" w:rsidRDefault="00095479" w:rsidP="00095479">
      <w:pPr>
        <w:autoSpaceDE w:val="0"/>
        <w:autoSpaceDN w:val="0"/>
        <w:adjustRightInd w:val="0"/>
        <w:spacing w:after="0"/>
        <w:jc w:val="left"/>
        <w:rPr>
          <w:sz w:val="20"/>
          <w:szCs w:val="20"/>
        </w:rPr>
      </w:pPr>
    </w:p>
    <w:p w14:paraId="53C135C5" w14:textId="77777777" w:rsidR="00234763" w:rsidRPr="006F1D4F" w:rsidRDefault="00095479" w:rsidP="00AB52CF">
      <w:pPr>
        <w:autoSpaceDE w:val="0"/>
        <w:autoSpaceDN w:val="0"/>
        <w:adjustRightInd w:val="0"/>
        <w:spacing w:after="0"/>
        <w:jc w:val="left"/>
        <w:rPr>
          <w:rFonts w:eastAsia="MS Mincho"/>
          <w:color w:val="000000" w:themeColor="text1"/>
          <w:sz w:val="20"/>
          <w:lang w:eastAsia="ja-JP"/>
        </w:rPr>
      </w:pPr>
      <w:r>
        <w:rPr>
          <w:i/>
          <w:iCs/>
          <w:sz w:val="20"/>
          <w:szCs w:val="20"/>
        </w:rPr>
        <w:t>This project is supported by the Great Barrier Reef Marine Park Authority through funding from the</w:t>
      </w:r>
      <w:r w:rsidR="00AB52CF">
        <w:rPr>
          <w:i/>
          <w:iCs/>
          <w:sz w:val="20"/>
          <w:szCs w:val="20"/>
        </w:rPr>
        <w:t xml:space="preserve"> </w:t>
      </w:r>
      <w:r w:rsidR="00E34942">
        <w:rPr>
          <w:i/>
          <w:iCs/>
          <w:sz w:val="20"/>
          <w:szCs w:val="20"/>
        </w:rPr>
        <w:t>Marine Monitoring</w:t>
      </w:r>
      <w:r>
        <w:rPr>
          <w:i/>
          <w:iCs/>
          <w:sz w:val="20"/>
          <w:szCs w:val="20"/>
        </w:rPr>
        <w:t xml:space="preserve"> Program, and the Australian Institute of Marine Science.</w:t>
      </w:r>
    </w:p>
    <w:p w14:paraId="53C135C6" w14:textId="77777777" w:rsidR="007F5B3F" w:rsidRPr="006F1D4F" w:rsidRDefault="007F5B3F" w:rsidP="00A84742">
      <w:pPr>
        <w:spacing w:before="120"/>
        <w:rPr>
          <w:rFonts w:eastAsia="MS Mincho"/>
          <w:color w:val="000000" w:themeColor="text1"/>
          <w:sz w:val="20"/>
          <w:lang w:eastAsia="ja-JP"/>
        </w:rPr>
      </w:pPr>
    </w:p>
    <w:p w14:paraId="53C135C7" w14:textId="77777777" w:rsidR="007F5B3F" w:rsidRPr="00CE4E0F" w:rsidRDefault="007F5B3F" w:rsidP="00A84742">
      <w:pPr>
        <w:spacing w:before="120"/>
        <w:rPr>
          <w:rFonts w:eastAsia="MS Mincho"/>
          <w:color w:val="548DD4" w:themeColor="text2" w:themeTint="99"/>
          <w:sz w:val="20"/>
          <w:lang w:eastAsia="ja-JP"/>
        </w:rPr>
        <w:sectPr w:rsidR="007F5B3F" w:rsidRPr="00CE4E0F" w:rsidSect="008905C8">
          <w:headerReference w:type="even" r:id="rId17"/>
          <w:headerReference w:type="default" r:id="rId18"/>
          <w:footerReference w:type="even" r:id="rId19"/>
          <w:footerReference w:type="default" r:id="rId20"/>
          <w:headerReference w:type="first" r:id="rId21"/>
          <w:footerReference w:type="first" r:id="rId22"/>
          <w:pgSz w:w="11907" w:h="16840" w:code="9"/>
          <w:pgMar w:top="624" w:right="720" w:bottom="624" w:left="720" w:header="709" w:footer="720" w:gutter="0"/>
          <w:pgNumType w:fmt="lowerRoman" w:start="1"/>
          <w:cols w:space="720"/>
          <w:docGrid w:linePitch="299"/>
        </w:sectPr>
      </w:pPr>
    </w:p>
    <w:sdt>
      <w:sdtPr>
        <w:rPr>
          <w:b/>
          <w:noProof/>
          <w:color w:val="000000" w:themeColor="text1"/>
        </w:rPr>
        <w:id w:val="1264416878"/>
        <w:docPartObj>
          <w:docPartGallery w:val="Table of Contents"/>
          <w:docPartUnique/>
        </w:docPartObj>
      </w:sdtPr>
      <w:sdtContent>
        <w:p w14:paraId="53C135C8" w14:textId="77777777" w:rsidR="00A84742" w:rsidRPr="006F1D4F" w:rsidRDefault="00A84742" w:rsidP="00CE663B">
          <w:pPr>
            <w:rPr>
              <w:rFonts w:eastAsiaTheme="majorEastAsia"/>
              <w:b/>
              <w:color w:val="000000" w:themeColor="text1"/>
              <w:sz w:val="32"/>
              <w:szCs w:val="32"/>
            </w:rPr>
          </w:pPr>
          <w:r w:rsidRPr="006F1D4F">
            <w:rPr>
              <w:rFonts w:eastAsia="SimSun"/>
              <w:b/>
              <w:color w:val="000000" w:themeColor="text1"/>
              <w:sz w:val="32"/>
              <w:szCs w:val="32"/>
            </w:rPr>
            <w:t>Contents</w:t>
          </w:r>
        </w:p>
        <w:p w14:paraId="53C135C9" w14:textId="5EE00BB3" w:rsidR="006F1D4F" w:rsidRPr="006F1D4F" w:rsidRDefault="00BB3AE5">
          <w:pPr>
            <w:pStyle w:val="TOC1"/>
            <w:rPr>
              <w:rFonts w:asciiTheme="minorHAnsi" w:eastAsiaTheme="minorEastAsia" w:hAnsiTheme="minorHAnsi" w:cstheme="minorBidi"/>
              <w:b w:val="0"/>
              <w:color w:val="000000" w:themeColor="text1"/>
              <w:lang w:eastAsia="en-AU"/>
            </w:rPr>
          </w:pPr>
          <w:r w:rsidRPr="006F1D4F">
            <w:rPr>
              <w:color w:val="000000" w:themeColor="text1"/>
            </w:rPr>
            <w:fldChar w:fldCharType="begin"/>
          </w:r>
          <w:r w:rsidRPr="006F1D4F">
            <w:rPr>
              <w:color w:val="000000" w:themeColor="text1"/>
            </w:rPr>
            <w:instrText xml:space="preserve"> TOC \o "1-3" \h \z \u </w:instrText>
          </w:r>
          <w:r w:rsidRPr="006F1D4F">
            <w:rPr>
              <w:color w:val="000000" w:themeColor="text1"/>
            </w:rPr>
            <w:fldChar w:fldCharType="separate"/>
          </w:r>
          <w:hyperlink w:anchor="_Toc35947064" w:history="1">
            <w:r w:rsidR="006F1D4F" w:rsidRPr="006F1D4F">
              <w:rPr>
                <w:rStyle w:val="Hyperlink"/>
                <w:color w:val="000000" w:themeColor="text1"/>
              </w:rPr>
              <w:t>List of Figures and Tables</w:t>
            </w:r>
            <w:r w:rsidR="006F1D4F" w:rsidRPr="006F1D4F">
              <w:rPr>
                <w:webHidden/>
                <w:color w:val="000000" w:themeColor="text1"/>
              </w:rPr>
              <w:tab/>
            </w:r>
            <w:r w:rsidR="006F1D4F" w:rsidRPr="006F1D4F">
              <w:rPr>
                <w:webHidden/>
                <w:color w:val="000000" w:themeColor="text1"/>
              </w:rPr>
              <w:fldChar w:fldCharType="begin"/>
            </w:r>
            <w:r w:rsidR="006F1D4F" w:rsidRPr="006F1D4F">
              <w:rPr>
                <w:webHidden/>
                <w:color w:val="000000" w:themeColor="text1"/>
              </w:rPr>
              <w:instrText xml:space="preserve"> PAGEREF _Toc35947064 \h </w:instrText>
            </w:r>
            <w:r w:rsidR="006F1D4F" w:rsidRPr="006F1D4F">
              <w:rPr>
                <w:webHidden/>
                <w:color w:val="000000" w:themeColor="text1"/>
              </w:rPr>
            </w:r>
            <w:r w:rsidR="006F1D4F" w:rsidRPr="006F1D4F">
              <w:rPr>
                <w:webHidden/>
                <w:color w:val="000000" w:themeColor="text1"/>
              </w:rPr>
              <w:fldChar w:fldCharType="separate"/>
            </w:r>
            <w:r w:rsidR="003053D1">
              <w:rPr>
                <w:webHidden/>
                <w:color w:val="000000" w:themeColor="text1"/>
              </w:rPr>
              <w:t>iii</w:t>
            </w:r>
            <w:r w:rsidR="006F1D4F" w:rsidRPr="006F1D4F">
              <w:rPr>
                <w:webHidden/>
                <w:color w:val="000000" w:themeColor="text1"/>
              </w:rPr>
              <w:fldChar w:fldCharType="end"/>
            </w:r>
          </w:hyperlink>
        </w:p>
        <w:p w14:paraId="53C135CA" w14:textId="5C4DBF23" w:rsidR="006F1D4F" w:rsidRPr="006F1D4F" w:rsidRDefault="003053D1">
          <w:pPr>
            <w:pStyle w:val="TOC1"/>
            <w:rPr>
              <w:rFonts w:asciiTheme="minorHAnsi" w:eastAsiaTheme="minorEastAsia" w:hAnsiTheme="minorHAnsi" w:cstheme="minorBidi"/>
              <w:b w:val="0"/>
              <w:color w:val="000000" w:themeColor="text1"/>
              <w:lang w:eastAsia="en-AU"/>
            </w:rPr>
          </w:pPr>
          <w:hyperlink w:anchor="_Toc35947065" w:history="1">
            <w:r w:rsidR="006F1D4F" w:rsidRPr="006F1D4F">
              <w:rPr>
                <w:rStyle w:val="Hyperlink"/>
                <w:color w:val="000000" w:themeColor="text1"/>
              </w:rPr>
              <w:t>Appendices: List of Figures and Tables</w:t>
            </w:r>
            <w:r w:rsidR="006F1D4F" w:rsidRPr="006F1D4F">
              <w:rPr>
                <w:webHidden/>
                <w:color w:val="000000" w:themeColor="text1"/>
              </w:rPr>
              <w:tab/>
            </w:r>
            <w:r w:rsidR="006F1D4F" w:rsidRPr="006F1D4F">
              <w:rPr>
                <w:webHidden/>
                <w:color w:val="000000" w:themeColor="text1"/>
              </w:rPr>
              <w:fldChar w:fldCharType="begin"/>
            </w:r>
            <w:r w:rsidR="006F1D4F" w:rsidRPr="006F1D4F">
              <w:rPr>
                <w:webHidden/>
                <w:color w:val="000000" w:themeColor="text1"/>
              </w:rPr>
              <w:instrText xml:space="preserve"> PAGEREF _Toc35947065 \h </w:instrText>
            </w:r>
            <w:r w:rsidR="006F1D4F" w:rsidRPr="006F1D4F">
              <w:rPr>
                <w:webHidden/>
                <w:color w:val="000000" w:themeColor="text1"/>
              </w:rPr>
            </w:r>
            <w:r w:rsidR="006F1D4F" w:rsidRPr="006F1D4F">
              <w:rPr>
                <w:webHidden/>
                <w:color w:val="000000" w:themeColor="text1"/>
              </w:rPr>
              <w:fldChar w:fldCharType="separate"/>
            </w:r>
            <w:r>
              <w:rPr>
                <w:webHidden/>
                <w:color w:val="000000" w:themeColor="text1"/>
              </w:rPr>
              <w:t>iv</w:t>
            </w:r>
            <w:r w:rsidR="006F1D4F" w:rsidRPr="006F1D4F">
              <w:rPr>
                <w:webHidden/>
                <w:color w:val="000000" w:themeColor="text1"/>
              </w:rPr>
              <w:fldChar w:fldCharType="end"/>
            </w:r>
          </w:hyperlink>
        </w:p>
        <w:p w14:paraId="53C135CB" w14:textId="008F33EF" w:rsidR="006F1D4F" w:rsidRPr="006F1D4F" w:rsidRDefault="003053D1">
          <w:pPr>
            <w:pStyle w:val="TOC1"/>
            <w:rPr>
              <w:rFonts w:asciiTheme="minorHAnsi" w:eastAsiaTheme="minorEastAsia" w:hAnsiTheme="minorHAnsi" w:cstheme="minorBidi"/>
              <w:b w:val="0"/>
              <w:color w:val="000000" w:themeColor="text1"/>
              <w:lang w:eastAsia="en-AU"/>
            </w:rPr>
          </w:pPr>
          <w:hyperlink w:anchor="_Toc35947066" w:history="1">
            <w:r w:rsidR="006F1D4F" w:rsidRPr="006F1D4F">
              <w:rPr>
                <w:rStyle w:val="Hyperlink"/>
                <w:color w:val="000000" w:themeColor="text1"/>
              </w:rPr>
              <w:t>Glossary</w:t>
            </w:r>
            <w:r w:rsidR="006F1D4F" w:rsidRPr="006F1D4F">
              <w:rPr>
                <w:webHidden/>
                <w:color w:val="000000" w:themeColor="text1"/>
              </w:rPr>
              <w:tab/>
            </w:r>
            <w:r w:rsidR="00892484">
              <w:rPr>
                <w:webHidden/>
                <w:color w:val="000000" w:themeColor="text1"/>
              </w:rPr>
              <w:tab/>
            </w:r>
            <w:r w:rsidR="006F1D4F" w:rsidRPr="006F1D4F">
              <w:rPr>
                <w:webHidden/>
                <w:color w:val="000000" w:themeColor="text1"/>
              </w:rPr>
              <w:fldChar w:fldCharType="begin"/>
            </w:r>
            <w:r w:rsidR="006F1D4F" w:rsidRPr="006F1D4F">
              <w:rPr>
                <w:webHidden/>
                <w:color w:val="000000" w:themeColor="text1"/>
              </w:rPr>
              <w:instrText xml:space="preserve"> PAGEREF _Toc35947066 \h </w:instrText>
            </w:r>
            <w:r w:rsidR="006F1D4F" w:rsidRPr="006F1D4F">
              <w:rPr>
                <w:webHidden/>
                <w:color w:val="000000" w:themeColor="text1"/>
              </w:rPr>
            </w:r>
            <w:r w:rsidR="006F1D4F" w:rsidRPr="006F1D4F">
              <w:rPr>
                <w:webHidden/>
                <w:color w:val="000000" w:themeColor="text1"/>
              </w:rPr>
              <w:fldChar w:fldCharType="separate"/>
            </w:r>
            <w:r>
              <w:rPr>
                <w:webHidden/>
                <w:color w:val="000000" w:themeColor="text1"/>
              </w:rPr>
              <w:t>iv</w:t>
            </w:r>
            <w:r w:rsidR="006F1D4F" w:rsidRPr="006F1D4F">
              <w:rPr>
                <w:webHidden/>
                <w:color w:val="000000" w:themeColor="text1"/>
              </w:rPr>
              <w:fldChar w:fldCharType="end"/>
            </w:r>
          </w:hyperlink>
        </w:p>
        <w:p w14:paraId="53C135CC" w14:textId="632494A3" w:rsidR="006F1D4F" w:rsidRPr="006F1D4F" w:rsidRDefault="003053D1">
          <w:pPr>
            <w:pStyle w:val="TOC1"/>
            <w:rPr>
              <w:rFonts w:asciiTheme="minorHAnsi" w:eastAsiaTheme="minorEastAsia" w:hAnsiTheme="minorHAnsi" w:cstheme="minorBidi"/>
              <w:b w:val="0"/>
              <w:color w:val="000000" w:themeColor="text1"/>
              <w:lang w:eastAsia="en-AU"/>
            </w:rPr>
          </w:pPr>
          <w:hyperlink w:anchor="_Toc35947067" w:history="1">
            <w:r w:rsidR="006F1D4F" w:rsidRPr="006F1D4F">
              <w:rPr>
                <w:rStyle w:val="Hyperlink"/>
                <w:color w:val="000000" w:themeColor="text1"/>
              </w:rPr>
              <w:t>Acknowledgments</w:t>
            </w:r>
            <w:r w:rsidR="006F1D4F" w:rsidRPr="006F1D4F">
              <w:rPr>
                <w:webHidden/>
                <w:color w:val="000000" w:themeColor="text1"/>
              </w:rPr>
              <w:tab/>
            </w:r>
            <w:r w:rsidR="006F1D4F" w:rsidRPr="006F1D4F">
              <w:rPr>
                <w:webHidden/>
                <w:color w:val="000000" w:themeColor="text1"/>
              </w:rPr>
              <w:fldChar w:fldCharType="begin"/>
            </w:r>
            <w:r w:rsidR="006F1D4F" w:rsidRPr="006F1D4F">
              <w:rPr>
                <w:webHidden/>
                <w:color w:val="000000" w:themeColor="text1"/>
              </w:rPr>
              <w:instrText xml:space="preserve"> PAGEREF _Toc35947067 \h </w:instrText>
            </w:r>
            <w:r w:rsidR="006F1D4F" w:rsidRPr="006F1D4F">
              <w:rPr>
                <w:webHidden/>
                <w:color w:val="000000" w:themeColor="text1"/>
              </w:rPr>
            </w:r>
            <w:r w:rsidR="006F1D4F" w:rsidRPr="006F1D4F">
              <w:rPr>
                <w:webHidden/>
                <w:color w:val="000000" w:themeColor="text1"/>
              </w:rPr>
              <w:fldChar w:fldCharType="separate"/>
            </w:r>
            <w:r>
              <w:rPr>
                <w:webHidden/>
                <w:color w:val="000000" w:themeColor="text1"/>
              </w:rPr>
              <w:t>v</w:t>
            </w:r>
            <w:r w:rsidR="006F1D4F" w:rsidRPr="006F1D4F">
              <w:rPr>
                <w:webHidden/>
                <w:color w:val="000000" w:themeColor="text1"/>
              </w:rPr>
              <w:fldChar w:fldCharType="end"/>
            </w:r>
          </w:hyperlink>
        </w:p>
        <w:p w14:paraId="53C135CD" w14:textId="4A2EDF75" w:rsidR="006F1D4F" w:rsidRPr="006F1D4F" w:rsidRDefault="003053D1">
          <w:pPr>
            <w:pStyle w:val="TOC1"/>
            <w:rPr>
              <w:rFonts w:asciiTheme="minorHAnsi" w:eastAsiaTheme="minorEastAsia" w:hAnsiTheme="minorHAnsi" w:cstheme="minorBidi"/>
              <w:b w:val="0"/>
              <w:color w:val="000000" w:themeColor="text1"/>
              <w:lang w:eastAsia="en-AU"/>
            </w:rPr>
          </w:pPr>
          <w:hyperlink w:anchor="_Toc35947068" w:history="1">
            <w:r w:rsidR="006F1D4F" w:rsidRPr="006F1D4F">
              <w:rPr>
                <w:rStyle w:val="Hyperlink"/>
                <w:color w:val="000000" w:themeColor="text1"/>
              </w:rPr>
              <w:t>Executive Summary</w:t>
            </w:r>
            <w:r w:rsidR="006F1D4F" w:rsidRPr="006F1D4F">
              <w:rPr>
                <w:webHidden/>
                <w:color w:val="000000" w:themeColor="text1"/>
              </w:rPr>
              <w:tab/>
            </w:r>
            <w:r w:rsidR="006F1D4F" w:rsidRPr="006F1D4F">
              <w:rPr>
                <w:webHidden/>
                <w:color w:val="000000" w:themeColor="text1"/>
              </w:rPr>
              <w:fldChar w:fldCharType="begin"/>
            </w:r>
            <w:r w:rsidR="006F1D4F" w:rsidRPr="006F1D4F">
              <w:rPr>
                <w:webHidden/>
                <w:color w:val="000000" w:themeColor="text1"/>
              </w:rPr>
              <w:instrText xml:space="preserve"> PAGEREF _Toc35947068 \h </w:instrText>
            </w:r>
            <w:r w:rsidR="006F1D4F" w:rsidRPr="006F1D4F">
              <w:rPr>
                <w:webHidden/>
                <w:color w:val="000000" w:themeColor="text1"/>
              </w:rPr>
            </w:r>
            <w:r w:rsidR="006F1D4F" w:rsidRPr="006F1D4F">
              <w:rPr>
                <w:webHidden/>
                <w:color w:val="000000" w:themeColor="text1"/>
              </w:rPr>
              <w:fldChar w:fldCharType="separate"/>
            </w:r>
            <w:r>
              <w:rPr>
                <w:webHidden/>
                <w:color w:val="000000" w:themeColor="text1"/>
              </w:rPr>
              <w:t>1</w:t>
            </w:r>
            <w:r w:rsidR="006F1D4F" w:rsidRPr="006F1D4F">
              <w:rPr>
                <w:webHidden/>
                <w:color w:val="000000" w:themeColor="text1"/>
              </w:rPr>
              <w:fldChar w:fldCharType="end"/>
            </w:r>
          </w:hyperlink>
        </w:p>
        <w:p w14:paraId="53C135CE" w14:textId="35055147" w:rsidR="006F1D4F" w:rsidRPr="006F1D4F" w:rsidRDefault="003053D1">
          <w:pPr>
            <w:pStyle w:val="TOC2"/>
            <w:rPr>
              <w:rFonts w:asciiTheme="minorHAnsi" w:eastAsiaTheme="minorEastAsia" w:hAnsiTheme="minorHAnsi" w:cstheme="minorBidi"/>
              <w:noProof/>
              <w:color w:val="000000" w:themeColor="text1"/>
              <w:sz w:val="22"/>
              <w:lang w:eastAsia="en-AU"/>
            </w:rPr>
          </w:pPr>
          <w:hyperlink w:anchor="_Toc35947069" w:history="1">
            <w:r w:rsidR="006F1D4F" w:rsidRPr="006F1D4F">
              <w:rPr>
                <w:rStyle w:val="Hyperlink"/>
                <w:noProof/>
                <w:color w:val="000000" w:themeColor="text1"/>
              </w:rPr>
              <w:t>Wet Tropics region condition</w:t>
            </w:r>
            <w:r w:rsidR="006F1D4F" w:rsidRPr="006F1D4F">
              <w:rPr>
                <w:noProof/>
                <w:webHidden/>
                <w:color w:val="000000" w:themeColor="text1"/>
              </w:rPr>
              <w:tab/>
            </w:r>
            <w:r w:rsidR="006F1D4F" w:rsidRPr="006F1D4F">
              <w:rPr>
                <w:noProof/>
                <w:webHidden/>
                <w:color w:val="000000" w:themeColor="text1"/>
              </w:rPr>
              <w:fldChar w:fldCharType="begin"/>
            </w:r>
            <w:r w:rsidR="006F1D4F" w:rsidRPr="006F1D4F">
              <w:rPr>
                <w:noProof/>
                <w:webHidden/>
                <w:color w:val="000000" w:themeColor="text1"/>
              </w:rPr>
              <w:instrText xml:space="preserve"> PAGEREF _Toc35947069 \h </w:instrText>
            </w:r>
            <w:r w:rsidR="006F1D4F" w:rsidRPr="006F1D4F">
              <w:rPr>
                <w:noProof/>
                <w:webHidden/>
                <w:color w:val="000000" w:themeColor="text1"/>
              </w:rPr>
            </w:r>
            <w:r w:rsidR="006F1D4F" w:rsidRPr="006F1D4F">
              <w:rPr>
                <w:noProof/>
                <w:webHidden/>
                <w:color w:val="000000" w:themeColor="text1"/>
              </w:rPr>
              <w:fldChar w:fldCharType="separate"/>
            </w:r>
            <w:r>
              <w:rPr>
                <w:noProof/>
                <w:webHidden/>
                <w:color w:val="000000" w:themeColor="text1"/>
              </w:rPr>
              <w:t>2</w:t>
            </w:r>
            <w:r w:rsidR="006F1D4F" w:rsidRPr="006F1D4F">
              <w:rPr>
                <w:noProof/>
                <w:webHidden/>
                <w:color w:val="000000" w:themeColor="text1"/>
              </w:rPr>
              <w:fldChar w:fldCharType="end"/>
            </w:r>
          </w:hyperlink>
        </w:p>
        <w:p w14:paraId="53C135CF" w14:textId="6807E1A2" w:rsidR="006F1D4F" w:rsidRPr="006F1D4F" w:rsidRDefault="003053D1">
          <w:pPr>
            <w:pStyle w:val="TOC2"/>
            <w:rPr>
              <w:rFonts w:asciiTheme="minorHAnsi" w:eastAsiaTheme="minorEastAsia" w:hAnsiTheme="minorHAnsi" w:cstheme="minorBidi"/>
              <w:noProof/>
              <w:color w:val="000000" w:themeColor="text1"/>
              <w:sz w:val="22"/>
              <w:lang w:eastAsia="en-AU"/>
            </w:rPr>
          </w:pPr>
          <w:hyperlink w:anchor="_Toc35947070" w:history="1">
            <w:r w:rsidR="006F1D4F" w:rsidRPr="006F1D4F">
              <w:rPr>
                <w:rStyle w:val="Hyperlink"/>
                <w:noProof/>
                <w:color w:val="000000" w:themeColor="text1"/>
              </w:rPr>
              <w:t>Burdekin region condition</w:t>
            </w:r>
            <w:r w:rsidR="006F1D4F" w:rsidRPr="006F1D4F">
              <w:rPr>
                <w:noProof/>
                <w:webHidden/>
                <w:color w:val="000000" w:themeColor="text1"/>
              </w:rPr>
              <w:tab/>
            </w:r>
            <w:r w:rsidR="006F1D4F" w:rsidRPr="006F1D4F">
              <w:rPr>
                <w:noProof/>
                <w:webHidden/>
                <w:color w:val="000000" w:themeColor="text1"/>
              </w:rPr>
              <w:fldChar w:fldCharType="begin"/>
            </w:r>
            <w:r w:rsidR="006F1D4F" w:rsidRPr="006F1D4F">
              <w:rPr>
                <w:noProof/>
                <w:webHidden/>
                <w:color w:val="000000" w:themeColor="text1"/>
              </w:rPr>
              <w:instrText xml:space="preserve"> PAGEREF _Toc35947070 \h </w:instrText>
            </w:r>
            <w:r w:rsidR="006F1D4F" w:rsidRPr="006F1D4F">
              <w:rPr>
                <w:noProof/>
                <w:webHidden/>
                <w:color w:val="000000" w:themeColor="text1"/>
              </w:rPr>
            </w:r>
            <w:r w:rsidR="006F1D4F" w:rsidRPr="006F1D4F">
              <w:rPr>
                <w:noProof/>
                <w:webHidden/>
                <w:color w:val="000000" w:themeColor="text1"/>
              </w:rPr>
              <w:fldChar w:fldCharType="separate"/>
            </w:r>
            <w:r>
              <w:rPr>
                <w:noProof/>
                <w:webHidden/>
                <w:color w:val="000000" w:themeColor="text1"/>
              </w:rPr>
              <w:t>2</w:t>
            </w:r>
            <w:r w:rsidR="006F1D4F" w:rsidRPr="006F1D4F">
              <w:rPr>
                <w:noProof/>
                <w:webHidden/>
                <w:color w:val="000000" w:themeColor="text1"/>
              </w:rPr>
              <w:fldChar w:fldCharType="end"/>
            </w:r>
          </w:hyperlink>
        </w:p>
        <w:p w14:paraId="53C135D0" w14:textId="5CC9D1C4" w:rsidR="006F1D4F" w:rsidRPr="006F1D4F" w:rsidRDefault="003053D1">
          <w:pPr>
            <w:pStyle w:val="TOC2"/>
            <w:rPr>
              <w:rFonts w:asciiTheme="minorHAnsi" w:eastAsiaTheme="minorEastAsia" w:hAnsiTheme="minorHAnsi" w:cstheme="minorBidi"/>
              <w:noProof/>
              <w:color w:val="000000" w:themeColor="text1"/>
              <w:sz w:val="22"/>
              <w:lang w:eastAsia="en-AU"/>
            </w:rPr>
          </w:pPr>
          <w:hyperlink w:anchor="_Toc35947071" w:history="1">
            <w:r w:rsidR="006F1D4F" w:rsidRPr="006F1D4F">
              <w:rPr>
                <w:rStyle w:val="Hyperlink"/>
                <w:noProof/>
                <w:color w:val="000000" w:themeColor="text1"/>
              </w:rPr>
              <w:t>Mackay–Whitsunday region condition</w:t>
            </w:r>
            <w:r w:rsidR="006F1D4F" w:rsidRPr="006F1D4F">
              <w:rPr>
                <w:noProof/>
                <w:webHidden/>
                <w:color w:val="000000" w:themeColor="text1"/>
              </w:rPr>
              <w:tab/>
            </w:r>
            <w:r w:rsidR="006F1D4F" w:rsidRPr="006F1D4F">
              <w:rPr>
                <w:noProof/>
                <w:webHidden/>
                <w:color w:val="000000" w:themeColor="text1"/>
              </w:rPr>
              <w:fldChar w:fldCharType="begin"/>
            </w:r>
            <w:r w:rsidR="006F1D4F" w:rsidRPr="006F1D4F">
              <w:rPr>
                <w:noProof/>
                <w:webHidden/>
                <w:color w:val="000000" w:themeColor="text1"/>
              </w:rPr>
              <w:instrText xml:space="preserve"> PAGEREF _Toc35947071 \h </w:instrText>
            </w:r>
            <w:r w:rsidR="006F1D4F" w:rsidRPr="006F1D4F">
              <w:rPr>
                <w:noProof/>
                <w:webHidden/>
                <w:color w:val="000000" w:themeColor="text1"/>
              </w:rPr>
            </w:r>
            <w:r w:rsidR="006F1D4F" w:rsidRPr="006F1D4F">
              <w:rPr>
                <w:noProof/>
                <w:webHidden/>
                <w:color w:val="000000" w:themeColor="text1"/>
              </w:rPr>
              <w:fldChar w:fldCharType="separate"/>
            </w:r>
            <w:r>
              <w:rPr>
                <w:noProof/>
                <w:webHidden/>
                <w:color w:val="000000" w:themeColor="text1"/>
              </w:rPr>
              <w:t>2</w:t>
            </w:r>
            <w:r w:rsidR="006F1D4F" w:rsidRPr="006F1D4F">
              <w:rPr>
                <w:noProof/>
                <w:webHidden/>
                <w:color w:val="000000" w:themeColor="text1"/>
              </w:rPr>
              <w:fldChar w:fldCharType="end"/>
            </w:r>
          </w:hyperlink>
        </w:p>
        <w:p w14:paraId="53C135D1" w14:textId="0B183212" w:rsidR="006F1D4F" w:rsidRPr="006F1D4F" w:rsidRDefault="003053D1">
          <w:pPr>
            <w:pStyle w:val="TOC2"/>
            <w:rPr>
              <w:rFonts w:asciiTheme="minorHAnsi" w:eastAsiaTheme="minorEastAsia" w:hAnsiTheme="minorHAnsi" w:cstheme="minorBidi"/>
              <w:noProof/>
              <w:color w:val="000000" w:themeColor="text1"/>
              <w:sz w:val="22"/>
              <w:lang w:eastAsia="en-AU"/>
            </w:rPr>
          </w:pPr>
          <w:hyperlink w:anchor="_Toc35947072" w:history="1">
            <w:r w:rsidR="006F1D4F" w:rsidRPr="006F1D4F">
              <w:rPr>
                <w:rStyle w:val="Hyperlink"/>
                <w:noProof/>
                <w:color w:val="000000" w:themeColor="text1"/>
              </w:rPr>
              <w:t>Fitzroy region condition</w:t>
            </w:r>
            <w:r w:rsidR="006F1D4F" w:rsidRPr="006F1D4F">
              <w:rPr>
                <w:noProof/>
                <w:webHidden/>
                <w:color w:val="000000" w:themeColor="text1"/>
              </w:rPr>
              <w:tab/>
            </w:r>
            <w:r w:rsidR="006F1D4F" w:rsidRPr="006F1D4F">
              <w:rPr>
                <w:noProof/>
                <w:webHidden/>
                <w:color w:val="000000" w:themeColor="text1"/>
              </w:rPr>
              <w:fldChar w:fldCharType="begin"/>
            </w:r>
            <w:r w:rsidR="006F1D4F" w:rsidRPr="006F1D4F">
              <w:rPr>
                <w:noProof/>
                <w:webHidden/>
                <w:color w:val="000000" w:themeColor="text1"/>
              </w:rPr>
              <w:instrText xml:space="preserve"> PAGEREF _Toc35947072 \h </w:instrText>
            </w:r>
            <w:r w:rsidR="006F1D4F" w:rsidRPr="006F1D4F">
              <w:rPr>
                <w:noProof/>
                <w:webHidden/>
                <w:color w:val="000000" w:themeColor="text1"/>
              </w:rPr>
            </w:r>
            <w:r w:rsidR="006F1D4F" w:rsidRPr="006F1D4F">
              <w:rPr>
                <w:noProof/>
                <w:webHidden/>
                <w:color w:val="000000" w:themeColor="text1"/>
              </w:rPr>
              <w:fldChar w:fldCharType="separate"/>
            </w:r>
            <w:r>
              <w:rPr>
                <w:noProof/>
                <w:webHidden/>
                <w:color w:val="000000" w:themeColor="text1"/>
              </w:rPr>
              <w:t>3</w:t>
            </w:r>
            <w:r w:rsidR="006F1D4F" w:rsidRPr="006F1D4F">
              <w:rPr>
                <w:noProof/>
                <w:webHidden/>
                <w:color w:val="000000" w:themeColor="text1"/>
              </w:rPr>
              <w:fldChar w:fldCharType="end"/>
            </w:r>
          </w:hyperlink>
        </w:p>
        <w:p w14:paraId="53C135D2" w14:textId="1A6D92B9" w:rsidR="006F1D4F" w:rsidRPr="006F1D4F" w:rsidRDefault="003053D1">
          <w:pPr>
            <w:pStyle w:val="TOC2"/>
            <w:rPr>
              <w:rFonts w:asciiTheme="minorHAnsi" w:eastAsiaTheme="minorEastAsia" w:hAnsiTheme="minorHAnsi" w:cstheme="minorBidi"/>
              <w:noProof/>
              <w:color w:val="000000" w:themeColor="text1"/>
              <w:sz w:val="22"/>
              <w:lang w:eastAsia="en-AU"/>
            </w:rPr>
          </w:pPr>
          <w:hyperlink w:anchor="_Toc35947073" w:history="1">
            <w:r w:rsidR="006F1D4F" w:rsidRPr="006F1D4F">
              <w:rPr>
                <w:rStyle w:val="Hyperlink"/>
                <w:noProof/>
                <w:color w:val="000000" w:themeColor="text1"/>
              </w:rPr>
              <w:t>Role of water quality on inshore reef resilience</w:t>
            </w:r>
            <w:r w:rsidR="006F1D4F" w:rsidRPr="006F1D4F">
              <w:rPr>
                <w:noProof/>
                <w:webHidden/>
                <w:color w:val="000000" w:themeColor="text1"/>
              </w:rPr>
              <w:tab/>
            </w:r>
            <w:r w:rsidR="006F1D4F" w:rsidRPr="006F1D4F">
              <w:rPr>
                <w:noProof/>
                <w:webHidden/>
                <w:color w:val="000000" w:themeColor="text1"/>
              </w:rPr>
              <w:fldChar w:fldCharType="begin"/>
            </w:r>
            <w:r w:rsidR="006F1D4F" w:rsidRPr="006F1D4F">
              <w:rPr>
                <w:noProof/>
                <w:webHidden/>
                <w:color w:val="000000" w:themeColor="text1"/>
              </w:rPr>
              <w:instrText xml:space="preserve"> PAGEREF _Toc35947073 \h </w:instrText>
            </w:r>
            <w:r w:rsidR="006F1D4F" w:rsidRPr="006F1D4F">
              <w:rPr>
                <w:noProof/>
                <w:webHidden/>
                <w:color w:val="000000" w:themeColor="text1"/>
              </w:rPr>
            </w:r>
            <w:r w:rsidR="006F1D4F" w:rsidRPr="006F1D4F">
              <w:rPr>
                <w:noProof/>
                <w:webHidden/>
                <w:color w:val="000000" w:themeColor="text1"/>
              </w:rPr>
              <w:fldChar w:fldCharType="separate"/>
            </w:r>
            <w:r>
              <w:rPr>
                <w:noProof/>
                <w:webHidden/>
                <w:color w:val="000000" w:themeColor="text1"/>
              </w:rPr>
              <w:t>3</w:t>
            </w:r>
            <w:r w:rsidR="006F1D4F" w:rsidRPr="006F1D4F">
              <w:rPr>
                <w:noProof/>
                <w:webHidden/>
                <w:color w:val="000000" w:themeColor="text1"/>
              </w:rPr>
              <w:fldChar w:fldCharType="end"/>
            </w:r>
          </w:hyperlink>
        </w:p>
        <w:p w14:paraId="53C135D3" w14:textId="0BB888DD" w:rsidR="006F1D4F" w:rsidRPr="006F1D4F" w:rsidRDefault="003053D1">
          <w:pPr>
            <w:pStyle w:val="TOC1"/>
            <w:rPr>
              <w:rFonts w:asciiTheme="minorHAnsi" w:eastAsiaTheme="minorEastAsia" w:hAnsiTheme="minorHAnsi" w:cstheme="minorBidi"/>
              <w:b w:val="0"/>
              <w:color w:val="000000" w:themeColor="text1"/>
              <w:lang w:eastAsia="en-AU"/>
            </w:rPr>
          </w:pPr>
          <w:hyperlink w:anchor="_Toc35947074" w:history="1">
            <w:r w:rsidR="006F1D4F" w:rsidRPr="006F1D4F">
              <w:rPr>
                <w:rStyle w:val="Hyperlink"/>
                <w:color w:val="000000" w:themeColor="text1"/>
              </w:rPr>
              <w:t>1</w:t>
            </w:r>
            <w:r w:rsidR="006F1D4F" w:rsidRPr="006F1D4F">
              <w:rPr>
                <w:rFonts w:asciiTheme="minorHAnsi" w:eastAsiaTheme="minorEastAsia" w:hAnsiTheme="minorHAnsi" w:cstheme="minorBidi"/>
                <w:b w:val="0"/>
                <w:color w:val="000000" w:themeColor="text1"/>
                <w:lang w:eastAsia="en-AU"/>
              </w:rPr>
              <w:tab/>
            </w:r>
            <w:r w:rsidR="006F1D4F" w:rsidRPr="006F1D4F">
              <w:rPr>
                <w:rStyle w:val="Hyperlink"/>
                <w:color w:val="000000" w:themeColor="text1"/>
              </w:rPr>
              <w:t>Introduction</w:t>
            </w:r>
            <w:r w:rsidR="006F1D4F" w:rsidRPr="006F1D4F">
              <w:rPr>
                <w:webHidden/>
                <w:color w:val="000000" w:themeColor="text1"/>
              </w:rPr>
              <w:tab/>
            </w:r>
            <w:r w:rsidR="006F1D4F" w:rsidRPr="006F1D4F">
              <w:rPr>
                <w:webHidden/>
                <w:color w:val="000000" w:themeColor="text1"/>
              </w:rPr>
              <w:fldChar w:fldCharType="begin"/>
            </w:r>
            <w:r w:rsidR="006F1D4F" w:rsidRPr="006F1D4F">
              <w:rPr>
                <w:webHidden/>
                <w:color w:val="000000" w:themeColor="text1"/>
              </w:rPr>
              <w:instrText xml:space="preserve"> PAGEREF _Toc35947074 \h </w:instrText>
            </w:r>
            <w:r w:rsidR="006F1D4F" w:rsidRPr="006F1D4F">
              <w:rPr>
                <w:webHidden/>
                <w:color w:val="000000" w:themeColor="text1"/>
              </w:rPr>
            </w:r>
            <w:r w:rsidR="006F1D4F" w:rsidRPr="006F1D4F">
              <w:rPr>
                <w:webHidden/>
                <w:color w:val="000000" w:themeColor="text1"/>
              </w:rPr>
              <w:fldChar w:fldCharType="separate"/>
            </w:r>
            <w:r>
              <w:rPr>
                <w:webHidden/>
                <w:color w:val="000000" w:themeColor="text1"/>
              </w:rPr>
              <w:t>4</w:t>
            </w:r>
            <w:r w:rsidR="006F1D4F" w:rsidRPr="006F1D4F">
              <w:rPr>
                <w:webHidden/>
                <w:color w:val="000000" w:themeColor="text1"/>
              </w:rPr>
              <w:fldChar w:fldCharType="end"/>
            </w:r>
          </w:hyperlink>
        </w:p>
        <w:p w14:paraId="53C135D4" w14:textId="2E371580" w:rsidR="006F1D4F" w:rsidRPr="006F1D4F" w:rsidRDefault="003053D1">
          <w:pPr>
            <w:pStyle w:val="TOC2"/>
            <w:rPr>
              <w:rFonts w:asciiTheme="minorHAnsi" w:eastAsiaTheme="minorEastAsia" w:hAnsiTheme="minorHAnsi" w:cstheme="minorBidi"/>
              <w:noProof/>
              <w:color w:val="000000" w:themeColor="text1"/>
              <w:sz w:val="22"/>
              <w:lang w:eastAsia="en-AU"/>
            </w:rPr>
          </w:pPr>
          <w:hyperlink w:anchor="_Toc35947075" w:history="1">
            <w:r w:rsidR="006F1D4F" w:rsidRPr="006F1D4F">
              <w:rPr>
                <w:rStyle w:val="Hyperlink"/>
                <w:noProof/>
                <w:color w:val="000000" w:themeColor="text1"/>
              </w:rPr>
              <w:t>1.1</w:t>
            </w:r>
            <w:r w:rsidR="006F1D4F" w:rsidRPr="006F1D4F">
              <w:rPr>
                <w:rFonts w:asciiTheme="minorHAnsi" w:eastAsiaTheme="minorEastAsia" w:hAnsiTheme="minorHAnsi" w:cstheme="minorBidi"/>
                <w:noProof/>
                <w:color w:val="000000" w:themeColor="text1"/>
                <w:sz w:val="22"/>
                <w:lang w:eastAsia="en-AU"/>
              </w:rPr>
              <w:tab/>
            </w:r>
            <w:r w:rsidR="006F1D4F" w:rsidRPr="006F1D4F">
              <w:rPr>
                <w:rStyle w:val="Hyperlink"/>
                <w:noProof/>
                <w:color w:val="000000" w:themeColor="text1"/>
              </w:rPr>
              <w:t>Conceptual basis for coral monitoring program</w:t>
            </w:r>
            <w:r w:rsidR="006F1D4F" w:rsidRPr="006F1D4F">
              <w:rPr>
                <w:noProof/>
                <w:webHidden/>
                <w:color w:val="000000" w:themeColor="text1"/>
              </w:rPr>
              <w:tab/>
            </w:r>
            <w:r w:rsidR="006F1D4F" w:rsidRPr="006F1D4F">
              <w:rPr>
                <w:noProof/>
                <w:webHidden/>
                <w:color w:val="000000" w:themeColor="text1"/>
              </w:rPr>
              <w:fldChar w:fldCharType="begin"/>
            </w:r>
            <w:r w:rsidR="006F1D4F" w:rsidRPr="006F1D4F">
              <w:rPr>
                <w:noProof/>
                <w:webHidden/>
                <w:color w:val="000000" w:themeColor="text1"/>
              </w:rPr>
              <w:instrText xml:space="preserve"> PAGEREF _Toc35947075 \h </w:instrText>
            </w:r>
            <w:r w:rsidR="006F1D4F" w:rsidRPr="006F1D4F">
              <w:rPr>
                <w:noProof/>
                <w:webHidden/>
                <w:color w:val="000000" w:themeColor="text1"/>
              </w:rPr>
            </w:r>
            <w:r w:rsidR="006F1D4F" w:rsidRPr="006F1D4F">
              <w:rPr>
                <w:noProof/>
                <w:webHidden/>
                <w:color w:val="000000" w:themeColor="text1"/>
              </w:rPr>
              <w:fldChar w:fldCharType="separate"/>
            </w:r>
            <w:r>
              <w:rPr>
                <w:noProof/>
                <w:webHidden/>
                <w:color w:val="000000" w:themeColor="text1"/>
              </w:rPr>
              <w:t>4</w:t>
            </w:r>
            <w:r w:rsidR="006F1D4F" w:rsidRPr="006F1D4F">
              <w:rPr>
                <w:noProof/>
                <w:webHidden/>
                <w:color w:val="000000" w:themeColor="text1"/>
              </w:rPr>
              <w:fldChar w:fldCharType="end"/>
            </w:r>
          </w:hyperlink>
        </w:p>
        <w:p w14:paraId="53C135D5" w14:textId="515D71F0" w:rsidR="006F1D4F" w:rsidRPr="006F1D4F" w:rsidRDefault="003053D1">
          <w:pPr>
            <w:pStyle w:val="TOC2"/>
            <w:rPr>
              <w:rFonts w:asciiTheme="minorHAnsi" w:eastAsiaTheme="minorEastAsia" w:hAnsiTheme="minorHAnsi" w:cstheme="minorBidi"/>
              <w:noProof/>
              <w:color w:val="000000" w:themeColor="text1"/>
              <w:sz w:val="22"/>
              <w:lang w:eastAsia="en-AU"/>
            </w:rPr>
          </w:pPr>
          <w:hyperlink w:anchor="_Toc35947076" w:history="1">
            <w:r w:rsidR="006F1D4F" w:rsidRPr="006F1D4F">
              <w:rPr>
                <w:rStyle w:val="Hyperlink"/>
                <w:noProof/>
                <w:color w:val="000000" w:themeColor="text1"/>
              </w:rPr>
              <w:t>1.2</w:t>
            </w:r>
            <w:r w:rsidR="006F1D4F" w:rsidRPr="006F1D4F">
              <w:rPr>
                <w:rFonts w:asciiTheme="minorHAnsi" w:eastAsiaTheme="minorEastAsia" w:hAnsiTheme="minorHAnsi" w:cstheme="minorBidi"/>
                <w:noProof/>
                <w:color w:val="000000" w:themeColor="text1"/>
                <w:sz w:val="22"/>
                <w:lang w:eastAsia="en-AU"/>
              </w:rPr>
              <w:tab/>
            </w:r>
            <w:r w:rsidR="006F1D4F" w:rsidRPr="006F1D4F">
              <w:rPr>
                <w:rStyle w:val="Hyperlink"/>
                <w:noProof/>
                <w:color w:val="000000" w:themeColor="text1"/>
              </w:rPr>
              <w:t>Purpose of this report</w:t>
            </w:r>
            <w:r w:rsidR="006F1D4F" w:rsidRPr="006F1D4F">
              <w:rPr>
                <w:noProof/>
                <w:webHidden/>
                <w:color w:val="000000" w:themeColor="text1"/>
              </w:rPr>
              <w:tab/>
            </w:r>
            <w:r w:rsidR="006F1D4F" w:rsidRPr="006F1D4F">
              <w:rPr>
                <w:noProof/>
                <w:webHidden/>
                <w:color w:val="000000" w:themeColor="text1"/>
              </w:rPr>
              <w:fldChar w:fldCharType="begin"/>
            </w:r>
            <w:r w:rsidR="006F1D4F" w:rsidRPr="006F1D4F">
              <w:rPr>
                <w:noProof/>
                <w:webHidden/>
                <w:color w:val="000000" w:themeColor="text1"/>
              </w:rPr>
              <w:instrText xml:space="preserve"> PAGEREF _Toc35947076 \h </w:instrText>
            </w:r>
            <w:r w:rsidR="006F1D4F" w:rsidRPr="006F1D4F">
              <w:rPr>
                <w:noProof/>
                <w:webHidden/>
                <w:color w:val="000000" w:themeColor="text1"/>
              </w:rPr>
            </w:r>
            <w:r w:rsidR="006F1D4F" w:rsidRPr="006F1D4F">
              <w:rPr>
                <w:noProof/>
                <w:webHidden/>
                <w:color w:val="000000" w:themeColor="text1"/>
              </w:rPr>
              <w:fldChar w:fldCharType="separate"/>
            </w:r>
            <w:r>
              <w:rPr>
                <w:noProof/>
                <w:webHidden/>
                <w:color w:val="000000" w:themeColor="text1"/>
              </w:rPr>
              <w:t>5</w:t>
            </w:r>
            <w:r w:rsidR="006F1D4F" w:rsidRPr="006F1D4F">
              <w:rPr>
                <w:noProof/>
                <w:webHidden/>
                <w:color w:val="000000" w:themeColor="text1"/>
              </w:rPr>
              <w:fldChar w:fldCharType="end"/>
            </w:r>
          </w:hyperlink>
        </w:p>
        <w:p w14:paraId="53C135D6" w14:textId="69F9346F" w:rsidR="006F1D4F" w:rsidRPr="006F1D4F" w:rsidRDefault="003053D1">
          <w:pPr>
            <w:pStyle w:val="TOC2"/>
            <w:rPr>
              <w:rFonts w:asciiTheme="minorHAnsi" w:eastAsiaTheme="minorEastAsia" w:hAnsiTheme="minorHAnsi" w:cstheme="minorBidi"/>
              <w:noProof/>
              <w:color w:val="000000" w:themeColor="text1"/>
              <w:sz w:val="22"/>
              <w:lang w:eastAsia="en-AU"/>
            </w:rPr>
          </w:pPr>
          <w:hyperlink w:anchor="_Toc35947077" w:history="1">
            <w:r w:rsidR="006F1D4F" w:rsidRPr="006F1D4F">
              <w:rPr>
                <w:rStyle w:val="Hyperlink"/>
                <w:noProof/>
                <w:color w:val="000000" w:themeColor="text1"/>
              </w:rPr>
              <w:t>1.3</w:t>
            </w:r>
            <w:r w:rsidR="006F1D4F" w:rsidRPr="006F1D4F">
              <w:rPr>
                <w:rFonts w:asciiTheme="minorHAnsi" w:eastAsiaTheme="minorEastAsia" w:hAnsiTheme="minorHAnsi" w:cstheme="minorBidi"/>
                <w:noProof/>
                <w:color w:val="000000" w:themeColor="text1"/>
                <w:sz w:val="22"/>
                <w:lang w:eastAsia="en-AU"/>
              </w:rPr>
              <w:tab/>
            </w:r>
            <w:r w:rsidR="006F1D4F" w:rsidRPr="006F1D4F">
              <w:rPr>
                <w:rStyle w:val="Hyperlink"/>
                <w:noProof/>
                <w:color w:val="000000" w:themeColor="text1"/>
              </w:rPr>
              <w:t>Structure of the report</w:t>
            </w:r>
            <w:r w:rsidR="006F1D4F" w:rsidRPr="006F1D4F">
              <w:rPr>
                <w:noProof/>
                <w:webHidden/>
                <w:color w:val="000000" w:themeColor="text1"/>
              </w:rPr>
              <w:tab/>
            </w:r>
            <w:r w:rsidR="006F1D4F" w:rsidRPr="006F1D4F">
              <w:rPr>
                <w:noProof/>
                <w:webHidden/>
                <w:color w:val="000000" w:themeColor="text1"/>
              </w:rPr>
              <w:fldChar w:fldCharType="begin"/>
            </w:r>
            <w:r w:rsidR="006F1D4F" w:rsidRPr="006F1D4F">
              <w:rPr>
                <w:noProof/>
                <w:webHidden/>
                <w:color w:val="000000" w:themeColor="text1"/>
              </w:rPr>
              <w:instrText xml:space="preserve"> PAGEREF _Toc35947077 \h </w:instrText>
            </w:r>
            <w:r w:rsidR="006F1D4F" w:rsidRPr="006F1D4F">
              <w:rPr>
                <w:noProof/>
                <w:webHidden/>
                <w:color w:val="000000" w:themeColor="text1"/>
              </w:rPr>
            </w:r>
            <w:r w:rsidR="006F1D4F" w:rsidRPr="006F1D4F">
              <w:rPr>
                <w:noProof/>
                <w:webHidden/>
                <w:color w:val="000000" w:themeColor="text1"/>
              </w:rPr>
              <w:fldChar w:fldCharType="separate"/>
            </w:r>
            <w:r>
              <w:rPr>
                <w:noProof/>
                <w:webHidden/>
                <w:color w:val="000000" w:themeColor="text1"/>
              </w:rPr>
              <w:t>5</w:t>
            </w:r>
            <w:r w:rsidR="006F1D4F" w:rsidRPr="006F1D4F">
              <w:rPr>
                <w:noProof/>
                <w:webHidden/>
                <w:color w:val="000000" w:themeColor="text1"/>
              </w:rPr>
              <w:fldChar w:fldCharType="end"/>
            </w:r>
          </w:hyperlink>
        </w:p>
        <w:p w14:paraId="53C135D7" w14:textId="56524279" w:rsidR="006F1D4F" w:rsidRPr="006F1D4F" w:rsidRDefault="003053D1">
          <w:pPr>
            <w:pStyle w:val="TOC1"/>
            <w:rPr>
              <w:rFonts w:asciiTheme="minorHAnsi" w:eastAsiaTheme="minorEastAsia" w:hAnsiTheme="minorHAnsi" w:cstheme="minorBidi"/>
              <w:b w:val="0"/>
              <w:color w:val="000000" w:themeColor="text1"/>
              <w:lang w:eastAsia="en-AU"/>
            </w:rPr>
          </w:pPr>
          <w:hyperlink w:anchor="_Toc35947078" w:history="1">
            <w:r w:rsidR="006F1D4F" w:rsidRPr="006F1D4F">
              <w:rPr>
                <w:rStyle w:val="Hyperlink"/>
                <w:color w:val="000000" w:themeColor="text1"/>
              </w:rPr>
              <w:t>2</w:t>
            </w:r>
            <w:r w:rsidR="006F1D4F" w:rsidRPr="006F1D4F">
              <w:rPr>
                <w:rFonts w:asciiTheme="minorHAnsi" w:eastAsiaTheme="minorEastAsia" w:hAnsiTheme="minorHAnsi" w:cstheme="minorBidi"/>
                <w:b w:val="0"/>
                <w:color w:val="000000" w:themeColor="text1"/>
                <w:lang w:eastAsia="en-AU"/>
              </w:rPr>
              <w:tab/>
            </w:r>
            <w:r w:rsidR="006F1D4F" w:rsidRPr="006F1D4F">
              <w:rPr>
                <w:rStyle w:val="Hyperlink"/>
                <w:color w:val="000000" w:themeColor="text1"/>
              </w:rPr>
              <w:t>Methods</w:t>
            </w:r>
            <w:r w:rsidR="006F1D4F" w:rsidRPr="006F1D4F">
              <w:rPr>
                <w:webHidden/>
                <w:color w:val="000000" w:themeColor="text1"/>
              </w:rPr>
              <w:tab/>
            </w:r>
            <w:r w:rsidR="006F1D4F" w:rsidRPr="006F1D4F">
              <w:rPr>
                <w:webHidden/>
                <w:color w:val="000000" w:themeColor="text1"/>
              </w:rPr>
              <w:fldChar w:fldCharType="begin"/>
            </w:r>
            <w:r w:rsidR="006F1D4F" w:rsidRPr="006F1D4F">
              <w:rPr>
                <w:webHidden/>
                <w:color w:val="000000" w:themeColor="text1"/>
              </w:rPr>
              <w:instrText xml:space="preserve"> PAGEREF _Toc35947078 \h </w:instrText>
            </w:r>
            <w:r w:rsidR="006F1D4F" w:rsidRPr="006F1D4F">
              <w:rPr>
                <w:webHidden/>
                <w:color w:val="000000" w:themeColor="text1"/>
              </w:rPr>
            </w:r>
            <w:r w:rsidR="006F1D4F" w:rsidRPr="006F1D4F">
              <w:rPr>
                <w:webHidden/>
                <w:color w:val="000000" w:themeColor="text1"/>
              </w:rPr>
              <w:fldChar w:fldCharType="separate"/>
            </w:r>
            <w:r>
              <w:rPr>
                <w:webHidden/>
                <w:color w:val="000000" w:themeColor="text1"/>
              </w:rPr>
              <w:t>6</w:t>
            </w:r>
            <w:r w:rsidR="006F1D4F" w:rsidRPr="006F1D4F">
              <w:rPr>
                <w:webHidden/>
                <w:color w:val="000000" w:themeColor="text1"/>
              </w:rPr>
              <w:fldChar w:fldCharType="end"/>
            </w:r>
          </w:hyperlink>
        </w:p>
        <w:p w14:paraId="53C135D8" w14:textId="507C8812" w:rsidR="006F1D4F" w:rsidRPr="006F1D4F" w:rsidRDefault="003053D1">
          <w:pPr>
            <w:pStyle w:val="TOC2"/>
            <w:rPr>
              <w:rFonts w:asciiTheme="minorHAnsi" w:eastAsiaTheme="minorEastAsia" w:hAnsiTheme="minorHAnsi" w:cstheme="minorBidi"/>
              <w:noProof/>
              <w:color w:val="000000" w:themeColor="text1"/>
              <w:sz w:val="22"/>
              <w:lang w:eastAsia="en-AU"/>
            </w:rPr>
          </w:pPr>
          <w:hyperlink w:anchor="_Toc35947079" w:history="1">
            <w:r w:rsidR="006F1D4F" w:rsidRPr="006F1D4F">
              <w:rPr>
                <w:rStyle w:val="Hyperlink"/>
                <w:noProof/>
                <w:color w:val="000000" w:themeColor="text1"/>
              </w:rPr>
              <w:t>2.1</w:t>
            </w:r>
            <w:r w:rsidR="006F1D4F" w:rsidRPr="006F1D4F">
              <w:rPr>
                <w:rFonts w:asciiTheme="minorHAnsi" w:eastAsiaTheme="minorEastAsia" w:hAnsiTheme="minorHAnsi" w:cstheme="minorBidi"/>
                <w:noProof/>
                <w:color w:val="000000" w:themeColor="text1"/>
                <w:sz w:val="22"/>
                <w:lang w:eastAsia="en-AU"/>
              </w:rPr>
              <w:tab/>
            </w:r>
            <w:r w:rsidR="006F1D4F" w:rsidRPr="006F1D4F">
              <w:rPr>
                <w:rStyle w:val="Hyperlink"/>
                <w:noProof/>
                <w:color w:val="000000" w:themeColor="text1"/>
              </w:rPr>
              <w:t>Climate and environmental pressures</w:t>
            </w:r>
            <w:r w:rsidR="006F1D4F" w:rsidRPr="006F1D4F">
              <w:rPr>
                <w:noProof/>
                <w:webHidden/>
                <w:color w:val="000000" w:themeColor="text1"/>
              </w:rPr>
              <w:tab/>
            </w:r>
            <w:r w:rsidR="006F1D4F" w:rsidRPr="006F1D4F">
              <w:rPr>
                <w:noProof/>
                <w:webHidden/>
                <w:color w:val="000000" w:themeColor="text1"/>
              </w:rPr>
              <w:fldChar w:fldCharType="begin"/>
            </w:r>
            <w:r w:rsidR="006F1D4F" w:rsidRPr="006F1D4F">
              <w:rPr>
                <w:noProof/>
                <w:webHidden/>
                <w:color w:val="000000" w:themeColor="text1"/>
              </w:rPr>
              <w:instrText xml:space="preserve"> PAGEREF _Toc35947079 \h </w:instrText>
            </w:r>
            <w:r w:rsidR="006F1D4F" w:rsidRPr="006F1D4F">
              <w:rPr>
                <w:noProof/>
                <w:webHidden/>
                <w:color w:val="000000" w:themeColor="text1"/>
              </w:rPr>
            </w:r>
            <w:r w:rsidR="006F1D4F" w:rsidRPr="006F1D4F">
              <w:rPr>
                <w:noProof/>
                <w:webHidden/>
                <w:color w:val="000000" w:themeColor="text1"/>
              </w:rPr>
              <w:fldChar w:fldCharType="separate"/>
            </w:r>
            <w:r>
              <w:rPr>
                <w:noProof/>
                <w:webHidden/>
                <w:color w:val="000000" w:themeColor="text1"/>
              </w:rPr>
              <w:t>6</w:t>
            </w:r>
            <w:r w:rsidR="006F1D4F" w:rsidRPr="006F1D4F">
              <w:rPr>
                <w:noProof/>
                <w:webHidden/>
                <w:color w:val="000000" w:themeColor="text1"/>
              </w:rPr>
              <w:fldChar w:fldCharType="end"/>
            </w:r>
          </w:hyperlink>
        </w:p>
        <w:p w14:paraId="53C135D9" w14:textId="5986F599" w:rsidR="006F1D4F" w:rsidRPr="006F1D4F" w:rsidRDefault="003053D1">
          <w:pPr>
            <w:pStyle w:val="TOC3"/>
            <w:rPr>
              <w:rFonts w:asciiTheme="minorHAnsi" w:eastAsiaTheme="minorEastAsia" w:hAnsiTheme="minorHAnsi" w:cstheme="minorBidi"/>
              <w:sz w:val="22"/>
              <w:lang w:eastAsia="en-AU"/>
            </w:rPr>
          </w:pPr>
          <w:hyperlink w:anchor="_Toc35947080" w:history="1">
            <w:r w:rsidR="006F1D4F" w:rsidRPr="006F1D4F">
              <w:rPr>
                <w:rStyle w:val="Hyperlink"/>
                <w:color w:val="000000" w:themeColor="text1"/>
              </w:rPr>
              <w:t>2.1.1</w:t>
            </w:r>
            <w:r w:rsidR="006F1D4F" w:rsidRPr="006F1D4F">
              <w:rPr>
                <w:rFonts w:asciiTheme="minorHAnsi" w:eastAsiaTheme="minorEastAsia" w:hAnsiTheme="minorHAnsi" w:cstheme="minorBidi"/>
                <w:sz w:val="22"/>
                <w:lang w:eastAsia="en-AU"/>
              </w:rPr>
              <w:tab/>
            </w:r>
            <w:r w:rsidR="006F1D4F" w:rsidRPr="006F1D4F">
              <w:rPr>
                <w:rStyle w:val="Hyperlink"/>
                <w:color w:val="000000" w:themeColor="text1"/>
              </w:rPr>
              <w:t>River discharge</w:t>
            </w:r>
            <w:r w:rsidR="006F1D4F" w:rsidRPr="006F1D4F">
              <w:rPr>
                <w:webHidden/>
              </w:rPr>
              <w:tab/>
            </w:r>
            <w:r w:rsidR="006F1D4F" w:rsidRPr="006F1D4F">
              <w:rPr>
                <w:webHidden/>
              </w:rPr>
              <w:fldChar w:fldCharType="begin"/>
            </w:r>
            <w:r w:rsidR="006F1D4F" w:rsidRPr="006F1D4F">
              <w:rPr>
                <w:webHidden/>
              </w:rPr>
              <w:instrText xml:space="preserve"> PAGEREF _Toc35947080 \h </w:instrText>
            </w:r>
            <w:r w:rsidR="006F1D4F" w:rsidRPr="006F1D4F">
              <w:rPr>
                <w:webHidden/>
              </w:rPr>
            </w:r>
            <w:r w:rsidR="006F1D4F" w:rsidRPr="006F1D4F">
              <w:rPr>
                <w:webHidden/>
              </w:rPr>
              <w:fldChar w:fldCharType="separate"/>
            </w:r>
            <w:r>
              <w:rPr>
                <w:webHidden/>
              </w:rPr>
              <w:t>6</w:t>
            </w:r>
            <w:r w:rsidR="006F1D4F" w:rsidRPr="006F1D4F">
              <w:rPr>
                <w:webHidden/>
              </w:rPr>
              <w:fldChar w:fldCharType="end"/>
            </w:r>
          </w:hyperlink>
        </w:p>
        <w:p w14:paraId="53C135DA" w14:textId="00F35819" w:rsidR="006F1D4F" w:rsidRPr="006F1D4F" w:rsidRDefault="003053D1">
          <w:pPr>
            <w:pStyle w:val="TOC3"/>
            <w:rPr>
              <w:rFonts w:asciiTheme="minorHAnsi" w:eastAsiaTheme="minorEastAsia" w:hAnsiTheme="minorHAnsi" w:cstheme="minorBidi"/>
              <w:sz w:val="22"/>
              <w:lang w:eastAsia="en-AU"/>
            </w:rPr>
          </w:pPr>
          <w:hyperlink w:anchor="_Toc35947081" w:history="1">
            <w:r w:rsidR="006F1D4F" w:rsidRPr="006F1D4F">
              <w:rPr>
                <w:rStyle w:val="Hyperlink"/>
                <w:color w:val="000000" w:themeColor="text1"/>
              </w:rPr>
              <w:t>2.1.2</w:t>
            </w:r>
            <w:r w:rsidR="006F1D4F" w:rsidRPr="006F1D4F">
              <w:rPr>
                <w:rFonts w:asciiTheme="minorHAnsi" w:eastAsiaTheme="minorEastAsia" w:hAnsiTheme="minorHAnsi" w:cstheme="minorBidi"/>
                <w:sz w:val="22"/>
                <w:lang w:eastAsia="en-AU"/>
              </w:rPr>
              <w:tab/>
            </w:r>
            <w:r w:rsidR="006F1D4F" w:rsidRPr="006F1D4F">
              <w:rPr>
                <w:rStyle w:val="Hyperlink"/>
                <w:color w:val="000000" w:themeColor="text1"/>
              </w:rPr>
              <w:t>River Nutrient Loads</w:t>
            </w:r>
            <w:r w:rsidR="006F1D4F" w:rsidRPr="006F1D4F">
              <w:rPr>
                <w:webHidden/>
              </w:rPr>
              <w:tab/>
            </w:r>
            <w:r w:rsidR="006F1D4F" w:rsidRPr="006F1D4F">
              <w:rPr>
                <w:webHidden/>
              </w:rPr>
              <w:fldChar w:fldCharType="begin"/>
            </w:r>
            <w:r w:rsidR="006F1D4F" w:rsidRPr="006F1D4F">
              <w:rPr>
                <w:webHidden/>
              </w:rPr>
              <w:instrText xml:space="preserve"> PAGEREF _Toc35947081 \h </w:instrText>
            </w:r>
            <w:r w:rsidR="006F1D4F" w:rsidRPr="006F1D4F">
              <w:rPr>
                <w:webHidden/>
              </w:rPr>
            </w:r>
            <w:r w:rsidR="006F1D4F" w:rsidRPr="006F1D4F">
              <w:rPr>
                <w:webHidden/>
              </w:rPr>
              <w:fldChar w:fldCharType="separate"/>
            </w:r>
            <w:r>
              <w:rPr>
                <w:webHidden/>
              </w:rPr>
              <w:t>6</w:t>
            </w:r>
            <w:r w:rsidR="006F1D4F" w:rsidRPr="006F1D4F">
              <w:rPr>
                <w:webHidden/>
              </w:rPr>
              <w:fldChar w:fldCharType="end"/>
            </w:r>
          </w:hyperlink>
        </w:p>
        <w:p w14:paraId="53C135DB" w14:textId="70324011" w:rsidR="006F1D4F" w:rsidRPr="006F1D4F" w:rsidRDefault="003053D1">
          <w:pPr>
            <w:pStyle w:val="TOC3"/>
            <w:rPr>
              <w:rFonts w:asciiTheme="minorHAnsi" w:eastAsiaTheme="minorEastAsia" w:hAnsiTheme="minorHAnsi" w:cstheme="minorBidi"/>
              <w:sz w:val="22"/>
              <w:lang w:eastAsia="en-AU"/>
            </w:rPr>
          </w:pPr>
          <w:hyperlink w:anchor="_Toc35947082" w:history="1">
            <w:r w:rsidR="006F1D4F" w:rsidRPr="006F1D4F">
              <w:rPr>
                <w:rStyle w:val="Hyperlink"/>
                <w:color w:val="000000" w:themeColor="text1"/>
              </w:rPr>
              <w:t>2.1.3</w:t>
            </w:r>
            <w:r w:rsidR="006F1D4F" w:rsidRPr="006F1D4F">
              <w:rPr>
                <w:rFonts w:asciiTheme="minorHAnsi" w:eastAsiaTheme="minorEastAsia" w:hAnsiTheme="minorHAnsi" w:cstheme="minorBidi"/>
                <w:sz w:val="22"/>
                <w:lang w:eastAsia="en-AU"/>
              </w:rPr>
              <w:tab/>
            </w:r>
            <w:r w:rsidR="006F1D4F" w:rsidRPr="006F1D4F">
              <w:rPr>
                <w:rStyle w:val="Hyperlink"/>
                <w:color w:val="000000" w:themeColor="text1"/>
              </w:rPr>
              <w:t>Sea temperature</w:t>
            </w:r>
            <w:r w:rsidR="006F1D4F" w:rsidRPr="006F1D4F">
              <w:rPr>
                <w:webHidden/>
              </w:rPr>
              <w:tab/>
            </w:r>
            <w:r w:rsidR="006F1D4F" w:rsidRPr="006F1D4F">
              <w:rPr>
                <w:webHidden/>
              </w:rPr>
              <w:fldChar w:fldCharType="begin"/>
            </w:r>
            <w:r w:rsidR="006F1D4F" w:rsidRPr="006F1D4F">
              <w:rPr>
                <w:webHidden/>
              </w:rPr>
              <w:instrText xml:space="preserve"> PAGEREF _Toc35947082 \h </w:instrText>
            </w:r>
            <w:r w:rsidR="006F1D4F" w:rsidRPr="006F1D4F">
              <w:rPr>
                <w:webHidden/>
              </w:rPr>
            </w:r>
            <w:r w:rsidR="006F1D4F" w:rsidRPr="006F1D4F">
              <w:rPr>
                <w:webHidden/>
              </w:rPr>
              <w:fldChar w:fldCharType="separate"/>
            </w:r>
            <w:r>
              <w:rPr>
                <w:webHidden/>
              </w:rPr>
              <w:t>6</w:t>
            </w:r>
            <w:r w:rsidR="006F1D4F" w:rsidRPr="006F1D4F">
              <w:rPr>
                <w:webHidden/>
              </w:rPr>
              <w:fldChar w:fldCharType="end"/>
            </w:r>
          </w:hyperlink>
        </w:p>
        <w:p w14:paraId="53C135DC" w14:textId="2F3C0717" w:rsidR="006F1D4F" w:rsidRPr="006F1D4F" w:rsidRDefault="003053D1">
          <w:pPr>
            <w:pStyle w:val="TOC3"/>
            <w:rPr>
              <w:rFonts w:asciiTheme="minorHAnsi" w:eastAsiaTheme="minorEastAsia" w:hAnsiTheme="minorHAnsi" w:cstheme="minorBidi"/>
              <w:sz w:val="22"/>
              <w:lang w:eastAsia="en-AU"/>
            </w:rPr>
          </w:pPr>
          <w:hyperlink w:anchor="_Toc35947083" w:history="1">
            <w:r w:rsidR="006F1D4F" w:rsidRPr="006F1D4F">
              <w:rPr>
                <w:rStyle w:val="Hyperlink"/>
                <w:color w:val="000000" w:themeColor="text1"/>
              </w:rPr>
              <w:t>2.1.4</w:t>
            </w:r>
            <w:r w:rsidR="006F1D4F" w:rsidRPr="006F1D4F">
              <w:rPr>
                <w:rFonts w:asciiTheme="minorHAnsi" w:eastAsiaTheme="minorEastAsia" w:hAnsiTheme="minorHAnsi" w:cstheme="minorBidi"/>
                <w:sz w:val="22"/>
                <w:lang w:eastAsia="en-AU"/>
              </w:rPr>
              <w:tab/>
            </w:r>
            <w:r w:rsidR="006F1D4F" w:rsidRPr="006F1D4F">
              <w:rPr>
                <w:rStyle w:val="Hyperlink"/>
                <w:color w:val="000000" w:themeColor="text1"/>
              </w:rPr>
              <w:t>Temperature stress</w:t>
            </w:r>
            <w:r w:rsidR="006F1D4F" w:rsidRPr="006F1D4F">
              <w:rPr>
                <w:webHidden/>
              </w:rPr>
              <w:tab/>
            </w:r>
            <w:r w:rsidR="006F1D4F" w:rsidRPr="006F1D4F">
              <w:rPr>
                <w:webHidden/>
              </w:rPr>
              <w:fldChar w:fldCharType="begin"/>
            </w:r>
            <w:r w:rsidR="006F1D4F" w:rsidRPr="006F1D4F">
              <w:rPr>
                <w:webHidden/>
              </w:rPr>
              <w:instrText xml:space="preserve"> PAGEREF _Toc35947083 \h </w:instrText>
            </w:r>
            <w:r w:rsidR="006F1D4F" w:rsidRPr="006F1D4F">
              <w:rPr>
                <w:webHidden/>
              </w:rPr>
            </w:r>
            <w:r w:rsidR="006F1D4F" w:rsidRPr="006F1D4F">
              <w:rPr>
                <w:webHidden/>
              </w:rPr>
              <w:fldChar w:fldCharType="separate"/>
            </w:r>
            <w:r>
              <w:rPr>
                <w:webHidden/>
              </w:rPr>
              <w:t>7</w:t>
            </w:r>
            <w:r w:rsidR="006F1D4F" w:rsidRPr="006F1D4F">
              <w:rPr>
                <w:webHidden/>
              </w:rPr>
              <w:fldChar w:fldCharType="end"/>
            </w:r>
          </w:hyperlink>
        </w:p>
        <w:p w14:paraId="53C135DD" w14:textId="77A3783A" w:rsidR="006F1D4F" w:rsidRPr="006F1D4F" w:rsidRDefault="003053D1">
          <w:pPr>
            <w:pStyle w:val="TOC3"/>
            <w:rPr>
              <w:rFonts w:asciiTheme="minorHAnsi" w:eastAsiaTheme="minorEastAsia" w:hAnsiTheme="minorHAnsi" w:cstheme="minorBidi"/>
              <w:sz w:val="22"/>
              <w:lang w:eastAsia="en-AU"/>
            </w:rPr>
          </w:pPr>
          <w:hyperlink w:anchor="_Toc35947084" w:history="1">
            <w:r w:rsidR="006F1D4F" w:rsidRPr="006F1D4F">
              <w:rPr>
                <w:rStyle w:val="Hyperlink"/>
                <w:color w:val="000000" w:themeColor="text1"/>
              </w:rPr>
              <w:t>2.1.5</w:t>
            </w:r>
            <w:r w:rsidR="006F1D4F" w:rsidRPr="006F1D4F">
              <w:rPr>
                <w:rFonts w:asciiTheme="minorHAnsi" w:eastAsiaTheme="minorEastAsia" w:hAnsiTheme="minorHAnsi" w:cstheme="minorBidi"/>
                <w:sz w:val="22"/>
                <w:lang w:eastAsia="en-AU"/>
              </w:rPr>
              <w:tab/>
            </w:r>
            <w:r w:rsidR="006F1D4F" w:rsidRPr="006F1D4F">
              <w:rPr>
                <w:rStyle w:val="Hyperlink"/>
                <w:color w:val="000000" w:themeColor="text1"/>
              </w:rPr>
              <w:t>Cyclone tracks</w:t>
            </w:r>
            <w:r w:rsidR="006F1D4F" w:rsidRPr="006F1D4F">
              <w:rPr>
                <w:webHidden/>
              </w:rPr>
              <w:tab/>
            </w:r>
            <w:r w:rsidR="006F1D4F" w:rsidRPr="006F1D4F">
              <w:rPr>
                <w:webHidden/>
              </w:rPr>
              <w:fldChar w:fldCharType="begin"/>
            </w:r>
            <w:r w:rsidR="006F1D4F" w:rsidRPr="006F1D4F">
              <w:rPr>
                <w:webHidden/>
              </w:rPr>
              <w:instrText xml:space="preserve"> PAGEREF _Toc35947084 \h </w:instrText>
            </w:r>
            <w:r w:rsidR="006F1D4F" w:rsidRPr="006F1D4F">
              <w:rPr>
                <w:webHidden/>
              </w:rPr>
            </w:r>
            <w:r w:rsidR="006F1D4F" w:rsidRPr="006F1D4F">
              <w:rPr>
                <w:webHidden/>
              </w:rPr>
              <w:fldChar w:fldCharType="separate"/>
            </w:r>
            <w:r>
              <w:rPr>
                <w:webHidden/>
              </w:rPr>
              <w:t>7</w:t>
            </w:r>
            <w:r w:rsidR="006F1D4F" w:rsidRPr="006F1D4F">
              <w:rPr>
                <w:webHidden/>
              </w:rPr>
              <w:fldChar w:fldCharType="end"/>
            </w:r>
          </w:hyperlink>
        </w:p>
        <w:p w14:paraId="53C135DE" w14:textId="4F6C888E" w:rsidR="006F1D4F" w:rsidRPr="006F1D4F" w:rsidRDefault="003053D1">
          <w:pPr>
            <w:pStyle w:val="TOC3"/>
            <w:rPr>
              <w:rFonts w:asciiTheme="minorHAnsi" w:eastAsiaTheme="minorEastAsia" w:hAnsiTheme="minorHAnsi" w:cstheme="minorBidi"/>
              <w:sz w:val="22"/>
              <w:lang w:eastAsia="en-AU"/>
            </w:rPr>
          </w:pPr>
          <w:hyperlink w:anchor="_Toc35947085" w:history="1">
            <w:r w:rsidR="006F1D4F" w:rsidRPr="006F1D4F">
              <w:rPr>
                <w:rStyle w:val="Hyperlink"/>
                <w:color w:val="000000" w:themeColor="text1"/>
              </w:rPr>
              <w:t>2.1.6</w:t>
            </w:r>
            <w:r w:rsidR="006F1D4F" w:rsidRPr="006F1D4F">
              <w:rPr>
                <w:rFonts w:asciiTheme="minorHAnsi" w:eastAsiaTheme="minorEastAsia" w:hAnsiTheme="minorHAnsi" w:cstheme="minorBidi"/>
                <w:sz w:val="22"/>
                <w:lang w:eastAsia="en-AU"/>
              </w:rPr>
              <w:tab/>
            </w:r>
            <w:r w:rsidR="006F1D4F" w:rsidRPr="006F1D4F">
              <w:rPr>
                <w:rStyle w:val="Hyperlink"/>
                <w:color w:val="000000" w:themeColor="text1"/>
              </w:rPr>
              <w:t>Water quality</w:t>
            </w:r>
            <w:r w:rsidR="006F1D4F" w:rsidRPr="006F1D4F">
              <w:rPr>
                <w:webHidden/>
              </w:rPr>
              <w:tab/>
            </w:r>
            <w:r w:rsidR="006F1D4F" w:rsidRPr="006F1D4F">
              <w:rPr>
                <w:webHidden/>
              </w:rPr>
              <w:fldChar w:fldCharType="begin"/>
            </w:r>
            <w:r w:rsidR="006F1D4F" w:rsidRPr="006F1D4F">
              <w:rPr>
                <w:webHidden/>
              </w:rPr>
              <w:instrText xml:space="preserve"> PAGEREF _Toc35947085 \h </w:instrText>
            </w:r>
            <w:r w:rsidR="006F1D4F" w:rsidRPr="006F1D4F">
              <w:rPr>
                <w:webHidden/>
              </w:rPr>
            </w:r>
            <w:r w:rsidR="006F1D4F" w:rsidRPr="006F1D4F">
              <w:rPr>
                <w:webHidden/>
              </w:rPr>
              <w:fldChar w:fldCharType="separate"/>
            </w:r>
            <w:r>
              <w:rPr>
                <w:webHidden/>
              </w:rPr>
              <w:t>7</w:t>
            </w:r>
            <w:r w:rsidR="006F1D4F" w:rsidRPr="006F1D4F">
              <w:rPr>
                <w:webHidden/>
              </w:rPr>
              <w:fldChar w:fldCharType="end"/>
            </w:r>
          </w:hyperlink>
        </w:p>
        <w:p w14:paraId="53C135DF" w14:textId="7D46FDE9" w:rsidR="006F1D4F" w:rsidRPr="006F1D4F" w:rsidRDefault="003053D1">
          <w:pPr>
            <w:pStyle w:val="TOC3"/>
            <w:rPr>
              <w:rFonts w:asciiTheme="minorHAnsi" w:eastAsiaTheme="minorEastAsia" w:hAnsiTheme="minorHAnsi" w:cstheme="minorBidi"/>
              <w:sz w:val="22"/>
              <w:lang w:eastAsia="en-AU"/>
            </w:rPr>
          </w:pPr>
          <w:hyperlink w:anchor="_Toc35947086" w:history="1">
            <w:r w:rsidR="006F1D4F" w:rsidRPr="006F1D4F">
              <w:rPr>
                <w:rStyle w:val="Hyperlink"/>
                <w:color w:val="000000" w:themeColor="text1"/>
              </w:rPr>
              <w:t>2.1.7</w:t>
            </w:r>
            <w:r w:rsidR="006F1D4F" w:rsidRPr="006F1D4F">
              <w:rPr>
                <w:rFonts w:asciiTheme="minorHAnsi" w:eastAsiaTheme="minorEastAsia" w:hAnsiTheme="minorHAnsi" w:cstheme="minorBidi"/>
                <w:sz w:val="22"/>
                <w:lang w:eastAsia="en-AU"/>
              </w:rPr>
              <w:tab/>
            </w:r>
            <w:r w:rsidR="006F1D4F" w:rsidRPr="006F1D4F">
              <w:rPr>
                <w:rStyle w:val="Hyperlink"/>
                <w:color w:val="000000" w:themeColor="text1"/>
              </w:rPr>
              <w:t>Light available for photosynthesis</w:t>
            </w:r>
            <w:r w:rsidR="006F1D4F" w:rsidRPr="006F1D4F">
              <w:rPr>
                <w:webHidden/>
              </w:rPr>
              <w:tab/>
            </w:r>
            <w:r w:rsidR="006F1D4F" w:rsidRPr="006F1D4F">
              <w:rPr>
                <w:webHidden/>
              </w:rPr>
              <w:fldChar w:fldCharType="begin"/>
            </w:r>
            <w:r w:rsidR="006F1D4F" w:rsidRPr="006F1D4F">
              <w:rPr>
                <w:webHidden/>
              </w:rPr>
              <w:instrText xml:space="preserve"> PAGEREF _Toc35947086 \h </w:instrText>
            </w:r>
            <w:r w:rsidR="006F1D4F" w:rsidRPr="006F1D4F">
              <w:rPr>
                <w:webHidden/>
              </w:rPr>
            </w:r>
            <w:r w:rsidR="006F1D4F" w:rsidRPr="006F1D4F">
              <w:rPr>
                <w:webHidden/>
              </w:rPr>
              <w:fldChar w:fldCharType="separate"/>
            </w:r>
            <w:r>
              <w:rPr>
                <w:webHidden/>
              </w:rPr>
              <w:t>10</w:t>
            </w:r>
            <w:r w:rsidR="006F1D4F" w:rsidRPr="006F1D4F">
              <w:rPr>
                <w:webHidden/>
              </w:rPr>
              <w:fldChar w:fldCharType="end"/>
            </w:r>
          </w:hyperlink>
        </w:p>
        <w:p w14:paraId="53C135E0" w14:textId="2135D93D" w:rsidR="006F1D4F" w:rsidRPr="006F1D4F" w:rsidRDefault="003053D1">
          <w:pPr>
            <w:pStyle w:val="TOC3"/>
            <w:rPr>
              <w:rFonts w:asciiTheme="minorHAnsi" w:eastAsiaTheme="minorEastAsia" w:hAnsiTheme="minorHAnsi" w:cstheme="minorBidi"/>
              <w:sz w:val="22"/>
              <w:lang w:eastAsia="en-AU"/>
            </w:rPr>
          </w:pPr>
          <w:hyperlink w:anchor="_Toc35947087" w:history="1">
            <w:r w:rsidR="006F1D4F" w:rsidRPr="006F1D4F">
              <w:rPr>
                <w:rStyle w:val="Hyperlink"/>
                <w:color w:val="000000" w:themeColor="text1"/>
              </w:rPr>
              <w:t>2.1.8</w:t>
            </w:r>
            <w:r w:rsidR="006F1D4F" w:rsidRPr="006F1D4F">
              <w:rPr>
                <w:rFonts w:asciiTheme="minorHAnsi" w:eastAsiaTheme="minorEastAsia" w:hAnsiTheme="minorHAnsi" w:cstheme="minorBidi"/>
                <w:sz w:val="22"/>
                <w:lang w:eastAsia="en-AU"/>
              </w:rPr>
              <w:tab/>
            </w:r>
            <w:r w:rsidR="006F1D4F" w:rsidRPr="006F1D4F">
              <w:rPr>
                <w:rStyle w:val="Hyperlink"/>
                <w:color w:val="000000" w:themeColor="text1"/>
              </w:rPr>
              <w:t>Sediment characteristics</w:t>
            </w:r>
            <w:r w:rsidR="006F1D4F" w:rsidRPr="006F1D4F">
              <w:rPr>
                <w:webHidden/>
              </w:rPr>
              <w:tab/>
            </w:r>
            <w:r w:rsidR="006F1D4F" w:rsidRPr="006F1D4F">
              <w:rPr>
                <w:webHidden/>
              </w:rPr>
              <w:fldChar w:fldCharType="begin"/>
            </w:r>
            <w:r w:rsidR="006F1D4F" w:rsidRPr="006F1D4F">
              <w:rPr>
                <w:webHidden/>
              </w:rPr>
              <w:instrText xml:space="preserve"> PAGEREF _Toc35947087 \h </w:instrText>
            </w:r>
            <w:r w:rsidR="006F1D4F" w:rsidRPr="006F1D4F">
              <w:rPr>
                <w:webHidden/>
              </w:rPr>
            </w:r>
            <w:r w:rsidR="006F1D4F" w:rsidRPr="006F1D4F">
              <w:rPr>
                <w:webHidden/>
              </w:rPr>
              <w:fldChar w:fldCharType="separate"/>
            </w:r>
            <w:r>
              <w:rPr>
                <w:webHidden/>
              </w:rPr>
              <w:t>10</w:t>
            </w:r>
            <w:r w:rsidR="006F1D4F" w:rsidRPr="006F1D4F">
              <w:rPr>
                <w:webHidden/>
              </w:rPr>
              <w:fldChar w:fldCharType="end"/>
            </w:r>
          </w:hyperlink>
        </w:p>
        <w:p w14:paraId="53C135E1" w14:textId="6E073D87" w:rsidR="006F1D4F" w:rsidRPr="006F1D4F" w:rsidRDefault="003053D1">
          <w:pPr>
            <w:pStyle w:val="TOC2"/>
            <w:rPr>
              <w:rFonts w:asciiTheme="minorHAnsi" w:eastAsiaTheme="minorEastAsia" w:hAnsiTheme="minorHAnsi" w:cstheme="minorBidi"/>
              <w:noProof/>
              <w:color w:val="000000" w:themeColor="text1"/>
              <w:sz w:val="22"/>
              <w:lang w:eastAsia="en-AU"/>
            </w:rPr>
          </w:pPr>
          <w:hyperlink w:anchor="_Toc35947088" w:history="1">
            <w:r w:rsidR="006F1D4F" w:rsidRPr="006F1D4F">
              <w:rPr>
                <w:rStyle w:val="Hyperlink"/>
                <w:noProof/>
                <w:color w:val="000000" w:themeColor="text1"/>
              </w:rPr>
              <w:t>2.2</w:t>
            </w:r>
            <w:r w:rsidR="006F1D4F" w:rsidRPr="006F1D4F">
              <w:rPr>
                <w:rFonts w:asciiTheme="minorHAnsi" w:eastAsiaTheme="minorEastAsia" w:hAnsiTheme="minorHAnsi" w:cstheme="minorBidi"/>
                <w:noProof/>
                <w:color w:val="000000" w:themeColor="text1"/>
                <w:sz w:val="22"/>
                <w:lang w:eastAsia="en-AU"/>
              </w:rPr>
              <w:tab/>
            </w:r>
            <w:r w:rsidR="006F1D4F" w:rsidRPr="006F1D4F">
              <w:rPr>
                <w:rStyle w:val="Hyperlink"/>
                <w:noProof/>
                <w:color w:val="000000" w:themeColor="text1"/>
              </w:rPr>
              <w:t>Coral monitoring</w:t>
            </w:r>
            <w:r w:rsidR="006F1D4F" w:rsidRPr="006F1D4F">
              <w:rPr>
                <w:noProof/>
                <w:webHidden/>
                <w:color w:val="000000" w:themeColor="text1"/>
              </w:rPr>
              <w:tab/>
            </w:r>
            <w:r w:rsidR="006F1D4F" w:rsidRPr="006F1D4F">
              <w:rPr>
                <w:noProof/>
                <w:webHidden/>
                <w:color w:val="000000" w:themeColor="text1"/>
              </w:rPr>
              <w:fldChar w:fldCharType="begin"/>
            </w:r>
            <w:r w:rsidR="006F1D4F" w:rsidRPr="006F1D4F">
              <w:rPr>
                <w:noProof/>
                <w:webHidden/>
                <w:color w:val="000000" w:themeColor="text1"/>
              </w:rPr>
              <w:instrText xml:space="preserve"> PAGEREF _Toc35947088 \h </w:instrText>
            </w:r>
            <w:r w:rsidR="006F1D4F" w:rsidRPr="006F1D4F">
              <w:rPr>
                <w:noProof/>
                <w:webHidden/>
                <w:color w:val="000000" w:themeColor="text1"/>
              </w:rPr>
            </w:r>
            <w:r w:rsidR="006F1D4F" w:rsidRPr="006F1D4F">
              <w:rPr>
                <w:noProof/>
                <w:webHidden/>
                <w:color w:val="000000" w:themeColor="text1"/>
              </w:rPr>
              <w:fldChar w:fldCharType="separate"/>
            </w:r>
            <w:r>
              <w:rPr>
                <w:noProof/>
                <w:webHidden/>
                <w:color w:val="000000" w:themeColor="text1"/>
              </w:rPr>
              <w:t>11</w:t>
            </w:r>
            <w:r w:rsidR="006F1D4F" w:rsidRPr="006F1D4F">
              <w:rPr>
                <w:noProof/>
                <w:webHidden/>
                <w:color w:val="000000" w:themeColor="text1"/>
              </w:rPr>
              <w:fldChar w:fldCharType="end"/>
            </w:r>
          </w:hyperlink>
        </w:p>
        <w:p w14:paraId="53C135E2" w14:textId="215B10D0" w:rsidR="006F1D4F" w:rsidRPr="006F1D4F" w:rsidRDefault="003053D1">
          <w:pPr>
            <w:pStyle w:val="TOC3"/>
            <w:rPr>
              <w:rFonts w:asciiTheme="minorHAnsi" w:eastAsiaTheme="minorEastAsia" w:hAnsiTheme="minorHAnsi" w:cstheme="minorBidi"/>
              <w:sz w:val="22"/>
              <w:lang w:eastAsia="en-AU"/>
            </w:rPr>
          </w:pPr>
          <w:hyperlink w:anchor="_Toc35947089" w:history="1">
            <w:r w:rsidR="006F1D4F" w:rsidRPr="006F1D4F">
              <w:rPr>
                <w:rStyle w:val="Hyperlink"/>
                <w:color w:val="000000" w:themeColor="text1"/>
              </w:rPr>
              <w:t>2.2.1</w:t>
            </w:r>
            <w:r w:rsidR="006F1D4F" w:rsidRPr="006F1D4F">
              <w:rPr>
                <w:rFonts w:asciiTheme="minorHAnsi" w:eastAsiaTheme="minorEastAsia" w:hAnsiTheme="minorHAnsi" w:cstheme="minorBidi"/>
                <w:sz w:val="22"/>
                <w:lang w:eastAsia="en-AU"/>
              </w:rPr>
              <w:tab/>
            </w:r>
            <w:r w:rsidR="006F1D4F" w:rsidRPr="006F1D4F">
              <w:rPr>
                <w:rStyle w:val="Hyperlink"/>
                <w:color w:val="000000" w:themeColor="text1"/>
              </w:rPr>
              <w:t>Sampling design</w:t>
            </w:r>
            <w:r w:rsidR="006F1D4F" w:rsidRPr="006F1D4F">
              <w:rPr>
                <w:webHidden/>
              </w:rPr>
              <w:tab/>
            </w:r>
            <w:r w:rsidR="006F1D4F" w:rsidRPr="006F1D4F">
              <w:rPr>
                <w:webHidden/>
              </w:rPr>
              <w:fldChar w:fldCharType="begin"/>
            </w:r>
            <w:r w:rsidR="006F1D4F" w:rsidRPr="006F1D4F">
              <w:rPr>
                <w:webHidden/>
              </w:rPr>
              <w:instrText xml:space="preserve"> PAGEREF _Toc35947089 \h </w:instrText>
            </w:r>
            <w:r w:rsidR="006F1D4F" w:rsidRPr="006F1D4F">
              <w:rPr>
                <w:webHidden/>
              </w:rPr>
            </w:r>
            <w:r w:rsidR="006F1D4F" w:rsidRPr="006F1D4F">
              <w:rPr>
                <w:webHidden/>
              </w:rPr>
              <w:fldChar w:fldCharType="separate"/>
            </w:r>
            <w:r>
              <w:rPr>
                <w:webHidden/>
              </w:rPr>
              <w:t>11</w:t>
            </w:r>
            <w:r w:rsidR="006F1D4F" w:rsidRPr="006F1D4F">
              <w:rPr>
                <w:webHidden/>
              </w:rPr>
              <w:fldChar w:fldCharType="end"/>
            </w:r>
          </w:hyperlink>
        </w:p>
        <w:p w14:paraId="53C135E3" w14:textId="5CF9CFAB" w:rsidR="006F1D4F" w:rsidRPr="006F1D4F" w:rsidRDefault="003053D1">
          <w:pPr>
            <w:pStyle w:val="TOC3"/>
            <w:rPr>
              <w:rFonts w:asciiTheme="minorHAnsi" w:eastAsiaTheme="minorEastAsia" w:hAnsiTheme="minorHAnsi" w:cstheme="minorBidi"/>
              <w:sz w:val="22"/>
              <w:lang w:eastAsia="en-AU"/>
            </w:rPr>
          </w:pPr>
          <w:hyperlink w:anchor="_Toc35947090" w:history="1">
            <w:r w:rsidR="006F1D4F" w:rsidRPr="006F1D4F">
              <w:rPr>
                <w:rStyle w:val="Hyperlink"/>
                <w:color w:val="000000" w:themeColor="text1"/>
              </w:rPr>
              <w:t>2.2.2</w:t>
            </w:r>
            <w:r w:rsidR="006F1D4F" w:rsidRPr="006F1D4F">
              <w:rPr>
                <w:rFonts w:asciiTheme="minorHAnsi" w:eastAsiaTheme="minorEastAsia" w:hAnsiTheme="minorHAnsi" w:cstheme="minorBidi"/>
                <w:sz w:val="22"/>
                <w:lang w:eastAsia="en-AU"/>
              </w:rPr>
              <w:tab/>
            </w:r>
            <w:r w:rsidR="006F1D4F" w:rsidRPr="006F1D4F">
              <w:rPr>
                <w:rStyle w:val="Hyperlink"/>
                <w:color w:val="000000" w:themeColor="text1"/>
              </w:rPr>
              <w:t>Site selection</w:t>
            </w:r>
            <w:r w:rsidR="006F1D4F" w:rsidRPr="006F1D4F">
              <w:rPr>
                <w:webHidden/>
              </w:rPr>
              <w:tab/>
            </w:r>
            <w:r w:rsidR="006F1D4F" w:rsidRPr="006F1D4F">
              <w:rPr>
                <w:webHidden/>
              </w:rPr>
              <w:fldChar w:fldCharType="begin"/>
            </w:r>
            <w:r w:rsidR="006F1D4F" w:rsidRPr="006F1D4F">
              <w:rPr>
                <w:webHidden/>
              </w:rPr>
              <w:instrText xml:space="preserve"> PAGEREF _Toc35947090 \h </w:instrText>
            </w:r>
            <w:r w:rsidR="006F1D4F" w:rsidRPr="006F1D4F">
              <w:rPr>
                <w:webHidden/>
              </w:rPr>
            </w:r>
            <w:r w:rsidR="006F1D4F" w:rsidRPr="006F1D4F">
              <w:rPr>
                <w:webHidden/>
              </w:rPr>
              <w:fldChar w:fldCharType="separate"/>
            </w:r>
            <w:r>
              <w:rPr>
                <w:webHidden/>
              </w:rPr>
              <w:t>11</w:t>
            </w:r>
            <w:r w:rsidR="006F1D4F" w:rsidRPr="006F1D4F">
              <w:rPr>
                <w:webHidden/>
              </w:rPr>
              <w:fldChar w:fldCharType="end"/>
            </w:r>
          </w:hyperlink>
        </w:p>
        <w:p w14:paraId="53C135E4" w14:textId="0EA1F953" w:rsidR="006F1D4F" w:rsidRPr="006F1D4F" w:rsidRDefault="003053D1">
          <w:pPr>
            <w:pStyle w:val="TOC3"/>
            <w:rPr>
              <w:rFonts w:asciiTheme="minorHAnsi" w:eastAsiaTheme="minorEastAsia" w:hAnsiTheme="minorHAnsi" w:cstheme="minorBidi"/>
              <w:sz w:val="22"/>
              <w:lang w:eastAsia="en-AU"/>
            </w:rPr>
          </w:pPr>
          <w:hyperlink w:anchor="_Toc35947091" w:history="1">
            <w:r w:rsidR="006F1D4F" w:rsidRPr="006F1D4F">
              <w:rPr>
                <w:rStyle w:val="Hyperlink"/>
                <w:color w:val="000000" w:themeColor="text1"/>
              </w:rPr>
              <w:t>2.2.3</w:t>
            </w:r>
            <w:r w:rsidR="006F1D4F" w:rsidRPr="006F1D4F">
              <w:rPr>
                <w:rFonts w:asciiTheme="minorHAnsi" w:eastAsiaTheme="minorEastAsia" w:hAnsiTheme="minorHAnsi" w:cstheme="minorBidi"/>
                <w:sz w:val="22"/>
                <w:lang w:eastAsia="en-AU"/>
              </w:rPr>
              <w:tab/>
            </w:r>
            <w:r w:rsidR="006F1D4F" w:rsidRPr="006F1D4F">
              <w:rPr>
                <w:rStyle w:val="Hyperlink"/>
                <w:color w:val="000000" w:themeColor="text1"/>
              </w:rPr>
              <w:t>Depth selection</w:t>
            </w:r>
            <w:r w:rsidR="006F1D4F" w:rsidRPr="006F1D4F">
              <w:rPr>
                <w:webHidden/>
              </w:rPr>
              <w:tab/>
            </w:r>
            <w:r w:rsidR="006F1D4F" w:rsidRPr="006F1D4F">
              <w:rPr>
                <w:webHidden/>
              </w:rPr>
              <w:fldChar w:fldCharType="begin"/>
            </w:r>
            <w:r w:rsidR="006F1D4F" w:rsidRPr="006F1D4F">
              <w:rPr>
                <w:webHidden/>
              </w:rPr>
              <w:instrText xml:space="preserve"> PAGEREF _Toc35947091 \h </w:instrText>
            </w:r>
            <w:r w:rsidR="006F1D4F" w:rsidRPr="006F1D4F">
              <w:rPr>
                <w:webHidden/>
              </w:rPr>
            </w:r>
            <w:r w:rsidR="006F1D4F" w:rsidRPr="006F1D4F">
              <w:rPr>
                <w:webHidden/>
              </w:rPr>
              <w:fldChar w:fldCharType="separate"/>
            </w:r>
            <w:r>
              <w:rPr>
                <w:webHidden/>
              </w:rPr>
              <w:t>13</w:t>
            </w:r>
            <w:r w:rsidR="006F1D4F" w:rsidRPr="006F1D4F">
              <w:rPr>
                <w:webHidden/>
              </w:rPr>
              <w:fldChar w:fldCharType="end"/>
            </w:r>
          </w:hyperlink>
        </w:p>
        <w:p w14:paraId="53C135E5" w14:textId="090C980F" w:rsidR="006F1D4F" w:rsidRPr="006F1D4F" w:rsidRDefault="003053D1">
          <w:pPr>
            <w:pStyle w:val="TOC3"/>
            <w:rPr>
              <w:rFonts w:asciiTheme="minorHAnsi" w:eastAsiaTheme="minorEastAsia" w:hAnsiTheme="minorHAnsi" w:cstheme="minorBidi"/>
              <w:sz w:val="22"/>
              <w:lang w:eastAsia="en-AU"/>
            </w:rPr>
          </w:pPr>
          <w:hyperlink w:anchor="_Toc35947092" w:history="1">
            <w:r w:rsidR="006F1D4F" w:rsidRPr="006F1D4F">
              <w:rPr>
                <w:rStyle w:val="Hyperlink"/>
                <w:color w:val="000000" w:themeColor="text1"/>
              </w:rPr>
              <w:t>2.2.4</w:t>
            </w:r>
            <w:r w:rsidR="006F1D4F" w:rsidRPr="006F1D4F">
              <w:rPr>
                <w:rFonts w:asciiTheme="minorHAnsi" w:eastAsiaTheme="minorEastAsia" w:hAnsiTheme="minorHAnsi" w:cstheme="minorBidi"/>
                <w:sz w:val="22"/>
                <w:lang w:eastAsia="en-AU"/>
              </w:rPr>
              <w:tab/>
            </w:r>
            <w:r w:rsidR="006F1D4F" w:rsidRPr="006F1D4F">
              <w:rPr>
                <w:rStyle w:val="Hyperlink"/>
                <w:color w:val="000000" w:themeColor="text1"/>
              </w:rPr>
              <w:t>Site marking</w:t>
            </w:r>
            <w:r w:rsidR="006F1D4F" w:rsidRPr="006F1D4F">
              <w:rPr>
                <w:webHidden/>
              </w:rPr>
              <w:tab/>
            </w:r>
            <w:r w:rsidR="006F1D4F" w:rsidRPr="006F1D4F">
              <w:rPr>
                <w:webHidden/>
              </w:rPr>
              <w:fldChar w:fldCharType="begin"/>
            </w:r>
            <w:r w:rsidR="006F1D4F" w:rsidRPr="006F1D4F">
              <w:rPr>
                <w:webHidden/>
              </w:rPr>
              <w:instrText xml:space="preserve"> PAGEREF _Toc35947092 \h </w:instrText>
            </w:r>
            <w:r w:rsidR="006F1D4F" w:rsidRPr="006F1D4F">
              <w:rPr>
                <w:webHidden/>
              </w:rPr>
            </w:r>
            <w:r w:rsidR="006F1D4F" w:rsidRPr="006F1D4F">
              <w:rPr>
                <w:webHidden/>
              </w:rPr>
              <w:fldChar w:fldCharType="separate"/>
            </w:r>
            <w:r>
              <w:rPr>
                <w:webHidden/>
              </w:rPr>
              <w:t>14</w:t>
            </w:r>
            <w:r w:rsidR="006F1D4F" w:rsidRPr="006F1D4F">
              <w:rPr>
                <w:webHidden/>
              </w:rPr>
              <w:fldChar w:fldCharType="end"/>
            </w:r>
          </w:hyperlink>
        </w:p>
        <w:p w14:paraId="53C135E6" w14:textId="76609ADF" w:rsidR="006F1D4F" w:rsidRPr="006F1D4F" w:rsidRDefault="003053D1">
          <w:pPr>
            <w:pStyle w:val="TOC3"/>
            <w:rPr>
              <w:rFonts w:asciiTheme="minorHAnsi" w:eastAsiaTheme="minorEastAsia" w:hAnsiTheme="minorHAnsi" w:cstheme="minorBidi"/>
              <w:sz w:val="22"/>
              <w:lang w:eastAsia="en-AU"/>
            </w:rPr>
          </w:pPr>
          <w:hyperlink w:anchor="_Toc35947093" w:history="1">
            <w:r w:rsidR="006F1D4F" w:rsidRPr="006F1D4F">
              <w:rPr>
                <w:rStyle w:val="Hyperlink"/>
                <w:color w:val="000000" w:themeColor="text1"/>
              </w:rPr>
              <w:t>2.2.5</w:t>
            </w:r>
            <w:r w:rsidR="006F1D4F" w:rsidRPr="006F1D4F">
              <w:rPr>
                <w:rFonts w:asciiTheme="minorHAnsi" w:eastAsiaTheme="minorEastAsia" w:hAnsiTheme="minorHAnsi" w:cstheme="minorBidi"/>
                <w:sz w:val="22"/>
                <w:lang w:eastAsia="en-AU"/>
              </w:rPr>
              <w:tab/>
            </w:r>
            <w:r w:rsidR="006F1D4F" w:rsidRPr="006F1D4F">
              <w:rPr>
                <w:rStyle w:val="Hyperlink"/>
                <w:color w:val="000000" w:themeColor="text1"/>
              </w:rPr>
              <w:t>Sampling timing and frequency</w:t>
            </w:r>
            <w:r w:rsidR="006F1D4F" w:rsidRPr="006F1D4F">
              <w:rPr>
                <w:webHidden/>
              </w:rPr>
              <w:tab/>
            </w:r>
            <w:r w:rsidR="006F1D4F" w:rsidRPr="006F1D4F">
              <w:rPr>
                <w:webHidden/>
              </w:rPr>
              <w:fldChar w:fldCharType="begin"/>
            </w:r>
            <w:r w:rsidR="006F1D4F" w:rsidRPr="006F1D4F">
              <w:rPr>
                <w:webHidden/>
              </w:rPr>
              <w:instrText xml:space="preserve"> PAGEREF _Toc35947093 \h </w:instrText>
            </w:r>
            <w:r w:rsidR="006F1D4F" w:rsidRPr="006F1D4F">
              <w:rPr>
                <w:webHidden/>
              </w:rPr>
            </w:r>
            <w:r w:rsidR="006F1D4F" w:rsidRPr="006F1D4F">
              <w:rPr>
                <w:webHidden/>
              </w:rPr>
              <w:fldChar w:fldCharType="separate"/>
            </w:r>
            <w:r>
              <w:rPr>
                <w:webHidden/>
              </w:rPr>
              <w:t>14</w:t>
            </w:r>
            <w:r w:rsidR="006F1D4F" w:rsidRPr="006F1D4F">
              <w:rPr>
                <w:webHidden/>
              </w:rPr>
              <w:fldChar w:fldCharType="end"/>
            </w:r>
          </w:hyperlink>
        </w:p>
        <w:p w14:paraId="53C135E7" w14:textId="05E0B571" w:rsidR="006F1D4F" w:rsidRPr="006F1D4F" w:rsidRDefault="003053D1">
          <w:pPr>
            <w:pStyle w:val="TOC2"/>
            <w:rPr>
              <w:rFonts w:asciiTheme="minorHAnsi" w:eastAsiaTheme="minorEastAsia" w:hAnsiTheme="minorHAnsi" w:cstheme="minorBidi"/>
              <w:noProof/>
              <w:color w:val="000000" w:themeColor="text1"/>
              <w:sz w:val="22"/>
              <w:lang w:eastAsia="en-AU"/>
            </w:rPr>
          </w:pPr>
          <w:hyperlink w:anchor="_Toc35947094" w:history="1">
            <w:r w:rsidR="006F1D4F" w:rsidRPr="006F1D4F">
              <w:rPr>
                <w:rStyle w:val="Hyperlink"/>
                <w:noProof/>
                <w:color w:val="000000" w:themeColor="text1"/>
              </w:rPr>
              <w:t>2.3</w:t>
            </w:r>
            <w:r w:rsidR="006F1D4F" w:rsidRPr="006F1D4F">
              <w:rPr>
                <w:rFonts w:asciiTheme="minorHAnsi" w:eastAsiaTheme="minorEastAsia" w:hAnsiTheme="minorHAnsi" w:cstheme="minorBidi"/>
                <w:noProof/>
                <w:color w:val="000000" w:themeColor="text1"/>
                <w:sz w:val="22"/>
                <w:lang w:eastAsia="en-AU"/>
              </w:rPr>
              <w:tab/>
            </w:r>
            <w:r w:rsidR="006F1D4F" w:rsidRPr="006F1D4F">
              <w:rPr>
                <w:rStyle w:val="Hyperlink"/>
                <w:noProof/>
                <w:color w:val="000000" w:themeColor="text1"/>
              </w:rPr>
              <w:t>Coral community sampling methods</w:t>
            </w:r>
            <w:r w:rsidR="006F1D4F" w:rsidRPr="006F1D4F">
              <w:rPr>
                <w:noProof/>
                <w:webHidden/>
                <w:color w:val="000000" w:themeColor="text1"/>
              </w:rPr>
              <w:tab/>
            </w:r>
            <w:r w:rsidR="006F1D4F" w:rsidRPr="006F1D4F">
              <w:rPr>
                <w:noProof/>
                <w:webHidden/>
                <w:color w:val="000000" w:themeColor="text1"/>
              </w:rPr>
              <w:fldChar w:fldCharType="begin"/>
            </w:r>
            <w:r w:rsidR="006F1D4F" w:rsidRPr="006F1D4F">
              <w:rPr>
                <w:noProof/>
                <w:webHidden/>
                <w:color w:val="000000" w:themeColor="text1"/>
              </w:rPr>
              <w:instrText xml:space="preserve"> PAGEREF _Toc35947094 \h </w:instrText>
            </w:r>
            <w:r w:rsidR="006F1D4F" w:rsidRPr="006F1D4F">
              <w:rPr>
                <w:noProof/>
                <w:webHidden/>
                <w:color w:val="000000" w:themeColor="text1"/>
              </w:rPr>
            </w:r>
            <w:r w:rsidR="006F1D4F" w:rsidRPr="006F1D4F">
              <w:rPr>
                <w:noProof/>
                <w:webHidden/>
                <w:color w:val="000000" w:themeColor="text1"/>
              </w:rPr>
              <w:fldChar w:fldCharType="separate"/>
            </w:r>
            <w:r>
              <w:rPr>
                <w:noProof/>
                <w:webHidden/>
                <w:color w:val="000000" w:themeColor="text1"/>
              </w:rPr>
              <w:t>15</w:t>
            </w:r>
            <w:r w:rsidR="006F1D4F" w:rsidRPr="006F1D4F">
              <w:rPr>
                <w:noProof/>
                <w:webHidden/>
                <w:color w:val="000000" w:themeColor="text1"/>
              </w:rPr>
              <w:fldChar w:fldCharType="end"/>
            </w:r>
          </w:hyperlink>
        </w:p>
        <w:p w14:paraId="53C135E8" w14:textId="691CC26B" w:rsidR="006F1D4F" w:rsidRPr="006F1D4F" w:rsidRDefault="003053D1">
          <w:pPr>
            <w:pStyle w:val="TOC3"/>
            <w:rPr>
              <w:rFonts w:asciiTheme="minorHAnsi" w:eastAsiaTheme="minorEastAsia" w:hAnsiTheme="minorHAnsi" w:cstheme="minorBidi"/>
              <w:sz w:val="22"/>
              <w:lang w:eastAsia="en-AU"/>
            </w:rPr>
          </w:pPr>
          <w:hyperlink w:anchor="_Toc35947095" w:history="1">
            <w:r w:rsidR="006F1D4F" w:rsidRPr="006F1D4F">
              <w:rPr>
                <w:rStyle w:val="Hyperlink"/>
                <w:color w:val="000000" w:themeColor="text1"/>
              </w:rPr>
              <w:t>2.3.1</w:t>
            </w:r>
            <w:r w:rsidR="006F1D4F" w:rsidRPr="006F1D4F">
              <w:rPr>
                <w:rFonts w:asciiTheme="minorHAnsi" w:eastAsiaTheme="minorEastAsia" w:hAnsiTheme="minorHAnsi" w:cstheme="minorBidi"/>
                <w:sz w:val="22"/>
                <w:lang w:eastAsia="en-AU"/>
              </w:rPr>
              <w:tab/>
            </w:r>
            <w:r w:rsidR="006F1D4F" w:rsidRPr="006F1D4F">
              <w:rPr>
                <w:rStyle w:val="Hyperlink"/>
                <w:color w:val="000000" w:themeColor="text1"/>
              </w:rPr>
              <w:t>Photo point intercept transects</w:t>
            </w:r>
            <w:r w:rsidR="006F1D4F" w:rsidRPr="006F1D4F">
              <w:rPr>
                <w:webHidden/>
              </w:rPr>
              <w:tab/>
            </w:r>
            <w:r w:rsidR="006F1D4F" w:rsidRPr="006F1D4F">
              <w:rPr>
                <w:webHidden/>
              </w:rPr>
              <w:fldChar w:fldCharType="begin"/>
            </w:r>
            <w:r w:rsidR="006F1D4F" w:rsidRPr="006F1D4F">
              <w:rPr>
                <w:webHidden/>
              </w:rPr>
              <w:instrText xml:space="preserve"> PAGEREF _Toc35947095 \h </w:instrText>
            </w:r>
            <w:r w:rsidR="006F1D4F" w:rsidRPr="006F1D4F">
              <w:rPr>
                <w:webHidden/>
              </w:rPr>
            </w:r>
            <w:r w:rsidR="006F1D4F" w:rsidRPr="006F1D4F">
              <w:rPr>
                <w:webHidden/>
              </w:rPr>
              <w:fldChar w:fldCharType="separate"/>
            </w:r>
            <w:r>
              <w:rPr>
                <w:webHidden/>
              </w:rPr>
              <w:t>15</w:t>
            </w:r>
            <w:r w:rsidR="006F1D4F" w:rsidRPr="006F1D4F">
              <w:rPr>
                <w:webHidden/>
              </w:rPr>
              <w:fldChar w:fldCharType="end"/>
            </w:r>
          </w:hyperlink>
        </w:p>
        <w:p w14:paraId="53C135E9" w14:textId="4441C744" w:rsidR="006F1D4F" w:rsidRPr="006F1D4F" w:rsidRDefault="003053D1">
          <w:pPr>
            <w:pStyle w:val="TOC3"/>
            <w:rPr>
              <w:rFonts w:asciiTheme="minorHAnsi" w:eastAsiaTheme="minorEastAsia" w:hAnsiTheme="minorHAnsi" w:cstheme="minorBidi"/>
              <w:sz w:val="22"/>
              <w:lang w:eastAsia="en-AU"/>
            </w:rPr>
          </w:pPr>
          <w:hyperlink w:anchor="_Toc35947096" w:history="1">
            <w:r w:rsidR="006F1D4F" w:rsidRPr="006F1D4F">
              <w:rPr>
                <w:rStyle w:val="Hyperlink"/>
                <w:color w:val="000000" w:themeColor="text1"/>
              </w:rPr>
              <w:t>2.3.2</w:t>
            </w:r>
            <w:r w:rsidR="006F1D4F" w:rsidRPr="006F1D4F">
              <w:rPr>
                <w:rFonts w:asciiTheme="minorHAnsi" w:eastAsiaTheme="minorEastAsia" w:hAnsiTheme="minorHAnsi" w:cstheme="minorBidi"/>
                <w:sz w:val="22"/>
                <w:lang w:eastAsia="en-AU"/>
              </w:rPr>
              <w:tab/>
            </w:r>
            <w:r w:rsidR="006F1D4F" w:rsidRPr="006F1D4F">
              <w:rPr>
                <w:rStyle w:val="Hyperlink"/>
                <w:color w:val="000000" w:themeColor="text1"/>
              </w:rPr>
              <w:t>Juvenile coral surveys</w:t>
            </w:r>
            <w:r w:rsidR="006F1D4F" w:rsidRPr="006F1D4F">
              <w:rPr>
                <w:webHidden/>
              </w:rPr>
              <w:tab/>
            </w:r>
            <w:r w:rsidR="006F1D4F" w:rsidRPr="006F1D4F">
              <w:rPr>
                <w:webHidden/>
              </w:rPr>
              <w:fldChar w:fldCharType="begin"/>
            </w:r>
            <w:r w:rsidR="006F1D4F" w:rsidRPr="006F1D4F">
              <w:rPr>
                <w:webHidden/>
              </w:rPr>
              <w:instrText xml:space="preserve"> PAGEREF _Toc35947096 \h </w:instrText>
            </w:r>
            <w:r w:rsidR="006F1D4F" w:rsidRPr="006F1D4F">
              <w:rPr>
                <w:webHidden/>
              </w:rPr>
            </w:r>
            <w:r w:rsidR="006F1D4F" w:rsidRPr="006F1D4F">
              <w:rPr>
                <w:webHidden/>
              </w:rPr>
              <w:fldChar w:fldCharType="separate"/>
            </w:r>
            <w:r>
              <w:rPr>
                <w:webHidden/>
              </w:rPr>
              <w:t>15</w:t>
            </w:r>
            <w:r w:rsidR="006F1D4F" w:rsidRPr="006F1D4F">
              <w:rPr>
                <w:webHidden/>
              </w:rPr>
              <w:fldChar w:fldCharType="end"/>
            </w:r>
          </w:hyperlink>
        </w:p>
        <w:p w14:paraId="53C135EA" w14:textId="7CE8DA0C" w:rsidR="006F1D4F" w:rsidRPr="006F1D4F" w:rsidRDefault="003053D1">
          <w:pPr>
            <w:pStyle w:val="TOC3"/>
            <w:rPr>
              <w:rFonts w:asciiTheme="minorHAnsi" w:eastAsiaTheme="minorEastAsia" w:hAnsiTheme="minorHAnsi" w:cstheme="minorBidi"/>
              <w:sz w:val="22"/>
              <w:lang w:eastAsia="en-AU"/>
            </w:rPr>
          </w:pPr>
          <w:hyperlink w:anchor="_Toc35947097" w:history="1">
            <w:r w:rsidR="006F1D4F" w:rsidRPr="006F1D4F">
              <w:rPr>
                <w:rStyle w:val="Hyperlink"/>
                <w:color w:val="000000" w:themeColor="text1"/>
              </w:rPr>
              <w:t>2.3.3</w:t>
            </w:r>
            <w:r w:rsidR="006F1D4F" w:rsidRPr="006F1D4F">
              <w:rPr>
                <w:rFonts w:asciiTheme="minorHAnsi" w:eastAsiaTheme="minorEastAsia" w:hAnsiTheme="minorHAnsi" w:cstheme="minorBidi"/>
                <w:sz w:val="22"/>
                <w:lang w:eastAsia="en-AU"/>
              </w:rPr>
              <w:tab/>
            </w:r>
            <w:r w:rsidR="006F1D4F" w:rsidRPr="006F1D4F">
              <w:rPr>
                <w:rStyle w:val="Hyperlink"/>
                <w:color w:val="000000" w:themeColor="text1"/>
              </w:rPr>
              <w:t>SCUBA search transects</w:t>
            </w:r>
            <w:r w:rsidR="006F1D4F" w:rsidRPr="006F1D4F">
              <w:rPr>
                <w:webHidden/>
              </w:rPr>
              <w:tab/>
            </w:r>
            <w:r w:rsidR="006F1D4F" w:rsidRPr="006F1D4F">
              <w:rPr>
                <w:webHidden/>
              </w:rPr>
              <w:fldChar w:fldCharType="begin"/>
            </w:r>
            <w:r w:rsidR="006F1D4F" w:rsidRPr="006F1D4F">
              <w:rPr>
                <w:webHidden/>
              </w:rPr>
              <w:instrText xml:space="preserve"> PAGEREF _Toc35947097 \h </w:instrText>
            </w:r>
            <w:r w:rsidR="006F1D4F" w:rsidRPr="006F1D4F">
              <w:rPr>
                <w:webHidden/>
              </w:rPr>
            </w:r>
            <w:r w:rsidR="006F1D4F" w:rsidRPr="006F1D4F">
              <w:rPr>
                <w:webHidden/>
              </w:rPr>
              <w:fldChar w:fldCharType="separate"/>
            </w:r>
            <w:r>
              <w:rPr>
                <w:webHidden/>
              </w:rPr>
              <w:t>16</w:t>
            </w:r>
            <w:r w:rsidR="006F1D4F" w:rsidRPr="006F1D4F">
              <w:rPr>
                <w:webHidden/>
              </w:rPr>
              <w:fldChar w:fldCharType="end"/>
            </w:r>
          </w:hyperlink>
        </w:p>
        <w:p w14:paraId="53C135EB" w14:textId="41ACC1C9" w:rsidR="006F1D4F" w:rsidRPr="006F1D4F" w:rsidRDefault="003053D1">
          <w:pPr>
            <w:pStyle w:val="TOC2"/>
            <w:rPr>
              <w:rFonts w:asciiTheme="minorHAnsi" w:eastAsiaTheme="minorEastAsia" w:hAnsiTheme="minorHAnsi" w:cstheme="minorBidi"/>
              <w:noProof/>
              <w:color w:val="000000" w:themeColor="text1"/>
              <w:sz w:val="22"/>
              <w:lang w:eastAsia="en-AU"/>
            </w:rPr>
          </w:pPr>
          <w:hyperlink w:anchor="_Toc35947098" w:history="1">
            <w:r w:rsidR="006F1D4F" w:rsidRPr="006F1D4F">
              <w:rPr>
                <w:rStyle w:val="Hyperlink"/>
                <w:noProof/>
                <w:color w:val="000000" w:themeColor="text1"/>
              </w:rPr>
              <w:t>2.4</w:t>
            </w:r>
            <w:r w:rsidR="006F1D4F" w:rsidRPr="006F1D4F">
              <w:rPr>
                <w:rFonts w:asciiTheme="minorHAnsi" w:eastAsiaTheme="minorEastAsia" w:hAnsiTheme="minorHAnsi" w:cstheme="minorBidi"/>
                <w:noProof/>
                <w:color w:val="000000" w:themeColor="text1"/>
                <w:sz w:val="22"/>
                <w:lang w:eastAsia="en-AU"/>
              </w:rPr>
              <w:tab/>
            </w:r>
            <w:r w:rsidR="006F1D4F" w:rsidRPr="006F1D4F">
              <w:rPr>
                <w:rStyle w:val="Hyperlink"/>
                <w:noProof/>
                <w:color w:val="000000" w:themeColor="text1"/>
              </w:rPr>
              <w:t>Calculating report card scores</w:t>
            </w:r>
            <w:r w:rsidR="006F1D4F" w:rsidRPr="006F1D4F">
              <w:rPr>
                <w:noProof/>
                <w:webHidden/>
                <w:color w:val="000000" w:themeColor="text1"/>
              </w:rPr>
              <w:tab/>
            </w:r>
            <w:r w:rsidR="006F1D4F" w:rsidRPr="006F1D4F">
              <w:rPr>
                <w:noProof/>
                <w:webHidden/>
                <w:color w:val="000000" w:themeColor="text1"/>
              </w:rPr>
              <w:fldChar w:fldCharType="begin"/>
            </w:r>
            <w:r w:rsidR="006F1D4F" w:rsidRPr="006F1D4F">
              <w:rPr>
                <w:noProof/>
                <w:webHidden/>
                <w:color w:val="000000" w:themeColor="text1"/>
              </w:rPr>
              <w:instrText xml:space="preserve"> PAGEREF _Toc35947098 \h </w:instrText>
            </w:r>
            <w:r w:rsidR="006F1D4F" w:rsidRPr="006F1D4F">
              <w:rPr>
                <w:noProof/>
                <w:webHidden/>
                <w:color w:val="000000" w:themeColor="text1"/>
              </w:rPr>
            </w:r>
            <w:r w:rsidR="006F1D4F" w:rsidRPr="006F1D4F">
              <w:rPr>
                <w:noProof/>
                <w:webHidden/>
                <w:color w:val="000000" w:themeColor="text1"/>
              </w:rPr>
              <w:fldChar w:fldCharType="separate"/>
            </w:r>
            <w:r>
              <w:rPr>
                <w:noProof/>
                <w:webHidden/>
                <w:color w:val="000000" w:themeColor="text1"/>
              </w:rPr>
              <w:t>16</w:t>
            </w:r>
            <w:r w:rsidR="006F1D4F" w:rsidRPr="006F1D4F">
              <w:rPr>
                <w:noProof/>
                <w:webHidden/>
                <w:color w:val="000000" w:themeColor="text1"/>
              </w:rPr>
              <w:fldChar w:fldCharType="end"/>
            </w:r>
          </w:hyperlink>
        </w:p>
        <w:p w14:paraId="53C135EC" w14:textId="75F97C3C" w:rsidR="006F1D4F" w:rsidRPr="006F1D4F" w:rsidRDefault="003053D1">
          <w:pPr>
            <w:pStyle w:val="TOC3"/>
            <w:rPr>
              <w:rFonts w:asciiTheme="minorHAnsi" w:eastAsiaTheme="minorEastAsia" w:hAnsiTheme="minorHAnsi" w:cstheme="minorBidi"/>
              <w:sz w:val="22"/>
              <w:lang w:eastAsia="en-AU"/>
            </w:rPr>
          </w:pPr>
          <w:hyperlink w:anchor="_Toc35947099" w:history="1">
            <w:r w:rsidR="006F1D4F" w:rsidRPr="006F1D4F">
              <w:rPr>
                <w:rStyle w:val="Hyperlink"/>
                <w:color w:val="000000" w:themeColor="text1"/>
              </w:rPr>
              <w:t>2.4.1</w:t>
            </w:r>
            <w:r w:rsidR="006F1D4F" w:rsidRPr="006F1D4F">
              <w:rPr>
                <w:rFonts w:asciiTheme="minorHAnsi" w:eastAsiaTheme="minorEastAsia" w:hAnsiTheme="minorHAnsi" w:cstheme="minorBidi"/>
                <w:sz w:val="22"/>
                <w:lang w:eastAsia="en-AU"/>
              </w:rPr>
              <w:tab/>
            </w:r>
            <w:r w:rsidR="006F1D4F" w:rsidRPr="006F1D4F">
              <w:rPr>
                <w:rStyle w:val="Hyperlink"/>
                <w:color w:val="000000" w:themeColor="text1"/>
              </w:rPr>
              <w:t>Coral cover metric</w:t>
            </w:r>
            <w:r w:rsidR="006F1D4F" w:rsidRPr="006F1D4F">
              <w:rPr>
                <w:webHidden/>
              </w:rPr>
              <w:tab/>
            </w:r>
            <w:r w:rsidR="006F1D4F" w:rsidRPr="006F1D4F">
              <w:rPr>
                <w:webHidden/>
              </w:rPr>
              <w:fldChar w:fldCharType="begin"/>
            </w:r>
            <w:r w:rsidR="006F1D4F" w:rsidRPr="006F1D4F">
              <w:rPr>
                <w:webHidden/>
              </w:rPr>
              <w:instrText xml:space="preserve"> PAGEREF _Toc35947099 \h </w:instrText>
            </w:r>
            <w:r w:rsidR="006F1D4F" w:rsidRPr="006F1D4F">
              <w:rPr>
                <w:webHidden/>
              </w:rPr>
            </w:r>
            <w:r w:rsidR="006F1D4F" w:rsidRPr="006F1D4F">
              <w:rPr>
                <w:webHidden/>
              </w:rPr>
              <w:fldChar w:fldCharType="separate"/>
            </w:r>
            <w:r>
              <w:rPr>
                <w:webHidden/>
              </w:rPr>
              <w:t>16</w:t>
            </w:r>
            <w:r w:rsidR="006F1D4F" w:rsidRPr="006F1D4F">
              <w:rPr>
                <w:webHidden/>
              </w:rPr>
              <w:fldChar w:fldCharType="end"/>
            </w:r>
          </w:hyperlink>
        </w:p>
        <w:p w14:paraId="53C135ED" w14:textId="0B8B4F68" w:rsidR="006F1D4F" w:rsidRPr="006F1D4F" w:rsidRDefault="003053D1">
          <w:pPr>
            <w:pStyle w:val="TOC3"/>
            <w:rPr>
              <w:rFonts w:asciiTheme="minorHAnsi" w:eastAsiaTheme="minorEastAsia" w:hAnsiTheme="minorHAnsi" w:cstheme="minorBidi"/>
              <w:sz w:val="22"/>
              <w:lang w:eastAsia="en-AU"/>
            </w:rPr>
          </w:pPr>
          <w:hyperlink w:anchor="_Toc35947100" w:history="1">
            <w:r w:rsidR="006F1D4F" w:rsidRPr="006F1D4F">
              <w:rPr>
                <w:rStyle w:val="Hyperlink"/>
                <w:color w:val="000000" w:themeColor="text1"/>
              </w:rPr>
              <w:t>2.4.2</w:t>
            </w:r>
            <w:r w:rsidR="006F1D4F" w:rsidRPr="006F1D4F">
              <w:rPr>
                <w:rFonts w:asciiTheme="minorHAnsi" w:eastAsiaTheme="minorEastAsia" w:hAnsiTheme="minorHAnsi" w:cstheme="minorBidi"/>
                <w:sz w:val="22"/>
                <w:lang w:eastAsia="en-AU"/>
              </w:rPr>
              <w:tab/>
            </w:r>
            <w:r w:rsidR="006F1D4F" w:rsidRPr="006F1D4F">
              <w:rPr>
                <w:rStyle w:val="Hyperlink"/>
                <w:color w:val="000000" w:themeColor="text1"/>
              </w:rPr>
              <w:t>Macroalgae metric</w:t>
            </w:r>
            <w:r w:rsidR="006F1D4F" w:rsidRPr="006F1D4F">
              <w:rPr>
                <w:webHidden/>
              </w:rPr>
              <w:tab/>
            </w:r>
            <w:r w:rsidR="006F1D4F" w:rsidRPr="006F1D4F">
              <w:rPr>
                <w:webHidden/>
              </w:rPr>
              <w:fldChar w:fldCharType="begin"/>
            </w:r>
            <w:r w:rsidR="006F1D4F" w:rsidRPr="006F1D4F">
              <w:rPr>
                <w:webHidden/>
              </w:rPr>
              <w:instrText xml:space="preserve"> PAGEREF _Toc35947100 \h </w:instrText>
            </w:r>
            <w:r w:rsidR="006F1D4F" w:rsidRPr="006F1D4F">
              <w:rPr>
                <w:webHidden/>
              </w:rPr>
            </w:r>
            <w:r w:rsidR="006F1D4F" w:rsidRPr="006F1D4F">
              <w:rPr>
                <w:webHidden/>
              </w:rPr>
              <w:fldChar w:fldCharType="separate"/>
            </w:r>
            <w:r>
              <w:rPr>
                <w:webHidden/>
              </w:rPr>
              <w:t>17</w:t>
            </w:r>
            <w:r w:rsidR="006F1D4F" w:rsidRPr="006F1D4F">
              <w:rPr>
                <w:webHidden/>
              </w:rPr>
              <w:fldChar w:fldCharType="end"/>
            </w:r>
          </w:hyperlink>
        </w:p>
        <w:p w14:paraId="53C135EE" w14:textId="0476A42B" w:rsidR="006F1D4F" w:rsidRPr="006F1D4F" w:rsidRDefault="003053D1">
          <w:pPr>
            <w:pStyle w:val="TOC3"/>
            <w:rPr>
              <w:rFonts w:asciiTheme="minorHAnsi" w:eastAsiaTheme="minorEastAsia" w:hAnsiTheme="minorHAnsi" w:cstheme="minorBidi"/>
              <w:sz w:val="22"/>
              <w:lang w:eastAsia="en-AU"/>
            </w:rPr>
          </w:pPr>
          <w:hyperlink w:anchor="_Toc35947101" w:history="1">
            <w:r w:rsidR="006F1D4F" w:rsidRPr="006F1D4F">
              <w:rPr>
                <w:rStyle w:val="Hyperlink"/>
                <w:color w:val="000000" w:themeColor="text1"/>
              </w:rPr>
              <w:t>2.4.3</w:t>
            </w:r>
            <w:r w:rsidR="006F1D4F" w:rsidRPr="006F1D4F">
              <w:rPr>
                <w:rFonts w:asciiTheme="minorHAnsi" w:eastAsiaTheme="minorEastAsia" w:hAnsiTheme="minorHAnsi" w:cstheme="minorBidi"/>
                <w:sz w:val="22"/>
                <w:lang w:eastAsia="en-AU"/>
              </w:rPr>
              <w:tab/>
            </w:r>
            <w:r w:rsidR="006F1D4F" w:rsidRPr="006F1D4F">
              <w:rPr>
                <w:rStyle w:val="Hyperlink"/>
                <w:color w:val="000000" w:themeColor="text1"/>
              </w:rPr>
              <w:t>Density of juvenile hard corals metric</w:t>
            </w:r>
            <w:r w:rsidR="006F1D4F" w:rsidRPr="006F1D4F">
              <w:rPr>
                <w:webHidden/>
              </w:rPr>
              <w:tab/>
            </w:r>
            <w:r w:rsidR="006F1D4F" w:rsidRPr="006F1D4F">
              <w:rPr>
                <w:webHidden/>
              </w:rPr>
              <w:fldChar w:fldCharType="begin"/>
            </w:r>
            <w:r w:rsidR="006F1D4F" w:rsidRPr="006F1D4F">
              <w:rPr>
                <w:webHidden/>
              </w:rPr>
              <w:instrText xml:space="preserve"> PAGEREF _Toc35947101 \h </w:instrText>
            </w:r>
            <w:r w:rsidR="006F1D4F" w:rsidRPr="006F1D4F">
              <w:rPr>
                <w:webHidden/>
              </w:rPr>
            </w:r>
            <w:r w:rsidR="006F1D4F" w:rsidRPr="006F1D4F">
              <w:rPr>
                <w:webHidden/>
              </w:rPr>
              <w:fldChar w:fldCharType="separate"/>
            </w:r>
            <w:r>
              <w:rPr>
                <w:webHidden/>
              </w:rPr>
              <w:t>18</w:t>
            </w:r>
            <w:r w:rsidR="006F1D4F" w:rsidRPr="006F1D4F">
              <w:rPr>
                <w:webHidden/>
              </w:rPr>
              <w:fldChar w:fldCharType="end"/>
            </w:r>
          </w:hyperlink>
        </w:p>
        <w:p w14:paraId="53C135EF" w14:textId="39DDE6DD" w:rsidR="006F1D4F" w:rsidRPr="006F1D4F" w:rsidRDefault="003053D1">
          <w:pPr>
            <w:pStyle w:val="TOC3"/>
            <w:rPr>
              <w:rFonts w:asciiTheme="minorHAnsi" w:eastAsiaTheme="minorEastAsia" w:hAnsiTheme="minorHAnsi" w:cstheme="minorBidi"/>
              <w:sz w:val="22"/>
              <w:lang w:eastAsia="en-AU"/>
            </w:rPr>
          </w:pPr>
          <w:hyperlink w:anchor="_Toc35947102" w:history="1">
            <w:r w:rsidR="006F1D4F" w:rsidRPr="006F1D4F">
              <w:rPr>
                <w:rStyle w:val="Hyperlink"/>
                <w:color w:val="000000" w:themeColor="text1"/>
              </w:rPr>
              <w:t>2.4.4</w:t>
            </w:r>
            <w:r w:rsidR="006F1D4F" w:rsidRPr="006F1D4F">
              <w:rPr>
                <w:rFonts w:asciiTheme="minorHAnsi" w:eastAsiaTheme="minorEastAsia" w:hAnsiTheme="minorHAnsi" w:cstheme="minorBidi"/>
                <w:sz w:val="22"/>
                <w:lang w:eastAsia="en-AU"/>
              </w:rPr>
              <w:tab/>
            </w:r>
            <w:r w:rsidR="006F1D4F" w:rsidRPr="006F1D4F">
              <w:rPr>
                <w:rStyle w:val="Hyperlink"/>
                <w:color w:val="000000" w:themeColor="text1"/>
              </w:rPr>
              <w:t>Cover change metric</w:t>
            </w:r>
            <w:r w:rsidR="006F1D4F" w:rsidRPr="006F1D4F">
              <w:rPr>
                <w:webHidden/>
              </w:rPr>
              <w:tab/>
            </w:r>
            <w:r w:rsidR="006F1D4F" w:rsidRPr="006F1D4F">
              <w:rPr>
                <w:webHidden/>
              </w:rPr>
              <w:fldChar w:fldCharType="begin"/>
            </w:r>
            <w:r w:rsidR="006F1D4F" w:rsidRPr="006F1D4F">
              <w:rPr>
                <w:webHidden/>
              </w:rPr>
              <w:instrText xml:space="preserve"> PAGEREF _Toc35947102 \h </w:instrText>
            </w:r>
            <w:r w:rsidR="006F1D4F" w:rsidRPr="006F1D4F">
              <w:rPr>
                <w:webHidden/>
              </w:rPr>
            </w:r>
            <w:r w:rsidR="006F1D4F" w:rsidRPr="006F1D4F">
              <w:rPr>
                <w:webHidden/>
              </w:rPr>
              <w:fldChar w:fldCharType="separate"/>
            </w:r>
            <w:r>
              <w:rPr>
                <w:webHidden/>
              </w:rPr>
              <w:t>19</w:t>
            </w:r>
            <w:r w:rsidR="006F1D4F" w:rsidRPr="006F1D4F">
              <w:rPr>
                <w:webHidden/>
              </w:rPr>
              <w:fldChar w:fldCharType="end"/>
            </w:r>
          </w:hyperlink>
        </w:p>
        <w:p w14:paraId="53C135F0" w14:textId="26AB2D2F" w:rsidR="006F1D4F" w:rsidRPr="006F1D4F" w:rsidRDefault="003053D1">
          <w:pPr>
            <w:pStyle w:val="TOC3"/>
            <w:rPr>
              <w:rFonts w:asciiTheme="minorHAnsi" w:eastAsiaTheme="minorEastAsia" w:hAnsiTheme="minorHAnsi" w:cstheme="minorBidi"/>
              <w:sz w:val="22"/>
              <w:lang w:eastAsia="en-AU"/>
            </w:rPr>
          </w:pPr>
          <w:hyperlink w:anchor="_Toc35947103" w:history="1">
            <w:r w:rsidR="006F1D4F" w:rsidRPr="006F1D4F">
              <w:rPr>
                <w:rStyle w:val="Hyperlink"/>
                <w:color w:val="000000" w:themeColor="text1"/>
              </w:rPr>
              <w:t>2.4.5</w:t>
            </w:r>
            <w:r w:rsidR="006F1D4F" w:rsidRPr="006F1D4F">
              <w:rPr>
                <w:rFonts w:asciiTheme="minorHAnsi" w:eastAsiaTheme="minorEastAsia" w:hAnsiTheme="minorHAnsi" w:cstheme="minorBidi"/>
                <w:sz w:val="22"/>
                <w:lang w:eastAsia="en-AU"/>
              </w:rPr>
              <w:tab/>
            </w:r>
            <w:r w:rsidR="006F1D4F" w:rsidRPr="006F1D4F">
              <w:rPr>
                <w:rStyle w:val="Hyperlink"/>
                <w:color w:val="000000" w:themeColor="text1"/>
              </w:rPr>
              <w:t>Community composition metric</w:t>
            </w:r>
            <w:r w:rsidR="006F1D4F" w:rsidRPr="006F1D4F">
              <w:rPr>
                <w:webHidden/>
              </w:rPr>
              <w:tab/>
            </w:r>
            <w:r w:rsidR="006F1D4F" w:rsidRPr="006F1D4F">
              <w:rPr>
                <w:webHidden/>
              </w:rPr>
              <w:fldChar w:fldCharType="begin"/>
            </w:r>
            <w:r w:rsidR="006F1D4F" w:rsidRPr="006F1D4F">
              <w:rPr>
                <w:webHidden/>
              </w:rPr>
              <w:instrText xml:space="preserve"> PAGEREF _Toc35947103 \h </w:instrText>
            </w:r>
            <w:r w:rsidR="006F1D4F" w:rsidRPr="006F1D4F">
              <w:rPr>
                <w:webHidden/>
              </w:rPr>
            </w:r>
            <w:r w:rsidR="006F1D4F" w:rsidRPr="006F1D4F">
              <w:rPr>
                <w:webHidden/>
              </w:rPr>
              <w:fldChar w:fldCharType="separate"/>
            </w:r>
            <w:r>
              <w:rPr>
                <w:webHidden/>
              </w:rPr>
              <w:t>21</w:t>
            </w:r>
            <w:r w:rsidR="006F1D4F" w:rsidRPr="006F1D4F">
              <w:rPr>
                <w:webHidden/>
              </w:rPr>
              <w:fldChar w:fldCharType="end"/>
            </w:r>
          </w:hyperlink>
        </w:p>
        <w:p w14:paraId="53C135F1" w14:textId="2FE4C51A" w:rsidR="006F1D4F" w:rsidRPr="006F1D4F" w:rsidRDefault="003053D1">
          <w:pPr>
            <w:pStyle w:val="TOC3"/>
            <w:rPr>
              <w:rFonts w:asciiTheme="minorHAnsi" w:eastAsiaTheme="minorEastAsia" w:hAnsiTheme="minorHAnsi" w:cstheme="minorBidi"/>
              <w:sz w:val="22"/>
              <w:lang w:eastAsia="en-AU"/>
            </w:rPr>
          </w:pPr>
          <w:hyperlink w:anchor="_Toc35947104" w:history="1">
            <w:r w:rsidR="006F1D4F" w:rsidRPr="006F1D4F">
              <w:rPr>
                <w:rStyle w:val="Hyperlink"/>
                <w:color w:val="000000" w:themeColor="text1"/>
              </w:rPr>
              <w:t>2.4.6</w:t>
            </w:r>
            <w:r w:rsidR="006F1D4F" w:rsidRPr="006F1D4F">
              <w:rPr>
                <w:rFonts w:asciiTheme="minorHAnsi" w:eastAsiaTheme="minorEastAsia" w:hAnsiTheme="minorHAnsi" w:cstheme="minorBidi"/>
                <w:sz w:val="22"/>
                <w:lang w:eastAsia="en-AU"/>
              </w:rPr>
              <w:tab/>
            </w:r>
            <w:r w:rsidR="006F1D4F" w:rsidRPr="006F1D4F">
              <w:rPr>
                <w:rStyle w:val="Hyperlink"/>
                <w:color w:val="000000" w:themeColor="text1"/>
              </w:rPr>
              <w:t>Aggregating indicator scores to Reef and regional scale assessments</w:t>
            </w:r>
            <w:r w:rsidR="006F1D4F" w:rsidRPr="006F1D4F">
              <w:rPr>
                <w:webHidden/>
              </w:rPr>
              <w:tab/>
            </w:r>
            <w:r w:rsidR="006F1D4F" w:rsidRPr="006F1D4F">
              <w:rPr>
                <w:webHidden/>
              </w:rPr>
              <w:fldChar w:fldCharType="begin"/>
            </w:r>
            <w:r w:rsidR="006F1D4F" w:rsidRPr="006F1D4F">
              <w:rPr>
                <w:webHidden/>
              </w:rPr>
              <w:instrText xml:space="preserve"> PAGEREF _Toc35947104 \h </w:instrText>
            </w:r>
            <w:r w:rsidR="006F1D4F" w:rsidRPr="006F1D4F">
              <w:rPr>
                <w:webHidden/>
              </w:rPr>
            </w:r>
            <w:r w:rsidR="006F1D4F" w:rsidRPr="006F1D4F">
              <w:rPr>
                <w:webHidden/>
              </w:rPr>
              <w:fldChar w:fldCharType="separate"/>
            </w:r>
            <w:r>
              <w:rPr>
                <w:webHidden/>
              </w:rPr>
              <w:t>23</w:t>
            </w:r>
            <w:r w:rsidR="006F1D4F" w:rsidRPr="006F1D4F">
              <w:rPr>
                <w:webHidden/>
              </w:rPr>
              <w:fldChar w:fldCharType="end"/>
            </w:r>
          </w:hyperlink>
        </w:p>
        <w:p w14:paraId="53C135F2" w14:textId="65C52724" w:rsidR="006F1D4F" w:rsidRPr="006F1D4F" w:rsidRDefault="003053D1">
          <w:pPr>
            <w:pStyle w:val="TOC2"/>
            <w:rPr>
              <w:rFonts w:asciiTheme="minorHAnsi" w:eastAsiaTheme="minorEastAsia" w:hAnsiTheme="minorHAnsi" w:cstheme="minorBidi"/>
              <w:noProof/>
              <w:color w:val="000000" w:themeColor="text1"/>
              <w:sz w:val="22"/>
              <w:lang w:eastAsia="en-AU"/>
            </w:rPr>
          </w:pPr>
          <w:hyperlink w:anchor="_Toc35947105" w:history="1">
            <w:r w:rsidR="006F1D4F" w:rsidRPr="006F1D4F">
              <w:rPr>
                <w:rStyle w:val="Hyperlink"/>
                <w:noProof/>
                <w:color w:val="000000" w:themeColor="text1"/>
              </w:rPr>
              <w:t>2.5</w:t>
            </w:r>
            <w:r w:rsidR="006F1D4F" w:rsidRPr="006F1D4F">
              <w:rPr>
                <w:rFonts w:asciiTheme="minorHAnsi" w:eastAsiaTheme="minorEastAsia" w:hAnsiTheme="minorHAnsi" w:cstheme="minorBidi"/>
                <w:noProof/>
                <w:color w:val="000000" w:themeColor="text1"/>
                <w:sz w:val="22"/>
                <w:lang w:eastAsia="en-AU"/>
              </w:rPr>
              <w:tab/>
            </w:r>
            <w:r w:rsidR="006F1D4F" w:rsidRPr="006F1D4F">
              <w:rPr>
                <w:rStyle w:val="Hyperlink"/>
                <w:noProof/>
                <w:color w:val="000000" w:themeColor="text1"/>
              </w:rPr>
              <w:t>Data analysis and presentation</w:t>
            </w:r>
            <w:r w:rsidR="006F1D4F" w:rsidRPr="006F1D4F">
              <w:rPr>
                <w:noProof/>
                <w:webHidden/>
                <w:color w:val="000000" w:themeColor="text1"/>
              </w:rPr>
              <w:tab/>
            </w:r>
            <w:r w:rsidR="006F1D4F" w:rsidRPr="006F1D4F">
              <w:rPr>
                <w:noProof/>
                <w:webHidden/>
                <w:color w:val="000000" w:themeColor="text1"/>
              </w:rPr>
              <w:fldChar w:fldCharType="begin"/>
            </w:r>
            <w:r w:rsidR="006F1D4F" w:rsidRPr="006F1D4F">
              <w:rPr>
                <w:noProof/>
                <w:webHidden/>
                <w:color w:val="000000" w:themeColor="text1"/>
              </w:rPr>
              <w:instrText xml:space="preserve"> PAGEREF _Toc35947105 \h </w:instrText>
            </w:r>
            <w:r w:rsidR="006F1D4F" w:rsidRPr="006F1D4F">
              <w:rPr>
                <w:noProof/>
                <w:webHidden/>
                <w:color w:val="000000" w:themeColor="text1"/>
              </w:rPr>
            </w:r>
            <w:r w:rsidR="006F1D4F" w:rsidRPr="006F1D4F">
              <w:rPr>
                <w:noProof/>
                <w:webHidden/>
                <w:color w:val="000000" w:themeColor="text1"/>
              </w:rPr>
              <w:fldChar w:fldCharType="separate"/>
            </w:r>
            <w:r>
              <w:rPr>
                <w:noProof/>
                <w:webHidden/>
                <w:color w:val="000000" w:themeColor="text1"/>
              </w:rPr>
              <w:t>24</w:t>
            </w:r>
            <w:r w:rsidR="006F1D4F" w:rsidRPr="006F1D4F">
              <w:rPr>
                <w:noProof/>
                <w:webHidden/>
                <w:color w:val="000000" w:themeColor="text1"/>
              </w:rPr>
              <w:fldChar w:fldCharType="end"/>
            </w:r>
          </w:hyperlink>
        </w:p>
        <w:p w14:paraId="53C135F3" w14:textId="36DA142E" w:rsidR="006F1D4F" w:rsidRPr="006F1D4F" w:rsidRDefault="003053D1">
          <w:pPr>
            <w:pStyle w:val="TOC3"/>
            <w:rPr>
              <w:rFonts w:asciiTheme="minorHAnsi" w:eastAsiaTheme="minorEastAsia" w:hAnsiTheme="minorHAnsi" w:cstheme="minorBidi"/>
              <w:sz w:val="22"/>
              <w:lang w:eastAsia="en-AU"/>
            </w:rPr>
          </w:pPr>
          <w:hyperlink w:anchor="_Toc35947106" w:history="1">
            <w:r w:rsidR="006F1D4F" w:rsidRPr="006F1D4F">
              <w:rPr>
                <w:rStyle w:val="Hyperlink"/>
                <w:color w:val="000000" w:themeColor="text1"/>
              </w:rPr>
              <w:t>2.5.1</w:t>
            </w:r>
            <w:r w:rsidR="006F1D4F" w:rsidRPr="006F1D4F">
              <w:rPr>
                <w:rFonts w:asciiTheme="minorHAnsi" w:eastAsiaTheme="minorEastAsia" w:hAnsiTheme="minorHAnsi" w:cstheme="minorBidi"/>
                <w:sz w:val="22"/>
                <w:lang w:eastAsia="en-AU"/>
              </w:rPr>
              <w:tab/>
            </w:r>
            <w:r w:rsidR="006F1D4F" w:rsidRPr="006F1D4F">
              <w:rPr>
                <w:rStyle w:val="Hyperlink"/>
                <w:color w:val="000000" w:themeColor="text1"/>
              </w:rPr>
              <w:t>Variation in index and indicator scores to gradients in water quality</w:t>
            </w:r>
            <w:r w:rsidR="006F1D4F" w:rsidRPr="006F1D4F">
              <w:rPr>
                <w:webHidden/>
              </w:rPr>
              <w:tab/>
            </w:r>
            <w:r w:rsidR="006F1D4F" w:rsidRPr="006F1D4F">
              <w:rPr>
                <w:webHidden/>
              </w:rPr>
              <w:fldChar w:fldCharType="begin"/>
            </w:r>
            <w:r w:rsidR="006F1D4F" w:rsidRPr="006F1D4F">
              <w:rPr>
                <w:webHidden/>
              </w:rPr>
              <w:instrText xml:space="preserve"> PAGEREF _Toc35947106 \h </w:instrText>
            </w:r>
            <w:r w:rsidR="006F1D4F" w:rsidRPr="006F1D4F">
              <w:rPr>
                <w:webHidden/>
              </w:rPr>
            </w:r>
            <w:r w:rsidR="006F1D4F" w:rsidRPr="006F1D4F">
              <w:rPr>
                <w:webHidden/>
              </w:rPr>
              <w:fldChar w:fldCharType="separate"/>
            </w:r>
            <w:r>
              <w:rPr>
                <w:webHidden/>
              </w:rPr>
              <w:t>24</w:t>
            </w:r>
            <w:r w:rsidR="006F1D4F" w:rsidRPr="006F1D4F">
              <w:rPr>
                <w:webHidden/>
              </w:rPr>
              <w:fldChar w:fldCharType="end"/>
            </w:r>
          </w:hyperlink>
        </w:p>
        <w:p w14:paraId="53C135F4" w14:textId="5AA58DBE" w:rsidR="006F1D4F" w:rsidRPr="006F1D4F" w:rsidRDefault="003053D1">
          <w:pPr>
            <w:pStyle w:val="TOC3"/>
            <w:rPr>
              <w:rFonts w:asciiTheme="minorHAnsi" w:eastAsiaTheme="minorEastAsia" w:hAnsiTheme="minorHAnsi" w:cstheme="minorBidi"/>
              <w:sz w:val="22"/>
              <w:lang w:eastAsia="en-AU"/>
            </w:rPr>
          </w:pPr>
          <w:hyperlink w:anchor="_Toc35947107" w:history="1">
            <w:r w:rsidR="006F1D4F" w:rsidRPr="006F1D4F">
              <w:rPr>
                <w:rStyle w:val="Hyperlink"/>
                <w:color w:val="000000" w:themeColor="text1"/>
              </w:rPr>
              <w:t>2.5.2</w:t>
            </w:r>
            <w:r w:rsidR="006F1D4F" w:rsidRPr="006F1D4F">
              <w:rPr>
                <w:rFonts w:asciiTheme="minorHAnsi" w:eastAsiaTheme="minorEastAsia" w:hAnsiTheme="minorHAnsi" w:cstheme="minorBidi"/>
                <w:sz w:val="22"/>
                <w:lang w:eastAsia="en-AU"/>
              </w:rPr>
              <w:tab/>
            </w:r>
            <w:r w:rsidR="006F1D4F" w:rsidRPr="006F1D4F">
              <w:rPr>
                <w:rStyle w:val="Hyperlink"/>
                <w:color w:val="000000" w:themeColor="text1"/>
              </w:rPr>
              <w:t>Relationship between index and indicator scores and temporal variability in environmental conditions</w:t>
            </w:r>
            <w:r w:rsidR="006F1D4F" w:rsidRPr="006F1D4F">
              <w:rPr>
                <w:webHidden/>
              </w:rPr>
              <w:tab/>
            </w:r>
            <w:r w:rsidR="006F1D4F" w:rsidRPr="006F1D4F">
              <w:rPr>
                <w:webHidden/>
              </w:rPr>
              <w:fldChar w:fldCharType="begin"/>
            </w:r>
            <w:r w:rsidR="006F1D4F" w:rsidRPr="006F1D4F">
              <w:rPr>
                <w:webHidden/>
              </w:rPr>
              <w:instrText xml:space="preserve"> PAGEREF _Toc35947107 \h </w:instrText>
            </w:r>
            <w:r w:rsidR="006F1D4F" w:rsidRPr="006F1D4F">
              <w:rPr>
                <w:webHidden/>
              </w:rPr>
            </w:r>
            <w:r w:rsidR="006F1D4F" w:rsidRPr="006F1D4F">
              <w:rPr>
                <w:webHidden/>
              </w:rPr>
              <w:fldChar w:fldCharType="separate"/>
            </w:r>
            <w:r>
              <w:rPr>
                <w:webHidden/>
              </w:rPr>
              <w:t>24</w:t>
            </w:r>
            <w:r w:rsidR="006F1D4F" w:rsidRPr="006F1D4F">
              <w:rPr>
                <w:webHidden/>
              </w:rPr>
              <w:fldChar w:fldCharType="end"/>
            </w:r>
          </w:hyperlink>
        </w:p>
        <w:p w14:paraId="53C135F5" w14:textId="3503DCDA" w:rsidR="006F1D4F" w:rsidRPr="006F1D4F" w:rsidRDefault="003053D1">
          <w:pPr>
            <w:pStyle w:val="TOC3"/>
            <w:rPr>
              <w:rFonts w:asciiTheme="minorHAnsi" w:eastAsiaTheme="minorEastAsia" w:hAnsiTheme="minorHAnsi" w:cstheme="minorBidi"/>
              <w:sz w:val="22"/>
              <w:lang w:eastAsia="en-AU"/>
            </w:rPr>
          </w:pPr>
          <w:hyperlink w:anchor="_Toc35947108" w:history="1">
            <w:r w:rsidR="006F1D4F" w:rsidRPr="006F1D4F">
              <w:rPr>
                <w:rStyle w:val="Hyperlink"/>
                <w:color w:val="000000" w:themeColor="text1"/>
              </w:rPr>
              <w:t>2.5.3</w:t>
            </w:r>
            <w:r w:rsidR="006F1D4F" w:rsidRPr="006F1D4F">
              <w:rPr>
                <w:rFonts w:asciiTheme="minorHAnsi" w:eastAsiaTheme="minorEastAsia" w:hAnsiTheme="minorHAnsi" w:cstheme="minorBidi"/>
                <w:sz w:val="22"/>
                <w:lang w:eastAsia="en-AU"/>
              </w:rPr>
              <w:tab/>
            </w:r>
            <w:r w:rsidR="006F1D4F" w:rsidRPr="006F1D4F">
              <w:rPr>
                <w:rStyle w:val="Hyperlink"/>
                <w:color w:val="000000" w:themeColor="text1"/>
              </w:rPr>
              <w:t>Temporal trends in coral index and indicators</w:t>
            </w:r>
            <w:r w:rsidR="006F1D4F" w:rsidRPr="006F1D4F">
              <w:rPr>
                <w:webHidden/>
              </w:rPr>
              <w:tab/>
            </w:r>
            <w:r w:rsidR="006F1D4F" w:rsidRPr="006F1D4F">
              <w:rPr>
                <w:webHidden/>
              </w:rPr>
              <w:fldChar w:fldCharType="begin"/>
            </w:r>
            <w:r w:rsidR="006F1D4F" w:rsidRPr="006F1D4F">
              <w:rPr>
                <w:webHidden/>
              </w:rPr>
              <w:instrText xml:space="preserve"> PAGEREF _Toc35947108 \h </w:instrText>
            </w:r>
            <w:r w:rsidR="006F1D4F" w:rsidRPr="006F1D4F">
              <w:rPr>
                <w:webHidden/>
              </w:rPr>
            </w:r>
            <w:r w:rsidR="006F1D4F" w:rsidRPr="006F1D4F">
              <w:rPr>
                <w:webHidden/>
              </w:rPr>
              <w:fldChar w:fldCharType="separate"/>
            </w:r>
            <w:r>
              <w:rPr>
                <w:webHidden/>
              </w:rPr>
              <w:t>25</w:t>
            </w:r>
            <w:r w:rsidR="006F1D4F" w:rsidRPr="006F1D4F">
              <w:rPr>
                <w:webHidden/>
              </w:rPr>
              <w:fldChar w:fldCharType="end"/>
            </w:r>
          </w:hyperlink>
        </w:p>
        <w:p w14:paraId="53C135F6" w14:textId="597E7B4D" w:rsidR="006F1D4F" w:rsidRPr="006F1D4F" w:rsidRDefault="003053D1">
          <w:pPr>
            <w:pStyle w:val="TOC3"/>
            <w:rPr>
              <w:rFonts w:asciiTheme="minorHAnsi" w:eastAsiaTheme="minorEastAsia" w:hAnsiTheme="minorHAnsi" w:cstheme="minorBidi"/>
              <w:sz w:val="22"/>
              <w:lang w:eastAsia="en-AU"/>
            </w:rPr>
          </w:pPr>
          <w:hyperlink w:anchor="_Toc35947109" w:history="1">
            <w:r w:rsidR="006F1D4F" w:rsidRPr="006F1D4F">
              <w:rPr>
                <w:rStyle w:val="Hyperlink"/>
                <w:color w:val="000000" w:themeColor="text1"/>
              </w:rPr>
              <w:t>2.5.4</w:t>
            </w:r>
            <w:r w:rsidR="006F1D4F" w:rsidRPr="006F1D4F">
              <w:rPr>
                <w:rFonts w:asciiTheme="minorHAnsi" w:eastAsiaTheme="minorEastAsia" w:hAnsiTheme="minorHAnsi" w:cstheme="minorBidi"/>
                <w:sz w:val="22"/>
                <w:lang w:eastAsia="en-AU"/>
              </w:rPr>
              <w:tab/>
            </w:r>
            <w:r w:rsidR="006F1D4F" w:rsidRPr="006F1D4F">
              <w:rPr>
                <w:rStyle w:val="Hyperlink"/>
                <w:color w:val="000000" w:themeColor="text1"/>
              </w:rPr>
              <w:t>Analysis of change in index and indicator scores</w:t>
            </w:r>
            <w:r w:rsidR="006F1D4F" w:rsidRPr="006F1D4F">
              <w:rPr>
                <w:webHidden/>
              </w:rPr>
              <w:tab/>
            </w:r>
            <w:r w:rsidR="006F1D4F" w:rsidRPr="006F1D4F">
              <w:rPr>
                <w:webHidden/>
              </w:rPr>
              <w:fldChar w:fldCharType="begin"/>
            </w:r>
            <w:r w:rsidR="006F1D4F" w:rsidRPr="006F1D4F">
              <w:rPr>
                <w:webHidden/>
              </w:rPr>
              <w:instrText xml:space="preserve"> PAGEREF _Toc35947109 \h </w:instrText>
            </w:r>
            <w:r w:rsidR="006F1D4F" w:rsidRPr="006F1D4F">
              <w:rPr>
                <w:webHidden/>
              </w:rPr>
            </w:r>
            <w:r w:rsidR="006F1D4F" w:rsidRPr="006F1D4F">
              <w:rPr>
                <w:webHidden/>
              </w:rPr>
              <w:fldChar w:fldCharType="separate"/>
            </w:r>
            <w:r>
              <w:rPr>
                <w:webHidden/>
              </w:rPr>
              <w:t>25</w:t>
            </w:r>
            <w:r w:rsidR="006F1D4F" w:rsidRPr="006F1D4F">
              <w:rPr>
                <w:webHidden/>
              </w:rPr>
              <w:fldChar w:fldCharType="end"/>
            </w:r>
          </w:hyperlink>
        </w:p>
        <w:p w14:paraId="53C135F7" w14:textId="00555382" w:rsidR="006F1D4F" w:rsidRPr="006F1D4F" w:rsidRDefault="003053D1">
          <w:pPr>
            <w:pStyle w:val="TOC3"/>
            <w:rPr>
              <w:rFonts w:asciiTheme="minorHAnsi" w:eastAsiaTheme="minorEastAsia" w:hAnsiTheme="minorHAnsi" w:cstheme="minorBidi"/>
              <w:sz w:val="22"/>
              <w:lang w:eastAsia="en-AU"/>
            </w:rPr>
          </w:pPr>
          <w:hyperlink w:anchor="_Toc35947110" w:history="1">
            <w:r w:rsidR="006F1D4F" w:rsidRPr="006F1D4F">
              <w:rPr>
                <w:rStyle w:val="Hyperlink"/>
                <w:color w:val="000000" w:themeColor="text1"/>
              </w:rPr>
              <w:t>2.5.5</w:t>
            </w:r>
            <w:r w:rsidR="006F1D4F" w:rsidRPr="006F1D4F">
              <w:rPr>
                <w:rFonts w:asciiTheme="minorHAnsi" w:eastAsiaTheme="minorEastAsia" w:hAnsiTheme="minorHAnsi" w:cstheme="minorBidi"/>
                <w:sz w:val="22"/>
                <w:lang w:eastAsia="en-AU"/>
              </w:rPr>
              <w:tab/>
            </w:r>
            <w:r w:rsidR="006F1D4F" w:rsidRPr="006F1D4F">
              <w:rPr>
                <w:rStyle w:val="Hyperlink"/>
                <w:color w:val="000000" w:themeColor="text1"/>
              </w:rPr>
              <w:t>Response to pressures</w:t>
            </w:r>
            <w:r w:rsidR="006F1D4F" w:rsidRPr="006F1D4F">
              <w:rPr>
                <w:webHidden/>
              </w:rPr>
              <w:tab/>
            </w:r>
            <w:r w:rsidR="006F1D4F" w:rsidRPr="006F1D4F">
              <w:rPr>
                <w:webHidden/>
              </w:rPr>
              <w:fldChar w:fldCharType="begin"/>
            </w:r>
            <w:r w:rsidR="006F1D4F" w:rsidRPr="006F1D4F">
              <w:rPr>
                <w:webHidden/>
              </w:rPr>
              <w:instrText xml:space="preserve"> PAGEREF _Toc35947110 \h </w:instrText>
            </w:r>
            <w:r w:rsidR="006F1D4F" w:rsidRPr="006F1D4F">
              <w:rPr>
                <w:webHidden/>
              </w:rPr>
            </w:r>
            <w:r w:rsidR="006F1D4F" w:rsidRPr="006F1D4F">
              <w:rPr>
                <w:webHidden/>
              </w:rPr>
              <w:fldChar w:fldCharType="separate"/>
            </w:r>
            <w:r>
              <w:rPr>
                <w:webHidden/>
              </w:rPr>
              <w:t>25</w:t>
            </w:r>
            <w:r w:rsidR="006F1D4F" w:rsidRPr="006F1D4F">
              <w:rPr>
                <w:webHidden/>
              </w:rPr>
              <w:fldChar w:fldCharType="end"/>
            </w:r>
          </w:hyperlink>
        </w:p>
        <w:p w14:paraId="53C135F8" w14:textId="6B0E6AC5" w:rsidR="006F1D4F" w:rsidRPr="006F1D4F" w:rsidRDefault="003053D1">
          <w:pPr>
            <w:pStyle w:val="TOC1"/>
            <w:rPr>
              <w:rFonts w:asciiTheme="minorHAnsi" w:eastAsiaTheme="minorEastAsia" w:hAnsiTheme="minorHAnsi" w:cstheme="minorBidi"/>
              <w:b w:val="0"/>
              <w:color w:val="000000" w:themeColor="text1"/>
              <w:lang w:eastAsia="en-AU"/>
            </w:rPr>
          </w:pPr>
          <w:hyperlink w:anchor="_Toc35947111" w:history="1">
            <w:r w:rsidR="006F1D4F" w:rsidRPr="006F1D4F">
              <w:rPr>
                <w:rStyle w:val="Hyperlink"/>
                <w:color w:val="000000" w:themeColor="text1"/>
              </w:rPr>
              <w:t>3</w:t>
            </w:r>
            <w:r w:rsidR="006F1D4F" w:rsidRPr="006F1D4F">
              <w:rPr>
                <w:rFonts w:asciiTheme="minorHAnsi" w:eastAsiaTheme="minorEastAsia" w:hAnsiTheme="minorHAnsi" w:cstheme="minorBidi"/>
                <w:b w:val="0"/>
                <w:color w:val="000000" w:themeColor="text1"/>
                <w:lang w:eastAsia="en-AU"/>
              </w:rPr>
              <w:tab/>
            </w:r>
            <w:r w:rsidR="006F1D4F" w:rsidRPr="006F1D4F">
              <w:rPr>
                <w:rStyle w:val="Hyperlink"/>
                <w:color w:val="000000" w:themeColor="text1"/>
              </w:rPr>
              <w:t>Pressures influencing coral reefs in 2018-19</w:t>
            </w:r>
            <w:r w:rsidR="006F1D4F" w:rsidRPr="006F1D4F">
              <w:rPr>
                <w:webHidden/>
                <w:color w:val="000000" w:themeColor="text1"/>
              </w:rPr>
              <w:tab/>
            </w:r>
            <w:r w:rsidR="006F1D4F" w:rsidRPr="006F1D4F">
              <w:rPr>
                <w:webHidden/>
                <w:color w:val="000000" w:themeColor="text1"/>
              </w:rPr>
              <w:fldChar w:fldCharType="begin"/>
            </w:r>
            <w:r w:rsidR="006F1D4F" w:rsidRPr="006F1D4F">
              <w:rPr>
                <w:webHidden/>
                <w:color w:val="000000" w:themeColor="text1"/>
              </w:rPr>
              <w:instrText xml:space="preserve"> PAGEREF _Toc35947111 \h </w:instrText>
            </w:r>
            <w:r w:rsidR="006F1D4F" w:rsidRPr="006F1D4F">
              <w:rPr>
                <w:webHidden/>
                <w:color w:val="000000" w:themeColor="text1"/>
              </w:rPr>
            </w:r>
            <w:r w:rsidR="006F1D4F" w:rsidRPr="006F1D4F">
              <w:rPr>
                <w:webHidden/>
                <w:color w:val="000000" w:themeColor="text1"/>
              </w:rPr>
              <w:fldChar w:fldCharType="separate"/>
            </w:r>
            <w:r>
              <w:rPr>
                <w:webHidden/>
                <w:color w:val="000000" w:themeColor="text1"/>
              </w:rPr>
              <w:t>27</w:t>
            </w:r>
            <w:r w:rsidR="006F1D4F" w:rsidRPr="006F1D4F">
              <w:rPr>
                <w:webHidden/>
                <w:color w:val="000000" w:themeColor="text1"/>
              </w:rPr>
              <w:fldChar w:fldCharType="end"/>
            </w:r>
          </w:hyperlink>
        </w:p>
        <w:p w14:paraId="53C135F9" w14:textId="0DD79164" w:rsidR="006F1D4F" w:rsidRPr="006F1D4F" w:rsidRDefault="003053D1">
          <w:pPr>
            <w:pStyle w:val="TOC2"/>
            <w:rPr>
              <w:rFonts w:asciiTheme="minorHAnsi" w:eastAsiaTheme="minorEastAsia" w:hAnsiTheme="minorHAnsi" w:cstheme="minorBidi"/>
              <w:noProof/>
              <w:color w:val="000000" w:themeColor="text1"/>
              <w:sz w:val="22"/>
              <w:lang w:eastAsia="en-AU"/>
            </w:rPr>
          </w:pPr>
          <w:hyperlink w:anchor="_Toc35947112" w:history="1">
            <w:r w:rsidR="006F1D4F" w:rsidRPr="006F1D4F">
              <w:rPr>
                <w:rStyle w:val="Hyperlink"/>
                <w:noProof/>
                <w:color w:val="000000" w:themeColor="text1"/>
              </w:rPr>
              <w:t>3.1</w:t>
            </w:r>
            <w:r w:rsidR="006F1D4F" w:rsidRPr="006F1D4F">
              <w:rPr>
                <w:rFonts w:asciiTheme="minorHAnsi" w:eastAsiaTheme="minorEastAsia" w:hAnsiTheme="minorHAnsi" w:cstheme="minorBidi"/>
                <w:noProof/>
                <w:color w:val="000000" w:themeColor="text1"/>
                <w:sz w:val="22"/>
                <w:lang w:eastAsia="en-AU"/>
              </w:rPr>
              <w:tab/>
            </w:r>
            <w:r w:rsidR="006F1D4F" w:rsidRPr="006F1D4F">
              <w:rPr>
                <w:rStyle w:val="Hyperlink"/>
                <w:noProof/>
                <w:color w:val="000000" w:themeColor="text1"/>
              </w:rPr>
              <w:t>Cyclones</w:t>
            </w:r>
            <w:r w:rsidR="006F1D4F" w:rsidRPr="006F1D4F">
              <w:rPr>
                <w:noProof/>
                <w:webHidden/>
                <w:color w:val="000000" w:themeColor="text1"/>
              </w:rPr>
              <w:tab/>
            </w:r>
            <w:r w:rsidR="006F1D4F" w:rsidRPr="006F1D4F">
              <w:rPr>
                <w:noProof/>
                <w:webHidden/>
                <w:color w:val="000000" w:themeColor="text1"/>
              </w:rPr>
              <w:fldChar w:fldCharType="begin"/>
            </w:r>
            <w:r w:rsidR="006F1D4F" w:rsidRPr="006F1D4F">
              <w:rPr>
                <w:noProof/>
                <w:webHidden/>
                <w:color w:val="000000" w:themeColor="text1"/>
              </w:rPr>
              <w:instrText xml:space="preserve"> PAGEREF _Toc35947112 \h </w:instrText>
            </w:r>
            <w:r w:rsidR="006F1D4F" w:rsidRPr="006F1D4F">
              <w:rPr>
                <w:noProof/>
                <w:webHidden/>
                <w:color w:val="000000" w:themeColor="text1"/>
              </w:rPr>
            </w:r>
            <w:r w:rsidR="006F1D4F" w:rsidRPr="006F1D4F">
              <w:rPr>
                <w:noProof/>
                <w:webHidden/>
                <w:color w:val="000000" w:themeColor="text1"/>
              </w:rPr>
              <w:fldChar w:fldCharType="separate"/>
            </w:r>
            <w:r>
              <w:rPr>
                <w:noProof/>
                <w:webHidden/>
                <w:color w:val="000000" w:themeColor="text1"/>
              </w:rPr>
              <w:t>27</w:t>
            </w:r>
            <w:r w:rsidR="006F1D4F" w:rsidRPr="006F1D4F">
              <w:rPr>
                <w:noProof/>
                <w:webHidden/>
                <w:color w:val="000000" w:themeColor="text1"/>
              </w:rPr>
              <w:fldChar w:fldCharType="end"/>
            </w:r>
          </w:hyperlink>
        </w:p>
        <w:p w14:paraId="53C135FA" w14:textId="4511AA88" w:rsidR="006F1D4F" w:rsidRPr="006F1D4F" w:rsidRDefault="003053D1">
          <w:pPr>
            <w:pStyle w:val="TOC2"/>
            <w:rPr>
              <w:rFonts w:asciiTheme="minorHAnsi" w:eastAsiaTheme="minorEastAsia" w:hAnsiTheme="minorHAnsi" w:cstheme="minorBidi"/>
              <w:noProof/>
              <w:color w:val="000000" w:themeColor="text1"/>
              <w:sz w:val="22"/>
              <w:lang w:eastAsia="en-AU"/>
            </w:rPr>
          </w:pPr>
          <w:hyperlink w:anchor="_Toc35947113" w:history="1">
            <w:r w:rsidR="006F1D4F" w:rsidRPr="006F1D4F">
              <w:rPr>
                <w:rStyle w:val="Hyperlink"/>
                <w:noProof/>
                <w:color w:val="000000" w:themeColor="text1"/>
              </w:rPr>
              <w:t>3.2</w:t>
            </w:r>
            <w:r w:rsidR="006F1D4F" w:rsidRPr="006F1D4F">
              <w:rPr>
                <w:rFonts w:asciiTheme="minorHAnsi" w:eastAsiaTheme="minorEastAsia" w:hAnsiTheme="minorHAnsi" w:cstheme="minorBidi"/>
                <w:noProof/>
                <w:color w:val="000000" w:themeColor="text1"/>
                <w:sz w:val="22"/>
                <w:lang w:eastAsia="en-AU"/>
              </w:rPr>
              <w:tab/>
            </w:r>
            <w:r w:rsidR="006F1D4F" w:rsidRPr="006F1D4F">
              <w:rPr>
                <w:rStyle w:val="Hyperlink"/>
                <w:noProof/>
                <w:color w:val="000000" w:themeColor="text1"/>
              </w:rPr>
              <w:t>Sea temperature</w:t>
            </w:r>
            <w:r w:rsidR="006F1D4F" w:rsidRPr="006F1D4F">
              <w:rPr>
                <w:noProof/>
                <w:webHidden/>
                <w:color w:val="000000" w:themeColor="text1"/>
              </w:rPr>
              <w:tab/>
            </w:r>
            <w:r w:rsidR="006F1D4F" w:rsidRPr="006F1D4F">
              <w:rPr>
                <w:noProof/>
                <w:webHidden/>
                <w:color w:val="000000" w:themeColor="text1"/>
              </w:rPr>
              <w:fldChar w:fldCharType="begin"/>
            </w:r>
            <w:r w:rsidR="006F1D4F" w:rsidRPr="006F1D4F">
              <w:rPr>
                <w:noProof/>
                <w:webHidden/>
                <w:color w:val="000000" w:themeColor="text1"/>
              </w:rPr>
              <w:instrText xml:space="preserve"> PAGEREF _Toc35947113 \h </w:instrText>
            </w:r>
            <w:r w:rsidR="006F1D4F" w:rsidRPr="006F1D4F">
              <w:rPr>
                <w:noProof/>
                <w:webHidden/>
                <w:color w:val="000000" w:themeColor="text1"/>
              </w:rPr>
            </w:r>
            <w:r w:rsidR="006F1D4F" w:rsidRPr="006F1D4F">
              <w:rPr>
                <w:noProof/>
                <w:webHidden/>
                <w:color w:val="000000" w:themeColor="text1"/>
              </w:rPr>
              <w:fldChar w:fldCharType="separate"/>
            </w:r>
            <w:r>
              <w:rPr>
                <w:noProof/>
                <w:webHidden/>
                <w:color w:val="000000" w:themeColor="text1"/>
              </w:rPr>
              <w:t>27</w:t>
            </w:r>
            <w:r w:rsidR="006F1D4F" w:rsidRPr="006F1D4F">
              <w:rPr>
                <w:noProof/>
                <w:webHidden/>
                <w:color w:val="000000" w:themeColor="text1"/>
              </w:rPr>
              <w:fldChar w:fldCharType="end"/>
            </w:r>
          </w:hyperlink>
        </w:p>
        <w:p w14:paraId="53C135FB" w14:textId="009E87D0" w:rsidR="006F1D4F" w:rsidRPr="006F1D4F" w:rsidRDefault="003053D1">
          <w:pPr>
            <w:pStyle w:val="TOC2"/>
            <w:rPr>
              <w:rFonts w:asciiTheme="minorHAnsi" w:eastAsiaTheme="minorEastAsia" w:hAnsiTheme="minorHAnsi" w:cstheme="minorBidi"/>
              <w:noProof/>
              <w:color w:val="000000" w:themeColor="text1"/>
              <w:sz w:val="22"/>
              <w:lang w:eastAsia="en-AU"/>
            </w:rPr>
          </w:pPr>
          <w:hyperlink w:anchor="_Toc35947114" w:history="1">
            <w:r w:rsidR="006F1D4F" w:rsidRPr="006F1D4F">
              <w:rPr>
                <w:rStyle w:val="Hyperlink"/>
                <w:noProof/>
                <w:color w:val="000000" w:themeColor="text1"/>
              </w:rPr>
              <w:t>3.3</w:t>
            </w:r>
            <w:r w:rsidR="006F1D4F" w:rsidRPr="006F1D4F">
              <w:rPr>
                <w:rFonts w:asciiTheme="minorHAnsi" w:eastAsiaTheme="minorEastAsia" w:hAnsiTheme="minorHAnsi" w:cstheme="minorBidi"/>
                <w:noProof/>
                <w:color w:val="000000" w:themeColor="text1"/>
                <w:sz w:val="22"/>
                <w:lang w:eastAsia="en-AU"/>
              </w:rPr>
              <w:tab/>
            </w:r>
            <w:r w:rsidR="006F1D4F" w:rsidRPr="006F1D4F">
              <w:rPr>
                <w:rStyle w:val="Hyperlink"/>
                <w:noProof/>
                <w:color w:val="000000" w:themeColor="text1"/>
              </w:rPr>
              <w:t>Crown-of-thorns starfish</w:t>
            </w:r>
            <w:r w:rsidR="006F1D4F" w:rsidRPr="006F1D4F">
              <w:rPr>
                <w:noProof/>
                <w:webHidden/>
                <w:color w:val="000000" w:themeColor="text1"/>
              </w:rPr>
              <w:tab/>
            </w:r>
            <w:r w:rsidR="006F1D4F" w:rsidRPr="006F1D4F">
              <w:rPr>
                <w:noProof/>
                <w:webHidden/>
                <w:color w:val="000000" w:themeColor="text1"/>
              </w:rPr>
              <w:fldChar w:fldCharType="begin"/>
            </w:r>
            <w:r w:rsidR="006F1D4F" w:rsidRPr="006F1D4F">
              <w:rPr>
                <w:noProof/>
                <w:webHidden/>
                <w:color w:val="000000" w:themeColor="text1"/>
              </w:rPr>
              <w:instrText xml:space="preserve"> PAGEREF _Toc35947114 \h </w:instrText>
            </w:r>
            <w:r w:rsidR="006F1D4F" w:rsidRPr="006F1D4F">
              <w:rPr>
                <w:noProof/>
                <w:webHidden/>
                <w:color w:val="000000" w:themeColor="text1"/>
              </w:rPr>
            </w:r>
            <w:r w:rsidR="006F1D4F" w:rsidRPr="006F1D4F">
              <w:rPr>
                <w:noProof/>
                <w:webHidden/>
                <w:color w:val="000000" w:themeColor="text1"/>
              </w:rPr>
              <w:fldChar w:fldCharType="separate"/>
            </w:r>
            <w:r>
              <w:rPr>
                <w:noProof/>
                <w:webHidden/>
                <w:color w:val="000000" w:themeColor="text1"/>
              </w:rPr>
              <w:t>30</w:t>
            </w:r>
            <w:r w:rsidR="006F1D4F" w:rsidRPr="006F1D4F">
              <w:rPr>
                <w:noProof/>
                <w:webHidden/>
                <w:color w:val="000000" w:themeColor="text1"/>
              </w:rPr>
              <w:fldChar w:fldCharType="end"/>
            </w:r>
          </w:hyperlink>
        </w:p>
        <w:p w14:paraId="53C135FC" w14:textId="3B807BB6" w:rsidR="006F1D4F" w:rsidRPr="006F1D4F" w:rsidRDefault="003053D1">
          <w:pPr>
            <w:pStyle w:val="TOC2"/>
            <w:rPr>
              <w:rFonts w:asciiTheme="minorHAnsi" w:eastAsiaTheme="minorEastAsia" w:hAnsiTheme="minorHAnsi" w:cstheme="minorBidi"/>
              <w:noProof/>
              <w:color w:val="000000" w:themeColor="text1"/>
              <w:sz w:val="22"/>
              <w:lang w:eastAsia="en-AU"/>
            </w:rPr>
          </w:pPr>
          <w:hyperlink w:anchor="_Toc35947115" w:history="1">
            <w:r w:rsidR="006F1D4F" w:rsidRPr="006F1D4F">
              <w:rPr>
                <w:rStyle w:val="Hyperlink"/>
                <w:noProof/>
                <w:color w:val="000000" w:themeColor="text1"/>
              </w:rPr>
              <w:t>3.4</w:t>
            </w:r>
            <w:r w:rsidR="006F1D4F" w:rsidRPr="006F1D4F">
              <w:rPr>
                <w:rFonts w:asciiTheme="minorHAnsi" w:eastAsiaTheme="minorEastAsia" w:hAnsiTheme="minorHAnsi" w:cstheme="minorBidi"/>
                <w:noProof/>
                <w:color w:val="000000" w:themeColor="text1"/>
                <w:sz w:val="22"/>
                <w:lang w:eastAsia="en-AU"/>
              </w:rPr>
              <w:tab/>
            </w:r>
            <w:r w:rsidR="006F1D4F" w:rsidRPr="006F1D4F">
              <w:rPr>
                <w:rStyle w:val="Hyperlink"/>
                <w:noProof/>
                <w:color w:val="000000" w:themeColor="text1"/>
              </w:rPr>
              <w:t>River discharge</w:t>
            </w:r>
            <w:r w:rsidR="006F1D4F" w:rsidRPr="006F1D4F">
              <w:rPr>
                <w:noProof/>
                <w:webHidden/>
                <w:color w:val="000000" w:themeColor="text1"/>
              </w:rPr>
              <w:tab/>
            </w:r>
            <w:r w:rsidR="006F1D4F" w:rsidRPr="006F1D4F">
              <w:rPr>
                <w:noProof/>
                <w:webHidden/>
                <w:color w:val="000000" w:themeColor="text1"/>
              </w:rPr>
              <w:fldChar w:fldCharType="begin"/>
            </w:r>
            <w:r w:rsidR="006F1D4F" w:rsidRPr="006F1D4F">
              <w:rPr>
                <w:noProof/>
                <w:webHidden/>
                <w:color w:val="000000" w:themeColor="text1"/>
              </w:rPr>
              <w:instrText xml:space="preserve"> PAGEREF _Toc35947115 \h </w:instrText>
            </w:r>
            <w:r w:rsidR="006F1D4F" w:rsidRPr="006F1D4F">
              <w:rPr>
                <w:noProof/>
                <w:webHidden/>
                <w:color w:val="000000" w:themeColor="text1"/>
              </w:rPr>
            </w:r>
            <w:r w:rsidR="006F1D4F" w:rsidRPr="006F1D4F">
              <w:rPr>
                <w:noProof/>
                <w:webHidden/>
                <w:color w:val="000000" w:themeColor="text1"/>
              </w:rPr>
              <w:fldChar w:fldCharType="separate"/>
            </w:r>
            <w:r>
              <w:rPr>
                <w:noProof/>
                <w:webHidden/>
                <w:color w:val="000000" w:themeColor="text1"/>
              </w:rPr>
              <w:t>31</w:t>
            </w:r>
            <w:r w:rsidR="006F1D4F" w:rsidRPr="006F1D4F">
              <w:rPr>
                <w:noProof/>
                <w:webHidden/>
                <w:color w:val="000000" w:themeColor="text1"/>
              </w:rPr>
              <w:fldChar w:fldCharType="end"/>
            </w:r>
          </w:hyperlink>
        </w:p>
        <w:p w14:paraId="53C135FD" w14:textId="469B0CD4" w:rsidR="006F1D4F" w:rsidRPr="006F1D4F" w:rsidRDefault="003053D1">
          <w:pPr>
            <w:pStyle w:val="TOC1"/>
            <w:rPr>
              <w:rFonts w:asciiTheme="minorHAnsi" w:eastAsiaTheme="minorEastAsia" w:hAnsiTheme="minorHAnsi" w:cstheme="minorBidi"/>
              <w:b w:val="0"/>
              <w:color w:val="000000" w:themeColor="text1"/>
              <w:lang w:eastAsia="en-AU"/>
            </w:rPr>
          </w:pPr>
          <w:hyperlink w:anchor="_Toc35947116" w:history="1">
            <w:r w:rsidR="006F1D4F" w:rsidRPr="006F1D4F">
              <w:rPr>
                <w:rStyle w:val="Hyperlink"/>
                <w:color w:val="000000" w:themeColor="text1"/>
              </w:rPr>
              <w:t>4</w:t>
            </w:r>
            <w:r w:rsidR="006F1D4F" w:rsidRPr="006F1D4F">
              <w:rPr>
                <w:rFonts w:asciiTheme="minorHAnsi" w:eastAsiaTheme="minorEastAsia" w:hAnsiTheme="minorHAnsi" w:cstheme="minorBidi"/>
                <w:b w:val="0"/>
                <w:color w:val="000000" w:themeColor="text1"/>
                <w:lang w:eastAsia="en-AU"/>
              </w:rPr>
              <w:tab/>
            </w:r>
            <w:r w:rsidR="006F1D4F" w:rsidRPr="006F1D4F">
              <w:rPr>
                <w:rStyle w:val="Hyperlink"/>
                <w:color w:val="000000" w:themeColor="text1"/>
              </w:rPr>
              <w:t>Coral condition and trend</w:t>
            </w:r>
            <w:r w:rsidR="006F1D4F" w:rsidRPr="006F1D4F">
              <w:rPr>
                <w:webHidden/>
                <w:color w:val="000000" w:themeColor="text1"/>
              </w:rPr>
              <w:tab/>
            </w:r>
            <w:r w:rsidR="006F1D4F" w:rsidRPr="006F1D4F">
              <w:rPr>
                <w:webHidden/>
                <w:color w:val="000000" w:themeColor="text1"/>
              </w:rPr>
              <w:fldChar w:fldCharType="begin"/>
            </w:r>
            <w:r w:rsidR="006F1D4F" w:rsidRPr="006F1D4F">
              <w:rPr>
                <w:webHidden/>
                <w:color w:val="000000" w:themeColor="text1"/>
              </w:rPr>
              <w:instrText xml:space="preserve"> PAGEREF _Toc35947116 \h </w:instrText>
            </w:r>
            <w:r w:rsidR="006F1D4F" w:rsidRPr="006F1D4F">
              <w:rPr>
                <w:webHidden/>
                <w:color w:val="000000" w:themeColor="text1"/>
              </w:rPr>
            </w:r>
            <w:r w:rsidR="006F1D4F" w:rsidRPr="006F1D4F">
              <w:rPr>
                <w:webHidden/>
                <w:color w:val="000000" w:themeColor="text1"/>
              </w:rPr>
              <w:fldChar w:fldCharType="separate"/>
            </w:r>
            <w:r>
              <w:rPr>
                <w:webHidden/>
                <w:color w:val="000000" w:themeColor="text1"/>
              </w:rPr>
              <w:t>33</w:t>
            </w:r>
            <w:r w:rsidR="006F1D4F" w:rsidRPr="006F1D4F">
              <w:rPr>
                <w:webHidden/>
                <w:color w:val="000000" w:themeColor="text1"/>
              </w:rPr>
              <w:fldChar w:fldCharType="end"/>
            </w:r>
          </w:hyperlink>
        </w:p>
        <w:p w14:paraId="53C135FE" w14:textId="7660EA5D" w:rsidR="006F1D4F" w:rsidRPr="006F1D4F" w:rsidRDefault="003053D1">
          <w:pPr>
            <w:pStyle w:val="TOC2"/>
            <w:rPr>
              <w:rFonts w:asciiTheme="minorHAnsi" w:eastAsiaTheme="minorEastAsia" w:hAnsiTheme="minorHAnsi" w:cstheme="minorBidi"/>
              <w:noProof/>
              <w:color w:val="000000" w:themeColor="text1"/>
              <w:sz w:val="22"/>
              <w:lang w:eastAsia="en-AU"/>
            </w:rPr>
          </w:pPr>
          <w:hyperlink w:anchor="_Toc35947117" w:history="1">
            <w:r w:rsidR="006F1D4F" w:rsidRPr="006F1D4F">
              <w:rPr>
                <w:rStyle w:val="Hyperlink"/>
                <w:noProof/>
                <w:color w:val="000000" w:themeColor="text1"/>
              </w:rPr>
              <w:t>4.1</w:t>
            </w:r>
            <w:r w:rsidR="006F1D4F" w:rsidRPr="006F1D4F">
              <w:rPr>
                <w:rFonts w:asciiTheme="minorHAnsi" w:eastAsiaTheme="minorEastAsia" w:hAnsiTheme="minorHAnsi" w:cstheme="minorBidi"/>
                <w:noProof/>
                <w:color w:val="000000" w:themeColor="text1"/>
                <w:sz w:val="22"/>
                <w:lang w:eastAsia="en-AU"/>
              </w:rPr>
              <w:tab/>
            </w:r>
            <w:r w:rsidR="006F1D4F" w:rsidRPr="006F1D4F">
              <w:rPr>
                <w:rStyle w:val="Hyperlink"/>
                <w:noProof/>
                <w:color w:val="000000" w:themeColor="text1"/>
              </w:rPr>
              <w:t>Reef-wide coral condition and trend</w:t>
            </w:r>
            <w:r w:rsidR="006F1D4F" w:rsidRPr="006F1D4F">
              <w:rPr>
                <w:noProof/>
                <w:webHidden/>
                <w:color w:val="000000" w:themeColor="text1"/>
              </w:rPr>
              <w:tab/>
            </w:r>
            <w:r w:rsidR="006F1D4F" w:rsidRPr="006F1D4F">
              <w:rPr>
                <w:noProof/>
                <w:webHidden/>
                <w:color w:val="000000" w:themeColor="text1"/>
              </w:rPr>
              <w:fldChar w:fldCharType="begin"/>
            </w:r>
            <w:r w:rsidR="006F1D4F" w:rsidRPr="006F1D4F">
              <w:rPr>
                <w:noProof/>
                <w:webHidden/>
                <w:color w:val="000000" w:themeColor="text1"/>
              </w:rPr>
              <w:instrText xml:space="preserve"> PAGEREF _Toc35947117 \h </w:instrText>
            </w:r>
            <w:r w:rsidR="006F1D4F" w:rsidRPr="006F1D4F">
              <w:rPr>
                <w:noProof/>
                <w:webHidden/>
                <w:color w:val="000000" w:themeColor="text1"/>
              </w:rPr>
            </w:r>
            <w:r w:rsidR="006F1D4F" w:rsidRPr="006F1D4F">
              <w:rPr>
                <w:noProof/>
                <w:webHidden/>
                <w:color w:val="000000" w:themeColor="text1"/>
              </w:rPr>
              <w:fldChar w:fldCharType="separate"/>
            </w:r>
            <w:r>
              <w:rPr>
                <w:noProof/>
                <w:webHidden/>
                <w:color w:val="000000" w:themeColor="text1"/>
              </w:rPr>
              <w:t>33</w:t>
            </w:r>
            <w:r w:rsidR="006F1D4F" w:rsidRPr="006F1D4F">
              <w:rPr>
                <w:noProof/>
                <w:webHidden/>
                <w:color w:val="000000" w:themeColor="text1"/>
              </w:rPr>
              <w:fldChar w:fldCharType="end"/>
            </w:r>
          </w:hyperlink>
        </w:p>
        <w:p w14:paraId="53C135FF" w14:textId="081B8AFD" w:rsidR="006F1D4F" w:rsidRPr="006F1D4F" w:rsidRDefault="003053D1">
          <w:pPr>
            <w:pStyle w:val="TOC2"/>
            <w:rPr>
              <w:rFonts w:asciiTheme="minorHAnsi" w:eastAsiaTheme="minorEastAsia" w:hAnsiTheme="minorHAnsi" w:cstheme="minorBidi"/>
              <w:noProof/>
              <w:color w:val="000000" w:themeColor="text1"/>
              <w:sz w:val="22"/>
              <w:lang w:eastAsia="en-AU"/>
            </w:rPr>
          </w:pPr>
          <w:hyperlink w:anchor="_Toc35947118" w:history="1">
            <w:r w:rsidR="006F1D4F" w:rsidRPr="006F1D4F">
              <w:rPr>
                <w:rStyle w:val="Hyperlink"/>
                <w:noProof/>
                <w:color w:val="000000" w:themeColor="text1"/>
              </w:rPr>
              <w:t>4.2</w:t>
            </w:r>
            <w:r w:rsidR="006F1D4F" w:rsidRPr="006F1D4F">
              <w:rPr>
                <w:rFonts w:asciiTheme="minorHAnsi" w:eastAsiaTheme="minorEastAsia" w:hAnsiTheme="minorHAnsi" w:cstheme="minorBidi"/>
                <w:noProof/>
                <w:color w:val="000000" w:themeColor="text1"/>
                <w:sz w:val="22"/>
                <w:lang w:eastAsia="en-AU"/>
              </w:rPr>
              <w:tab/>
            </w:r>
            <w:r w:rsidR="006F1D4F" w:rsidRPr="006F1D4F">
              <w:rPr>
                <w:rStyle w:val="Hyperlink"/>
                <w:noProof/>
                <w:color w:val="000000" w:themeColor="text1"/>
              </w:rPr>
              <w:t>Relative impact of disturbances</w:t>
            </w:r>
            <w:r w:rsidR="006F1D4F" w:rsidRPr="006F1D4F">
              <w:rPr>
                <w:noProof/>
                <w:webHidden/>
                <w:color w:val="000000" w:themeColor="text1"/>
              </w:rPr>
              <w:tab/>
            </w:r>
            <w:r w:rsidR="006F1D4F" w:rsidRPr="006F1D4F">
              <w:rPr>
                <w:noProof/>
                <w:webHidden/>
                <w:color w:val="000000" w:themeColor="text1"/>
              </w:rPr>
              <w:fldChar w:fldCharType="begin"/>
            </w:r>
            <w:r w:rsidR="006F1D4F" w:rsidRPr="006F1D4F">
              <w:rPr>
                <w:noProof/>
                <w:webHidden/>
                <w:color w:val="000000" w:themeColor="text1"/>
              </w:rPr>
              <w:instrText xml:space="preserve"> PAGEREF _Toc35947118 \h </w:instrText>
            </w:r>
            <w:r w:rsidR="006F1D4F" w:rsidRPr="006F1D4F">
              <w:rPr>
                <w:noProof/>
                <w:webHidden/>
                <w:color w:val="000000" w:themeColor="text1"/>
              </w:rPr>
            </w:r>
            <w:r w:rsidR="006F1D4F" w:rsidRPr="006F1D4F">
              <w:rPr>
                <w:noProof/>
                <w:webHidden/>
                <w:color w:val="000000" w:themeColor="text1"/>
              </w:rPr>
              <w:fldChar w:fldCharType="separate"/>
            </w:r>
            <w:r>
              <w:rPr>
                <w:noProof/>
                <w:webHidden/>
                <w:color w:val="000000" w:themeColor="text1"/>
              </w:rPr>
              <w:t>34</w:t>
            </w:r>
            <w:r w:rsidR="006F1D4F" w:rsidRPr="006F1D4F">
              <w:rPr>
                <w:noProof/>
                <w:webHidden/>
                <w:color w:val="000000" w:themeColor="text1"/>
              </w:rPr>
              <w:fldChar w:fldCharType="end"/>
            </w:r>
          </w:hyperlink>
        </w:p>
        <w:p w14:paraId="53C13600" w14:textId="28E943A8" w:rsidR="006F1D4F" w:rsidRPr="006F1D4F" w:rsidRDefault="003053D1">
          <w:pPr>
            <w:pStyle w:val="TOC2"/>
            <w:rPr>
              <w:rFonts w:asciiTheme="minorHAnsi" w:eastAsiaTheme="minorEastAsia" w:hAnsiTheme="minorHAnsi" w:cstheme="minorBidi"/>
              <w:noProof/>
              <w:color w:val="000000" w:themeColor="text1"/>
              <w:sz w:val="22"/>
              <w:lang w:eastAsia="en-AU"/>
            </w:rPr>
          </w:pPr>
          <w:hyperlink w:anchor="_Toc35947119" w:history="1">
            <w:r w:rsidR="006F1D4F" w:rsidRPr="006F1D4F">
              <w:rPr>
                <w:rStyle w:val="Hyperlink"/>
                <w:noProof/>
                <w:color w:val="000000" w:themeColor="text1"/>
                <w:lang w:val="en-GB"/>
              </w:rPr>
              <w:t>4.3</w:t>
            </w:r>
            <w:r w:rsidR="006F1D4F" w:rsidRPr="006F1D4F">
              <w:rPr>
                <w:rFonts w:asciiTheme="minorHAnsi" w:eastAsiaTheme="minorEastAsia" w:hAnsiTheme="minorHAnsi" w:cstheme="minorBidi"/>
                <w:noProof/>
                <w:color w:val="000000" w:themeColor="text1"/>
                <w:sz w:val="22"/>
                <w:lang w:eastAsia="en-AU"/>
              </w:rPr>
              <w:tab/>
            </w:r>
            <w:r w:rsidR="006F1D4F" w:rsidRPr="006F1D4F">
              <w:rPr>
                <w:rStyle w:val="Hyperlink"/>
                <w:noProof/>
                <w:color w:val="000000" w:themeColor="text1"/>
                <w:lang w:val="en-GB"/>
              </w:rPr>
              <w:t>Coral condition and trends in each (sub-)region</w:t>
            </w:r>
            <w:r w:rsidR="006F1D4F" w:rsidRPr="006F1D4F">
              <w:rPr>
                <w:noProof/>
                <w:webHidden/>
                <w:color w:val="000000" w:themeColor="text1"/>
              </w:rPr>
              <w:tab/>
            </w:r>
            <w:r w:rsidR="006F1D4F" w:rsidRPr="006F1D4F">
              <w:rPr>
                <w:noProof/>
                <w:webHidden/>
                <w:color w:val="000000" w:themeColor="text1"/>
              </w:rPr>
              <w:fldChar w:fldCharType="begin"/>
            </w:r>
            <w:r w:rsidR="006F1D4F" w:rsidRPr="006F1D4F">
              <w:rPr>
                <w:noProof/>
                <w:webHidden/>
                <w:color w:val="000000" w:themeColor="text1"/>
              </w:rPr>
              <w:instrText xml:space="preserve"> PAGEREF _Toc35947119 \h </w:instrText>
            </w:r>
            <w:r w:rsidR="006F1D4F" w:rsidRPr="006F1D4F">
              <w:rPr>
                <w:noProof/>
                <w:webHidden/>
                <w:color w:val="000000" w:themeColor="text1"/>
              </w:rPr>
            </w:r>
            <w:r w:rsidR="006F1D4F" w:rsidRPr="006F1D4F">
              <w:rPr>
                <w:noProof/>
                <w:webHidden/>
                <w:color w:val="000000" w:themeColor="text1"/>
              </w:rPr>
              <w:fldChar w:fldCharType="separate"/>
            </w:r>
            <w:r>
              <w:rPr>
                <w:noProof/>
                <w:webHidden/>
                <w:color w:val="000000" w:themeColor="text1"/>
              </w:rPr>
              <w:t>36</w:t>
            </w:r>
            <w:r w:rsidR="006F1D4F" w:rsidRPr="006F1D4F">
              <w:rPr>
                <w:noProof/>
                <w:webHidden/>
                <w:color w:val="000000" w:themeColor="text1"/>
              </w:rPr>
              <w:fldChar w:fldCharType="end"/>
            </w:r>
          </w:hyperlink>
        </w:p>
        <w:p w14:paraId="53C13601" w14:textId="6AD33B7B" w:rsidR="006F1D4F" w:rsidRPr="006F1D4F" w:rsidRDefault="003053D1">
          <w:pPr>
            <w:pStyle w:val="TOC3"/>
            <w:rPr>
              <w:rFonts w:asciiTheme="minorHAnsi" w:eastAsiaTheme="minorEastAsia" w:hAnsiTheme="minorHAnsi" w:cstheme="minorBidi"/>
              <w:sz w:val="22"/>
              <w:lang w:eastAsia="en-AU"/>
            </w:rPr>
          </w:pPr>
          <w:hyperlink w:anchor="_Toc35947120" w:history="1">
            <w:r w:rsidR="006F1D4F" w:rsidRPr="006F1D4F">
              <w:rPr>
                <w:rStyle w:val="Hyperlink"/>
                <w:color w:val="000000" w:themeColor="text1"/>
              </w:rPr>
              <w:t>4.3.1</w:t>
            </w:r>
            <w:r w:rsidR="006F1D4F" w:rsidRPr="006F1D4F">
              <w:rPr>
                <w:rFonts w:asciiTheme="minorHAnsi" w:eastAsiaTheme="minorEastAsia" w:hAnsiTheme="minorHAnsi" w:cstheme="minorBidi"/>
                <w:sz w:val="22"/>
                <w:lang w:eastAsia="en-AU"/>
              </w:rPr>
              <w:tab/>
            </w:r>
            <w:r w:rsidR="006F1D4F" w:rsidRPr="006F1D4F">
              <w:rPr>
                <w:rStyle w:val="Hyperlink"/>
                <w:color w:val="000000" w:themeColor="text1"/>
              </w:rPr>
              <w:t>Wet Tropics region</w:t>
            </w:r>
            <w:r w:rsidR="006F1D4F" w:rsidRPr="006F1D4F">
              <w:rPr>
                <w:webHidden/>
              </w:rPr>
              <w:tab/>
            </w:r>
            <w:r w:rsidR="006F1D4F" w:rsidRPr="006F1D4F">
              <w:rPr>
                <w:webHidden/>
              </w:rPr>
              <w:fldChar w:fldCharType="begin"/>
            </w:r>
            <w:r w:rsidR="006F1D4F" w:rsidRPr="006F1D4F">
              <w:rPr>
                <w:webHidden/>
              </w:rPr>
              <w:instrText xml:space="preserve"> PAGEREF _Toc35947120 \h </w:instrText>
            </w:r>
            <w:r w:rsidR="006F1D4F" w:rsidRPr="006F1D4F">
              <w:rPr>
                <w:webHidden/>
              </w:rPr>
            </w:r>
            <w:r w:rsidR="006F1D4F" w:rsidRPr="006F1D4F">
              <w:rPr>
                <w:webHidden/>
              </w:rPr>
              <w:fldChar w:fldCharType="separate"/>
            </w:r>
            <w:r>
              <w:rPr>
                <w:webHidden/>
              </w:rPr>
              <w:t>36</w:t>
            </w:r>
            <w:r w:rsidR="006F1D4F" w:rsidRPr="006F1D4F">
              <w:rPr>
                <w:webHidden/>
              </w:rPr>
              <w:fldChar w:fldCharType="end"/>
            </w:r>
          </w:hyperlink>
        </w:p>
        <w:p w14:paraId="53C13602" w14:textId="7578F4AD" w:rsidR="006F1D4F" w:rsidRPr="006F1D4F" w:rsidRDefault="003053D1">
          <w:pPr>
            <w:pStyle w:val="TOC3"/>
            <w:rPr>
              <w:rFonts w:asciiTheme="minorHAnsi" w:eastAsiaTheme="minorEastAsia" w:hAnsiTheme="minorHAnsi" w:cstheme="minorBidi"/>
              <w:sz w:val="22"/>
              <w:lang w:eastAsia="en-AU"/>
            </w:rPr>
          </w:pPr>
          <w:hyperlink w:anchor="_Toc35947121" w:history="1">
            <w:r w:rsidR="006F1D4F" w:rsidRPr="006F1D4F">
              <w:rPr>
                <w:rStyle w:val="Hyperlink"/>
                <w:color w:val="000000" w:themeColor="text1"/>
              </w:rPr>
              <w:t>4.3.2</w:t>
            </w:r>
            <w:r w:rsidR="006F1D4F" w:rsidRPr="006F1D4F">
              <w:rPr>
                <w:rFonts w:asciiTheme="minorHAnsi" w:eastAsiaTheme="minorEastAsia" w:hAnsiTheme="minorHAnsi" w:cstheme="minorBidi"/>
                <w:sz w:val="22"/>
                <w:lang w:eastAsia="en-AU"/>
              </w:rPr>
              <w:tab/>
            </w:r>
            <w:r w:rsidR="006F1D4F" w:rsidRPr="006F1D4F">
              <w:rPr>
                <w:rStyle w:val="Hyperlink"/>
                <w:color w:val="000000" w:themeColor="text1"/>
              </w:rPr>
              <w:t>Wet Tropics region: Barron Daintree sub-region</w:t>
            </w:r>
            <w:r w:rsidR="006F1D4F" w:rsidRPr="006F1D4F">
              <w:rPr>
                <w:webHidden/>
              </w:rPr>
              <w:tab/>
            </w:r>
            <w:r w:rsidR="006F1D4F" w:rsidRPr="006F1D4F">
              <w:rPr>
                <w:webHidden/>
              </w:rPr>
              <w:fldChar w:fldCharType="begin"/>
            </w:r>
            <w:r w:rsidR="006F1D4F" w:rsidRPr="006F1D4F">
              <w:rPr>
                <w:webHidden/>
              </w:rPr>
              <w:instrText xml:space="preserve"> PAGEREF _Toc35947121 \h </w:instrText>
            </w:r>
            <w:r w:rsidR="006F1D4F" w:rsidRPr="006F1D4F">
              <w:rPr>
                <w:webHidden/>
              </w:rPr>
            </w:r>
            <w:r w:rsidR="006F1D4F" w:rsidRPr="006F1D4F">
              <w:rPr>
                <w:webHidden/>
              </w:rPr>
              <w:fldChar w:fldCharType="separate"/>
            </w:r>
            <w:r>
              <w:rPr>
                <w:webHidden/>
              </w:rPr>
              <w:t>37</w:t>
            </w:r>
            <w:r w:rsidR="006F1D4F" w:rsidRPr="006F1D4F">
              <w:rPr>
                <w:webHidden/>
              </w:rPr>
              <w:fldChar w:fldCharType="end"/>
            </w:r>
          </w:hyperlink>
        </w:p>
        <w:p w14:paraId="53C13603" w14:textId="537F5144" w:rsidR="006F1D4F" w:rsidRPr="006F1D4F" w:rsidRDefault="003053D1">
          <w:pPr>
            <w:pStyle w:val="TOC3"/>
            <w:rPr>
              <w:rFonts w:asciiTheme="minorHAnsi" w:eastAsiaTheme="minorEastAsia" w:hAnsiTheme="minorHAnsi" w:cstheme="minorBidi"/>
              <w:sz w:val="22"/>
              <w:lang w:eastAsia="en-AU"/>
            </w:rPr>
          </w:pPr>
          <w:hyperlink w:anchor="_Toc35947122" w:history="1">
            <w:r w:rsidR="006F1D4F" w:rsidRPr="006F1D4F">
              <w:rPr>
                <w:rStyle w:val="Hyperlink"/>
                <w:color w:val="000000" w:themeColor="text1"/>
              </w:rPr>
              <w:t>4.3.3</w:t>
            </w:r>
            <w:r w:rsidR="006F1D4F" w:rsidRPr="006F1D4F">
              <w:rPr>
                <w:rFonts w:asciiTheme="minorHAnsi" w:eastAsiaTheme="minorEastAsia" w:hAnsiTheme="minorHAnsi" w:cstheme="minorBidi"/>
                <w:sz w:val="22"/>
                <w:lang w:eastAsia="en-AU"/>
              </w:rPr>
              <w:tab/>
            </w:r>
            <w:r w:rsidR="006F1D4F" w:rsidRPr="006F1D4F">
              <w:rPr>
                <w:rStyle w:val="Hyperlink"/>
                <w:color w:val="000000" w:themeColor="text1"/>
              </w:rPr>
              <w:t>Wet Tropics region: Johnstone Russell-Mulgrave sub-region</w:t>
            </w:r>
            <w:r w:rsidR="006F1D4F" w:rsidRPr="006F1D4F">
              <w:rPr>
                <w:webHidden/>
              </w:rPr>
              <w:tab/>
            </w:r>
            <w:r w:rsidR="006F1D4F" w:rsidRPr="006F1D4F">
              <w:rPr>
                <w:webHidden/>
              </w:rPr>
              <w:fldChar w:fldCharType="begin"/>
            </w:r>
            <w:r w:rsidR="006F1D4F" w:rsidRPr="006F1D4F">
              <w:rPr>
                <w:webHidden/>
              </w:rPr>
              <w:instrText xml:space="preserve"> PAGEREF _Toc35947122 \h </w:instrText>
            </w:r>
            <w:r w:rsidR="006F1D4F" w:rsidRPr="006F1D4F">
              <w:rPr>
                <w:webHidden/>
              </w:rPr>
            </w:r>
            <w:r w:rsidR="006F1D4F" w:rsidRPr="006F1D4F">
              <w:rPr>
                <w:webHidden/>
              </w:rPr>
              <w:fldChar w:fldCharType="separate"/>
            </w:r>
            <w:r>
              <w:rPr>
                <w:webHidden/>
              </w:rPr>
              <w:t>41</w:t>
            </w:r>
            <w:r w:rsidR="006F1D4F" w:rsidRPr="006F1D4F">
              <w:rPr>
                <w:webHidden/>
              </w:rPr>
              <w:fldChar w:fldCharType="end"/>
            </w:r>
          </w:hyperlink>
        </w:p>
        <w:p w14:paraId="53C13604" w14:textId="5A10890E" w:rsidR="006F1D4F" w:rsidRPr="006F1D4F" w:rsidRDefault="003053D1">
          <w:pPr>
            <w:pStyle w:val="TOC3"/>
            <w:rPr>
              <w:rFonts w:asciiTheme="minorHAnsi" w:eastAsiaTheme="minorEastAsia" w:hAnsiTheme="minorHAnsi" w:cstheme="minorBidi"/>
              <w:sz w:val="22"/>
              <w:lang w:eastAsia="en-AU"/>
            </w:rPr>
          </w:pPr>
          <w:hyperlink w:anchor="_Toc35947123" w:history="1">
            <w:r w:rsidR="006F1D4F" w:rsidRPr="006F1D4F">
              <w:rPr>
                <w:rStyle w:val="Hyperlink"/>
                <w:color w:val="000000" w:themeColor="text1"/>
              </w:rPr>
              <w:t>4.3.4</w:t>
            </w:r>
            <w:r w:rsidR="006F1D4F" w:rsidRPr="006F1D4F">
              <w:rPr>
                <w:rFonts w:asciiTheme="minorHAnsi" w:eastAsiaTheme="minorEastAsia" w:hAnsiTheme="minorHAnsi" w:cstheme="minorBidi"/>
                <w:sz w:val="22"/>
                <w:lang w:eastAsia="en-AU"/>
              </w:rPr>
              <w:tab/>
            </w:r>
            <w:r w:rsidR="006F1D4F" w:rsidRPr="006F1D4F">
              <w:rPr>
                <w:rStyle w:val="Hyperlink"/>
                <w:color w:val="000000" w:themeColor="text1"/>
              </w:rPr>
              <w:t>Wet Tropics region: Herbert Tully sub-region</w:t>
            </w:r>
            <w:r w:rsidR="006F1D4F" w:rsidRPr="006F1D4F">
              <w:rPr>
                <w:webHidden/>
              </w:rPr>
              <w:tab/>
            </w:r>
            <w:r w:rsidR="006F1D4F" w:rsidRPr="006F1D4F">
              <w:rPr>
                <w:webHidden/>
              </w:rPr>
              <w:fldChar w:fldCharType="begin"/>
            </w:r>
            <w:r w:rsidR="006F1D4F" w:rsidRPr="006F1D4F">
              <w:rPr>
                <w:webHidden/>
              </w:rPr>
              <w:instrText xml:space="preserve"> PAGEREF _Toc35947123 \h </w:instrText>
            </w:r>
            <w:r w:rsidR="006F1D4F" w:rsidRPr="006F1D4F">
              <w:rPr>
                <w:webHidden/>
              </w:rPr>
            </w:r>
            <w:r w:rsidR="006F1D4F" w:rsidRPr="006F1D4F">
              <w:rPr>
                <w:webHidden/>
              </w:rPr>
              <w:fldChar w:fldCharType="separate"/>
            </w:r>
            <w:r>
              <w:rPr>
                <w:webHidden/>
              </w:rPr>
              <w:t>45</w:t>
            </w:r>
            <w:r w:rsidR="006F1D4F" w:rsidRPr="006F1D4F">
              <w:rPr>
                <w:webHidden/>
              </w:rPr>
              <w:fldChar w:fldCharType="end"/>
            </w:r>
          </w:hyperlink>
        </w:p>
        <w:p w14:paraId="53C13605" w14:textId="4DC70CF2" w:rsidR="006F1D4F" w:rsidRPr="006F1D4F" w:rsidRDefault="003053D1">
          <w:pPr>
            <w:pStyle w:val="TOC2"/>
            <w:rPr>
              <w:rFonts w:asciiTheme="minorHAnsi" w:eastAsiaTheme="minorEastAsia" w:hAnsiTheme="minorHAnsi" w:cstheme="minorBidi"/>
              <w:noProof/>
              <w:color w:val="000000" w:themeColor="text1"/>
              <w:sz w:val="22"/>
              <w:lang w:eastAsia="en-AU"/>
            </w:rPr>
          </w:pPr>
          <w:hyperlink w:anchor="_Toc35947124" w:history="1">
            <w:r w:rsidR="006F1D4F" w:rsidRPr="006F1D4F">
              <w:rPr>
                <w:rStyle w:val="Hyperlink"/>
                <w:noProof/>
                <w:color w:val="000000" w:themeColor="text1"/>
              </w:rPr>
              <w:t>4.4</w:t>
            </w:r>
            <w:r w:rsidR="006F1D4F" w:rsidRPr="006F1D4F">
              <w:rPr>
                <w:rFonts w:asciiTheme="minorHAnsi" w:eastAsiaTheme="minorEastAsia" w:hAnsiTheme="minorHAnsi" w:cstheme="minorBidi"/>
                <w:noProof/>
                <w:color w:val="000000" w:themeColor="text1"/>
                <w:sz w:val="22"/>
                <w:lang w:eastAsia="en-AU"/>
              </w:rPr>
              <w:tab/>
            </w:r>
            <w:r w:rsidR="006F1D4F" w:rsidRPr="006F1D4F">
              <w:rPr>
                <w:rStyle w:val="Hyperlink"/>
                <w:noProof/>
                <w:color w:val="000000" w:themeColor="text1"/>
              </w:rPr>
              <w:t>Burdekin region</w:t>
            </w:r>
            <w:r w:rsidR="006F1D4F" w:rsidRPr="006F1D4F">
              <w:rPr>
                <w:noProof/>
                <w:webHidden/>
                <w:color w:val="000000" w:themeColor="text1"/>
              </w:rPr>
              <w:tab/>
            </w:r>
            <w:r w:rsidR="006F1D4F" w:rsidRPr="006F1D4F">
              <w:rPr>
                <w:noProof/>
                <w:webHidden/>
                <w:color w:val="000000" w:themeColor="text1"/>
              </w:rPr>
              <w:fldChar w:fldCharType="begin"/>
            </w:r>
            <w:r w:rsidR="006F1D4F" w:rsidRPr="006F1D4F">
              <w:rPr>
                <w:noProof/>
                <w:webHidden/>
                <w:color w:val="000000" w:themeColor="text1"/>
              </w:rPr>
              <w:instrText xml:space="preserve"> PAGEREF _Toc35947124 \h </w:instrText>
            </w:r>
            <w:r w:rsidR="006F1D4F" w:rsidRPr="006F1D4F">
              <w:rPr>
                <w:noProof/>
                <w:webHidden/>
                <w:color w:val="000000" w:themeColor="text1"/>
              </w:rPr>
            </w:r>
            <w:r w:rsidR="006F1D4F" w:rsidRPr="006F1D4F">
              <w:rPr>
                <w:noProof/>
                <w:webHidden/>
                <w:color w:val="000000" w:themeColor="text1"/>
              </w:rPr>
              <w:fldChar w:fldCharType="separate"/>
            </w:r>
            <w:r>
              <w:rPr>
                <w:noProof/>
                <w:webHidden/>
                <w:color w:val="000000" w:themeColor="text1"/>
              </w:rPr>
              <w:t>49</w:t>
            </w:r>
            <w:r w:rsidR="006F1D4F" w:rsidRPr="006F1D4F">
              <w:rPr>
                <w:noProof/>
                <w:webHidden/>
                <w:color w:val="000000" w:themeColor="text1"/>
              </w:rPr>
              <w:fldChar w:fldCharType="end"/>
            </w:r>
          </w:hyperlink>
        </w:p>
        <w:p w14:paraId="53C13606" w14:textId="40C9C365" w:rsidR="006F1D4F" w:rsidRPr="006F1D4F" w:rsidRDefault="003053D1">
          <w:pPr>
            <w:pStyle w:val="TOC2"/>
            <w:rPr>
              <w:rFonts w:asciiTheme="minorHAnsi" w:eastAsiaTheme="minorEastAsia" w:hAnsiTheme="minorHAnsi" w:cstheme="minorBidi"/>
              <w:noProof/>
              <w:color w:val="000000" w:themeColor="text1"/>
              <w:sz w:val="22"/>
              <w:lang w:eastAsia="en-AU"/>
            </w:rPr>
          </w:pPr>
          <w:hyperlink w:anchor="_Toc35947125" w:history="1">
            <w:r w:rsidR="006F1D4F" w:rsidRPr="006F1D4F">
              <w:rPr>
                <w:rStyle w:val="Hyperlink"/>
                <w:noProof/>
                <w:color w:val="000000" w:themeColor="text1"/>
              </w:rPr>
              <w:t>4.5</w:t>
            </w:r>
            <w:r w:rsidR="006F1D4F" w:rsidRPr="006F1D4F">
              <w:rPr>
                <w:rFonts w:asciiTheme="minorHAnsi" w:eastAsiaTheme="minorEastAsia" w:hAnsiTheme="minorHAnsi" w:cstheme="minorBidi"/>
                <w:noProof/>
                <w:color w:val="000000" w:themeColor="text1"/>
                <w:sz w:val="22"/>
                <w:lang w:eastAsia="en-AU"/>
              </w:rPr>
              <w:tab/>
            </w:r>
            <w:r w:rsidR="006F1D4F" w:rsidRPr="006F1D4F">
              <w:rPr>
                <w:rStyle w:val="Hyperlink"/>
                <w:noProof/>
                <w:color w:val="000000" w:themeColor="text1"/>
              </w:rPr>
              <w:t>Mackay-Whitsunday region</w:t>
            </w:r>
            <w:r w:rsidR="006F1D4F" w:rsidRPr="006F1D4F">
              <w:rPr>
                <w:noProof/>
                <w:webHidden/>
                <w:color w:val="000000" w:themeColor="text1"/>
              </w:rPr>
              <w:tab/>
            </w:r>
            <w:r w:rsidR="006F1D4F" w:rsidRPr="006F1D4F">
              <w:rPr>
                <w:noProof/>
                <w:webHidden/>
                <w:color w:val="000000" w:themeColor="text1"/>
              </w:rPr>
              <w:fldChar w:fldCharType="begin"/>
            </w:r>
            <w:r w:rsidR="006F1D4F" w:rsidRPr="006F1D4F">
              <w:rPr>
                <w:noProof/>
                <w:webHidden/>
                <w:color w:val="000000" w:themeColor="text1"/>
              </w:rPr>
              <w:instrText xml:space="preserve"> PAGEREF _Toc35947125 \h </w:instrText>
            </w:r>
            <w:r w:rsidR="006F1D4F" w:rsidRPr="006F1D4F">
              <w:rPr>
                <w:noProof/>
                <w:webHidden/>
                <w:color w:val="000000" w:themeColor="text1"/>
              </w:rPr>
            </w:r>
            <w:r w:rsidR="006F1D4F" w:rsidRPr="006F1D4F">
              <w:rPr>
                <w:noProof/>
                <w:webHidden/>
                <w:color w:val="000000" w:themeColor="text1"/>
              </w:rPr>
              <w:fldChar w:fldCharType="separate"/>
            </w:r>
            <w:r>
              <w:rPr>
                <w:noProof/>
                <w:webHidden/>
                <w:color w:val="000000" w:themeColor="text1"/>
              </w:rPr>
              <w:t>53</w:t>
            </w:r>
            <w:r w:rsidR="006F1D4F" w:rsidRPr="006F1D4F">
              <w:rPr>
                <w:noProof/>
                <w:webHidden/>
                <w:color w:val="000000" w:themeColor="text1"/>
              </w:rPr>
              <w:fldChar w:fldCharType="end"/>
            </w:r>
          </w:hyperlink>
        </w:p>
        <w:p w14:paraId="53C13607" w14:textId="6D42AC7F" w:rsidR="006F1D4F" w:rsidRPr="006F1D4F" w:rsidRDefault="003053D1">
          <w:pPr>
            <w:pStyle w:val="TOC2"/>
            <w:rPr>
              <w:rFonts w:asciiTheme="minorHAnsi" w:eastAsiaTheme="minorEastAsia" w:hAnsiTheme="minorHAnsi" w:cstheme="minorBidi"/>
              <w:noProof/>
              <w:color w:val="000000" w:themeColor="text1"/>
              <w:sz w:val="22"/>
              <w:lang w:eastAsia="en-AU"/>
            </w:rPr>
          </w:pPr>
          <w:hyperlink w:anchor="_Toc35947126" w:history="1">
            <w:r w:rsidR="006F1D4F" w:rsidRPr="006F1D4F">
              <w:rPr>
                <w:rStyle w:val="Hyperlink"/>
                <w:noProof/>
                <w:color w:val="000000" w:themeColor="text1"/>
              </w:rPr>
              <w:t>4.6</w:t>
            </w:r>
            <w:r w:rsidR="006F1D4F" w:rsidRPr="006F1D4F">
              <w:rPr>
                <w:rFonts w:asciiTheme="minorHAnsi" w:eastAsiaTheme="minorEastAsia" w:hAnsiTheme="minorHAnsi" w:cstheme="minorBidi"/>
                <w:noProof/>
                <w:color w:val="000000" w:themeColor="text1"/>
                <w:sz w:val="22"/>
                <w:lang w:eastAsia="en-AU"/>
              </w:rPr>
              <w:tab/>
            </w:r>
            <w:r w:rsidR="006F1D4F" w:rsidRPr="006F1D4F">
              <w:rPr>
                <w:rStyle w:val="Hyperlink"/>
                <w:noProof/>
                <w:color w:val="000000" w:themeColor="text1"/>
              </w:rPr>
              <w:t>Fitzroy region</w:t>
            </w:r>
            <w:r w:rsidR="006F1D4F" w:rsidRPr="006F1D4F">
              <w:rPr>
                <w:noProof/>
                <w:webHidden/>
                <w:color w:val="000000" w:themeColor="text1"/>
              </w:rPr>
              <w:tab/>
            </w:r>
            <w:r w:rsidR="006F1D4F" w:rsidRPr="006F1D4F">
              <w:rPr>
                <w:noProof/>
                <w:webHidden/>
                <w:color w:val="000000" w:themeColor="text1"/>
              </w:rPr>
              <w:fldChar w:fldCharType="begin"/>
            </w:r>
            <w:r w:rsidR="006F1D4F" w:rsidRPr="006F1D4F">
              <w:rPr>
                <w:noProof/>
                <w:webHidden/>
                <w:color w:val="000000" w:themeColor="text1"/>
              </w:rPr>
              <w:instrText xml:space="preserve"> PAGEREF _Toc35947126 \h </w:instrText>
            </w:r>
            <w:r w:rsidR="006F1D4F" w:rsidRPr="006F1D4F">
              <w:rPr>
                <w:noProof/>
                <w:webHidden/>
                <w:color w:val="000000" w:themeColor="text1"/>
              </w:rPr>
            </w:r>
            <w:r w:rsidR="006F1D4F" w:rsidRPr="006F1D4F">
              <w:rPr>
                <w:noProof/>
                <w:webHidden/>
                <w:color w:val="000000" w:themeColor="text1"/>
              </w:rPr>
              <w:fldChar w:fldCharType="separate"/>
            </w:r>
            <w:r>
              <w:rPr>
                <w:noProof/>
                <w:webHidden/>
                <w:color w:val="000000" w:themeColor="text1"/>
              </w:rPr>
              <w:t>57</w:t>
            </w:r>
            <w:r w:rsidR="006F1D4F" w:rsidRPr="006F1D4F">
              <w:rPr>
                <w:noProof/>
                <w:webHidden/>
                <w:color w:val="000000" w:themeColor="text1"/>
              </w:rPr>
              <w:fldChar w:fldCharType="end"/>
            </w:r>
          </w:hyperlink>
        </w:p>
        <w:p w14:paraId="53C13608" w14:textId="0B9582B3" w:rsidR="006F1D4F" w:rsidRPr="006F1D4F" w:rsidRDefault="003053D1">
          <w:pPr>
            <w:pStyle w:val="TOC2"/>
            <w:rPr>
              <w:rFonts w:asciiTheme="minorHAnsi" w:eastAsiaTheme="minorEastAsia" w:hAnsiTheme="minorHAnsi" w:cstheme="minorBidi"/>
              <w:noProof/>
              <w:color w:val="000000" w:themeColor="text1"/>
              <w:sz w:val="22"/>
              <w:lang w:eastAsia="en-AU"/>
            </w:rPr>
          </w:pPr>
          <w:hyperlink w:anchor="_Toc35947127" w:history="1">
            <w:r w:rsidR="006F1D4F" w:rsidRPr="006F1D4F">
              <w:rPr>
                <w:rStyle w:val="Hyperlink"/>
                <w:noProof/>
                <w:color w:val="000000" w:themeColor="text1"/>
                <w:lang w:val="en-GB"/>
              </w:rPr>
              <w:t>4.7</w:t>
            </w:r>
            <w:r w:rsidR="006F1D4F" w:rsidRPr="006F1D4F">
              <w:rPr>
                <w:rFonts w:asciiTheme="minorHAnsi" w:eastAsiaTheme="minorEastAsia" w:hAnsiTheme="minorHAnsi" w:cstheme="minorBidi"/>
                <w:noProof/>
                <w:color w:val="000000" w:themeColor="text1"/>
                <w:sz w:val="22"/>
                <w:lang w:eastAsia="en-AU"/>
              </w:rPr>
              <w:tab/>
            </w:r>
            <w:r w:rsidR="006F1D4F" w:rsidRPr="006F1D4F">
              <w:rPr>
                <w:rStyle w:val="Hyperlink"/>
                <w:noProof/>
                <w:color w:val="000000" w:themeColor="text1"/>
                <w:lang w:val="en-GB"/>
              </w:rPr>
              <w:t>Response of coral communities to environmental conditions</w:t>
            </w:r>
            <w:r w:rsidR="006F1D4F" w:rsidRPr="006F1D4F">
              <w:rPr>
                <w:noProof/>
                <w:webHidden/>
                <w:color w:val="000000" w:themeColor="text1"/>
              </w:rPr>
              <w:tab/>
            </w:r>
            <w:r w:rsidR="006F1D4F" w:rsidRPr="006F1D4F">
              <w:rPr>
                <w:noProof/>
                <w:webHidden/>
                <w:color w:val="000000" w:themeColor="text1"/>
              </w:rPr>
              <w:fldChar w:fldCharType="begin"/>
            </w:r>
            <w:r w:rsidR="006F1D4F" w:rsidRPr="006F1D4F">
              <w:rPr>
                <w:noProof/>
                <w:webHidden/>
                <w:color w:val="000000" w:themeColor="text1"/>
              </w:rPr>
              <w:instrText xml:space="preserve"> PAGEREF _Toc35947127 \h </w:instrText>
            </w:r>
            <w:r w:rsidR="006F1D4F" w:rsidRPr="006F1D4F">
              <w:rPr>
                <w:noProof/>
                <w:webHidden/>
                <w:color w:val="000000" w:themeColor="text1"/>
              </w:rPr>
            </w:r>
            <w:r w:rsidR="006F1D4F" w:rsidRPr="006F1D4F">
              <w:rPr>
                <w:noProof/>
                <w:webHidden/>
                <w:color w:val="000000" w:themeColor="text1"/>
              </w:rPr>
              <w:fldChar w:fldCharType="separate"/>
            </w:r>
            <w:r>
              <w:rPr>
                <w:noProof/>
                <w:webHidden/>
                <w:color w:val="000000" w:themeColor="text1"/>
              </w:rPr>
              <w:t>61</w:t>
            </w:r>
            <w:r w:rsidR="006F1D4F" w:rsidRPr="006F1D4F">
              <w:rPr>
                <w:noProof/>
                <w:webHidden/>
                <w:color w:val="000000" w:themeColor="text1"/>
              </w:rPr>
              <w:fldChar w:fldCharType="end"/>
            </w:r>
          </w:hyperlink>
        </w:p>
        <w:p w14:paraId="53C13609" w14:textId="4FCAEEDE" w:rsidR="006F1D4F" w:rsidRPr="006F1D4F" w:rsidRDefault="003053D1">
          <w:pPr>
            <w:pStyle w:val="TOC3"/>
            <w:rPr>
              <w:rFonts w:asciiTheme="minorHAnsi" w:eastAsiaTheme="minorEastAsia" w:hAnsiTheme="minorHAnsi" w:cstheme="minorBidi"/>
              <w:sz w:val="22"/>
              <w:lang w:eastAsia="en-AU"/>
            </w:rPr>
          </w:pPr>
          <w:hyperlink w:anchor="_Toc35947128" w:history="1">
            <w:r w:rsidR="006F1D4F" w:rsidRPr="006F1D4F">
              <w:rPr>
                <w:rStyle w:val="Hyperlink"/>
                <w:color w:val="000000" w:themeColor="text1"/>
              </w:rPr>
              <w:t>4.7.1</w:t>
            </w:r>
            <w:r w:rsidR="006F1D4F" w:rsidRPr="006F1D4F">
              <w:rPr>
                <w:rFonts w:asciiTheme="minorHAnsi" w:eastAsiaTheme="minorEastAsia" w:hAnsiTheme="minorHAnsi" w:cstheme="minorBidi"/>
                <w:sz w:val="22"/>
                <w:lang w:eastAsia="en-AU"/>
              </w:rPr>
              <w:tab/>
            </w:r>
            <w:r w:rsidR="006F1D4F" w:rsidRPr="006F1D4F">
              <w:rPr>
                <w:rStyle w:val="Hyperlink"/>
                <w:color w:val="000000" w:themeColor="text1"/>
              </w:rPr>
              <w:t>Location along water quality gradients</w:t>
            </w:r>
            <w:r w:rsidR="006F1D4F" w:rsidRPr="006F1D4F">
              <w:rPr>
                <w:webHidden/>
              </w:rPr>
              <w:tab/>
            </w:r>
            <w:r w:rsidR="006F1D4F" w:rsidRPr="006F1D4F">
              <w:rPr>
                <w:webHidden/>
              </w:rPr>
              <w:fldChar w:fldCharType="begin"/>
            </w:r>
            <w:r w:rsidR="006F1D4F" w:rsidRPr="006F1D4F">
              <w:rPr>
                <w:webHidden/>
              </w:rPr>
              <w:instrText xml:space="preserve"> PAGEREF _Toc35947128 \h </w:instrText>
            </w:r>
            <w:r w:rsidR="006F1D4F" w:rsidRPr="006F1D4F">
              <w:rPr>
                <w:webHidden/>
              </w:rPr>
            </w:r>
            <w:r w:rsidR="006F1D4F" w:rsidRPr="006F1D4F">
              <w:rPr>
                <w:webHidden/>
              </w:rPr>
              <w:fldChar w:fldCharType="separate"/>
            </w:r>
            <w:r>
              <w:rPr>
                <w:webHidden/>
              </w:rPr>
              <w:t>61</w:t>
            </w:r>
            <w:r w:rsidR="006F1D4F" w:rsidRPr="006F1D4F">
              <w:rPr>
                <w:webHidden/>
              </w:rPr>
              <w:fldChar w:fldCharType="end"/>
            </w:r>
          </w:hyperlink>
        </w:p>
        <w:p w14:paraId="53C1360A" w14:textId="5F45323A" w:rsidR="006F1D4F" w:rsidRPr="006F1D4F" w:rsidRDefault="003053D1">
          <w:pPr>
            <w:pStyle w:val="TOC3"/>
            <w:rPr>
              <w:rFonts w:asciiTheme="minorHAnsi" w:eastAsiaTheme="minorEastAsia" w:hAnsiTheme="minorHAnsi" w:cstheme="minorBidi"/>
              <w:sz w:val="22"/>
              <w:lang w:eastAsia="en-AU"/>
            </w:rPr>
          </w:pPr>
          <w:hyperlink w:anchor="_Toc35947129" w:history="1">
            <w:r w:rsidR="006F1D4F" w:rsidRPr="006F1D4F">
              <w:rPr>
                <w:rStyle w:val="Hyperlink"/>
                <w:color w:val="000000" w:themeColor="text1"/>
              </w:rPr>
              <w:t>4.7.2</w:t>
            </w:r>
            <w:r w:rsidR="006F1D4F" w:rsidRPr="006F1D4F">
              <w:rPr>
                <w:rFonts w:asciiTheme="minorHAnsi" w:eastAsiaTheme="minorEastAsia" w:hAnsiTheme="minorHAnsi" w:cstheme="minorBidi"/>
                <w:sz w:val="22"/>
                <w:lang w:eastAsia="en-AU"/>
              </w:rPr>
              <w:tab/>
            </w:r>
            <w:r w:rsidR="006F1D4F" w:rsidRPr="006F1D4F">
              <w:rPr>
                <w:rStyle w:val="Hyperlink"/>
                <w:color w:val="000000" w:themeColor="text1"/>
              </w:rPr>
              <w:t>Influence of discharge, catchment loads and water quality on reef recovery</w:t>
            </w:r>
            <w:r w:rsidR="006F1D4F" w:rsidRPr="006F1D4F">
              <w:rPr>
                <w:webHidden/>
              </w:rPr>
              <w:tab/>
            </w:r>
            <w:r w:rsidR="006F1D4F" w:rsidRPr="006F1D4F">
              <w:rPr>
                <w:webHidden/>
              </w:rPr>
              <w:fldChar w:fldCharType="begin"/>
            </w:r>
            <w:r w:rsidR="006F1D4F" w:rsidRPr="006F1D4F">
              <w:rPr>
                <w:webHidden/>
              </w:rPr>
              <w:instrText xml:space="preserve"> PAGEREF _Toc35947129 \h </w:instrText>
            </w:r>
            <w:r w:rsidR="006F1D4F" w:rsidRPr="006F1D4F">
              <w:rPr>
                <w:webHidden/>
              </w:rPr>
            </w:r>
            <w:r w:rsidR="006F1D4F" w:rsidRPr="006F1D4F">
              <w:rPr>
                <w:webHidden/>
              </w:rPr>
              <w:fldChar w:fldCharType="separate"/>
            </w:r>
            <w:r>
              <w:rPr>
                <w:webHidden/>
              </w:rPr>
              <w:t>65</w:t>
            </w:r>
            <w:r w:rsidR="006F1D4F" w:rsidRPr="006F1D4F">
              <w:rPr>
                <w:webHidden/>
              </w:rPr>
              <w:fldChar w:fldCharType="end"/>
            </w:r>
          </w:hyperlink>
        </w:p>
        <w:p w14:paraId="53C1360B" w14:textId="592CB8BE" w:rsidR="006F1D4F" w:rsidRPr="006F1D4F" w:rsidRDefault="003053D1">
          <w:pPr>
            <w:pStyle w:val="TOC1"/>
            <w:rPr>
              <w:rFonts w:asciiTheme="minorHAnsi" w:eastAsiaTheme="minorEastAsia" w:hAnsiTheme="minorHAnsi" w:cstheme="minorBidi"/>
              <w:b w:val="0"/>
              <w:color w:val="000000" w:themeColor="text1"/>
              <w:lang w:eastAsia="en-AU"/>
            </w:rPr>
          </w:pPr>
          <w:hyperlink w:anchor="_Toc35947130" w:history="1">
            <w:r w:rsidR="006F1D4F" w:rsidRPr="006F1D4F">
              <w:rPr>
                <w:rStyle w:val="Hyperlink"/>
                <w:color w:val="000000" w:themeColor="text1"/>
              </w:rPr>
              <w:t>5</w:t>
            </w:r>
            <w:r w:rsidR="006F1D4F" w:rsidRPr="006F1D4F">
              <w:rPr>
                <w:rFonts w:asciiTheme="minorHAnsi" w:eastAsiaTheme="minorEastAsia" w:hAnsiTheme="minorHAnsi" w:cstheme="minorBidi"/>
                <w:b w:val="0"/>
                <w:color w:val="000000" w:themeColor="text1"/>
                <w:lang w:eastAsia="en-AU"/>
              </w:rPr>
              <w:tab/>
            </w:r>
            <w:r w:rsidR="006F1D4F" w:rsidRPr="006F1D4F">
              <w:rPr>
                <w:rStyle w:val="Hyperlink"/>
                <w:color w:val="000000" w:themeColor="text1"/>
              </w:rPr>
              <w:t>Discussion</w:t>
            </w:r>
            <w:r w:rsidR="006F1D4F" w:rsidRPr="006F1D4F">
              <w:rPr>
                <w:webHidden/>
                <w:color w:val="000000" w:themeColor="text1"/>
              </w:rPr>
              <w:tab/>
            </w:r>
            <w:r w:rsidR="006F1D4F" w:rsidRPr="006F1D4F">
              <w:rPr>
                <w:webHidden/>
                <w:color w:val="000000" w:themeColor="text1"/>
              </w:rPr>
              <w:fldChar w:fldCharType="begin"/>
            </w:r>
            <w:r w:rsidR="006F1D4F" w:rsidRPr="006F1D4F">
              <w:rPr>
                <w:webHidden/>
                <w:color w:val="000000" w:themeColor="text1"/>
              </w:rPr>
              <w:instrText xml:space="preserve"> PAGEREF _Toc35947130 \h </w:instrText>
            </w:r>
            <w:r w:rsidR="006F1D4F" w:rsidRPr="006F1D4F">
              <w:rPr>
                <w:webHidden/>
                <w:color w:val="000000" w:themeColor="text1"/>
              </w:rPr>
            </w:r>
            <w:r w:rsidR="006F1D4F" w:rsidRPr="006F1D4F">
              <w:rPr>
                <w:webHidden/>
                <w:color w:val="000000" w:themeColor="text1"/>
              </w:rPr>
              <w:fldChar w:fldCharType="separate"/>
            </w:r>
            <w:r>
              <w:rPr>
                <w:webHidden/>
                <w:color w:val="000000" w:themeColor="text1"/>
              </w:rPr>
              <w:t>68</w:t>
            </w:r>
            <w:r w:rsidR="006F1D4F" w:rsidRPr="006F1D4F">
              <w:rPr>
                <w:webHidden/>
                <w:color w:val="000000" w:themeColor="text1"/>
              </w:rPr>
              <w:fldChar w:fldCharType="end"/>
            </w:r>
          </w:hyperlink>
        </w:p>
        <w:p w14:paraId="53C1360C" w14:textId="6BFDAA32" w:rsidR="006F1D4F" w:rsidRPr="006F1D4F" w:rsidRDefault="003053D1">
          <w:pPr>
            <w:pStyle w:val="TOC2"/>
            <w:rPr>
              <w:rFonts w:asciiTheme="minorHAnsi" w:eastAsiaTheme="minorEastAsia" w:hAnsiTheme="minorHAnsi" w:cstheme="minorBidi"/>
              <w:noProof/>
              <w:color w:val="000000" w:themeColor="text1"/>
              <w:sz w:val="22"/>
              <w:lang w:eastAsia="en-AU"/>
            </w:rPr>
          </w:pPr>
          <w:hyperlink w:anchor="_Toc35947131" w:history="1">
            <w:r w:rsidR="006F1D4F" w:rsidRPr="006F1D4F">
              <w:rPr>
                <w:rStyle w:val="Hyperlink"/>
                <w:noProof/>
                <w:color w:val="000000" w:themeColor="text1"/>
              </w:rPr>
              <w:t>5.1</w:t>
            </w:r>
            <w:r w:rsidR="006F1D4F" w:rsidRPr="006F1D4F">
              <w:rPr>
                <w:rFonts w:asciiTheme="minorHAnsi" w:eastAsiaTheme="minorEastAsia" w:hAnsiTheme="minorHAnsi" w:cstheme="minorBidi"/>
                <w:noProof/>
                <w:color w:val="000000" w:themeColor="text1"/>
                <w:sz w:val="22"/>
                <w:lang w:eastAsia="en-AU"/>
              </w:rPr>
              <w:tab/>
            </w:r>
            <w:r w:rsidR="006F1D4F" w:rsidRPr="006F1D4F">
              <w:rPr>
                <w:rStyle w:val="Hyperlink"/>
                <w:noProof/>
                <w:color w:val="000000" w:themeColor="text1"/>
              </w:rPr>
              <w:t>Pressures</w:t>
            </w:r>
            <w:r w:rsidR="006F1D4F" w:rsidRPr="006F1D4F">
              <w:rPr>
                <w:noProof/>
                <w:webHidden/>
                <w:color w:val="000000" w:themeColor="text1"/>
              </w:rPr>
              <w:tab/>
            </w:r>
            <w:r w:rsidR="006F1D4F" w:rsidRPr="006F1D4F">
              <w:rPr>
                <w:noProof/>
                <w:webHidden/>
                <w:color w:val="000000" w:themeColor="text1"/>
              </w:rPr>
              <w:fldChar w:fldCharType="begin"/>
            </w:r>
            <w:r w:rsidR="006F1D4F" w:rsidRPr="006F1D4F">
              <w:rPr>
                <w:noProof/>
                <w:webHidden/>
                <w:color w:val="000000" w:themeColor="text1"/>
              </w:rPr>
              <w:instrText xml:space="preserve"> PAGEREF _Toc35947131 \h </w:instrText>
            </w:r>
            <w:r w:rsidR="006F1D4F" w:rsidRPr="006F1D4F">
              <w:rPr>
                <w:noProof/>
                <w:webHidden/>
                <w:color w:val="000000" w:themeColor="text1"/>
              </w:rPr>
            </w:r>
            <w:r w:rsidR="006F1D4F" w:rsidRPr="006F1D4F">
              <w:rPr>
                <w:noProof/>
                <w:webHidden/>
                <w:color w:val="000000" w:themeColor="text1"/>
              </w:rPr>
              <w:fldChar w:fldCharType="separate"/>
            </w:r>
            <w:r>
              <w:rPr>
                <w:noProof/>
                <w:webHidden/>
                <w:color w:val="000000" w:themeColor="text1"/>
              </w:rPr>
              <w:t>68</w:t>
            </w:r>
            <w:r w:rsidR="006F1D4F" w:rsidRPr="006F1D4F">
              <w:rPr>
                <w:noProof/>
                <w:webHidden/>
                <w:color w:val="000000" w:themeColor="text1"/>
              </w:rPr>
              <w:fldChar w:fldCharType="end"/>
            </w:r>
          </w:hyperlink>
        </w:p>
        <w:p w14:paraId="53C1360D" w14:textId="604C8628" w:rsidR="006F1D4F" w:rsidRPr="006F1D4F" w:rsidRDefault="003053D1">
          <w:pPr>
            <w:pStyle w:val="TOC3"/>
            <w:rPr>
              <w:rFonts w:asciiTheme="minorHAnsi" w:eastAsiaTheme="minorEastAsia" w:hAnsiTheme="minorHAnsi" w:cstheme="minorBidi"/>
              <w:sz w:val="22"/>
              <w:lang w:eastAsia="en-AU"/>
            </w:rPr>
          </w:pPr>
          <w:hyperlink w:anchor="_Toc35947132" w:history="1">
            <w:r w:rsidR="006F1D4F" w:rsidRPr="006F1D4F">
              <w:rPr>
                <w:rStyle w:val="Hyperlink"/>
                <w:color w:val="000000" w:themeColor="text1"/>
              </w:rPr>
              <w:t>5.1.1</w:t>
            </w:r>
            <w:r w:rsidR="006F1D4F" w:rsidRPr="006F1D4F">
              <w:rPr>
                <w:rFonts w:asciiTheme="minorHAnsi" w:eastAsiaTheme="minorEastAsia" w:hAnsiTheme="minorHAnsi" w:cstheme="minorBidi"/>
                <w:sz w:val="22"/>
                <w:lang w:eastAsia="en-AU"/>
              </w:rPr>
              <w:tab/>
            </w:r>
            <w:r w:rsidR="006F1D4F" w:rsidRPr="006F1D4F">
              <w:rPr>
                <w:rStyle w:val="Hyperlink"/>
                <w:color w:val="000000" w:themeColor="text1"/>
              </w:rPr>
              <w:t>Acute disturbances</w:t>
            </w:r>
            <w:r w:rsidR="006F1D4F" w:rsidRPr="006F1D4F">
              <w:rPr>
                <w:webHidden/>
              </w:rPr>
              <w:tab/>
            </w:r>
            <w:r w:rsidR="006F1D4F" w:rsidRPr="006F1D4F">
              <w:rPr>
                <w:webHidden/>
              </w:rPr>
              <w:fldChar w:fldCharType="begin"/>
            </w:r>
            <w:r w:rsidR="006F1D4F" w:rsidRPr="006F1D4F">
              <w:rPr>
                <w:webHidden/>
              </w:rPr>
              <w:instrText xml:space="preserve"> PAGEREF _Toc35947132 \h </w:instrText>
            </w:r>
            <w:r w:rsidR="006F1D4F" w:rsidRPr="006F1D4F">
              <w:rPr>
                <w:webHidden/>
              </w:rPr>
            </w:r>
            <w:r w:rsidR="006F1D4F" w:rsidRPr="006F1D4F">
              <w:rPr>
                <w:webHidden/>
              </w:rPr>
              <w:fldChar w:fldCharType="separate"/>
            </w:r>
            <w:r>
              <w:rPr>
                <w:webHidden/>
              </w:rPr>
              <w:t>68</w:t>
            </w:r>
            <w:r w:rsidR="006F1D4F" w:rsidRPr="006F1D4F">
              <w:rPr>
                <w:webHidden/>
              </w:rPr>
              <w:fldChar w:fldCharType="end"/>
            </w:r>
          </w:hyperlink>
        </w:p>
        <w:p w14:paraId="53C1360E" w14:textId="53CCE7C0" w:rsidR="006F1D4F" w:rsidRPr="006F1D4F" w:rsidRDefault="003053D1">
          <w:pPr>
            <w:pStyle w:val="TOC3"/>
            <w:rPr>
              <w:rFonts w:asciiTheme="minorHAnsi" w:eastAsiaTheme="minorEastAsia" w:hAnsiTheme="minorHAnsi" w:cstheme="minorBidi"/>
              <w:sz w:val="22"/>
              <w:lang w:eastAsia="en-AU"/>
            </w:rPr>
          </w:pPr>
          <w:hyperlink w:anchor="_Toc35947133" w:history="1">
            <w:r w:rsidR="006F1D4F" w:rsidRPr="006F1D4F">
              <w:rPr>
                <w:rStyle w:val="Hyperlink"/>
                <w:color w:val="000000" w:themeColor="text1"/>
              </w:rPr>
              <w:t>5.1.2</w:t>
            </w:r>
            <w:r w:rsidR="006F1D4F" w:rsidRPr="006F1D4F">
              <w:rPr>
                <w:rFonts w:asciiTheme="minorHAnsi" w:eastAsiaTheme="minorEastAsia" w:hAnsiTheme="minorHAnsi" w:cstheme="minorBidi"/>
                <w:sz w:val="22"/>
                <w:lang w:eastAsia="en-AU"/>
              </w:rPr>
              <w:tab/>
            </w:r>
            <w:r w:rsidR="006F1D4F" w:rsidRPr="006F1D4F">
              <w:rPr>
                <w:rStyle w:val="Hyperlink"/>
                <w:color w:val="000000" w:themeColor="text1"/>
              </w:rPr>
              <w:t>Chronic conditions – water quality</w:t>
            </w:r>
            <w:r w:rsidR="006F1D4F" w:rsidRPr="006F1D4F">
              <w:rPr>
                <w:webHidden/>
              </w:rPr>
              <w:tab/>
            </w:r>
            <w:r w:rsidR="006F1D4F" w:rsidRPr="006F1D4F">
              <w:rPr>
                <w:webHidden/>
              </w:rPr>
              <w:fldChar w:fldCharType="begin"/>
            </w:r>
            <w:r w:rsidR="006F1D4F" w:rsidRPr="006F1D4F">
              <w:rPr>
                <w:webHidden/>
              </w:rPr>
              <w:instrText xml:space="preserve"> PAGEREF _Toc35947133 \h </w:instrText>
            </w:r>
            <w:r w:rsidR="006F1D4F" w:rsidRPr="006F1D4F">
              <w:rPr>
                <w:webHidden/>
              </w:rPr>
            </w:r>
            <w:r w:rsidR="006F1D4F" w:rsidRPr="006F1D4F">
              <w:rPr>
                <w:webHidden/>
              </w:rPr>
              <w:fldChar w:fldCharType="separate"/>
            </w:r>
            <w:r>
              <w:rPr>
                <w:webHidden/>
              </w:rPr>
              <w:t>69</w:t>
            </w:r>
            <w:r w:rsidR="006F1D4F" w:rsidRPr="006F1D4F">
              <w:rPr>
                <w:webHidden/>
              </w:rPr>
              <w:fldChar w:fldCharType="end"/>
            </w:r>
          </w:hyperlink>
        </w:p>
        <w:p w14:paraId="53C1360F" w14:textId="125F937F" w:rsidR="006F1D4F" w:rsidRPr="006F1D4F" w:rsidRDefault="003053D1">
          <w:pPr>
            <w:pStyle w:val="TOC2"/>
            <w:rPr>
              <w:rFonts w:asciiTheme="minorHAnsi" w:eastAsiaTheme="minorEastAsia" w:hAnsiTheme="minorHAnsi" w:cstheme="minorBidi"/>
              <w:noProof/>
              <w:color w:val="000000" w:themeColor="text1"/>
              <w:sz w:val="22"/>
              <w:lang w:eastAsia="en-AU"/>
            </w:rPr>
          </w:pPr>
          <w:hyperlink w:anchor="_Toc35947134" w:history="1">
            <w:r w:rsidR="006F1D4F" w:rsidRPr="006F1D4F">
              <w:rPr>
                <w:rStyle w:val="Hyperlink"/>
                <w:noProof/>
                <w:color w:val="000000" w:themeColor="text1"/>
              </w:rPr>
              <w:t>5.2</w:t>
            </w:r>
            <w:r w:rsidR="006F1D4F" w:rsidRPr="006F1D4F">
              <w:rPr>
                <w:rFonts w:asciiTheme="minorHAnsi" w:eastAsiaTheme="minorEastAsia" w:hAnsiTheme="minorHAnsi" w:cstheme="minorBidi"/>
                <w:noProof/>
                <w:color w:val="000000" w:themeColor="text1"/>
                <w:sz w:val="22"/>
                <w:lang w:eastAsia="en-AU"/>
              </w:rPr>
              <w:tab/>
            </w:r>
            <w:r w:rsidR="006F1D4F" w:rsidRPr="006F1D4F">
              <w:rPr>
                <w:rStyle w:val="Hyperlink"/>
                <w:noProof/>
                <w:color w:val="000000" w:themeColor="text1"/>
              </w:rPr>
              <w:t>Ecosystem State</w:t>
            </w:r>
            <w:r w:rsidR="006F1D4F" w:rsidRPr="006F1D4F">
              <w:rPr>
                <w:noProof/>
                <w:webHidden/>
                <w:color w:val="000000" w:themeColor="text1"/>
              </w:rPr>
              <w:tab/>
            </w:r>
            <w:r w:rsidR="006F1D4F" w:rsidRPr="006F1D4F">
              <w:rPr>
                <w:noProof/>
                <w:webHidden/>
                <w:color w:val="000000" w:themeColor="text1"/>
              </w:rPr>
              <w:fldChar w:fldCharType="begin"/>
            </w:r>
            <w:r w:rsidR="006F1D4F" w:rsidRPr="006F1D4F">
              <w:rPr>
                <w:noProof/>
                <w:webHidden/>
                <w:color w:val="000000" w:themeColor="text1"/>
              </w:rPr>
              <w:instrText xml:space="preserve"> PAGEREF _Toc35947134 \h </w:instrText>
            </w:r>
            <w:r w:rsidR="006F1D4F" w:rsidRPr="006F1D4F">
              <w:rPr>
                <w:noProof/>
                <w:webHidden/>
                <w:color w:val="000000" w:themeColor="text1"/>
              </w:rPr>
            </w:r>
            <w:r w:rsidR="006F1D4F" w:rsidRPr="006F1D4F">
              <w:rPr>
                <w:noProof/>
                <w:webHidden/>
                <w:color w:val="000000" w:themeColor="text1"/>
              </w:rPr>
              <w:fldChar w:fldCharType="separate"/>
            </w:r>
            <w:r>
              <w:rPr>
                <w:noProof/>
                <w:webHidden/>
                <w:color w:val="000000" w:themeColor="text1"/>
              </w:rPr>
              <w:t>70</w:t>
            </w:r>
            <w:r w:rsidR="006F1D4F" w:rsidRPr="006F1D4F">
              <w:rPr>
                <w:noProof/>
                <w:webHidden/>
                <w:color w:val="000000" w:themeColor="text1"/>
              </w:rPr>
              <w:fldChar w:fldCharType="end"/>
            </w:r>
          </w:hyperlink>
        </w:p>
        <w:p w14:paraId="53C13610" w14:textId="55C229E9" w:rsidR="006F1D4F" w:rsidRPr="006F1D4F" w:rsidRDefault="003053D1">
          <w:pPr>
            <w:pStyle w:val="TOC3"/>
            <w:rPr>
              <w:rFonts w:asciiTheme="minorHAnsi" w:eastAsiaTheme="minorEastAsia" w:hAnsiTheme="minorHAnsi" w:cstheme="minorBidi"/>
              <w:sz w:val="22"/>
              <w:lang w:eastAsia="en-AU"/>
            </w:rPr>
          </w:pPr>
          <w:hyperlink w:anchor="_Toc35947135" w:history="1">
            <w:r w:rsidR="006F1D4F" w:rsidRPr="006F1D4F">
              <w:rPr>
                <w:rStyle w:val="Hyperlink"/>
                <w:color w:val="000000" w:themeColor="text1"/>
              </w:rPr>
              <w:t>5.2.1</w:t>
            </w:r>
            <w:r w:rsidR="006F1D4F" w:rsidRPr="006F1D4F">
              <w:rPr>
                <w:rFonts w:asciiTheme="minorHAnsi" w:eastAsiaTheme="minorEastAsia" w:hAnsiTheme="minorHAnsi" w:cstheme="minorBidi"/>
                <w:sz w:val="22"/>
                <w:lang w:eastAsia="en-AU"/>
              </w:rPr>
              <w:tab/>
            </w:r>
            <w:r w:rsidR="006F1D4F" w:rsidRPr="006F1D4F">
              <w:rPr>
                <w:rStyle w:val="Hyperlink"/>
                <w:color w:val="000000" w:themeColor="text1"/>
              </w:rPr>
              <w:t>Coral condition based on the index</w:t>
            </w:r>
            <w:r w:rsidR="006F1D4F" w:rsidRPr="006F1D4F">
              <w:rPr>
                <w:webHidden/>
              </w:rPr>
              <w:tab/>
            </w:r>
            <w:r w:rsidR="006F1D4F" w:rsidRPr="006F1D4F">
              <w:rPr>
                <w:webHidden/>
              </w:rPr>
              <w:fldChar w:fldCharType="begin"/>
            </w:r>
            <w:r w:rsidR="006F1D4F" w:rsidRPr="006F1D4F">
              <w:rPr>
                <w:webHidden/>
              </w:rPr>
              <w:instrText xml:space="preserve"> PAGEREF _Toc35947135 \h </w:instrText>
            </w:r>
            <w:r w:rsidR="006F1D4F" w:rsidRPr="006F1D4F">
              <w:rPr>
                <w:webHidden/>
              </w:rPr>
            </w:r>
            <w:r w:rsidR="006F1D4F" w:rsidRPr="006F1D4F">
              <w:rPr>
                <w:webHidden/>
              </w:rPr>
              <w:fldChar w:fldCharType="separate"/>
            </w:r>
            <w:r>
              <w:rPr>
                <w:webHidden/>
              </w:rPr>
              <w:t>70</w:t>
            </w:r>
            <w:r w:rsidR="006F1D4F" w:rsidRPr="006F1D4F">
              <w:rPr>
                <w:webHidden/>
              </w:rPr>
              <w:fldChar w:fldCharType="end"/>
            </w:r>
          </w:hyperlink>
        </w:p>
        <w:p w14:paraId="53C13611" w14:textId="5B3C9E32" w:rsidR="006F1D4F" w:rsidRPr="006F1D4F" w:rsidRDefault="003053D1">
          <w:pPr>
            <w:pStyle w:val="TOC3"/>
            <w:rPr>
              <w:rFonts w:asciiTheme="minorHAnsi" w:eastAsiaTheme="minorEastAsia" w:hAnsiTheme="minorHAnsi" w:cstheme="minorBidi"/>
              <w:sz w:val="22"/>
              <w:lang w:eastAsia="en-AU"/>
            </w:rPr>
          </w:pPr>
          <w:hyperlink w:anchor="_Toc35947136" w:history="1">
            <w:r w:rsidR="006F1D4F" w:rsidRPr="006F1D4F">
              <w:rPr>
                <w:rStyle w:val="Hyperlink"/>
                <w:color w:val="000000" w:themeColor="text1"/>
              </w:rPr>
              <w:t>5.2.2</w:t>
            </w:r>
            <w:r w:rsidR="006F1D4F" w:rsidRPr="006F1D4F">
              <w:rPr>
                <w:rFonts w:asciiTheme="minorHAnsi" w:eastAsiaTheme="minorEastAsia" w:hAnsiTheme="minorHAnsi" w:cstheme="minorBidi"/>
                <w:sz w:val="22"/>
                <w:lang w:eastAsia="en-AU"/>
              </w:rPr>
              <w:tab/>
            </w:r>
            <w:r w:rsidR="006F1D4F" w:rsidRPr="006F1D4F">
              <w:rPr>
                <w:rStyle w:val="Hyperlink"/>
                <w:color w:val="000000" w:themeColor="text1"/>
              </w:rPr>
              <w:t>Coral cover</w:t>
            </w:r>
            <w:r w:rsidR="006F1D4F" w:rsidRPr="006F1D4F">
              <w:rPr>
                <w:webHidden/>
              </w:rPr>
              <w:tab/>
            </w:r>
            <w:r w:rsidR="006F1D4F" w:rsidRPr="006F1D4F">
              <w:rPr>
                <w:webHidden/>
              </w:rPr>
              <w:fldChar w:fldCharType="begin"/>
            </w:r>
            <w:r w:rsidR="006F1D4F" w:rsidRPr="006F1D4F">
              <w:rPr>
                <w:webHidden/>
              </w:rPr>
              <w:instrText xml:space="preserve"> PAGEREF _Toc35947136 \h </w:instrText>
            </w:r>
            <w:r w:rsidR="006F1D4F" w:rsidRPr="006F1D4F">
              <w:rPr>
                <w:webHidden/>
              </w:rPr>
            </w:r>
            <w:r w:rsidR="006F1D4F" w:rsidRPr="006F1D4F">
              <w:rPr>
                <w:webHidden/>
              </w:rPr>
              <w:fldChar w:fldCharType="separate"/>
            </w:r>
            <w:r>
              <w:rPr>
                <w:webHidden/>
              </w:rPr>
              <w:t>72</w:t>
            </w:r>
            <w:r w:rsidR="006F1D4F" w:rsidRPr="006F1D4F">
              <w:rPr>
                <w:webHidden/>
              </w:rPr>
              <w:fldChar w:fldCharType="end"/>
            </w:r>
          </w:hyperlink>
        </w:p>
        <w:p w14:paraId="53C13612" w14:textId="3CC1B265" w:rsidR="006F1D4F" w:rsidRPr="006F1D4F" w:rsidRDefault="003053D1">
          <w:pPr>
            <w:pStyle w:val="TOC3"/>
            <w:rPr>
              <w:rFonts w:asciiTheme="minorHAnsi" w:eastAsiaTheme="minorEastAsia" w:hAnsiTheme="minorHAnsi" w:cstheme="minorBidi"/>
              <w:sz w:val="22"/>
              <w:lang w:eastAsia="en-AU"/>
            </w:rPr>
          </w:pPr>
          <w:hyperlink w:anchor="_Toc35947137" w:history="1">
            <w:r w:rsidR="006F1D4F" w:rsidRPr="006F1D4F">
              <w:rPr>
                <w:rStyle w:val="Hyperlink"/>
                <w:color w:val="000000" w:themeColor="text1"/>
              </w:rPr>
              <w:t>5.2.3</w:t>
            </w:r>
            <w:r w:rsidR="006F1D4F" w:rsidRPr="006F1D4F">
              <w:rPr>
                <w:rFonts w:asciiTheme="minorHAnsi" w:eastAsiaTheme="minorEastAsia" w:hAnsiTheme="minorHAnsi" w:cstheme="minorBidi"/>
                <w:sz w:val="22"/>
                <w:lang w:eastAsia="en-AU"/>
              </w:rPr>
              <w:tab/>
            </w:r>
            <w:r w:rsidR="006F1D4F" w:rsidRPr="006F1D4F">
              <w:rPr>
                <w:rStyle w:val="Hyperlink"/>
                <w:color w:val="000000" w:themeColor="text1"/>
              </w:rPr>
              <w:t>Rate of change in coral cover</w:t>
            </w:r>
            <w:r w:rsidR="006F1D4F" w:rsidRPr="006F1D4F">
              <w:rPr>
                <w:webHidden/>
              </w:rPr>
              <w:tab/>
            </w:r>
            <w:r w:rsidR="006F1D4F" w:rsidRPr="006F1D4F">
              <w:rPr>
                <w:webHidden/>
              </w:rPr>
              <w:fldChar w:fldCharType="begin"/>
            </w:r>
            <w:r w:rsidR="006F1D4F" w:rsidRPr="006F1D4F">
              <w:rPr>
                <w:webHidden/>
              </w:rPr>
              <w:instrText xml:space="preserve"> PAGEREF _Toc35947137 \h </w:instrText>
            </w:r>
            <w:r w:rsidR="006F1D4F" w:rsidRPr="006F1D4F">
              <w:rPr>
                <w:webHidden/>
              </w:rPr>
            </w:r>
            <w:r w:rsidR="006F1D4F" w:rsidRPr="006F1D4F">
              <w:rPr>
                <w:webHidden/>
              </w:rPr>
              <w:fldChar w:fldCharType="separate"/>
            </w:r>
            <w:r>
              <w:rPr>
                <w:webHidden/>
              </w:rPr>
              <w:t>72</w:t>
            </w:r>
            <w:r w:rsidR="006F1D4F" w:rsidRPr="006F1D4F">
              <w:rPr>
                <w:webHidden/>
              </w:rPr>
              <w:fldChar w:fldCharType="end"/>
            </w:r>
          </w:hyperlink>
        </w:p>
        <w:p w14:paraId="53C13613" w14:textId="2009EBDF" w:rsidR="006F1D4F" w:rsidRPr="006F1D4F" w:rsidRDefault="003053D1">
          <w:pPr>
            <w:pStyle w:val="TOC3"/>
            <w:rPr>
              <w:rFonts w:asciiTheme="minorHAnsi" w:eastAsiaTheme="minorEastAsia" w:hAnsiTheme="minorHAnsi" w:cstheme="minorBidi"/>
              <w:sz w:val="22"/>
              <w:lang w:eastAsia="en-AU"/>
            </w:rPr>
          </w:pPr>
          <w:hyperlink w:anchor="_Toc35947138" w:history="1">
            <w:r w:rsidR="006F1D4F" w:rsidRPr="006F1D4F">
              <w:rPr>
                <w:rStyle w:val="Hyperlink"/>
                <w:color w:val="000000" w:themeColor="text1"/>
              </w:rPr>
              <w:t>5.2.4</w:t>
            </w:r>
            <w:r w:rsidR="006F1D4F" w:rsidRPr="006F1D4F">
              <w:rPr>
                <w:rFonts w:asciiTheme="minorHAnsi" w:eastAsiaTheme="minorEastAsia" w:hAnsiTheme="minorHAnsi" w:cstheme="minorBidi"/>
                <w:sz w:val="22"/>
                <w:lang w:eastAsia="en-AU"/>
              </w:rPr>
              <w:tab/>
            </w:r>
            <w:r w:rsidR="006F1D4F" w:rsidRPr="006F1D4F">
              <w:rPr>
                <w:rStyle w:val="Hyperlink"/>
                <w:color w:val="000000" w:themeColor="text1"/>
              </w:rPr>
              <w:t>Community composition</w:t>
            </w:r>
            <w:r w:rsidR="006F1D4F" w:rsidRPr="006F1D4F">
              <w:rPr>
                <w:webHidden/>
              </w:rPr>
              <w:tab/>
            </w:r>
            <w:r w:rsidR="006F1D4F" w:rsidRPr="006F1D4F">
              <w:rPr>
                <w:webHidden/>
              </w:rPr>
              <w:fldChar w:fldCharType="begin"/>
            </w:r>
            <w:r w:rsidR="006F1D4F" w:rsidRPr="006F1D4F">
              <w:rPr>
                <w:webHidden/>
              </w:rPr>
              <w:instrText xml:space="preserve"> PAGEREF _Toc35947138 \h </w:instrText>
            </w:r>
            <w:r w:rsidR="006F1D4F" w:rsidRPr="006F1D4F">
              <w:rPr>
                <w:webHidden/>
              </w:rPr>
            </w:r>
            <w:r w:rsidR="006F1D4F" w:rsidRPr="006F1D4F">
              <w:rPr>
                <w:webHidden/>
              </w:rPr>
              <w:fldChar w:fldCharType="separate"/>
            </w:r>
            <w:r>
              <w:rPr>
                <w:webHidden/>
              </w:rPr>
              <w:t>73</w:t>
            </w:r>
            <w:r w:rsidR="006F1D4F" w:rsidRPr="006F1D4F">
              <w:rPr>
                <w:webHidden/>
              </w:rPr>
              <w:fldChar w:fldCharType="end"/>
            </w:r>
          </w:hyperlink>
        </w:p>
        <w:p w14:paraId="53C13614" w14:textId="24C4DD41" w:rsidR="006F1D4F" w:rsidRPr="006F1D4F" w:rsidRDefault="003053D1">
          <w:pPr>
            <w:pStyle w:val="TOC3"/>
            <w:rPr>
              <w:rFonts w:asciiTheme="minorHAnsi" w:eastAsiaTheme="minorEastAsia" w:hAnsiTheme="minorHAnsi" w:cstheme="minorBidi"/>
              <w:sz w:val="22"/>
              <w:lang w:eastAsia="en-AU"/>
            </w:rPr>
          </w:pPr>
          <w:hyperlink w:anchor="_Toc35947139" w:history="1">
            <w:r w:rsidR="006F1D4F" w:rsidRPr="006F1D4F">
              <w:rPr>
                <w:rStyle w:val="Hyperlink"/>
                <w:color w:val="000000" w:themeColor="text1"/>
              </w:rPr>
              <w:t>5.2.5</w:t>
            </w:r>
            <w:r w:rsidR="006F1D4F" w:rsidRPr="006F1D4F">
              <w:rPr>
                <w:rFonts w:asciiTheme="minorHAnsi" w:eastAsiaTheme="minorEastAsia" w:hAnsiTheme="minorHAnsi" w:cstheme="minorBidi"/>
                <w:sz w:val="22"/>
                <w:lang w:eastAsia="en-AU"/>
              </w:rPr>
              <w:tab/>
            </w:r>
            <w:r w:rsidR="006F1D4F" w:rsidRPr="006F1D4F">
              <w:rPr>
                <w:rStyle w:val="Hyperlink"/>
                <w:color w:val="000000" w:themeColor="text1"/>
              </w:rPr>
              <w:t>Macroalgae</w:t>
            </w:r>
            <w:r w:rsidR="006F1D4F" w:rsidRPr="006F1D4F">
              <w:rPr>
                <w:webHidden/>
              </w:rPr>
              <w:tab/>
            </w:r>
            <w:r w:rsidR="006F1D4F" w:rsidRPr="006F1D4F">
              <w:rPr>
                <w:webHidden/>
              </w:rPr>
              <w:fldChar w:fldCharType="begin"/>
            </w:r>
            <w:r w:rsidR="006F1D4F" w:rsidRPr="006F1D4F">
              <w:rPr>
                <w:webHidden/>
              </w:rPr>
              <w:instrText xml:space="preserve"> PAGEREF _Toc35947139 \h </w:instrText>
            </w:r>
            <w:r w:rsidR="006F1D4F" w:rsidRPr="006F1D4F">
              <w:rPr>
                <w:webHidden/>
              </w:rPr>
            </w:r>
            <w:r w:rsidR="006F1D4F" w:rsidRPr="006F1D4F">
              <w:rPr>
                <w:webHidden/>
              </w:rPr>
              <w:fldChar w:fldCharType="separate"/>
            </w:r>
            <w:r>
              <w:rPr>
                <w:webHidden/>
              </w:rPr>
              <w:t>74</w:t>
            </w:r>
            <w:r w:rsidR="006F1D4F" w:rsidRPr="006F1D4F">
              <w:rPr>
                <w:webHidden/>
              </w:rPr>
              <w:fldChar w:fldCharType="end"/>
            </w:r>
          </w:hyperlink>
        </w:p>
        <w:p w14:paraId="53C13615" w14:textId="61CE7DF9" w:rsidR="006F1D4F" w:rsidRPr="006F1D4F" w:rsidRDefault="003053D1">
          <w:pPr>
            <w:pStyle w:val="TOC3"/>
            <w:rPr>
              <w:rFonts w:asciiTheme="minorHAnsi" w:eastAsiaTheme="minorEastAsia" w:hAnsiTheme="minorHAnsi" w:cstheme="minorBidi"/>
              <w:sz w:val="22"/>
              <w:lang w:eastAsia="en-AU"/>
            </w:rPr>
          </w:pPr>
          <w:hyperlink w:anchor="_Toc35947140" w:history="1">
            <w:r w:rsidR="006F1D4F" w:rsidRPr="006F1D4F">
              <w:rPr>
                <w:rStyle w:val="Hyperlink"/>
                <w:color w:val="000000" w:themeColor="text1"/>
              </w:rPr>
              <w:t>5.2.6</w:t>
            </w:r>
            <w:r w:rsidR="006F1D4F" w:rsidRPr="006F1D4F">
              <w:rPr>
                <w:rFonts w:asciiTheme="minorHAnsi" w:eastAsiaTheme="minorEastAsia" w:hAnsiTheme="minorHAnsi" w:cstheme="minorBidi"/>
                <w:sz w:val="22"/>
                <w:lang w:eastAsia="en-AU"/>
              </w:rPr>
              <w:tab/>
            </w:r>
            <w:r w:rsidR="006F1D4F" w:rsidRPr="006F1D4F">
              <w:rPr>
                <w:rStyle w:val="Hyperlink"/>
                <w:color w:val="000000" w:themeColor="text1"/>
              </w:rPr>
              <w:t>Juvenile density</w:t>
            </w:r>
            <w:r w:rsidR="006F1D4F" w:rsidRPr="006F1D4F">
              <w:rPr>
                <w:webHidden/>
              </w:rPr>
              <w:tab/>
            </w:r>
            <w:r w:rsidR="006F1D4F" w:rsidRPr="006F1D4F">
              <w:rPr>
                <w:webHidden/>
              </w:rPr>
              <w:fldChar w:fldCharType="begin"/>
            </w:r>
            <w:r w:rsidR="006F1D4F" w:rsidRPr="006F1D4F">
              <w:rPr>
                <w:webHidden/>
              </w:rPr>
              <w:instrText xml:space="preserve"> PAGEREF _Toc35947140 \h </w:instrText>
            </w:r>
            <w:r w:rsidR="006F1D4F" w:rsidRPr="006F1D4F">
              <w:rPr>
                <w:webHidden/>
              </w:rPr>
            </w:r>
            <w:r w:rsidR="006F1D4F" w:rsidRPr="006F1D4F">
              <w:rPr>
                <w:webHidden/>
              </w:rPr>
              <w:fldChar w:fldCharType="separate"/>
            </w:r>
            <w:r>
              <w:rPr>
                <w:webHidden/>
              </w:rPr>
              <w:t>75</w:t>
            </w:r>
            <w:r w:rsidR="006F1D4F" w:rsidRPr="006F1D4F">
              <w:rPr>
                <w:webHidden/>
              </w:rPr>
              <w:fldChar w:fldCharType="end"/>
            </w:r>
          </w:hyperlink>
        </w:p>
        <w:p w14:paraId="53C13616" w14:textId="6F021BC3" w:rsidR="006F1D4F" w:rsidRPr="006F1D4F" w:rsidRDefault="003053D1">
          <w:pPr>
            <w:pStyle w:val="TOC2"/>
            <w:rPr>
              <w:rFonts w:asciiTheme="minorHAnsi" w:eastAsiaTheme="minorEastAsia" w:hAnsiTheme="minorHAnsi" w:cstheme="minorBidi"/>
              <w:noProof/>
              <w:color w:val="000000" w:themeColor="text1"/>
              <w:sz w:val="22"/>
              <w:lang w:eastAsia="en-AU"/>
            </w:rPr>
          </w:pPr>
          <w:hyperlink w:anchor="_Toc35947141" w:history="1">
            <w:r w:rsidR="006F1D4F" w:rsidRPr="006F1D4F">
              <w:rPr>
                <w:rStyle w:val="Hyperlink"/>
                <w:noProof/>
                <w:color w:val="000000" w:themeColor="text1"/>
              </w:rPr>
              <w:t>5.3</w:t>
            </w:r>
            <w:r w:rsidR="006F1D4F" w:rsidRPr="006F1D4F">
              <w:rPr>
                <w:rFonts w:asciiTheme="minorHAnsi" w:eastAsiaTheme="minorEastAsia" w:hAnsiTheme="minorHAnsi" w:cstheme="minorBidi"/>
                <w:noProof/>
                <w:color w:val="000000" w:themeColor="text1"/>
                <w:sz w:val="22"/>
                <w:lang w:eastAsia="en-AU"/>
              </w:rPr>
              <w:tab/>
            </w:r>
            <w:r w:rsidR="006F1D4F" w:rsidRPr="006F1D4F">
              <w:rPr>
                <w:rStyle w:val="Hyperlink"/>
                <w:noProof/>
                <w:color w:val="000000" w:themeColor="text1"/>
              </w:rPr>
              <w:t>Regional summaries</w:t>
            </w:r>
            <w:r w:rsidR="006F1D4F" w:rsidRPr="006F1D4F">
              <w:rPr>
                <w:noProof/>
                <w:webHidden/>
                <w:color w:val="000000" w:themeColor="text1"/>
              </w:rPr>
              <w:tab/>
            </w:r>
            <w:r w:rsidR="006F1D4F" w:rsidRPr="006F1D4F">
              <w:rPr>
                <w:noProof/>
                <w:webHidden/>
                <w:color w:val="000000" w:themeColor="text1"/>
              </w:rPr>
              <w:fldChar w:fldCharType="begin"/>
            </w:r>
            <w:r w:rsidR="006F1D4F" w:rsidRPr="006F1D4F">
              <w:rPr>
                <w:noProof/>
                <w:webHidden/>
                <w:color w:val="000000" w:themeColor="text1"/>
              </w:rPr>
              <w:instrText xml:space="preserve"> PAGEREF _Toc35947141 \h </w:instrText>
            </w:r>
            <w:r w:rsidR="006F1D4F" w:rsidRPr="006F1D4F">
              <w:rPr>
                <w:noProof/>
                <w:webHidden/>
                <w:color w:val="000000" w:themeColor="text1"/>
              </w:rPr>
            </w:r>
            <w:r w:rsidR="006F1D4F" w:rsidRPr="006F1D4F">
              <w:rPr>
                <w:noProof/>
                <w:webHidden/>
                <w:color w:val="000000" w:themeColor="text1"/>
              </w:rPr>
              <w:fldChar w:fldCharType="separate"/>
            </w:r>
            <w:r>
              <w:rPr>
                <w:noProof/>
                <w:webHidden/>
                <w:color w:val="000000" w:themeColor="text1"/>
              </w:rPr>
              <w:t>76</w:t>
            </w:r>
            <w:r w:rsidR="006F1D4F" w:rsidRPr="006F1D4F">
              <w:rPr>
                <w:noProof/>
                <w:webHidden/>
                <w:color w:val="000000" w:themeColor="text1"/>
              </w:rPr>
              <w:fldChar w:fldCharType="end"/>
            </w:r>
          </w:hyperlink>
        </w:p>
        <w:p w14:paraId="53C13617" w14:textId="16E7BCF9" w:rsidR="006F1D4F" w:rsidRPr="006F1D4F" w:rsidRDefault="003053D1">
          <w:pPr>
            <w:pStyle w:val="TOC3"/>
            <w:rPr>
              <w:rFonts w:asciiTheme="minorHAnsi" w:eastAsiaTheme="minorEastAsia" w:hAnsiTheme="minorHAnsi" w:cstheme="minorBidi"/>
              <w:sz w:val="22"/>
              <w:lang w:eastAsia="en-AU"/>
            </w:rPr>
          </w:pPr>
          <w:hyperlink w:anchor="_Toc35947142" w:history="1">
            <w:r w:rsidR="006F1D4F" w:rsidRPr="006F1D4F">
              <w:rPr>
                <w:rStyle w:val="Hyperlink"/>
                <w:color w:val="000000" w:themeColor="text1"/>
              </w:rPr>
              <w:t>5.3.1</w:t>
            </w:r>
            <w:r w:rsidR="006F1D4F" w:rsidRPr="006F1D4F">
              <w:rPr>
                <w:rFonts w:asciiTheme="minorHAnsi" w:eastAsiaTheme="minorEastAsia" w:hAnsiTheme="minorHAnsi" w:cstheme="minorBidi"/>
                <w:sz w:val="22"/>
                <w:lang w:eastAsia="en-AU"/>
              </w:rPr>
              <w:tab/>
            </w:r>
            <w:r w:rsidR="006F1D4F" w:rsidRPr="006F1D4F">
              <w:rPr>
                <w:rStyle w:val="Hyperlink"/>
                <w:color w:val="000000" w:themeColor="text1"/>
              </w:rPr>
              <w:t>Wet Tropics</w:t>
            </w:r>
            <w:r w:rsidR="006F1D4F" w:rsidRPr="006F1D4F">
              <w:rPr>
                <w:webHidden/>
              </w:rPr>
              <w:tab/>
            </w:r>
            <w:r w:rsidR="006F1D4F" w:rsidRPr="006F1D4F">
              <w:rPr>
                <w:webHidden/>
              </w:rPr>
              <w:fldChar w:fldCharType="begin"/>
            </w:r>
            <w:r w:rsidR="006F1D4F" w:rsidRPr="006F1D4F">
              <w:rPr>
                <w:webHidden/>
              </w:rPr>
              <w:instrText xml:space="preserve"> PAGEREF _Toc35947142 \h </w:instrText>
            </w:r>
            <w:r w:rsidR="006F1D4F" w:rsidRPr="006F1D4F">
              <w:rPr>
                <w:webHidden/>
              </w:rPr>
            </w:r>
            <w:r w:rsidR="006F1D4F" w:rsidRPr="006F1D4F">
              <w:rPr>
                <w:webHidden/>
              </w:rPr>
              <w:fldChar w:fldCharType="separate"/>
            </w:r>
            <w:r>
              <w:rPr>
                <w:webHidden/>
              </w:rPr>
              <w:t>76</w:t>
            </w:r>
            <w:r w:rsidR="006F1D4F" w:rsidRPr="006F1D4F">
              <w:rPr>
                <w:webHidden/>
              </w:rPr>
              <w:fldChar w:fldCharType="end"/>
            </w:r>
          </w:hyperlink>
        </w:p>
        <w:p w14:paraId="53C13618" w14:textId="411E97E1" w:rsidR="006F1D4F" w:rsidRPr="006F1D4F" w:rsidRDefault="003053D1">
          <w:pPr>
            <w:pStyle w:val="TOC3"/>
            <w:rPr>
              <w:rFonts w:asciiTheme="minorHAnsi" w:eastAsiaTheme="minorEastAsia" w:hAnsiTheme="minorHAnsi" w:cstheme="minorBidi"/>
              <w:sz w:val="22"/>
              <w:lang w:eastAsia="en-AU"/>
            </w:rPr>
          </w:pPr>
          <w:hyperlink w:anchor="_Toc35947143" w:history="1">
            <w:r w:rsidR="006F1D4F" w:rsidRPr="006F1D4F">
              <w:rPr>
                <w:rStyle w:val="Hyperlink"/>
                <w:color w:val="000000" w:themeColor="text1"/>
              </w:rPr>
              <w:t>5.3.2</w:t>
            </w:r>
            <w:r w:rsidR="006F1D4F" w:rsidRPr="006F1D4F">
              <w:rPr>
                <w:rFonts w:asciiTheme="minorHAnsi" w:eastAsiaTheme="minorEastAsia" w:hAnsiTheme="minorHAnsi" w:cstheme="minorBidi"/>
                <w:sz w:val="22"/>
                <w:lang w:eastAsia="en-AU"/>
              </w:rPr>
              <w:tab/>
            </w:r>
            <w:r w:rsidR="006F1D4F" w:rsidRPr="006F1D4F">
              <w:rPr>
                <w:rStyle w:val="Hyperlink"/>
                <w:color w:val="000000" w:themeColor="text1"/>
              </w:rPr>
              <w:t>Burdekin</w:t>
            </w:r>
            <w:r w:rsidR="006F1D4F" w:rsidRPr="006F1D4F">
              <w:rPr>
                <w:webHidden/>
              </w:rPr>
              <w:tab/>
            </w:r>
            <w:r w:rsidR="006F1D4F" w:rsidRPr="006F1D4F">
              <w:rPr>
                <w:webHidden/>
              </w:rPr>
              <w:fldChar w:fldCharType="begin"/>
            </w:r>
            <w:r w:rsidR="006F1D4F" w:rsidRPr="006F1D4F">
              <w:rPr>
                <w:webHidden/>
              </w:rPr>
              <w:instrText xml:space="preserve"> PAGEREF _Toc35947143 \h </w:instrText>
            </w:r>
            <w:r w:rsidR="006F1D4F" w:rsidRPr="006F1D4F">
              <w:rPr>
                <w:webHidden/>
              </w:rPr>
            </w:r>
            <w:r w:rsidR="006F1D4F" w:rsidRPr="006F1D4F">
              <w:rPr>
                <w:webHidden/>
              </w:rPr>
              <w:fldChar w:fldCharType="separate"/>
            </w:r>
            <w:r>
              <w:rPr>
                <w:webHidden/>
              </w:rPr>
              <w:t>76</w:t>
            </w:r>
            <w:r w:rsidR="006F1D4F" w:rsidRPr="006F1D4F">
              <w:rPr>
                <w:webHidden/>
              </w:rPr>
              <w:fldChar w:fldCharType="end"/>
            </w:r>
          </w:hyperlink>
        </w:p>
        <w:p w14:paraId="53C13619" w14:textId="464F41B4" w:rsidR="006F1D4F" w:rsidRPr="006F1D4F" w:rsidRDefault="003053D1">
          <w:pPr>
            <w:pStyle w:val="TOC3"/>
            <w:rPr>
              <w:rFonts w:asciiTheme="minorHAnsi" w:eastAsiaTheme="minorEastAsia" w:hAnsiTheme="minorHAnsi" w:cstheme="minorBidi"/>
              <w:sz w:val="22"/>
              <w:lang w:eastAsia="en-AU"/>
            </w:rPr>
          </w:pPr>
          <w:hyperlink w:anchor="_Toc35947144" w:history="1">
            <w:r w:rsidR="006F1D4F" w:rsidRPr="006F1D4F">
              <w:rPr>
                <w:rStyle w:val="Hyperlink"/>
                <w:color w:val="000000" w:themeColor="text1"/>
              </w:rPr>
              <w:t>5.3.3</w:t>
            </w:r>
            <w:r w:rsidR="006F1D4F" w:rsidRPr="006F1D4F">
              <w:rPr>
                <w:rFonts w:asciiTheme="minorHAnsi" w:eastAsiaTheme="minorEastAsia" w:hAnsiTheme="minorHAnsi" w:cstheme="minorBidi"/>
                <w:sz w:val="22"/>
                <w:lang w:eastAsia="en-AU"/>
              </w:rPr>
              <w:tab/>
            </w:r>
            <w:r w:rsidR="006F1D4F" w:rsidRPr="006F1D4F">
              <w:rPr>
                <w:rStyle w:val="Hyperlink"/>
                <w:color w:val="000000" w:themeColor="text1"/>
              </w:rPr>
              <w:t>Mackay-Whitsunday</w:t>
            </w:r>
            <w:r w:rsidR="006F1D4F" w:rsidRPr="006F1D4F">
              <w:rPr>
                <w:webHidden/>
              </w:rPr>
              <w:tab/>
            </w:r>
            <w:r w:rsidR="006F1D4F" w:rsidRPr="006F1D4F">
              <w:rPr>
                <w:webHidden/>
              </w:rPr>
              <w:fldChar w:fldCharType="begin"/>
            </w:r>
            <w:r w:rsidR="006F1D4F" w:rsidRPr="006F1D4F">
              <w:rPr>
                <w:webHidden/>
              </w:rPr>
              <w:instrText xml:space="preserve"> PAGEREF _Toc35947144 \h </w:instrText>
            </w:r>
            <w:r w:rsidR="006F1D4F" w:rsidRPr="006F1D4F">
              <w:rPr>
                <w:webHidden/>
              </w:rPr>
            </w:r>
            <w:r w:rsidR="006F1D4F" w:rsidRPr="006F1D4F">
              <w:rPr>
                <w:webHidden/>
              </w:rPr>
              <w:fldChar w:fldCharType="separate"/>
            </w:r>
            <w:r>
              <w:rPr>
                <w:webHidden/>
              </w:rPr>
              <w:t>77</w:t>
            </w:r>
            <w:r w:rsidR="006F1D4F" w:rsidRPr="006F1D4F">
              <w:rPr>
                <w:webHidden/>
              </w:rPr>
              <w:fldChar w:fldCharType="end"/>
            </w:r>
          </w:hyperlink>
        </w:p>
        <w:p w14:paraId="53C1361A" w14:textId="15DA52D8" w:rsidR="006F1D4F" w:rsidRPr="006F1D4F" w:rsidRDefault="003053D1">
          <w:pPr>
            <w:pStyle w:val="TOC3"/>
            <w:rPr>
              <w:rFonts w:asciiTheme="minorHAnsi" w:eastAsiaTheme="minorEastAsia" w:hAnsiTheme="minorHAnsi" w:cstheme="minorBidi"/>
              <w:sz w:val="22"/>
              <w:lang w:eastAsia="en-AU"/>
            </w:rPr>
          </w:pPr>
          <w:hyperlink w:anchor="_Toc35947145" w:history="1">
            <w:r w:rsidR="006F1D4F" w:rsidRPr="006F1D4F">
              <w:rPr>
                <w:rStyle w:val="Hyperlink"/>
                <w:color w:val="000000" w:themeColor="text1"/>
              </w:rPr>
              <w:t>5.3.4</w:t>
            </w:r>
            <w:r w:rsidR="006F1D4F" w:rsidRPr="006F1D4F">
              <w:rPr>
                <w:rFonts w:asciiTheme="minorHAnsi" w:eastAsiaTheme="minorEastAsia" w:hAnsiTheme="minorHAnsi" w:cstheme="minorBidi"/>
                <w:sz w:val="22"/>
                <w:lang w:eastAsia="en-AU"/>
              </w:rPr>
              <w:tab/>
            </w:r>
            <w:r w:rsidR="006F1D4F" w:rsidRPr="006F1D4F">
              <w:rPr>
                <w:rStyle w:val="Hyperlink"/>
                <w:color w:val="000000" w:themeColor="text1"/>
              </w:rPr>
              <w:t>Fitzroy</w:t>
            </w:r>
            <w:r w:rsidR="006F1D4F" w:rsidRPr="006F1D4F">
              <w:rPr>
                <w:webHidden/>
              </w:rPr>
              <w:tab/>
            </w:r>
            <w:r w:rsidR="006F1D4F" w:rsidRPr="006F1D4F">
              <w:rPr>
                <w:webHidden/>
              </w:rPr>
              <w:fldChar w:fldCharType="begin"/>
            </w:r>
            <w:r w:rsidR="006F1D4F" w:rsidRPr="006F1D4F">
              <w:rPr>
                <w:webHidden/>
              </w:rPr>
              <w:instrText xml:space="preserve"> PAGEREF _Toc35947145 \h </w:instrText>
            </w:r>
            <w:r w:rsidR="006F1D4F" w:rsidRPr="006F1D4F">
              <w:rPr>
                <w:webHidden/>
              </w:rPr>
            </w:r>
            <w:r w:rsidR="006F1D4F" w:rsidRPr="006F1D4F">
              <w:rPr>
                <w:webHidden/>
              </w:rPr>
              <w:fldChar w:fldCharType="separate"/>
            </w:r>
            <w:r>
              <w:rPr>
                <w:webHidden/>
              </w:rPr>
              <w:t>78</w:t>
            </w:r>
            <w:r w:rsidR="006F1D4F" w:rsidRPr="006F1D4F">
              <w:rPr>
                <w:webHidden/>
              </w:rPr>
              <w:fldChar w:fldCharType="end"/>
            </w:r>
          </w:hyperlink>
        </w:p>
        <w:p w14:paraId="53C1361B" w14:textId="32242C67" w:rsidR="006F1D4F" w:rsidRPr="006F1D4F" w:rsidRDefault="003053D1">
          <w:pPr>
            <w:pStyle w:val="TOC2"/>
            <w:rPr>
              <w:rFonts w:asciiTheme="minorHAnsi" w:eastAsiaTheme="minorEastAsia" w:hAnsiTheme="minorHAnsi" w:cstheme="minorBidi"/>
              <w:noProof/>
              <w:color w:val="000000" w:themeColor="text1"/>
              <w:sz w:val="22"/>
              <w:lang w:eastAsia="en-AU"/>
            </w:rPr>
          </w:pPr>
          <w:hyperlink w:anchor="_Toc35947146" w:history="1">
            <w:r w:rsidR="006F1D4F" w:rsidRPr="006F1D4F">
              <w:rPr>
                <w:rStyle w:val="Hyperlink"/>
                <w:noProof/>
                <w:color w:val="000000" w:themeColor="text1"/>
              </w:rPr>
              <w:t>5.4</w:t>
            </w:r>
            <w:r w:rsidR="006F1D4F" w:rsidRPr="006F1D4F">
              <w:rPr>
                <w:rFonts w:asciiTheme="minorHAnsi" w:eastAsiaTheme="minorEastAsia" w:hAnsiTheme="minorHAnsi" w:cstheme="minorBidi"/>
                <w:noProof/>
                <w:color w:val="000000" w:themeColor="text1"/>
                <w:sz w:val="22"/>
                <w:lang w:eastAsia="en-AU"/>
              </w:rPr>
              <w:tab/>
            </w:r>
            <w:r w:rsidR="006F1D4F" w:rsidRPr="006F1D4F">
              <w:rPr>
                <w:rStyle w:val="Hyperlink"/>
                <w:noProof/>
                <w:color w:val="000000" w:themeColor="text1"/>
              </w:rPr>
              <w:t>Management response</w:t>
            </w:r>
            <w:r w:rsidR="006F1D4F" w:rsidRPr="006F1D4F">
              <w:rPr>
                <w:noProof/>
                <w:webHidden/>
                <w:color w:val="000000" w:themeColor="text1"/>
              </w:rPr>
              <w:tab/>
            </w:r>
            <w:r w:rsidR="006F1D4F" w:rsidRPr="006F1D4F">
              <w:rPr>
                <w:noProof/>
                <w:webHidden/>
                <w:color w:val="000000" w:themeColor="text1"/>
              </w:rPr>
              <w:fldChar w:fldCharType="begin"/>
            </w:r>
            <w:r w:rsidR="006F1D4F" w:rsidRPr="006F1D4F">
              <w:rPr>
                <w:noProof/>
                <w:webHidden/>
                <w:color w:val="000000" w:themeColor="text1"/>
              </w:rPr>
              <w:instrText xml:space="preserve"> PAGEREF _Toc35947146 \h </w:instrText>
            </w:r>
            <w:r w:rsidR="006F1D4F" w:rsidRPr="006F1D4F">
              <w:rPr>
                <w:noProof/>
                <w:webHidden/>
                <w:color w:val="000000" w:themeColor="text1"/>
              </w:rPr>
            </w:r>
            <w:r w:rsidR="006F1D4F" w:rsidRPr="006F1D4F">
              <w:rPr>
                <w:noProof/>
                <w:webHidden/>
                <w:color w:val="000000" w:themeColor="text1"/>
              </w:rPr>
              <w:fldChar w:fldCharType="separate"/>
            </w:r>
            <w:r>
              <w:rPr>
                <w:noProof/>
                <w:webHidden/>
                <w:color w:val="000000" w:themeColor="text1"/>
              </w:rPr>
              <w:t>79</w:t>
            </w:r>
            <w:r w:rsidR="006F1D4F" w:rsidRPr="006F1D4F">
              <w:rPr>
                <w:noProof/>
                <w:webHidden/>
                <w:color w:val="000000" w:themeColor="text1"/>
              </w:rPr>
              <w:fldChar w:fldCharType="end"/>
            </w:r>
          </w:hyperlink>
        </w:p>
        <w:p w14:paraId="53C1361C" w14:textId="0D860D1E" w:rsidR="006F1D4F" w:rsidRPr="006F1D4F" w:rsidRDefault="003053D1">
          <w:pPr>
            <w:pStyle w:val="TOC1"/>
            <w:rPr>
              <w:rFonts w:asciiTheme="minorHAnsi" w:eastAsiaTheme="minorEastAsia" w:hAnsiTheme="minorHAnsi" w:cstheme="minorBidi"/>
              <w:b w:val="0"/>
              <w:color w:val="000000" w:themeColor="text1"/>
              <w:lang w:eastAsia="en-AU"/>
            </w:rPr>
          </w:pPr>
          <w:hyperlink w:anchor="_Toc35947147" w:history="1">
            <w:r w:rsidR="006F1D4F" w:rsidRPr="006F1D4F">
              <w:rPr>
                <w:rStyle w:val="Hyperlink"/>
                <w:color w:val="000000" w:themeColor="text1"/>
              </w:rPr>
              <w:t>6</w:t>
            </w:r>
            <w:r w:rsidR="006F1D4F" w:rsidRPr="006F1D4F">
              <w:rPr>
                <w:rFonts w:asciiTheme="minorHAnsi" w:eastAsiaTheme="minorEastAsia" w:hAnsiTheme="minorHAnsi" w:cstheme="minorBidi"/>
                <w:b w:val="0"/>
                <w:color w:val="000000" w:themeColor="text1"/>
                <w:lang w:eastAsia="en-AU"/>
              </w:rPr>
              <w:tab/>
            </w:r>
            <w:r w:rsidR="006F1D4F" w:rsidRPr="006F1D4F">
              <w:rPr>
                <w:rStyle w:val="Hyperlink"/>
                <w:color w:val="000000" w:themeColor="text1"/>
              </w:rPr>
              <w:t>Conclusion</w:t>
            </w:r>
            <w:r w:rsidR="006F1D4F" w:rsidRPr="006F1D4F">
              <w:rPr>
                <w:webHidden/>
                <w:color w:val="000000" w:themeColor="text1"/>
              </w:rPr>
              <w:tab/>
            </w:r>
            <w:r w:rsidR="006F1D4F" w:rsidRPr="006F1D4F">
              <w:rPr>
                <w:webHidden/>
                <w:color w:val="000000" w:themeColor="text1"/>
              </w:rPr>
              <w:fldChar w:fldCharType="begin"/>
            </w:r>
            <w:r w:rsidR="006F1D4F" w:rsidRPr="006F1D4F">
              <w:rPr>
                <w:webHidden/>
                <w:color w:val="000000" w:themeColor="text1"/>
              </w:rPr>
              <w:instrText xml:space="preserve"> PAGEREF _Toc35947147 \h </w:instrText>
            </w:r>
            <w:r w:rsidR="006F1D4F" w:rsidRPr="006F1D4F">
              <w:rPr>
                <w:webHidden/>
                <w:color w:val="000000" w:themeColor="text1"/>
              </w:rPr>
            </w:r>
            <w:r w:rsidR="006F1D4F" w:rsidRPr="006F1D4F">
              <w:rPr>
                <w:webHidden/>
                <w:color w:val="000000" w:themeColor="text1"/>
              </w:rPr>
              <w:fldChar w:fldCharType="separate"/>
            </w:r>
            <w:r>
              <w:rPr>
                <w:webHidden/>
                <w:color w:val="000000" w:themeColor="text1"/>
              </w:rPr>
              <w:t>81</w:t>
            </w:r>
            <w:r w:rsidR="006F1D4F" w:rsidRPr="006F1D4F">
              <w:rPr>
                <w:webHidden/>
                <w:color w:val="000000" w:themeColor="text1"/>
              </w:rPr>
              <w:fldChar w:fldCharType="end"/>
            </w:r>
          </w:hyperlink>
        </w:p>
        <w:p w14:paraId="53C1361D" w14:textId="48B07BC0" w:rsidR="006F1D4F" w:rsidRPr="006F1D4F" w:rsidRDefault="003053D1">
          <w:pPr>
            <w:pStyle w:val="TOC1"/>
            <w:rPr>
              <w:rFonts w:asciiTheme="minorHAnsi" w:eastAsiaTheme="minorEastAsia" w:hAnsiTheme="minorHAnsi" w:cstheme="minorBidi"/>
              <w:b w:val="0"/>
              <w:color w:val="000000" w:themeColor="text1"/>
              <w:lang w:eastAsia="en-AU"/>
            </w:rPr>
          </w:pPr>
          <w:hyperlink w:anchor="_Toc35947148" w:history="1">
            <w:r w:rsidR="006F1D4F" w:rsidRPr="006F1D4F">
              <w:rPr>
                <w:rStyle w:val="Hyperlink"/>
                <w:color w:val="000000" w:themeColor="text1"/>
              </w:rPr>
              <w:t>7</w:t>
            </w:r>
            <w:r w:rsidR="006F1D4F" w:rsidRPr="006F1D4F">
              <w:rPr>
                <w:rFonts w:asciiTheme="minorHAnsi" w:eastAsiaTheme="minorEastAsia" w:hAnsiTheme="minorHAnsi" w:cstheme="minorBidi"/>
                <w:b w:val="0"/>
                <w:color w:val="000000" w:themeColor="text1"/>
                <w:lang w:eastAsia="en-AU"/>
              </w:rPr>
              <w:tab/>
            </w:r>
            <w:r w:rsidR="006F1D4F" w:rsidRPr="006F1D4F">
              <w:rPr>
                <w:rStyle w:val="Hyperlink"/>
                <w:color w:val="000000" w:themeColor="text1"/>
              </w:rPr>
              <w:t>References</w:t>
            </w:r>
            <w:r w:rsidR="006F1D4F" w:rsidRPr="006F1D4F">
              <w:rPr>
                <w:webHidden/>
                <w:color w:val="000000" w:themeColor="text1"/>
              </w:rPr>
              <w:tab/>
            </w:r>
            <w:r w:rsidR="006F1D4F" w:rsidRPr="006F1D4F">
              <w:rPr>
                <w:webHidden/>
                <w:color w:val="000000" w:themeColor="text1"/>
              </w:rPr>
              <w:fldChar w:fldCharType="begin"/>
            </w:r>
            <w:r w:rsidR="006F1D4F" w:rsidRPr="006F1D4F">
              <w:rPr>
                <w:webHidden/>
                <w:color w:val="000000" w:themeColor="text1"/>
              </w:rPr>
              <w:instrText xml:space="preserve"> PAGEREF _Toc35947148 \h </w:instrText>
            </w:r>
            <w:r w:rsidR="006F1D4F" w:rsidRPr="006F1D4F">
              <w:rPr>
                <w:webHidden/>
                <w:color w:val="000000" w:themeColor="text1"/>
              </w:rPr>
            </w:r>
            <w:r w:rsidR="006F1D4F" w:rsidRPr="006F1D4F">
              <w:rPr>
                <w:webHidden/>
                <w:color w:val="000000" w:themeColor="text1"/>
              </w:rPr>
              <w:fldChar w:fldCharType="separate"/>
            </w:r>
            <w:r>
              <w:rPr>
                <w:webHidden/>
                <w:color w:val="000000" w:themeColor="text1"/>
              </w:rPr>
              <w:t>83</w:t>
            </w:r>
            <w:r w:rsidR="006F1D4F" w:rsidRPr="006F1D4F">
              <w:rPr>
                <w:webHidden/>
                <w:color w:val="000000" w:themeColor="text1"/>
              </w:rPr>
              <w:fldChar w:fldCharType="end"/>
            </w:r>
          </w:hyperlink>
        </w:p>
        <w:p w14:paraId="53C1361E" w14:textId="4A8379C9" w:rsidR="006F1D4F" w:rsidRPr="006F1D4F" w:rsidRDefault="003053D1">
          <w:pPr>
            <w:pStyle w:val="TOC1"/>
            <w:rPr>
              <w:rFonts w:asciiTheme="minorHAnsi" w:eastAsiaTheme="minorEastAsia" w:hAnsiTheme="minorHAnsi" w:cstheme="minorBidi"/>
              <w:b w:val="0"/>
              <w:color w:val="000000" w:themeColor="text1"/>
              <w:lang w:eastAsia="en-AU"/>
            </w:rPr>
          </w:pPr>
          <w:hyperlink w:anchor="_Toc35947149" w:history="1">
            <w:r w:rsidR="006F1D4F" w:rsidRPr="006F1D4F">
              <w:rPr>
                <w:rStyle w:val="Hyperlink"/>
                <w:color w:val="000000" w:themeColor="text1"/>
              </w:rPr>
              <w:t>8</w:t>
            </w:r>
            <w:r w:rsidR="006F1D4F" w:rsidRPr="006F1D4F">
              <w:rPr>
                <w:rFonts w:asciiTheme="minorHAnsi" w:eastAsiaTheme="minorEastAsia" w:hAnsiTheme="minorHAnsi" w:cstheme="minorBidi"/>
                <w:b w:val="0"/>
                <w:color w:val="000000" w:themeColor="text1"/>
                <w:lang w:eastAsia="en-AU"/>
              </w:rPr>
              <w:tab/>
            </w:r>
            <w:r w:rsidR="006F1D4F" w:rsidRPr="006F1D4F">
              <w:rPr>
                <w:rStyle w:val="Hyperlink"/>
                <w:color w:val="000000" w:themeColor="text1"/>
              </w:rPr>
              <w:t>Appendix 1: Additional Information</w:t>
            </w:r>
            <w:r w:rsidR="006F1D4F" w:rsidRPr="006F1D4F">
              <w:rPr>
                <w:webHidden/>
                <w:color w:val="000000" w:themeColor="text1"/>
              </w:rPr>
              <w:tab/>
            </w:r>
            <w:r w:rsidR="006F1D4F" w:rsidRPr="006F1D4F">
              <w:rPr>
                <w:webHidden/>
                <w:color w:val="000000" w:themeColor="text1"/>
              </w:rPr>
              <w:fldChar w:fldCharType="begin"/>
            </w:r>
            <w:r w:rsidR="006F1D4F" w:rsidRPr="006F1D4F">
              <w:rPr>
                <w:webHidden/>
                <w:color w:val="000000" w:themeColor="text1"/>
              </w:rPr>
              <w:instrText xml:space="preserve"> PAGEREF _Toc35947149 \h </w:instrText>
            </w:r>
            <w:r w:rsidR="006F1D4F" w:rsidRPr="006F1D4F">
              <w:rPr>
                <w:webHidden/>
                <w:color w:val="000000" w:themeColor="text1"/>
              </w:rPr>
            </w:r>
            <w:r w:rsidR="006F1D4F" w:rsidRPr="006F1D4F">
              <w:rPr>
                <w:webHidden/>
                <w:color w:val="000000" w:themeColor="text1"/>
              </w:rPr>
              <w:fldChar w:fldCharType="separate"/>
            </w:r>
            <w:r>
              <w:rPr>
                <w:webHidden/>
                <w:color w:val="000000" w:themeColor="text1"/>
              </w:rPr>
              <w:t>93</w:t>
            </w:r>
            <w:r w:rsidR="006F1D4F" w:rsidRPr="006F1D4F">
              <w:rPr>
                <w:webHidden/>
                <w:color w:val="000000" w:themeColor="text1"/>
              </w:rPr>
              <w:fldChar w:fldCharType="end"/>
            </w:r>
          </w:hyperlink>
        </w:p>
        <w:p w14:paraId="53C1361F" w14:textId="31AD73AA" w:rsidR="006F1D4F" w:rsidRPr="006F1D4F" w:rsidRDefault="003053D1">
          <w:pPr>
            <w:pStyle w:val="TOC1"/>
            <w:rPr>
              <w:rFonts w:asciiTheme="minorHAnsi" w:eastAsiaTheme="minorEastAsia" w:hAnsiTheme="minorHAnsi" w:cstheme="minorBidi"/>
              <w:b w:val="0"/>
              <w:color w:val="000000" w:themeColor="text1"/>
              <w:lang w:eastAsia="en-AU"/>
            </w:rPr>
          </w:pPr>
          <w:hyperlink w:anchor="_Toc35947150" w:history="1">
            <w:r w:rsidR="006F1D4F" w:rsidRPr="006F1D4F">
              <w:rPr>
                <w:rStyle w:val="Hyperlink"/>
                <w:color w:val="000000" w:themeColor="text1"/>
              </w:rPr>
              <w:t>9</w:t>
            </w:r>
            <w:r w:rsidR="006F1D4F" w:rsidRPr="006F1D4F">
              <w:rPr>
                <w:rFonts w:asciiTheme="minorHAnsi" w:eastAsiaTheme="minorEastAsia" w:hAnsiTheme="minorHAnsi" w:cstheme="minorBidi"/>
                <w:b w:val="0"/>
                <w:color w:val="000000" w:themeColor="text1"/>
                <w:lang w:eastAsia="en-AU"/>
              </w:rPr>
              <w:tab/>
            </w:r>
            <w:r w:rsidR="006F1D4F" w:rsidRPr="006F1D4F">
              <w:rPr>
                <w:rStyle w:val="Hyperlink"/>
                <w:color w:val="000000" w:themeColor="text1"/>
              </w:rPr>
              <w:t>Appendix 2: Publications and presentations 2018–2019</w:t>
            </w:r>
            <w:r w:rsidR="006F1D4F" w:rsidRPr="006F1D4F">
              <w:rPr>
                <w:webHidden/>
                <w:color w:val="000000" w:themeColor="text1"/>
              </w:rPr>
              <w:tab/>
            </w:r>
            <w:r w:rsidR="006F1D4F" w:rsidRPr="006F1D4F">
              <w:rPr>
                <w:webHidden/>
                <w:color w:val="000000" w:themeColor="text1"/>
              </w:rPr>
              <w:fldChar w:fldCharType="begin"/>
            </w:r>
            <w:r w:rsidR="006F1D4F" w:rsidRPr="006F1D4F">
              <w:rPr>
                <w:webHidden/>
                <w:color w:val="000000" w:themeColor="text1"/>
              </w:rPr>
              <w:instrText xml:space="preserve"> PAGEREF _Toc35947150 \h </w:instrText>
            </w:r>
            <w:r w:rsidR="006F1D4F" w:rsidRPr="006F1D4F">
              <w:rPr>
                <w:webHidden/>
                <w:color w:val="000000" w:themeColor="text1"/>
              </w:rPr>
            </w:r>
            <w:r w:rsidR="006F1D4F" w:rsidRPr="006F1D4F">
              <w:rPr>
                <w:webHidden/>
                <w:color w:val="000000" w:themeColor="text1"/>
              </w:rPr>
              <w:fldChar w:fldCharType="separate"/>
            </w:r>
            <w:r>
              <w:rPr>
                <w:webHidden/>
                <w:color w:val="000000" w:themeColor="text1"/>
              </w:rPr>
              <w:t>142</w:t>
            </w:r>
            <w:r w:rsidR="006F1D4F" w:rsidRPr="006F1D4F">
              <w:rPr>
                <w:webHidden/>
                <w:color w:val="000000" w:themeColor="text1"/>
              </w:rPr>
              <w:fldChar w:fldCharType="end"/>
            </w:r>
          </w:hyperlink>
        </w:p>
        <w:p w14:paraId="53C13620" w14:textId="32F773EB" w:rsidR="00A84742" w:rsidRPr="006F1D4F" w:rsidRDefault="00BB3AE5" w:rsidP="00BB3AE5">
          <w:pPr>
            <w:pStyle w:val="TOC1"/>
            <w:rPr>
              <w:color w:val="000000" w:themeColor="text1"/>
            </w:rPr>
          </w:pPr>
          <w:r w:rsidRPr="006F1D4F">
            <w:rPr>
              <w:color w:val="000000" w:themeColor="text1"/>
            </w:rPr>
            <w:fldChar w:fldCharType="end"/>
          </w:r>
        </w:p>
      </w:sdtContent>
    </w:sdt>
    <w:p w14:paraId="53C13621" w14:textId="77777777" w:rsidR="00A84742" w:rsidRPr="006F1D4F" w:rsidRDefault="00A84742" w:rsidP="00A84742">
      <w:pPr>
        <w:jc w:val="left"/>
        <w:rPr>
          <w:noProof/>
          <w:color w:val="000000" w:themeColor="text1"/>
        </w:rPr>
      </w:pPr>
      <w:r w:rsidRPr="006F1D4F">
        <w:rPr>
          <w:color w:val="000000" w:themeColor="text1"/>
        </w:rPr>
        <w:br w:type="page"/>
      </w:r>
    </w:p>
    <w:p w14:paraId="53C13622" w14:textId="77777777" w:rsidR="00CD4137" w:rsidRPr="00CE4E0F" w:rsidRDefault="00CD4137" w:rsidP="00D217FF">
      <w:pPr>
        <w:pStyle w:val="Heading1"/>
        <w:numPr>
          <w:ilvl w:val="0"/>
          <w:numId w:val="0"/>
        </w:numPr>
      </w:pPr>
      <w:bookmarkStart w:id="2" w:name="_Toc437424397"/>
      <w:bookmarkStart w:id="3" w:name="_Toc437424521"/>
      <w:bookmarkStart w:id="4" w:name="_Ref437429116"/>
      <w:bookmarkStart w:id="5" w:name="_Toc437432451"/>
      <w:bookmarkStart w:id="6" w:name="_Toc437432524"/>
      <w:bookmarkStart w:id="7" w:name="_Ref35856076"/>
      <w:bookmarkStart w:id="8" w:name="_Toc35947064"/>
      <w:r w:rsidRPr="00CE4E0F">
        <w:lastRenderedPageBreak/>
        <w:t>List of Figures and Tables</w:t>
      </w:r>
      <w:bookmarkEnd w:id="2"/>
      <w:bookmarkEnd w:id="3"/>
      <w:bookmarkEnd w:id="4"/>
      <w:bookmarkEnd w:id="5"/>
      <w:bookmarkEnd w:id="6"/>
      <w:bookmarkEnd w:id="7"/>
      <w:bookmarkEnd w:id="8"/>
    </w:p>
    <w:p w14:paraId="53C13623" w14:textId="28F46A9B" w:rsidR="006F1D4F" w:rsidRDefault="00CD4137">
      <w:pPr>
        <w:pStyle w:val="TableofFigures"/>
        <w:rPr>
          <w:rFonts w:asciiTheme="minorHAnsi" w:eastAsiaTheme="minorEastAsia" w:hAnsiTheme="minorHAnsi" w:cstheme="minorBidi"/>
          <w:bCs w:val="0"/>
          <w:sz w:val="22"/>
          <w:lang w:eastAsia="en-AU"/>
        </w:rPr>
      </w:pPr>
      <w:r w:rsidRPr="00CE4E0F">
        <w:rPr>
          <w:color w:val="548DD4" w:themeColor="text2" w:themeTint="99"/>
        </w:rPr>
        <w:fldChar w:fldCharType="begin"/>
      </w:r>
      <w:r w:rsidRPr="00CE4E0F">
        <w:rPr>
          <w:color w:val="548DD4" w:themeColor="text2" w:themeTint="99"/>
        </w:rPr>
        <w:instrText xml:space="preserve"> TOC \h \z \c "Figure" </w:instrText>
      </w:r>
      <w:r w:rsidRPr="00CE4E0F">
        <w:rPr>
          <w:color w:val="548DD4" w:themeColor="text2" w:themeTint="99"/>
        </w:rPr>
        <w:fldChar w:fldCharType="separate"/>
      </w:r>
      <w:hyperlink w:anchor="_Toc35947151" w:history="1">
        <w:r w:rsidR="006F1D4F" w:rsidRPr="00B21D13">
          <w:rPr>
            <w:rStyle w:val="Hyperlink"/>
          </w:rPr>
          <w:t>Figure 1 Trends in Coral index and contributing indicator scores for the inshore Reef</w:t>
        </w:r>
        <w:r w:rsidR="006F1D4F">
          <w:rPr>
            <w:webHidden/>
          </w:rPr>
          <w:tab/>
        </w:r>
        <w:r w:rsidR="006F1D4F">
          <w:rPr>
            <w:webHidden/>
          </w:rPr>
          <w:fldChar w:fldCharType="begin"/>
        </w:r>
        <w:r w:rsidR="006F1D4F">
          <w:rPr>
            <w:webHidden/>
          </w:rPr>
          <w:instrText xml:space="preserve"> PAGEREF _Toc35947151 \h </w:instrText>
        </w:r>
        <w:r w:rsidR="006F1D4F">
          <w:rPr>
            <w:webHidden/>
          </w:rPr>
        </w:r>
        <w:r w:rsidR="006F1D4F">
          <w:rPr>
            <w:webHidden/>
          </w:rPr>
          <w:fldChar w:fldCharType="separate"/>
        </w:r>
        <w:r w:rsidR="003053D1">
          <w:rPr>
            <w:webHidden/>
          </w:rPr>
          <w:t>1</w:t>
        </w:r>
        <w:r w:rsidR="006F1D4F">
          <w:rPr>
            <w:webHidden/>
          </w:rPr>
          <w:fldChar w:fldCharType="end"/>
        </w:r>
      </w:hyperlink>
    </w:p>
    <w:p w14:paraId="53C13624" w14:textId="7EC2AA57" w:rsidR="006F1D4F" w:rsidRDefault="003053D1">
      <w:pPr>
        <w:pStyle w:val="TableofFigures"/>
        <w:rPr>
          <w:rFonts w:asciiTheme="minorHAnsi" w:eastAsiaTheme="minorEastAsia" w:hAnsiTheme="minorHAnsi" w:cstheme="minorBidi"/>
          <w:bCs w:val="0"/>
          <w:sz w:val="22"/>
          <w:lang w:eastAsia="en-AU"/>
        </w:rPr>
      </w:pPr>
      <w:hyperlink w:anchor="_Toc35947152" w:history="1">
        <w:r w:rsidR="006F1D4F" w:rsidRPr="00B21D13">
          <w:rPr>
            <w:rStyle w:val="Hyperlink"/>
          </w:rPr>
          <w:t>Figure 2 Sampling locations of the coral monitoring</w:t>
        </w:r>
        <w:r w:rsidR="006F1D4F">
          <w:rPr>
            <w:webHidden/>
          </w:rPr>
          <w:tab/>
        </w:r>
        <w:r w:rsidR="006F1D4F">
          <w:rPr>
            <w:webHidden/>
          </w:rPr>
          <w:fldChar w:fldCharType="begin"/>
        </w:r>
        <w:r w:rsidR="006F1D4F">
          <w:rPr>
            <w:webHidden/>
          </w:rPr>
          <w:instrText xml:space="preserve"> PAGEREF _Toc35947152 \h </w:instrText>
        </w:r>
        <w:r w:rsidR="006F1D4F">
          <w:rPr>
            <w:webHidden/>
          </w:rPr>
        </w:r>
        <w:r w:rsidR="006F1D4F">
          <w:rPr>
            <w:webHidden/>
          </w:rPr>
          <w:fldChar w:fldCharType="separate"/>
        </w:r>
        <w:r>
          <w:rPr>
            <w:webHidden/>
          </w:rPr>
          <w:t>13</w:t>
        </w:r>
        <w:r w:rsidR="006F1D4F">
          <w:rPr>
            <w:webHidden/>
          </w:rPr>
          <w:fldChar w:fldCharType="end"/>
        </w:r>
      </w:hyperlink>
    </w:p>
    <w:p w14:paraId="53C13625" w14:textId="64EEDA57" w:rsidR="006F1D4F" w:rsidRDefault="003053D1">
      <w:pPr>
        <w:pStyle w:val="TableofFigures"/>
        <w:rPr>
          <w:rFonts w:asciiTheme="minorHAnsi" w:eastAsiaTheme="minorEastAsia" w:hAnsiTheme="minorHAnsi" w:cstheme="minorBidi"/>
          <w:bCs w:val="0"/>
          <w:sz w:val="22"/>
          <w:lang w:eastAsia="en-AU"/>
        </w:rPr>
      </w:pPr>
      <w:hyperlink w:anchor="_Toc35947153" w:history="1">
        <w:r w:rsidR="006F1D4F" w:rsidRPr="00B21D13">
          <w:rPr>
            <w:rStyle w:val="Hyperlink"/>
          </w:rPr>
          <w:t>Figure 3 Scoring diagram for the coral cover metric</w:t>
        </w:r>
        <w:r w:rsidR="006F1D4F">
          <w:rPr>
            <w:webHidden/>
          </w:rPr>
          <w:tab/>
        </w:r>
        <w:r w:rsidR="006F1D4F">
          <w:rPr>
            <w:webHidden/>
          </w:rPr>
          <w:fldChar w:fldCharType="begin"/>
        </w:r>
        <w:r w:rsidR="006F1D4F">
          <w:rPr>
            <w:webHidden/>
          </w:rPr>
          <w:instrText xml:space="preserve"> PAGEREF _Toc35947153 \h </w:instrText>
        </w:r>
        <w:r w:rsidR="006F1D4F">
          <w:rPr>
            <w:webHidden/>
          </w:rPr>
        </w:r>
        <w:r w:rsidR="006F1D4F">
          <w:rPr>
            <w:webHidden/>
          </w:rPr>
          <w:fldChar w:fldCharType="separate"/>
        </w:r>
        <w:r>
          <w:rPr>
            <w:webHidden/>
          </w:rPr>
          <w:t>17</w:t>
        </w:r>
        <w:r w:rsidR="006F1D4F">
          <w:rPr>
            <w:webHidden/>
          </w:rPr>
          <w:fldChar w:fldCharType="end"/>
        </w:r>
      </w:hyperlink>
    </w:p>
    <w:p w14:paraId="53C13626" w14:textId="0C6CB1A5" w:rsidR="006F1D4F" w:rsidRDefault="003053D1">
      <w:pPr>
        <w:pStyle w:val="TableofFigures"/>
        <w:rPr>
          <w:rFonts w:asciiTheme="minorHAnsi" w:eastAsiaTheme="minorEastAsia" w:hAnsiTheme="minorHAnsi" w:cstheme="minorBidi"/>
          <w:bCs w:val="0"/>
          <w:sz w:val="22"/>
          <w:lang w:eastAsia="en-AU"/>
        </w:rPr>
      </w:pPr>
      <w:hyperlink w:anchor="_Toc35947154" w:history="1">
        <w:r w:rsidR="006F1D4F" w:rsidRPr="00B21D13">
          <w:rPr>
            <w:rStyle w:val="Hyperlink"/>
          </w:rPr>
          <w:t>Figure 4 Scoring diagram for the Macroalgae metric</w:t>
        </w:r>
        <w:r w:rsidR="006F1D4F">
          <w:rPr>
            <w:webHidden/>
          </w:rPr>
          <w:tab/>
        </w:r>
        <w:r w:rsidR="006F1D4F">
          <w:rPr>
            <w:webHidden/>
          </w:rPr>
          <w:fldChar w:fldCharType="begin"/>
        </w:r>
        <w:r w:rsidR="006F1D4F">
          <w:rPr>
            <w:webHidden/>
          </w:rPr>
          <w:instrText xml:space="preserve"> PAGEREF _Toc35947154 \h </w:instrText>
        </w:r>
        <w:r w:rsidR="006F1D4F">
          <w:rPr>
            <w:webHidden/>
          </w:rPr>
        </w:r>
        <w:r w:rsidR="006F1D4F">
          <w:rPr>
            <w:webHidden/>
          </w:rPr>
          <w:fldChar w:fldCharType="separate"/>
        </w:r>
        <w:r>
          <w:rPr>
            <w:webHidden/>
          </w:rPr>
          <w:t>18</w:t>
        </w:r>
        <w:r w:rsidR="006F1D4F">
          <w:rPr>
            <w:webHidden/>
          </w:rPr>
          <w:fldChar w:fldCharType="end"/>
        </w:r>
      </w:hyperlink>
    </w:p>
    <w:p w14:paraId="53C13627" w14:textId="138B9C32" w:rsidR="006F1D4F" w:rsidRDefault="003053D1">
      <w:pPr>
        <w:pStyle w:val="TableofFigures"/>
        <w:rPr>
          <w:rFonts w:asciiTheme="minorHAnsi" w:eastAsiaTheme="minorEastAsia" w:hAnsiTheme="minorHAnsi" w:cstheme="minorBidi"/>
          <w:bCs w:val="0"/>
          <w:sz w:val="22"/>
          <w:lang w:eastAsia="en-AU"/>
        </w:rPr>
      </w:pPr>
      <w:hyperlink w:anchor="_Toc35947155" w:history="1">
        <w:r w:rsidR="006F1D4F" w:rsidRPr="00B21D13">
          <w:rPr>
            <w:rStyle w:val="Hyperlink"/>
          </w:rPr>
          <w:t>Figure 5 Scoring diagram for the Juvenile metric</w:t>
        </w:r>
        <w:r w:rsidR="006F1D4F">
          <w:rPr>
            <w:webHidden/>
          </w:rPr>
          <w:tab/>
        </w:r>
        <w:r w:rsidR="006F1D4F">
          <w:rPr>
            <w:webHidden/>
          </w:rPr>
          <w:fldChar w:fldCharType="begin"/>
        </w:r>
        <w:r w:rsidR="006F1D4F">
          <w:rPr>
            <w:webHidden/>
          </w:rPr>
          <w:instrText xml:space="preserve"> PAGEREF _Toc35947155 \h </w:instrText>
        </w:r>
        <w:r w:rsidR="006F1D4F">
          <w:rPr>
            <w:webHidden/>
          </w:rPr>
        </w:r>
        <w:r w:rsidR="006F1D4F">
          <w:rPr>
            <w:webHidden/>
          </w:rPr>
          <w:fldChar w:fldCharType="separate"/>
        </w:r>
        <w:r>
          <w:rPr>
            <w:webHidden/>
          </w:rPr>
          <w:t>19</w:t>
        </w:r>
        <w:r w:rsidR="006F1D4F">
          <w:rPr>
            <w:webHidden/>
          </w:rPr>
          <w:fldChar w:fldCharType="end"/>
        </w:r>
      </w:hyperlink>
    </w:p>
    <w:p w14:paraId="53C13628" w14:textId="3F768F28" w:rsidR="006F1D4F" w:rsidRDefault="003053D1">
      <w:pPr>
        <w:pStyle w:val="TableofFigures"/>
        <w:rPr>
          <w:rFonts w:asciiTheme="minorHAnsi" w:eastAsiaTheme="minorEastAsia" w:hAnsiTheme="minorHAnsi" w:cstheme="minorBidi"/>
          <w:bCs w:val="0"/>
          <w:sz w:val="22"/>
          <w:lang w:eastAsia="en-AU"/>
        </w:rPr>
      </w:pPr>
      <w:hyperlink w:anchor="_Toc35947156" w:history="1">
        <w:r w:rsidR="006F1D4F" w:rsidRPr="00B21D13">
          <w:rPr>
            <w:rStyle w:val="Hyperlink"/>
          </w:rPr>
          <w:t>Figure 6 Scoring diagram for Cover Change metric.</w:t>
        </w:r>
        <w:r w:rsidR="006F1D4F">
          <w:rPr>
            <w:webHidden/>
          </w:rPr>
          <w:tab/>
        </w:r>
        <w:r w:rsidR="006F1D4F">
          <w:rPr>
            <w:webHidden/>
          </w:rPr>
          <w:fldChar w:fldCharType="begin"/>
        </w:r>
        <w:r w:rsidR="006F1D4F">
          <w:rPr>
            <w:webHidden/>
          </w:rPr>
          <w:instrText xml:space="preserve"> PAGEREF _Toc35947156 \h </w:instrText>
        </w:r>
        <w:r w:rsidR="006F1D4F">
          <w:rPr>
            <w:webHidden/>
          </w:rPr>
        </w:r>
        <w:r w:rsidR="006F1D4F">
          <w:rPr>
            <w:webHidden/>
          </w:rPr>
          <w:fldChar w:fldCharType="separate"/>
        </w:r>
        <w:r>
          <w:rPr>
            <w:webHidden/>
          </w:rPr>
          <w:t>21</w:t>
        </w:r>
        <w:r w:rsidR="006F1D4F">
          <w:rPr>
            <w:webHidden/>
          </w:rPr>
          <w:fldChar w:fldCharType="end"/>
        </w:r>
      </w:hyperlink>
    </w:p>
    <w:p w14:paraId="53C13629" w14:textId="48315E41" w:rsidR="006F1D4F" w:rsidRDefault="003053D1">
      <w:pPr>
        <w:pStyle w:val="TableofFigures"/>
        <w:rPr>
          <w:rFonts w:asciiTheme="minorHAnsi" w:eastAsiaTheme="minorEastAsia" w:hAnsiTheme="minorHAnsi" w:cstheme="minorBidi"/>
          <w:bCs w:val="0"/>
          <w:sz w:val="22"/>
          <w:lang w:eastAsia="en-AU"/>
        </w:rPr>
      </w:pPr>
      <w:hyperlink w:anchor="_Toc35947157" w:history="1">
        <w:r w:rsidR="006F1D4F" w:rsidRPr="00B21D13">
          <w:rPr>
            <w:rStyle w:val="Hyperlink"/>
          </w:rPr>
          <w:t>Figure 7 Scoring diagram for community composition metric</w:t>
        </w:r>
        <w:r w:rsidR="006F1D4F">
          <w:rPr>
            <w:webHidden/>
          </w:rPr>
          <w:tab/>
        </w:r>
        <w:r w:rsidR="006F1D4F">
          <w:rPr>
            <w:webHidden/>
          </w:rPr>
          <w:fldChar w:fldCharType="begin"/>
        </w:r>
        <w:r w:rsidR="006F1D4F">
          <w:rPr>
            <w:webHidden/>
          </w:rPr>
          <w:instrText xml:space="preserve"> PAGEREF _Toc35947157 \h </w:instrText>
        </w:r>
        <w:r w:rsidR="006F1D4F">
          <w:rPr>
            <w:webHidden/>
          </w:rPr>
        </w:r>
        <w:r w:rsidR="006F1D4F">
          <w:rPr>
            <w:webHidden/>
          </w:rPr>
          <w:fldChar w:fldCharType="separate"/>
        </w:r>
        <w:r>
          <w:rPr>
            <w:webHidden/>
          </w:rPr>
          <w:t>22</w:t>
        </w:r>
        <w:r w:rsidR="006F1D4F">
          <w:rPr>
            <w:webHidden/>
          </w:rPr>
          <w:fldChar w:fldCharType="end"/>
        </w:r>
      </w:hyperlink>
    </w:p>
    <w:p w14:paraId="53C1362A" w14:textId="10DD11B2" w:rsidR="006F1D4F" w:rsidRDefault="003053D1">
      <w:pPr>
        <w:pStyle w:val="TableofFigures"/>
        <w:rPr>
          <w:rFonts w:asciiTheme="minorHAnsi" w:eastAsiaTheme="minorEastAsia" w:hAnsiTheme="minorHAnsi" w:cstheme="minorBidi"/>
          <w:bCs w:val="0"/>
          <w:sz w:val="22"/>
          <w:lang w:eastAsia="en-AU"/>
        </w:rPr>
      </w:pPr>
      <w:hyperlink w:anchor="_Toc35947158" w:history="1">
        <w:r w:rsidR="006F1D4F" w:rsidRPr="00B21D13">
          <w:rPr>
            <w:rStyle w:val="Hyperlink"/>
          </w:rPr>
          <w:t>Figure 8 Cyclone tracks for systems crossing the inshore Reef over the last decade</w:t>
        </w:r>
        <w:r w:rsidR="006F1D4F">
          <w:rPr>
            <w:webHidden/>
          </w:rPr>
          <w:tab/>
        </w:r>
        <w:r w:rsidR="006F1D4F">
          <w:rPr>
            <w:webHidden/>
          </w:rPr>
          <w:fldChar w:fldCharType="begin"/>
        </w:r>
        <w:r w:rsidR="006F1D4F">
          <w:rPr>
            <w:webHidden/>
          </w:rPr>
          <w:instrText xml:space="preserve"> PAGEREF _Toc35947158 \h </w:instrText>
        </w:r>
        <w:r w:rsidR="006F1D4F">
          <w:rPr>
            <w:webHidden/>
          </w:rPr>
        </w:r>
        <w:r w:rsidR="006F1D4F">
          <w:rPr>
            <w:webHidden/>
          </w:rPr>
          <w:fldChar w:fldCharType="separate"/>
        </w:r>
        <w:r>
          <w:rPr>
            <w:webHidden/>
          </w:rPr>
          <w:t>28</w:t>
        </w:r>
        <w:r w:rsidR="006F1D4F">
          <w:rPr>
            <w:webHidden/>
          </w:rPr>
          <w:fldChar w:fldCharType="end"/>
        </w:r>
      </w:hyperlink>
    </w:p>
    <w:p w14:paraId="53C1362B" w14:textId="714F804D" w:rsidR="006F1D4F" w:rsidRDefault="003053D1">
      <w:pPr>
        <w:pStyle w:val="TableofFigures"/>
        <w:rPr>
          <w:rFonts w:asciiTheme="minorHAnsi" w:eastAsiaTheme="minorEastAsia" w:hAnsiTheme="minorHAnsi" w:cstheme="minorBidi"/>
          <w:bCs w:val="0"/>
          <w:sz w:val="22"/>
          <w:lang w:eastAsia="en-AU"/>
        </w:rPr>
      </w:pPr>
      <w:hyperlink w:anchor="_Toc35947159" w:history="1">
        <w:r w:rsidR="006F1D4F" w:rsidRPr="00B21D13">
          <w:rPr>
            <w:rStyle w:val="Hyperlink"/>
          </w:rPr>
          <w:t>Figure 9 Annual degree heating day estimates for the Reef</w:t>
        </w:r>
        <w:r w:rsidR="006F1D4F">
          <w:rPr>
            <w:webHidden/>
          </w:rPr>
          <w:tab/>
        </w:r>
        <w:r w:rsidR="006F1D4F">
          <w:rPr>
            <w:webHidden/>
          </w:rPr>
          <w:fldChar w:fldCharType="begin"/>
        </w:r>
        <w:r w:rsidR="006F1D4F">
          <w:rPr>
            <w:webHidden/>
          </w:rPr>
          <w:instrText xml:space="preserve"> PAGEREF _Toc35947159 \h </w:instrText>
        </w:r>
        <w:r w:rsidR="006F1D4F">
          <w:rPr>
            <w:webHidden/>
          </w:rPr>
        </w:r>
        <w:r w:rsidR="006F1D4F">
          <w:rPr>
            <w:webHidden/>
          </w:rPr>
          <w:fldChar w:fldCharType="separate"/>
        </w:r>
        <w:r>
          <w:rPr>
            <w:webHidden/>
          </w:rPr>
          <w:t>29</w:t>
        </w:r>
        <w:r w:rsidR="006F1D4F">
          <w:rPr>
            <w:webHidden/>
          </w:rPr>
          <w:fldChar w:fldCharType="end"/>
        </w:r>
      </w:hyperlink>
    </w:p>
    <w:p w14:paraId="53C1362C" w14:textId="3EE4036D" w:rsidR="006F1D4F" w:rsidRDefault="003053D1">
      <w:pPr>
        <w:pStyle w:val="TableofFigures"/>
        <w:rPr>
          <w:rFonts w:asciiTheme="minorHAnsi" w:eastAsiaTheme="minorEastAsia" w:hAnsiTheme="minorHAnsi" w:cstheme="minorBidi"/>
          <w:bCs w:val="0"/>
          <w:sz w:val="22"/>
          <w:lang w:eastAsia="en-AU"/>
        </w:rPr>
      </w:pPr>
      <w:hyperlink w:anchor="_Toc35947160" w:history="1">
        <w:r w:rsidR="006F1D4F" w:rsidRPr="00B21D13">
          <w:rPr>
            <w:rStyle w:val="Hyperlink"/>
          </w:rPr>
          <w:t>Figure 10 Annual total river discharge to the Reef</w:t>
        </w:r>
        <w:r w:rsidR="006F1D4F">
          <w:rPr>
            <w:webHidden/>
          </w:rPr>
          <w:tab/>
        </w:r>
        <w:r w:rsidR="006F1D4F">
          <w:rPr>
            <w:webHidden/>
          </w:rPr>
          <w:fldChar w:fldCharType="begin"/>
        </w:r>
        <w:r w:rsidR="006F1D4F">
          <w:rPr>
            <w:webHidden/>
          </w:rPr>
          <w:instrText xml:space="preserve"> PAGEREF _Toc35947160 \h </w:instrText>
        </w:r>
        <w:r w:rsidR="006F1D4F">
          <w:rPr>
            <w:webHidden/>
          </w:rPr>
        </w:r>
        <w:r w:rsidR="006F1D4F">
          <w:rPr>
            <w:webHidden/>
          </w:rPr>
          <w:fldChar w:fldCharType="separate"/>
        </w:r>
        <w:r>
          <w:rPr>
            <w:webHidden/>
          </w:rPr>
          <w:t>31</w:t>
        </w:r>
        <w:r w:rsidR="006F1D4F">
          <w:rPr>
            <w:webHidden/>
          </w:rPr>
          <w:fldChar w:fldCharType="end"/>
        </w:r>
      </w:hyperlink>
    </w:p>
    <w:p w14:paraId="53C1362D" w14:textId="3B6E0533" w:rsidR="006F1D4F" w:rsidRDefault="003053D1">
      <w:pPr>
        <w:pStyle w:val="TableofFigures"/>
        <w:rPr>
          <w:rFonts w:asciiTheme="minorHAnsi" w:eastAsiaTheme="minorEastAsia" w:hAnsiTheme="minorHAnsi" w:cstheme="minorBidi"/>
          <w:bCs w:val="0"/>
          <w:sz w:val="22"/>
          <w:lang w:eastAsia="en-AU"/>
        </w:rPr>
      </w:pPr>
      <w:hyperlink w:anchor="_Toc35947161" w:history="1">
        <w:r w:rsidR="006F1D4F" w:rsidRPr="00B21D13">
          <w:rPr>
            <w:rStyle w:val="Hyperlink"/>
          </w:rPr>
          <w:t>Figure 11 Reef level trend in coral index and indicator scores</w:t>
        </w:r>
        <w:r w:rsidR="006F1D4F">
          <w:rPr>
            <w:webHidden/>
          </w:rPr>
          <w:tab/>
        </w:r>
        <w:r w:rsidR="006F1D4F">
          <w:rPr>
            <w:webHidden/>
          </w:rPr>
          <w:fldChar w:fldCharType="begin"/>
        </w:r>
        <w:r w:rsidR="006F1D4F">
          <w:rPr>
            <w:webHidden/>
          </w:rPr>
          <w:instrText xml:space="preserve"> PAGEREF _Toc35947161 \h </w:instrText>
        </w:r>
        <w:r w:rsidR="006F1D4F">
          <w:rPr>
            <w:webHidden/>
          </w:rPr>
        </w:r>
        <w:r w:rsidR="006F1D4F">
          <w:rPr>
            <w:webHidden/>
          </w:rPr>
          <w:fldChar w:fldCharType="separate"/>
        </w:r>
        <w:r>
          <w:rPr>
            <w:webHidden/>
          </w:rPr>
          <w:t>33</w:t>
        </w:r>
        <w:r w:rsidR="006F1D4F">
          <w:rPr>
            <w:webHidden/>
          </w:rPr>
          <w:fldChar w:fldCharType="end"/>
        </w:r>
      </w:hyperlink>
    </w:p>
    <w:p w14:paraId="53C1362E" w14:textId="1A003E93" w:rsidR="006F1D4F" w:rsidRDefault="003053D1">
      <w:pPr>
        <w:pStyle w:val="TableofFigures"/>
        <w:rPr>
          <w:rFonts w:asciiTheme="minorHAnsi" w:eastAsiaTheme="minorEastAsia" w:hAnsiTheme="minorHAnsi" w:cstheme="minorBidi"/>
          <w:bCs w:val="0"/>
          <w:sz w:val="22"/>
          <w:lang w:eastAsia="en-AU"/>
        </w:rPr>
      </w:pPr>
      <w:hyperlink w:anchor="_Toc35947162" w:history="1">
        <w:r w:rsidR="006F1D4F" w:rsidRPr="00B21D13">
          <w:rPr>
            <w:rStyle w:val="Hyperlink"/>
          </w:rPr>
          <w:t>Figure 12 Hard coral cover loss by disturbance type across the inshore Reef</w:t>
        </w:r>
        <w:r w:rsidR="006F1D4F">
          <w:rPr>
            <w:webHidden/>
          </w:rPr>
          <w:tab/>
        </w:r>
        <w:r w:rsidR="006F1D4F">
          <w:rPr>
            <w:webHidden/>
          </w:rPr>
          <w:fldChar w:fldCharType="begin"/>
        </w:r>
        <w:r w:rsidR="006F1D4F">
          <w:rPr>
            <w:webHidden/>
          </w:rPr>
          <w:instrText xml:space="preserve"> PAGEREF _Toc35947162 \h </w:instrText>
        </w:r>
        <w:r w:rsidR="006F1D4F">
          <w:rPr>
            <w:webHidden/>
          </w:rPr>
        </w:r>
        <w:r w:rsidR="006F1D4F">
          <w:rPr>
            <w:webHidden/>
          </w:rPr>
          <w:fldChar w:fldCharType="separate"/>
        </w:r>
        <w:r>
          <w:rPr>
            <w:webHidden/>
          </w:rPr>
          <w:t>34</w:t>
        </w:r>
        <w:r w:rsidR="006F1D4F">
          <w:rPr>
            <w:webHidden/>
          </w:rPr>
          <w:fldChar w:fldCharType="end"/>
        </w:r>
      </w:hyperlink>
    </w:p>
    <w:p w14:paraId="53C1362F" w14:textId="78F7228D" w:rsidR="006F1D4F" w:rsidRDefault="003053D1">
      <w:pPr>
        <w:pStyle w:val="TableofFigures"/>
        <w:rPr>
          <w:rFonts w:asciiTheme="minorHAnsi" w:eastAsiaTheme="minorEastAsia" w:hAnsiTheme="minorHAnsi" w:cstheme="minorBidi"/>
          <w:bCs w:val="0"/>
          <w:sz w:val="22"/>
          <w:lang w:eastAsia="en-AU"/>
        </w:rPr>
      </w:pPr>
      <w:hyperlink w:anchor="_Toc35947163" w:history="1">
        <w:r w:rsidR="006F1D4F" w:rsidRPr="00B21D13">
          <w:rPr>
            <w:rStyle w:val="Hyperlink"/>
          </w:rPr>
          <w:t>Figure 13 Trends in Coral index and contributing indicator scores for the Wet Tropics region</w:t>
        </w:r>
        <w:r w:rsidR="006F1D4F">
          <w:rPr>
            <w:webHidden/>
          </w:rPr>
          <w:tab/>
        </w:r>
        <w:r w:rsidR="006F1D4F">
          <w:rPr>
            <w:webHidden/>
          </w:rPr>
          <w:fldChar w:fldCharType="begin"/>
        </w:r>
        <w:r w:rsidR="006F1D4F">
          <w:rPr>
            <w:webHidden/>
          </w:rPr>
          <w:instrText xml:space="preserve"> PAGEREF _Toc35947163 \h </w:instrText>
        </w:r>
        <w:r w:rsidR="006F1D4F">
          <w:rPr>
            <w:webHidden/>
          </w:rPr>
        </w:r>
        <w:r w:rsidR="006F1D4F">
          <w:rPr>
            <w:webHidden/>
          </w:rPr>
          <w:fldChar w:fldCharType="separate"/>
        </w:r>
        <w:r>
          <w:rPr>
            <w:webHidden/>
          </w:rPr>
          <w:t>36</w:t>
        </w:r>
        <w:r w:rsidR="006F1D4F">
          <w:rPr>
            <w:webHidden/>
          </w:rPr>
          <w:fldChar w:fldCharType="end"/>
        </w:r>
      </w:hyperlink>
    </w:p>
    <w:p w14:paraId="53C13630" w14:textId="553EE2E4" w:rsidR="006F1D4F" w:rsidRDefault="003053D1">
      <w:pPr>
        <w:pStyle w:val="TableofFigures"/>
        <w:rPr>
          <w:rFonts w:asciiTheme="minorHAnsi" w:eastAsiaTheme="minorEastAsia" w:hAnsiTheme="minorHAnsi" w:cstheme="minorBidi"/>
          <w:bCs w:val="0"/>
          <w:sz w:val="22"/>
          <w:lang w:eastAsia="en-AU"/>
        </w:rPr>
      </w:pPr>
      <w:hyperlink w:anchor="_Toc35947164" w:history="1">
        <w:r w:rsidR="006F1D4F" w:rsidRPr="00B21D13">
          <w:rPr>
            <w:rStyle w:val="Hyperlink"/>
          </w:rPr>
          <w:t>Figure 14 Trends in Coral index and contributing indicator scores for the Barron Daintree subregion</w:t>
        </w:r>
        <w:r w:rsidR="006F1D4F">
          <w:rPr>
            <w:webHidden/>
          </w:rPr>
          <w:tab/>
        </w:r>
        <w:r w:rsidR="006F1D4F">
          <w:rPr>
            <w:webHidden/>
          </w:rPr>
          <w:fldChar w:fldCharType="begin"/>
        </w:r>
        <w:r w:rsidR="006F1D4F">
          <w:rPr>
            <w:webHidden/>
          </w:rPr>
          <w:instrText xml:space="preserve"> PAGEREF _Toc35947164 \h </w:instrText>
        </w:r>
        <w:r w:rsidR="006F1D4F">
          <w:rPr>
            <w:webHidden/>
          </w:rPr>
        </w:r>
        <w:r w:rsidR="006F1D4F">
          <w:rPr>
            <w:webHidden/>
          </w:rPr>
          <w:fldChar w:fldCharType="separate"/>
        </w:r>
        <w:r>
          <w:rPr>
            <w:webHidden/>
          </w:rPr>
          <w:t>37</w:t>
        </w:r>
        <w:r w:rsidR="006F1D4F">
          <w:rPr>
            <w:webHidden/>
          </w:rPr>
          <w:fldChar w:fldCharType="end"/>
        </w:r>
      </w:hyperlink>
    </w:p>
    <w:p w14:paraId="53C13631" w14:textId="6FCCEF20" w:rsidR="006F1D4F" w:rsidRDefault="003053D1">
      <w:pPr>
        <w:pStyle w:val="TableofFigures"/>
        <w:rPr>
          <w:rFonts w:asciiTheme="minorHAnsi" w:eastAsiaTheme="minorEastAsia" w:hAnsiTheme="minorHAnsi" w:cstheme="minorBidi"/>
          <w:bCs w:val="0"/>
          <w:sz w:val="22"/>
          <w:lang w:eastAsia="en-AU"/>
        </w:rPr>
      </w:pPr>
      <w:hyperlink w:anchor="_Toc35947165" w:history="1">
        <w:r w:rsidR="006F1D4F" w:rsidRPr="00B21D13">
          <w:rPr>
            <w:rStyle w:val="Hyperlink"/>
          </w:rPr>
          <w:t>Figure 15 Barron Daintree sub-region environmental pressures</w:t>
        </w:r>
        <w:r w:rsidR="006F1D4F">
          <w:rPr>
            <w:webHidden/>
          </w:rPr>
          <w:tab/>
        </w:r>
        <w:r w:rsidR="006F1D4F">
          <w:rPr>
            <w:webHidden/>
          </w:rPr>
          <w:fldChar w:fldCharType="begin"/>
        </w:r>
        <w:r w:rsidR="006F1D4F">
          <w:rPr>
            <w:webHidden/>
          </w:rPr>
          <w:instrText xml:space="preserve"> PAGEREF _Toc35947165 \h </w:instrText>
        </w:r>
        <w:r w:rsidR="006F1D4F">
          <w:rPr>
            <w:webHidden/>
          </w:rPr>
        </w:r>
        <w:r w:rsidR="006F1D4F">
          <w:rPr>
            <w:webHidden/>
          </w:rPr>
          <w:fldChar w:fldCharType="separate"/>
        </w:r>
        <w:r>
          <w:rPr>
            <w:webHidden/>
          </w:rPr>
          <w:t>39</w:t>
        </w:r>
        <w:r w:rsidR="006F1D4F">
          <w:rPr>
            <w:webHidden/>
          </w:rPr>
          <w:fldChar w:fldCharType="end"/>
        </w:r>
      </w:hyperlink>
    </w:p>
    <w:p w14:paraId="53C13632" w14:textId="78EC6A86" w:rsidR="006F1D4F" w:rsidRDefault="003053D1">
      <w:pPr>
        <w:pStyle w:val="TableofFigures"/>
        <w:rPr>
          <w:rFonts w:asciiTheme="minorHAnsi" w:eastAsiaTheme="minorEastAsia" w:hAnsiTheme="minorHAnsi" w:cstheme="minorBidi"/>
          <w:bCs w:val="0"/>
          <w:sz w:val="22"/>
          <w:lang w:eastAsia="en-AU"/>
        </w:rPr>
      </w:pPr>
      <w:hyperlink w:anchor="_Toc35947166" w:history="1">
        <w:r w:rsidR="006F1D4F" w:rsidRPr="00B21D13">
          <w:rPr>
            <w:rStyle w:val="Hyperlink"/>
          </w:rPr>
          <w:t>Figure 16 Barron Daintree sub-region index and indicator trends</w:t>
        </w:r>
        <w:r w:rsidR="006F1D4F">
          <w:rPr>
            <w:webHidden/>
          </w:rPr>
          <w:tab/>
        </w:r>
        <w:r w:rsidR="006F1D4F">
          <w:rPr>
            <w:webHidden/>
          </w:rPr>
          <w:fldChar w:fldCharType="begin"/>
        </w:r>
        <w:r w:rsidR="006F1D4F">
          <w:rPr>
            <w:webHidden/>
          </w:rPr>
          <w:instrText xml:space="preserve"> PAGEREF _Toc35947166 \h </w:instrText>
        </w:r>
        <w:r w:rsidR="006F1D4F">
          <w:rPr>
            <w:webHidden/>
          </w:rPr>
        </w:r>
        <w:r w:rsidR="006F1D4F">
          <w:rPr>
            <w:webHidden/>
          </w:rPr>
          <w:fldChar w:fldCharType="separate"/>
        </w:r>
        <w:r>
          <w:rPr>
            <w:webHidden/>
          </w:rPr>
          <w:t>40</w:t>
        </w:r>
        <w:r w:rsidR="006F1D4F">
          <w:rPr>
            <w:webHidden/>
          </w:rPr>
          <w:fldChar w:fldCharType="end"/>
        </w:r>
      </w:hyperlink>
    </w:p>
    <w:p w14:paraId="53C13633" w14:textId="6E127031" w:rsidR="006F1D4F" w:rsidRDefault="003053D1">
      <w:pPr>
        <w:pStyle w:val="TableofFigures"/>
        <w:rPr>
          <w:rFonts w:asciiTheme="minorHAnsi" w:eastAsiaTheme="minorEastAsia" w:hAnsiTheme="minorHAnsi" w:cstheme="minorBidi"/>
          <w:bCs w:val="0"/>
          <w:sz w:val="22"/>
          <w:lang w:eastAsia="en-AU"/>
        </w:rPr>
      </w:pPr>
      <w:hyperlink w:anchor="_Toc35947167" w:history="1">
        <w:r w:rsidR="006F1D4F" w:rsidRPr="00B21D13">
          <w:rPr>
            <w:rStyle w:val="Hyperlink"/>
          </w:rPr>
          <w:t>Figure 17 Trends in Coral index and contributing indicator scores for the Johnstone Russell-Mulgrave subregion</w:t>
        </w:r>
        <w:r w:rsidR="006F1D4F">
          <w:rPr>
            <w:webHidden/>
          </w:rPr>
          <w:tab/>
        </w:r>
        <w:r w:rsidR="006F1D4F">
          <w:rPr>
            <w:webHidden/>
          </w:rPr>
          <w:fldChar w:fldCharType="begin"/>
        </w:r>
        <w:r w:rsidR="006F1D4F">
          <w:rPr>
            <w:webHidden/>
          </w:rPr>
          <w:instrText xml:space="preserve"> PAGEREF _Toc35947167 \h </w:instrText>
        </w:r>
        <w:r w:rsidR="006F1D4F">
          <w:rPr>
            <w:webHidden/>
          </w:rPr>
        </w:r>
        <w:r w:rsidR="006F1D4F">
          <w:rPr>
            <w:webHidden/>
          </w:rPr>
          <w:fldChar w:fldCharType="separate"/>
        </w:r>
        <w:r>
          <w:rPr>
            <w:webHidden/>
          </w:rPr>
          <w:t>41</w:t>
        </w:r>
        <w:r w:rsidR="006F1D4F">
          <w:rPr>
            <w:webHidden/>
          </w:rPr>
          <w:fldChar w:fldCharType="end"/>
        </w:r>
      </w:hyperlink>
    </w:p>
    <w:p w14:paraId="53C13634" w14:textId="0E9F8C37" w:rsidR="006F1D4F" w:rsidRDefault="003053D1">
      <w:pPr>
        <w:pStyle w:val="TableofFigures"/>
        <w:rPr>
          <w:rFonts w:asciiTheme="minorHAnsi" w:eastAsiaTheme="minorEastAsia" w:hAnsiTheme="minorHAnsi" w:cstheme="minorBidi"/>
          <w:bCs w:val="0"/>
          <w:sz w:val="22"/>
          <w:lang w:eastAsia="en-AU"/>
        </w:rPr>
      </w:pPr>
      <w:hyperlink w:anchor="_Toc35947168" w:history="1">
        <w:r w:rsidR="006F1D4F" w:rsidRPr="00B21D13">
          <w:rPr>
            <w:rStyle w:val="Hyperlink"/>
          </w:rPr>
          <w:t>Figure 18 Johnstone Russell-Mulgrave sub-region environmental pressures</w:t>
        </w:r>
        <w:r w:rsidR="006F1D4F">
          <w:rPr>
            <w:webHidden/>
          </w:rPr>
          <w:tab/>
        </w:r>
        <w:r w:rsidR="006F1D4F">
          <w:rPr>
            <w:webHidden/>
          </w:rPr>
          <w:fldChar w:fldCharType="begin"/>
        </w:r>
        <w:r w:rsidR="006F1D4F">
          <w:rPr>
            <w:webHidden/>
          </w:rPr>
          <w:instrText xml:space="preserve"> PAGEREF _Toc35947168 \h </w:instrText>
        </w:r>
        <w:r w:rsidR="006F1D4F">
          <w:rPr>
            <w:webHidden/>
          </w:rPr>
        </w:r>
        <w:r w:rsidR="006F1D4F">
          <w:rPr>
            <w:webHidden/>
          </w:rPr>
          <w:fldChar w:fldCharType="separate"/>
        </w:r>
        <w:r>
          <w:rPr>
            <w:webHidden/>
          </w:rPr>
          <w:t>43</w:t>
        </w:r>
        <w:r w:rsidR="006F1D4F">
          <w:rPr>
            <w:webHidden/>
          </w:rPr>
          <w:fldChar w:fldCharType="end"/>
        </w:r>
      </w:hyperlink>
    </w:p>
    <w:p w14:paraId="53C13635" w14:textId="4917DC8B" w:rsidR="006F1D4F" w:rsidRDefault="003053D1">
      <w:pPr>
        <w:pStyle w:val="TableofFigures"/>
        <w:rPr>
          <w:rFonts w:asciiTheme="minorHAnsi" w:eastAsiaTheme="minorEastAsia" w:hAnsiTheme="minorHAnsi" w:cstheme="minorBidi"/>
          <w:bCs w:val="0"/>
          <w:sz w:val="22"/>
          <w:lang w:eastAsia="en-AU"/>
        </w:rPr>
      </w:pPr>
      <w:hyperlink w:anchor="_Toc35947169" w:history="1">
        <w:r w:rsidR="006F1D4F" w:rsidRPr="00B21D13">
          <w:rPr>
            <w:rStyle w:val="Hyperlink"/>
          </w:rPr>
          <w:t>Figure 19 Johnstone Russell-Mulgrave sub-region index and indicator trends</w:t>
        </w:r>
        <w:r w:rsidR="006F1D4F">
          <w:rPr>
            <w:webHidden/>
          </w:rPr>
          <w:tab/>
        </w:r>
        <w:r w:rsidR="006F1D4F">
          <w:rPr>
            <w:webHidden/>
          </w:rPr>
          <w:fldChar w:fldCharType="begin"/>
        </w:r>
        <w:r w:rsidR="006F1D4F">
          <w:rPr>
            <w:webHidden/>
          </w:rPr>
          <w:instrText xml:space="preserve"> PAGEREF _Toc35947169 \h </w:instrText>
        </w:r>
        <w:r w:rsidR="006F1D4F">
          <w:rPr>
            <w:webHidden/>
          </w:rPr>
        </w:r>
        <w:r w:rsidR="006F1D4F">
          <w:rPr>
            <w:webHidden/>
          </w:rPr>
          <w:fldChar w:fldCharType="separate"/>
        </w:r>
        <w:r>
          <w:rPr>
            <w:webHidden/>
          </w:rPr>
          <w:t>44</w:t>
        </w:r>
        <w:r w:rsidR="006F1D4F">
          <w:rPr>
            <w:webHidden/>
          </w:rPr>
          <w:fldChar w:fldCharType="end"/>
        </w:r>
      </w:hyperlink>
    </w:p>
    <w:p w14:paraId="53C13636" w14:textId="1C687A5F" w:rsidR="006F1D4F" w:rsidRDefault="003053D1">
      <w:pPr>
        <w:pStyle w:val="TableofFigures"/>
        <w:rPr>
          <w:rFonts w:asciiTheme="minorHAnsi" w:eastAsiaTheme="minorEastAsia" w:hAnsiTheme="minorHAnsi" w:cstheme="minorBidi"/>
          <w:bCs w:val="0"/>
          <w:sz w:val="22"/>
          <w:lang w:eastAsia="en-AU"/>
        </w:rPr>
      </w:pPr>
      <w:hyperlink w:anchor="_Toc35947170" w:history="1">
        <w:r w:rsidR="006F1D4F" w:rsidRPr="00B21D13">
          <w:rPr>
            <w:rStyle w:val="Hyperlink"/>
          </w:rPr>
          <w:t>Figure 20 Trends in Coral index and contributing indicator scores for the Herbert Tully subregion</w:t>
        </w:r>
        <w:r w:rsidR="006F1D4F">
          <w:rPr>
            <w:webHidden/>
          </w:rPr>
          <w:tab/>
        </w:r>
        <w:r w:rsidR="006F1D4F">
          <w:rPr>
            <w:webHidden/>
          </w:rPr>
          <w:fldChar w:fldCharType="begin"/>
        </w:r>
        <w:r w:rsidR="006F1D4F">
          <w:rPr>
            <w:webHidden/>
          </w:rPr>
          <w:instrText xml:space="preserve"> PAGEREF _Toc35947170 \h </w:instrText>
        </w:r>
        <w:r w:rsidR="006F1D4F">
          <w:rPr>
            <w:webHidden/>
          </w:rPr>
        </w:r>
        <w:r w:rsidR="006F1D4F">
          <w:rPr>
            <w:webHidden/>
          </w:rPr>
          <w:fldChar w:fldCharType="separate"/>
        </w:r>
        <w:r>
          <w:rPr>
            <w:webHidden/>
          </w:rPr>
          <w:t>45</w:t>
        </w:r>
        <w:r w:rsidR="006F1D4F">
          <w:rPr>
            <w:webHidden/>
          </w:rPr>
          <w:fldChar w:fldCharType="end"/>
        </w:r>
      </w:hyperlink>
    </w:p>
    <w:p w14:paraId="53C13637" w14:textId="6CD3D2F2" w:rsidR="006F1D4F" w:rsidRDefault="003053D1">
      <w:pPr>
        <w:pStyle w:val="TableofFigures"/>
        <w:rPr>
          <w:rFonts w:asciiTheme="minorHAnsi" w:eastAsiaTheme="minorEastAsia" w:hAnsiTheme="minorHAnsi" w:cstheme="minorBidi"/>
          <w:bCs w:val="0"/>
          <w:sz w:val="22"/>
          <w:lang w:eastAsia="en-AU"/>
        </w:rPr>
      </w:pPr>
      <w:hyperlink w:anchor="_Toc35947171" w:history="1">
        <w:r w:rsidR="006F1D4F" w:rsidRPr="00B21D13">
          <w:rPr>
            <w:rStyle w:val="Hyperlink"/>
          </w:rPr>
          <w:t>Figure 21 Herbert Tully sub-region environmental pressures</w:t>
        </w:r>
        <w:r w:rsidR="006F1D4F">
          <w:rPr>
            <w:webHidden/>
          </w:rPr>
          <w:tab/>
        </w:r>
        <w:r w:rsidR="006F1D4F">
          <w:rPr>
            <w:webHidden/>
          </w:rPr>
          <w:fldChar w:fldCharType="begin"/>
        </w:r>
        <w:r w:rsidR="006F1D4F">
          <w:rPr>
            <w:webHidden/>
          </w:rPr>
          <w:instrText xml:space="preserve"> PAGEREF _Toc35947171 \h </w:instrText>
        </w:r>
        <w:r w:rsidR="006F1D4F">
          <w:rPr>
            <w:webHidden/>
          </w:rPr>
        </w:r>
        <w:r w:rsidR="006F1D4F">
          <w:rPr>
            <w:webHidden/>
          </w:rPr>
          <w:fldChar w:fldCharType="separate"/>
        </w:r>
        <w:r>
          <w:rPr>
            <w:webHidden/>
          </w:rPr>
          <w:t>47</w:t>
        </w:r>
        <w:r w:rsidR="006F1D4F">
          <w:rPr>
            <w:webHidden/>
          </w:rPr>
          <w:fldChar w:fldCharType="end"/>
        </w:r>
      </w:hyperlink>
    </w:p>
    <w:p w14:paraId="53C13638" w14:textId="4CDC387E" w:rsidR="006F1D4F" w:rsidRDefault="003053D1">
      <w:pPr>
        <w:pStyle w:val="TableofFigures"/>
        <w:rPr>
          <w:rFonts w:asciiTheme="minorHAnsi" w:eastAsiaTheme="minorEastAsia" w:hAnsiTheme="minorHAnsi" w:cstheme="minorBidi"/>
          <w:bCs w:val="0"/>
          <w:sz w:val="22"/>
          <w:lang w:eastAsia="en-AU"/>
        </w:rPr>
      </w:pPr>
      <w:hyperlink w:anchor="_Toc35947172" w:history="1">
        <w:r w:rsidR="006F1D4F" w:rsidRPr="00B21D13">
          <w:rPr>
            <w:rStyle w:val="Hyperlink"/>
          </w:rPr>
          <w:t>Figure 22 Herbert Tully sub-region indicator trends</w:t>
        </w:r>
        <w:r w:rsidR="006F1D4F">
          <w:rPr>
            <w:webHidden/>
          </w:rPr>
          <w:tab/>
        </w:r>
        <w:r w:rsidR="006F1D4F">
          <w:rPr>
            <w:webHidden/>
          </w:rPr>
          <w:fldChar w:fldCharType="begin"/>
        </w:r>
        <w:r w:rsidR="006F1D4F">
          <w:rPr>
            <w:webHidden/>
          </w:rPr>
          <w:instrText xml:space="preserve"> PAGEREF _Toc35947172 \h </w:instrText>
        </w:r>
        <w:r w:rsidR="006F1D4F">
          <w:rPr>
            <w:webHidden/>
          </w:rPr>
        </w:r>
        <w:r w:rsidR="006F1D4F">
          <w:rPr>
            <w:webHidden/>
          </w:rPr>
          <w:fldChar w:fldCharType="separate"/>
        </w:r>
        <w:r>
          <w:rPr>
            <w:webHidden/>
          </w:rPr>
          <w:t>48</w:t>
        </w:r>
        <w:r w:rsidR="006F1D4F">
          <w:rPr>
            <w:webHidden/>
          </w:rPr>
          <w:fldChar w:fldCharType="end"/>
        </w:r>
      </w:hyperlink>
    </w:p>
    <w:p w14:paraId="53C13639" w14:textId="61A4A018" w:rsidR="006F1D4F" w:rsidRDefault="003053D1">
      <w:pPr>
        <w:pStyle w:val="TableofFigures"/>
        <w:rPr>
          <w:rFonts w:asciiTheme="minorHAnsi" w:eastAsiaTheme="minorEastAsia" w:hAnsiTheme="minorHAnsi" w:cstheme="minorBidi"/>
          <w:bCs w:val="0"/>
          <w:sz w:val="22"/>
          <w:lang w:eastAsia="en-AU"/>
        </w:rPr>
      </w:pPr>
      <w:hyperlink w:anchor="_Toc35947173" w:history="1">
        <w:r w:rsidR="006F1D4F" w:rsidRPr="00B21D13">
          <w:rPr>
            <w:rStyle w:val="Hyperlink"/>
          </w:rPr>
          <w:t>Figure 23 Trends in Coral index and contributing indicator scores for the Burdekin region</w:t>
        </w:r>
        <w:r w:rsidR="006F1D4F">
          <w:rPr>
            <w:webHidden/>
          </w:rPr>
          <w:tab/>
        </w:r>
        <w:r w:rsidR="006F1D4F">
          <w:rPr>
            <w:webHidden/>
          </w:rPr>
          <w:fldChar w:fldCharType="begin"/>
        </w:r>
        <w:r w:rsidR="006F1D4F">
          <w:rPr>
            <w:webHidden/>
          </w:rPr>
          <w:instrText xml:space="preserve"> PAGEREF _Toc35947173 \h </w:instrText>
        </w:r>
        <w:r w:rsidR="006F1D4F">
          <w:rPr>
            <w:webHidden/>
          </w:rPr>
        </w:r>
        <w:r w:rsidR="006F1D4F">
          <w:rPr>
            <w:webHidden/>
          </w:rPr>
          <w:fldChar w:fldCharType="separate"/>
        </w:r>
        <w:r>
          <w:rPr>
            <w:webHidden/>
          </w:rPr>
          <w:t>49</w:t>
        </w:r>
        <w:r w:rsidR="006F1D4F">
          <w:rPr>
            <w:webHidden/>
          </w:rPr>
          <w:fldChar w:fldCharType="end"/>
        </w:r>
      </w:hyperlink>
    </w:p>
    <w:p w14:paraId="53C1363A" w14:textId="7732550E" w:rsidR="006F1D4F" w:rsidRDefault="003053D1">
      <w:pPr>
        <w:pStyle w:val="TableofFigures"/>
        <w:rPr>
          <w:rFonts w:asciiTheme="minorHAnsi" w:eastAsiaTheme="minorEastAsia" w:hAnsiTheme="minorHAnsi" w:cstheme="minorBidi"/>
          <w:bCs w:val="0"/>
          <w:sz w:val="22"/>
          <w:lang w:eastAsia="en-AU"/>
        </w:rPr>
      </w:pPr>
      <w:hyperlink w:anchor="_Toc35947174" w:history="1">
        <w:r w:rsidR="006F1D4F" w:rsidRPr="00B21D13">
          <w:rPr>
            <w:rStyle w:val="Hyperlink"/>
          </w:rPr>
          <w:t>Figure 24 Burdekin Region environmental pressures</w:t>
        </w:r>
        <w:r w:rsidR="006F1D4F">
          <w:rPr>
            <w:webHidden/>
          </w:rPr>
          <w:tab/>
        </w:r>
        <w:r w:rsidR="006F1D4F">
          <w:rPr>
            <w:webHidden/>
          </w:rPr>
          <w:fldChar w:fldCharType="begin"/>
        </w:r>
        <w:r w:rsidR="006F1D4F">
          <w:rPr>
            <w:webHidden/>
          </w:rPr>
          <w:instrText xml:space="preserve"> PAGEREF _Toc35947174 \h </w:instrText>
        </w:r>
        <w:r w:rsidR="006F1D4F">
          <w:rPr>
            <w:webHidden/>
          </w:rPr>
        </w:r>
        <w:r w:rsidR="006F1D4F">
          <w:rPr>
            <w:webHidden/>
          </w:rPr>
          <w:fldChar w:fldCharType="separate"/>
        </w:r>
        <w:r>
          <w:rPr>
            <w:webHidden/>
          </w:rPr>
          <w:t>51</w:t>
        </w:r>
        <w:r w:rsidR="006F1D4F">
          <w:rPr>
            <w:webHidden/>
          </w:rPr>
          <w:fldChar w:fldCharType="end"/>
        </w:r>
      </w:hyperlink>
    </w:p>
    <w:p w14:paraId="53C1363B" w14:textId="5708A0A2" w:rsidR="006F1D4F" w:rsidRDefault="003053D1">
      <w:pPr>
        <w:pStyle w:val="TableofFigures"/>
        <w:rPr>
          <w:rFonts w:asciiTheme="minorHAnsi" w:eastAsiaTheme="minorEastAsia" w:hAnsiTheme="minorHAnsi" w:cstheme="minorBidi"/>
          <w:bCs w:val="0"/>
          <w:sz w:val="22"/>
          <w:lang w:eastAsia="en-AU"/>
        </w:rPr>
      </w:pPr>
      <w:hyperlink w:anchor="_Toc35947175" w:history="1">
        <w:r w:rsidR="006F1D4F" w:rsidRPr="00B21D13">
          <w:rPr>
            <w:rStyle w:val="Hyperlink"/>
          </w:rPr>
          <w:t>Figure 25 Burdekin Region index and indicator trends</w:t>
        </w:r>
        <w:r w:rsidR="006F1D4F">
          <w:rPr>
            <w:webHidden/>
          </w:rPr>
          <w:tab/>
        </w:r>
        <w:r w:rsidR="006F1D4F">
          <w:rPr>
            <w:webHidden/>
          </w:rPr>
          <w:fldChar w:fldCharType="begin"/>
        </w:r>
        <w:r w:rsidR="006F1D4F">
          <w:rPr>
            <w:webHidden/>
          </w:rPr>
          <w:instrText xml:space="preserve"> PAGEREF _Toc35947175 \h </w:instrText>
        </w:r>
        <w:r w:rsidR="006F1D4F">
          <w:rPr>
            <w:webHidden/>
          </w:rPr>
        </w:r>
        <w:r w:rsidR="006F1D4F">
          <w:rPr>
            <w:webHidden/>
          </w:rPr>
          <w:fldChar w:fldCharType="separate"/>
        </w:r>
        <w:r>
          <w:rPr>
            <w:webHidden/>
          </w:rPr>
          <w:t>52</w:t>
        </w:r>
        <w:r w:rsidR="006F1D4F">
          <w:rPr>
            <w:webHidden/>
          </w:rPr>
          <w:fldChar w:fldCharType="end"/>
        </w:r>
      </w:hyperlink>
    </w:p>
    <w:p w14:paraId="53C1363C" w14:textId="0E803585" w:rsidR="006F1D4F" w:rsidRDefault="003053D1">
      <w:pPr>
        <w:pStyle w:val="TableofFigures"/>
        <w:rPr>
          <w:rFonts w:asciiTheme="minorHAnsi" w:eastAsiaTheme="minorEastAsia" w:hAnsiTheme="minorHAnsi" w:cstheme="minorBidi"/>
          <w:bCs w:val="0"/>
          <w:sz w:val="22"/>
          <w:lang w:eastAsia="en-AU"/>
        </w:rPr>
      </w:pPr>
      <w:hyperlink w:anchor="_Toc35947176" w:history="1">
        <w:r w:rsidR="006F1D4F" w:rsidRPr="00B21D13">
          <w:rPr>
            <w:rStyle w:val="Hyperlink"/>
          </w:rPr>
          <w:t>Figure 26 Trends in Coral index and contributing indicator scores for the Mackay-Whitsunday region</w:t>
        </w:r>
        <w:r w:rsidR="006F1D4F">
          <w:rPr>
            <w:webHidden/>
          </w:rPr>
          <w:tab/>
        </w:r>
        <w:r w:rsidR="006F1D4F">
          <w:rPr>
            <w:webHidden/>
          </w:rPr>
          <w:fldChar w:fldCharType="begin"/>
        </w:r>
        <w:r w:rsidR="006F1D4F">
          <w:rPr>
            <w:webHidden/>
          </w:rPr>
          <w:instrText xml:space="preserve"> PAGEREF _Toc35947176 \h </w:instrText>
        </w:r>
        <w:r w:rsidR="006F1D4F">
          <w:rPr>
            <w:webHidden/>
          </w:rPr>
        </w:r>
        <w:r w:rsidR="006F1D4F">
          <w:rPr>
            <w:webHidden/>
          </w:rPr>
          <w:fldChar w:fldCharType="separate"/>
        </w:r>
        <w:r>
          <w:rPr>
            <w:webHidden/>
          </w:rPr>
          <w:t>53</w:t>
        </w:r>
        <w:r w:rsidR="006F1D4F">
          <w:rPr>
            <w:webHidden/>
          </w:rPr>
          <w:fldChar w:fldCharType="end"/>
        </w:r>
      </w:hyperlink>
    </w:p>
    <w:p w14:paraId="53C1363D" w14:textId="6268C669" w:rsidR="006F1D4F" w:rsidRDefault="003053D1">
      <w:pPr>
        <w:pStyle w:val="TableofFigures"/>
        <w:rPr>
          <w:rFonts w:asciiTheme="minorHAnsi" w:eastAsiaTheme="minorEastAsia" w:hAnsiTheme="minorHAnsi" w:cstheme="minorBidi"/>
          <w:bCs w:val="0"/>
          <w:sz w:val="22"/>
          <w:lang w:eastAsia="en-AU"/>
        </w:rPr>
      </w:pPr>
      <w:hyperlink w:anchor="_Toc35947177" w:history="1">
        <w:r w:rsidR="006F1D4F" w:rsidRPr="00B21D13">
          <w:rPr>
            <w:rStyle w:val="Hyperlink"/>
          </w:rPr>
          <w:t>Figure 27 Mackay-Whitsunday Region environmental pressures</w:t>
        </w:r>
        <w:r w:rsidR="006F1D4F">
          <w:rPr>
            <w:webHidden/>
          </w:rPr>
          <w:tab/>
        </w:r>
        <w:r w:rsidR="006F1D4F">
          <w:rPr>
            <w:webHidden/>
          </w:rPr>
          <w:fldChar w:fldCharType="begin"/>
        </w:r>
        <w:r w:rsidR="006F1D4F">
          <w:rPr>
            <w:webHidden/>
          </w:rPr>
          <w:instrText xml:space="preserve"> PAGEREF _Toc35947177 \h </w:instrText>
        </w:r>
        <w:r w:rsidR="006F1D4F">
          <w:rPr>
            <w:webHidden/>
          </w:rPr>
        </w:r>
        <w:r w:rsidR="006F1D4F">
          <w:rPr>
            <w:webHidden/>
          </w:rPr>
          <w:fldChar w:fldCharType="separate"/>
        </w:r>
        <w:r>
          <w:rPr>
            <w:webHidden/>
          </w:rPr>
          <w:t>55</w:t>
        </w:r>
        <w:r w:rsidR="006F1D4F">
          <w:rPr>
            <w:webHidden/>
          </w:rPr>
          <w:fldChar w:fldCharType="end"/>
        </w:r>
      </w:hyperlink>
    </w:p>
    <w:p w14:paraId="53C1363E" w14:textId="0CB3BA3F" w:rsidR="006F1D4F" w:rsidRDefault="003053D1">
      <w:pPr>
        <w:pStyle w:val="TableofFigures"/>
        <w:rPr>
          <w:rFonts w:asciiTheme="minorHAnsi" w:eastAsiaTheme="minorEastAsia" w:hAnsiTheme="minorHAnsi" w:cstheme="minorBidi"/>
          <w:bCs w:val="0"/>
          <w:sz w:val="22"/>
          <w:lang w:eastAsia="en-AU"/>
        </w:rPr>
      </w:pPr>
      <w:hyperlink w:anchor="_Toc35947178" w:history="1">
        <w:r w:rsidR="006F1D4F" w:rsidRPr="00B21D13">
          <w:rPr>
            <w:rStyle w:val="Hyperlink"/>
          </w:rPr>
          <w:t>Figure 28 Mackay-Whitsunday Region index and indicator trends</w:t>
        </w:r>
        <w:r w:rsidR="006F1D4F">
          <w:rPr>
            <w:webHidden/>
          </w:rPr>
          <w:tab/>
        </w:r>
        <w:r w:rsidR="006F1D4F">
          <w:rPr>
            <w:webHidden/>
          </w:rPr>
          <w:fldChar w:fldCharType="begin"/>
        </w:r>
        <w:r w:rsidR="006F1D4F">
          <w:rPr>
            <w:webHidden/>
          </w:rPr>
          <w:instrText xml:space="preserve"> PAGEREF _Toc35947178 \h </w:instrText>
        </w:r>
        <w:r w:rsidR="006F1D4F">
          <w:rPr>
            <w:webHidden/>
          </w:rPr>
        </w:r>
        <w:r w:rsidR="006F1D4F">
          <w:rPr>
            <w:webHidden/>
          </w:rPr>
          <w:fldChar w:fldCharType="separate"/>
        </w:r>
        <w:r>
          <w:rPr>
            <w:webHidden/>
          </w:rPr>
          <w:t>56</w:t>
        </w:r>
        <w:r w:rsidR="006F1D4F">
          <w:rPr>
            <w:webHidden/>
          </w:rPr>
          <w:fldChar w:fldCharType="end"/>
        </w:r>
      </w:hyperlink>
    </w:p>
    <w:p w14:paraId="53C1363F" w14:textId="2B403BB5" w:rsidR="006F1D4F" w:rsidRDefault="003053D1">
      <w:pPr>
        <w:pStyle w:val="TableofFigures"/>
        <w:rPr>
          <w:rFonts w:asciiTheme="minorHAnsi" w:eastAsiaTheme="minorEastAsia" w:hAnsiTheme="minorHAnsi" w:cstheme="minorBidi"/>
          <w:bCs w:val="0"/>
          <w:sz w:val="22"/>
          <w:lang w:eastAsia="en-AU"/>
        </w:rPr>
      </w:pPr>
      <w:hyperlink w:anchor="_Toc35947179" w:history="1">
        <w:r w:rsidR="006F1D4F" w:rsidRPr="00B21D13">
          <w:rPr>
            <w:rStyle w:val="Hyperlink"/>
          </w:rPr>
          <w:t>Figure 29 Trends in Coral index and contributing indicator scores for the Fitzroy region</w:t>
        </w:r>
        <w:r w:rsidR="006F1D4F">
          <w:rPr>
            <w:webHidden/>
          </w:rPr>
          <w:tab/>
        </w:r>
        <w:r w:rsidR="006F1D4F">
          <w:rPr>
            <w:webHidden/>
          </w:rPr>
          <w:fldChar w:fldCharType="begin"/>
        </w:r>
        <w:r w:rsidR="006F1D4F">
          <w:rPr>
            <w:webHidden/>
          </w:rPr>
          <w:instrText xml:space="preserve"> PAGEREF _Toc35947179 \h </w:instrText>
        </w:r>
        <w:r w:rsidR="006F1D4F">
          <w:rPr>
            <w:webHidden/>
          </w:rPr>
        </w:r>
        <w:r w:rsidR="006F1D4F">
          <w:rPr>
            <w:webHidden/>
          </w:rPr>
          <w:fldChar w:fldCharType="separate"/>
        </w:r>
        <w:r>
          <w:rPr>
            <w:webHidden/>
          </w:rPr>
          <w:t>57</w:t>
        </w:r>
        <w:r w:rsidR="006F1D4F">
          <w:rPr>
            <w:webHidden/>
          </w:rPr>
          <w:fldChar w:fldCharType="end"/>
        </w:r>
      </w:hyperlink>
    </w:p>
    <w:p w14:paraId="53C13640" w14:textId="4CE1894C" w:rsidR="006F1D4F" w:rsidRDefault="003053D1">
      <w:pPr>
        <w:pStyle w:val="TableofFigures"/>
        <w:rPr>
          <w:rFonts w:asciiTheme="minorHAnsi" w:eastAsiaTheme="minorEastAsia" w:hAnsiTheme="minorHAnsi" w:cstheme="minorBidi"/>
          <w:bCs w:val="0"/>
          <w:sz w:val="22"/>
          <w:lang w:eastAsia="en-AU"/>
        </w:rPr>
      </w:pPr>
      <w:hyperlink w:anchor="_Toc35947180" w:history="1">
        <w:r w:rsidR="006F1D4F" w:rsidRPr="00B21D13">
          <w:rPr>
            <w:rStyle w:val="Hyperlink"/>
          </w:rPr>
          <w:t>Figure 30 Fitzroy Region environmental pressures</w:t>
        </w:r>
        <w:r w:rsidR="006F1D4F">
          <w:rPr>
            <w:webHidden/>
          </w:rPr>
          <w:tab/>
        </w:r>
        <w:r w:rsidR="006F1D4F">
          <w:rPr>
            <w:webHidden/>
          </w:rPr>
          <w:fldChar w:fldCharType="begin"/>
        </w:r>
        <w:r w:rsidR="006F1D4F">
          <w:rPr>
            <w:webHidden/>
          </w:rPr>
          <w:instrText xml:space="preserve"> PAGEREF _Toc35947180 \h </w:instrText>
        </w:r>
        <w:r w:rsidR="006F1D4F">
          <w:rPr>
            <w:webHidden/>
          </w:rPr>
        </w:r>
        <w:r w:rsidR="006F1D4F">
          <w:rPr>
            <w:webHidden/>
          </w:rPr>
          <w:fldChar w:fldCharType="separate"/>
        </w:r>
        <w:r>
          <w:rPr>
            <w:webHidden/>
          </w:rPr>
          <w:t>59</w:t>
        </w:r>
        <w:r w:rsidR="006F1D4F">
          <w:rPr>
            <w:webHidden/>
          </w:rPr>
          <w:fldChar w:fldCharType="end"/>
        </w:r>
      </w:hyperlink>
    </w:p>
    <w:p w14:paraId="53C13641" w14:textId="2208A964" w:rsidR="006F1D4F" w:rsidRDefault="003053D1">
      <w:pPr>
        <w:pStyle w:val="TableofFigures"/>
        <w:rPr>
          <w:rFonts w:asciiTheme="minorHAnsi" w:eastAsiaTheme="minorEastAsia" w:hAnsiTheme="minorHAnsi" w:cstheme="minorBidi"/>
          <w:bCs w:val="0"/>
          <w:sz w:val="22"/>
          <w:lang w:eastAsia="en-AU"/>
        </w:rPr>
      </w:pPr>
      <w:hyperlink w:anchor="_Toc35947181" w:history="1">
        <w:r w:rsidR="006F1D4F" w:rsidRPr="00B21D13">
          <w:rPr>
            <w:rStyle w:val="Hyperlink"/>
          </w:rPr>
          <w:t>Figure 31 Fitzroy Region index and indicator trends</w:t>
        </w:r>
        <w:r w:rsidR="006F1D4F">
          <w:rPr>
            <w:webHidden/>
          </w:rPr>
          <w:tab/>
        </w:r>
        <w:r w:rsidR="006F1D4F">
          <w:rPr>
            <w:webHidden/>
          </w:rPr>
          <w:fldChar w:fldCharType="begin"/>
        </w:r>
        <w:r w:rsidR="006F1D4F">
          <w:rPr>
            <w:webHidden/>
          </w:rPr>
          <w:instrText xml:space="preserve"> PAGEREF _Toc35947181 \h </w:instrText>
        </w:r>
        <w:r w:rsidR="006F1D4F">
          <w:rPr>
            <w:webHidden/>
          </w:rPr>
        </w:r>
        <w:r w:rsidR="006F1D4F">
          <w:rPr>
            <w:webHidden/>
          </w:rPr>
          <w:fldChar w:fldCharType="separate"/>
        </w:r>
        <w:r>
          <w:rPr>
            <w:webHidden/>
          </w:rPr>
          <w:t>60</w:t>
        </w:r>
        <w:r w:rsidR="006F1D4F">
          <w:rPr>
            <w:webHidden/>
          </w:rPr>
          <w:fldChar w:fldCharType="end"/>
        </w:r>
      </w:hyperlink>
    </w:p>
    <w:p w14:paraId="53C13642" w14:textId="48386CCE" w:rsidR="006F1D4F" w:rsidRDefault="003053D1">
      <w:pPr>
        <w:pStyle w:val="TableofFigures"/>
        <w:rPr>
          <w:rFonts w:asciiTheme="minorHAnsi" w:eastAsiaTheme="minorEastAsia" w:hAnsiTheme="minorHAnsi" w:cstheme="minorBidi"/>
          <w:bCs w:val="0"/>
          <w:sz w:val="22"/>
          <w:lang w:eastAsia="en-AU"/>
        </w:rPr>
      </w:pPr>
      <w:hyperlink w:anchor="_Toc35947182" w:history="1">
        <w:r w:rsidR="006F1D4F" w:rsidRPr="00B21D13">
          <w:rPr>
            <w:rStyle w:val="Hyperlink"/>
          </w:rPr>
          <w:t xml:space="preserve">Figure 32 Coral index and indicator score relationships to Chl </w:t>
        </w:r>
        <w:r w:rsidR="006F1D4F" w:rsidRPr="00B21D13">
          <w:rPr>
            <w:rStyle w:val="Hyperlink"/>
            <w:i/>
          </w:rPr>
          <w:t xml:space="preserve">a </w:t>
        </w:r>
        <w:r w:rsidR="006F1D4F" w:rsidRPr="00B21D13">
          <w:rPr>
            <w:rStyle w:val="Hyperlink"/>
          </w:rPr>
          <w:t>concentration</w:t>
        </w:r>
        <w:r w:rsidR="006F1D4F">
          <w:rPr>
            <w:webHidden/>
          </w:rPr>
          <w:tab/>
        </w:r>
        <w:r w:rsidR="006F1D4F">
          <w:rPr>
            <w:webHidden/>
          </w:rPr>
          <w:fldChar w:fldCharType="begin"/>
        </w:r>
        <w:r w:rsidR="006F1D4F">
          <w:rPr>
            <w:webHidden/>
          </w:rPr>
          <w:instrText xml:space="preserve"> PAGEREF _Toc35947182 \h </w:instrText>
        </w:r>
        <w:r w:rsidR="006F1D4F">
          <w:rPr>
            <w:webHidden/>
          </w:rPr>
        </w:r>
        <w:r w:rsidR="006F1D4F">
          <w:rPr>
            <w:webHidden/>
          </w:rPr>
          <w:fldChar w:fldCharType="separate"/>
        </w:r>
        <w:r>
          <w:rPr>
            <w:webHidden/>
          </w:rPr>
          <w:t>62</w:t>
        </w:r>
        <w:r w:rsidR="006F1D4F">
          <w:rPr>
            <w:webHidden/>
          </w:rPr>
          <w:fldChar w:fldCharType="end"/>
        </w:r>
      </w:hyperlink>
    </w:p>
    <w:p w14:paraId="53C13643" w14:textId="676FC1DF" w:rsidR="006F1D4F" w:rsidRDefault="003053D1">
      <w:pPr>
        <w:pStyle w:val="TableofFigures"/>
        <w:rPr>
          <w:rFonts w:asciiTheme="minorHAnsi" w:eastAsiaTheme="minorEastAsia" w:hAnsiTheme="minorHAnsi" w:cstheme="minorBidi"/>
          <w:bCs w:val="0"/>
          <w:sz w:val="22"/>
          <w:lang w:eastAsia="en-AU"/>
        </w:rPr>
      </w:pPr>
      <w:hyperlink w:anchor="_Toc35947183" w:history="1">
        <w:r w:rsidR="006F1D4F" w:rsidRPr="00B21D13">
          <w:rPr>
            <w:rStyle w:val="Hyperlink"/>
          </w:rPr>
          <w:t>Figure 33 Coral index and indicator score relationships to NAP</w:t>
        </w:r>
        <w:r w:rsidR="006F1D4F" w:rsidRPr="00B21D13">
          <w:rPr>
            <w:rStyle w:val="Hyperlink"/>
            <w:i/>
          </w:rPr>
          <w:t xml:space="preserve"> </w:t>
        </w:r>
        <w:r w:rsidR="006F1D4F" w:rsidRPr="00B21D13">
          <w:rPr>
            <w:rStyle w:val="Hyperlink"/>
          </w:rPr>
          <w:t>concentration</w:t>
        </w:r>
        <w:r w:rsidR="006F1D4F">
          <w:rPr>
            <w:webHidden/>
          </w:rPr>
          <w:tab/>
        </w:r>
        <w:r w:rsidR="006F1D4F">
          <w:rPr>
            <w:webHidden/>
          </w:rPr>
          <w:fldChar w:fldCharType="begin"/>
        </w:r>
        <w:r w:rsidR="006F1D4F">
          <w:rPr>
            <w:webHidden/>
          </w:rPr>
          <w:instrText xml:space="preserve"> PAGEREF _Toc35947183 \h </w:instrText>
        </w:r>
        <w:r w:rsidR="006F1D4F">
          <w:rPr>
            <w:webHidden/>
          </w:rPr>
        </w:r>
        <w:r w:rsidR="006F1D4F">
          <w:rPr>
            <w:webHidden/>
          </w:rPr>
          <w:fldChar w:fldCharType="separate"/>
        </w:r>
        <w:r>
          <w:rPr>
            <w:webHidden/>
          </w:rPr>
          <w:t>63</w:t>
        </w:r>
        <w:r w:rsidR="006F1D4F">
          <w:rPr>
            <w:webHidden/>
          </w:rPr>
          <w:fldChar w:fldCharType="end"/>
        </w:r>
      </w:hyperlink>
    </w:p>
    <w:p w14:paraId="53C13644" w14:textId="12E7BBFF" w:rsidR="006F1D4F" w:rsidRDefault="003053D1">
      <w:pPr>
        <w:pStyle w:val="TableofFigures"/>
        <w:rPr>
          <w:rFonts w:asciiTheme="minorHAnsi" w:eastAsiaTheme="minorEastAsia" w:hAnsiTheme="minorHAnsi" w:cstheme="minorBidi"/>
          <w:bCs w:val="0"/>
          <w:sz w:val="22"/>
          <w:lang w:eastAsia="en-AU"/>
        </w:rPr>
      </w:pPr>
      <w:hyperlink w:anchor="_Toc35947184" w:history="1">
        <w:r w:rsidR="006F1D4F" w:rsidRPr="00B21D13">
          <w:rPr>
            <w:rStyle w:val="Hyperlink"/>
          </w:rPr>
          <w:t>Figure 34 Relationship between proportion of algae cover classified as macroalgae and water quality proxies</w:t>
        </w:r>
        <w:r w:rsidR="006F1D4F">
          <w:rPr>
            <w:webHidden/>
          </w:rPr>
          <w:tab/>
        </w:r>
        <w:r w:rsidR="006F1D4F">
          <w:rPr>
            <w:webHidden/>
          </w:rPr>
          <w:fldChar w:fldCharType="begin"/>
        </w:r>
        <w:r w:rsidR="006F1D4F">
          <w:rPr>
            <w:webHidden/>
          </w:rPr>
          <w:instrText xml:space="preserve"> PAGEREF _Toc35947184 \h </w:instrText>
        </w:r>
        <w:r w:rsidR="006F1D4F">
          <w:rPr>
            <w:webHidden/>
          </w:rPr>
        </w:r>
        <w:r w:rsidR="006F1D4F">
          <w:rPr>
            <w:webHidden/>
          </w:rPr>
          <w:fldChar w:fldCharType="separate"/>
        </w:r>
        <w:r>
          <w:rPr>
            <w:webHidden/>
          </w:rPr>
          <w:t>64</w:t>
        </w:r>
        <w:r w:rsidR="006F1D4F">
          <w:rPr>
            <w:webHidden/>
          </w:rPr>
          <w:fldChar w:fldCharType="end"/>
        </w:r>
      </w:hyperlink>
    </w:p>
    <w:p w14:paraId="53C13645" w14:textId="7E4CD3B2" w:rsidR="006F1D4F" w:rsidRDefault="003053D1">
      <w:pPr>
        <w:pStyle w:val="TableofFigures"/>
        <w:rPr>
          <w:rFonts w:asciiTheme="minorHAnsi" w:eastAsiaTheme="minorEastAsia" w:hAnsiTheme="minorHAnsi" w:cstheme="minorBidi"/>
          <w:bCs w:val="0"/>
          <w:sz w:val="22"/>
          <w:lang w:eastAsia="en-AU"/>
        </w:rPr>
      </w:pPr>
      <w:hyperlink w:anchor="_Toc35947185" w:history="1">
        <w:r w:rsidR="006F1D4F" w:rsidRPr="00B21D13">
          <w:rPr>
            <w:rStyle w:val="Hyperlink"/>
          </w:rPr>
          <w:t>Figure 35 Relationship between coral community composition and water quality proxies</w:t>
        </w:r>
        <w:r w:rsidR="006F1D4F">
          <w:rPr>
            <w:webHidden/>
          </w:rPr>
          <w:tab/>
        </w:r>
        <w:r w:rsidR="006F1D4F">
          <w:rPr>
            <w:webHidden/>
          </w:rPr>
          <w:fldChar w:fldCharType="begin"/>
        </w:r>
        <w:r w:rsidR="006F1D4F">
          <w:rPr>
            <w:webHidden/>
          </w:rPr>
          <w:instrText xml:space="preserve"> PAGEREF _Toc35947185 \h </w:instrText>
        </w:r>
        <w:r w:rsidR="006F1D4F">
          <w:rPr>
            <w:webHidden/>
          </w:rPr>
        </w:r>
        <w:r w:rsidR="006F1D4F">
          <w:rPr>
            <w:webHidden/>
          </w:rPr>
          <w:fldChar w:fldCharType="separate"/>
        </w:r>
        <w:r>
          <w:rPr>
            <w:webHidden/>
          </w:rPr>
          <w:t>65</w:t>
        </w:r>
        <w:r w:rsidR="006F1D4F">
          <w:rPr>
            <w:webHidden/>
          </w:rPr>
          <w:fldChar w:fldCharType="end"/>
        </w:r>
      </w:hyperlink>
    </w:p>
    <w:p w14:paraId="53C13646" w14:textId="27EE035D" w:rsidR="006F1D4F" w:rsidRDefault="003053D1">
      <w:pPr>
        <w:pStyle w:val="TableofFigures"/>
        <w:rPr>
          <w:rFonts w:asciiTheme="minorHAnsi" w:eastAsiaTheme="minorEastAsia" w:hAnsiTheme="minorHAnsi" w:cstheme="minorBidi"/>
          <w:bCs w:val="0"/>
          <w:sz w:val="22"/>
          <w:lang w:eastAsia="en-AU"/>
        </w:rPr>
      </w:pPr>
      <w:hyperlink w:anchor="_Toc35947186" w:history="1">
        <w:r w:rsidR="006F1D4F" w:rsidRPr="00B21D13">
          <w:rPr>
            <w:rStyle w:val="Hyperlink"/>
          </w:rPr>
          <w:t>Figure 36 Relationship between the coral index and run-off from local catchments</w:t>
        </w:r>
        <w:r w:rsidR="006F1D4F">
          <w:rPr>
            <w:webHidden/>
          </w:rPr>
          <w:tab/>
        </w:r>
        <w:r w:rsidR="006F1D4F">
          <w:rPr>
            <w:webHidden/>
          </w:rPr>
          <w:fldChar w:fldCharType="begin"/>
        </w:r>
        <w:r w:rsidR="006F1D4F">
          <w:rPr>
            <w:webHidden/>
          </w:rPr>
          <w:instrText xml:space="preserve"> PAGEREF _Toc35947186 \h </w:instrText>
        </w:r>
        <w:r w:rsidR="006F1D4F">
          <w:rPr>
            <w:webHidden/>
          </w:rPr>
        </w:r>
        <w:r w:rsidR="006F1D4F">
          <w:rPr>
            <w:webHidden/>
          </w:rPr>
          <w:fldChar w:fldCharType="separate"/>
        </w:r>
        <w:r>
          <w:rPr>
            <w:webHidden/>
          </w:rPr>
          <w:t>67</w:t>
        </w:r>
        <w:r w:rsidR="006F1D4F">
          <w:rPr>
            <w:webHidden/>
          </w:rPr>
          <w:fldChar w:fldCharType="end"/>
        </w:r>
      </w:hyperlink>
    </w:p>
    <w:p w14:paraId="53C13647" w14:textId="77777777" w:rsidR="00CD4137" w:rsidRPr="00CE4E0F" w:rsidRDefault="00CD4137" w:rsidP="00CD4137">
      <w:pPr>
        <w:ind w:right="284"/>
        <w:rPr>
          <w:bCs/>
          <w:color w:val="548DD4" w:themeColor="text2" w:themeTint="99"/>
        </w:rPr>
      </w:pPr>
      <w:r w:rsidRPr="00CE4E0F">
        <w:rPr>
          <w:bCs/>
          <w:color w:val="548DD4" w:themeColor="text2" w:themeTint="99"/>
        </w:rPr>
        <w:fldChar w:fldCharType="end"/>
      </w:r>
    </w:p>
    <w:p w14:paraId="53C13648" w14:textId="3BCD574F" w:rsidR="006F1D4F" w:rsidRDefault="00CD4137">
      <w:pPr>
        <w:pStyle w:val="TableofFigures"/>
        <w:rPr>
          <w:rFonts w:asciiTheme="minorHAnsi" w:eastAsiaTheme="minorEastAsia" w:hAnsiTheme="minorHAnsi" w:cstheme="minorBidi"/>
          <w:bCs w:val="0"/>
          <w:sz w:val="22"/>
          <w:lang w:eastAsia="en-AU"/>
        </w:rPr>
      </w:pPr>
      <w:r w:rsidRPr="00CE4E0F">
        <w:rPr>
          <w:color w:val="548DD4" w:themeColor="text2" w:themeTint="99"/>
        </w:rPr>
        <w:fldChar w:fldCharType="begin"/>
      </w:r>
      <w:r w:rsidRPr="00CE4E0F">
        <w:rPr>
          <w:color w:val="548DD4" w:themeColor="text2" w:themeTint="99"/>
        </w:rPr>
        <w:instrText xml:space="preserve"> TOC \h \z \c "Table" </w:instrText>
      </w:r>
      <w:r w:rsidRPr="00CE4E0F">
        <w:rPr>
          <w:color w:val="548DD4" w:themeColor="text2" w:themeTint="99"/>
        </w:rPr>
        <w:fldChar w:fldCharType="separate"/>
      </w:r>
      <w:hyperlink w:anchor="_Toc35947187" w:history="1">
        <w:r w:rsidR="006F1D4F" w:rsidRPr="00A60633">
          <w:rPr>
            <w:rStyle w:val="Hyperlink"/>
          </w:rPr>
          <w:t>Table 1 Summary of climate and environmental data considered in this report</w:t>
        </w:r>
        <w:r w:rsidR="006F1D4F">
          <w:rPr>
            <w:webHidden/>
          </w:rPr>
          <w:tab/>
        </w:r>
        <w:r w:rsidR="006F1D4F">
          <w:rPr>
            <w:webHidden/>
          </w:rPr>
          <w:fldChar w:fldCharType="begin"/>
        </w:r>
        <w:r w:rsidR="006F1D4F">
          <w:rPr>
            <w:webHidden/>
          </w:rPr>
          <w:instrText xml:space="preserve"> PAGEREF _Toc35947187 \h </w:instrText>
        </w:r>
        <w:r w:rsidR="006F1D4F">
          <w:rPr>
            <w:webHidden/>
          </w:rPr>
        </w:r>
        <w:r w:rsidR="006F1D4F">
          <w:rPr>
            <w:webHidden/>
          </w:rPr>
          <w:fldChar w:fldCharType="separate"/>
        </w:r>
        <w:r w:rsidR="003053D1">
          <w:rPr>
            <w:webHidden/>
          </w:rPr>
          <w:t>9</w:t>
        </w:r>
        <w:r w:rsidR="006F1D4F">
          <w:rPr>
            <w:webHidden/>
          </w:rPr>
          <w:fldChar w:fldCharType="end"/>
        </w:r>
      </w:hyperlink>
    </w:p>
    <w:p w14:paraId="53C13649" w14:textId="11189C8E" w:rsidR="006F1D4F" w:rsidRDefault="003053D1">
      <w:pPr>
        <w:pStyle w:val="TableofFigures"/>
        <w:rPr>
          <w:rFonts w:asciiTheme="minorHAnsi" w:eastAsiaTheme="minorEastAsia" w:hAnsiTheme="minorHAnsi" w:cstheme="minorBidi"/>
          <w:bCs w:val="0"/>
          <w:sz w:val="22"/>
          <w:lang w:eastAsia="en-AU"/>
        </w:rPr>
      </w:pPr>
      <w:hyperlink w:anchor="_Toc35947188" w:history="1">
        <w:r w:rsidR="006F1D4F" w:rsidRPr="00A60633">
          <w:rPr>
            <w:rStyle w:val="Hyperlink"/>
          </w:rPr>
          <w:t>Table 2 Coral monitoring locations</w:t>
        </w:r>
        <w:r w:rsidR="006F1D4F">
          <w:rPr>
            <w:webHidden/>
          </w:rPr>
          <w:tab/>
        </w:r>
        <w:r w:rsidR="006F1D4F">
          <w:rPr>
            <w:webHidden/>
          </w:rPr>
          <w:fldChar w:fldCharType="begin"/>
        </w:r>
        <w:r w:rsidR="006F1D4F">
          <w:rPr>
            <w:webHidden/>
          </w:rPr>
          <w:instrText xml:space="preserve"> PAGEREF _Toc35947188 \h </w:instrText>
        </w:r>
        <w:r w:rsidR="006F1D4F">
          <w:rPr>
            <w:webHidden/>
          </w:rPr>
        </w:r>
        <w:r w:rsidR="006F1D4F">
          <w:rPr>
            <w:webHidden/>
          </w:rPr>
          <w:fldChar w:fldCharType="separate"/>
        </w:r>
        <w:r>
          <w:rPr>
            <w:webHidden/>
          </w:rPr>
          <w:t>12</w:t>
        </w:r>
        <w:r w:rsidR="006F1D4F">
          <w:rPr>
            <w:webHidden/>
          </w:rPr>
          <w:fldChar w:fldCharType="end"/>
        </w:r>
      </w:hyperlink>
    </w:p>
    <w:p w14:paraId="53C1364A" w14:textId="7B6776A8" w:rsidR="006F1D4F" w:rsidRDefault="003053D1">
      <w:pPr>
        <w:pStyle w:val="TableofFigures"/>
        <w:rPr>
          <w:rFonts w:asciiTheme="minorHAnsi" w:eastAsiaTheme="minorEastAsia" w:hAnsiTheme="minorHAnsi" w:cstheme="minorBidi"/>
          <w:bCs w:val="0"/>
          <w:sz w:val="22"/>
          <w:lang w:eastAsia="en-AU"/>
        </w:rPr>
      </w:pPr>
      <w:hyperlink w:anchor="_Toc35947189" w:history="1">
        <w:r w:rsidR="006F1D4F" w:rsidRPr="00A60633">
          <w:rPr>
            <w:rStyle w:val="Hyperlink"/>
          </w:rPr>
          <w:t>Table 3 Survey methods used by the MMP and LTMP to describe coral communities</w:t>
        </w:r>
        <w:r w:rsidR="006F1D4F">
          <w:rPr>
            <w:webHidden/>
          </w:rPr>
          <w:tab/>
        </w:r>
        <w:r w:rsidR="006F1D4F">
          <w:rPr>
            <w:webHidden/>
          </w:rPr>
          <w:fldChar w:fldCharType="begin"/>
        </w:r>
        <w:r w:rsidR="006F1D4F">
          <w:rPr>
            <w:webHidden/>
          </w:rPr>
          <w:instrText xml:space="preserve"> PAGEREF _Toc35947189 \h </w:instrText>
        </w:r>
        <w:r w:rsidR="006F1D4F">
          <w:rPr>
            <w:webHidden/>
          </w:rPr>
        </w:r>
        <w:r w:rsidR="006F1D4F">
          <w:rPr>
            <w:webHidden/>
          </w:rPr>
          <w:fldChar w:fldCharType="separate"/>
        </w:r>
        <w:r>
          <w:rPr>
            <w:webHidden/>
          </w:rPr>
          <w:t>15</w:t>
        </w:r>
        <w:r w:rsidR="006F1D4F">
          <w:rPr>
            <w:webHidden/>
          </w:rPr>
          <w:fldChar w:fldCharType="end"/>
        </w:r>
      </w:hyperlink>
    </w:p>
    <w:p w14:paraId="53C1364B" w14:textId="718BDF18" w:rsidR="006F1D4F" w:rsidRDefault="003053D1">
      <w:pPr>
        <w:pStyle w:val="TableofFigures"/>
        <w:rPr>
          <w:rFonts w:asciiTheme="minorHAnsi" w:eastAsiaTheme="minorEastAsia" w:hAnsiTheme="minorHAnsi" w:cstheme="minorBidi"/>
          <w:bCs w:val="0"/>
          <w:sz w:val="22"/>
          <w:lang w:eastAsia="en-AU"/>
        </w:rPr>
      </w:pPr>
      <w:hyperlink w:anchor="_Toc35947190" w:history="1">
        <w:r w:rsidR="006F1D4F" w:rsidRPr="00A60633">
          <w:rPr>
            <w:rStyle w:val="Hyperlink"/>
          </w:rPr>
          <w:t>Table 4 Threshold values for the assessment of coral reef condition and resilience indicators.</w:t>
        </w:r>
        <w:r w:rsidR="006F1D4F">
          <w:rPr>
            <w:webHidden/>
          </w:rPr>
          <w:tab/>
        </w:r>
        <w:r w:rsidR="006F1D4F">
          <w:rPr>
            <w:webHidden/>
          </w:rPr>
          <w:fldChar w:fldCharType="begin"/>
        </w:r>
        <w:r w:rsidR="006F1D4F">
          <w:rPr>
            <w:webHidden/>
          </w:rPr>
          <w:instrText xml:space="preserve"> PAGEREF _Toc35947190 \h </w:instrText>
        </w:r>
        <w:r w:rsidR="006F1D4F">
          <w:rPr>
            <w:webHidden/>
          </w:rPr>
        </w:r>
        <w:r w:rsidR="006F1D4F">
          <w:rPr>
            <w:webHidden/>
          </w:rPr>
          <w:fldChar w:fldCharType="separate"/>
        </w:r>
        <w:r>
          <w:rPr>
            <w:webHidden/>
          </w:rPr>
          <w:t>23</w:t>
        </w:r>
        <w:r w:rsidR="006F1D4F">
          <w:rPr>
            <w:webHidden/>
          </w:rPr>
          <w:fldChar w:fldCharType="end"/>
        </w:r>
      </w:hyperlink>
    </w:p>
    <w:p w14:paraId="53C1364C" w14:textId="31C6A3DC" w:rsidR="006F1D4F" w:rsidRDefault="003053D1">
      <w:pPr>
        <w:pStyle w:val="TableofFigures"/>
        <w:rPr>
          <w:rFonts w:asciiTheme="minorHAnsi" w:eastAsiaTheme="minorEastAsia" w:hAnsiTheme="minorHAnsi" w:cstheme="minorBidi"/>
          <w:bCs w:val="0"/>
          <w:sz w:val="22"/>
          <w:lang w:eastAsia="en-AU"/>
        </w:rPr>
      </w:pPr>
      <w:hyperlink w:anchor="_Toc35947191" w:history="1">
        <w:r w:rsidR="006F1D4F" w:rsidRPr="00A60633">
          <w:rPr>
            <w:rStyle w:val="Hyperlink"/>
          </w:rPr>
          <w:t>Table 5 Format for presentation of community condition.</w:t>
        </w:r>
        <w:r w:rsidR="006F1D4F">
          <w:rPr>
            <w:webHidden/>
          </w:rPr>
          <w:tab/>
        </w:r>
        <w:r w:rsidR="006F1D4F">
          <w:rPr>
            <w:webHidden/>
          </w:rPr>
          <w:fldChar w:fldCharType="begin"/>
        </w:r>
        <w:r w:rsidR="006F1D4F">
          <w:rPr>
            <w:webHidden/>
          </w:rPr>
          <w:instrText xml:space="preserve"> PAGEREF _Toc35947191 \h </w:instrText>
        </w:r>
        <w:r w:rsidR="006F1D4F">
          <w:rPr>
            <w:webHidden/>
          </w:rPr>
        </w:r>
        <w:r w:rsidR="006F1D4F">
          <w:rPr>
            <w:webHidden/>
          </w:rPr>
          <w:fldChar w:fldCharType="separate"/>
        </w:r>
        <w:r>
          <w:rPr>
            <w:webHidden/>
          </w:rPr>
          <w:t>24</w:t>
        </w:r>
        <w:r w:rsidR="006F1D4F">
          <w:rPr>
            <w:webHidden/>
          </w:rPr>
          <w:fldChar w:fldCharType="end"/>
        </w:r>
      </w:hyperlink>
    </w:p>
    <w:p w14:paraId="53C1364D" w14:textId="1EBAA2AE" w:rsidR="006F1D4F" w:rsidRDefault="003053D1">
      <w:pPr>
        <w:pStyle w:val="TableofFigures"/>
        <w:rPr>
          <w:rFonts w:asciiTheme="minorHAnsi" w:eastAsiaTheme="minorEastAsia" w:hAnsiTheme="minorHAnsi" w:cstheme="minorBidi"/>
          <w:bCs w:val="0"/>
          <w:sz w:val="22"/>
          <w:lang w:eastAsia="en-AU"/>
        </w:rPr>
      </w:pPr>
      <w:hyperlink w:anchor="_Toc35947192" w:history="1">
        <w:r w:rsidR="006F1D4F" w:rsidRPr="00A60633">
          <w:rPr>
            <w:rStyle w:val="Hyperlink"/>
          </w:rPr>
          <w:t>Table 6 Information considered for disturbance categorisation</w:t>
        </w:r>
        <w:r w:rsidR="006F1D4F">
          <w:rPr>
            <w:webHidden/>
          </w:rPr>
          <w:tab/>
        </w:r>
        <w:r w:rsidR="006F1D4F">
          <w:rPr>
            <w:webHidden/>
          </w:rPr>
          <w:fldChar w:fldCharType="begin"/>
        </w:r>
        <w:r w:rsidR="006F1D4F">
          <w:rPr>
            <w:webHidden/>
          </w:rPr>
          <w:instrText xml:space="preserve"> PAGEREF _Toc35947192 \h </w:instrText>
        </w:r>
        <w:r w:rsidR="006F1D4F">
          <w:rPr>
            <w:webHidden/>
          </w:rPr>
        </w:r>
        <w:r w:rsidR="006F1D4F">
          <w:rPr>
            <w:webHidden/>
          </w:rPr>
          <w:fldChar w:fldCharType="separate"/>
        </w:r>
        <w:r>
          <w:rPr>
            <w:webHidden/>
          </w:rPr>
          <w:t>26</w:t>
        </w:r>
        <w:r w:rsidR="006F1D4F">
          <w:rPr>
            <w:webHidden/>
          </w:rPr>
          <w:fldChar w:fldCharType="end"/>
        </w:r>
      </w:hyperlink>
    </w:p>
    <w:p w14:paraId="53C1364E" w14:textId="04289611" w:rsidR="006F1D4F" w:rsidRDefault="003053D1">
      <w:pPr>
        <w:pStyle w:val="TableofFigures"/>
        <w:rPr>
          <w:rFonts w:asciiTheme="minorHAnsi" w:eastAsiaTheme="minorEastAsia" w:hAnsiTheme="minorHAnsi" w:cstheme="minorBidi"/>
          <w:bCs w:val="0"/>
          <w:sz w:val="22"/>
          <w:lang w:eastAsia="en-AU"/>
        </w:rPr>
      </w:pPr>
      <w:hyperlink w:anchor="_Toc35947193" w:history="1">
        <w:r w:rsidR="006F1D4F" w:rsidRPr="00A60633">
          <w:rPr>
            <w:rStyle w:val="Hyperlink"/>
          </w:rPr>
          <w:t>Table 7 Number of crown-of-thorns removed by the Authority’s crown-of-thorns control program</w:t>
        </w:r>
        <w:r w:rsidR="006F1D4F">
          <w:rPr>
            <w:webHidden/>
          </w:rPr>
          <w:tab/>
        </w:r>
        <w:r w:rsidR="006F1D4F">
          <w:rPr>
            <w:webHidden/>
          </w:rPr>
          <w:fldChar w:fldCharType="begin"/>
        </w:r>
        <w:r w:rsidR="006F1D4F">
          <w:rPr>
            <w:webHidden/>
          </w:rPr>
          <w:instrText xml:space="preserve"> PAGEREF _Toc35947193 \h </w:instrText>
        </w:r>
        <w:r w:rsidR="006F1D4F">
          <w:rPr>
            <w:webHidden/>
          </w:rPr>
        </w:r>
        <w:r w:rsidR="006F1D4F">
          <w:rPr>
            <w:webHidden/>
          </w:rPr>
          <w:fldChar w:fldCharType="separate"/>
        </w:r>
        <w:r>
          <w:rPr>
            <w:webHidden/>
          </w:rPr>
          <w:t>30</w:t>
        </w:r>
        <w:r w:rsidR="006F1D4F">
          <w:rPr>
            <w:webHidden/>
          </w:rPr>
          <w:fldChar w:fldCharType="end"/>
        </w:r>
      </w:hyperlink>
    </w:p>
    <w:p w14:paraId="53C1364F" w14:textId="58467A19" w:rsidR="006F1D4F" w:rsidRDefault="003053D1">
      <w:pPr>
        <w:pStyle w:val="TableofFigures"/>
        <w:rPr>
          <w:rFonts w:asciiTheme="minorHAnsi" w:eastAsiaTheme="minorEastAsia" w:hAnsiTheme="minorHAnsi" w:cstheme="minorBidi"/>
          <w:bCs w:val="0"/>
          <w:sz w:val="22"/>
          <w:lang w:eastAsia="en-AU"/>
        </w:rPr>
      </w:pPr>
      <w:hyperlink w:anchor="_Toc35947194" w:history="1">
        <w:r w:rsidR="006F1D4F" w:rsidRPr="00A60633">
          <w:rPr>
            <w:rStyle w:val="Hyperlink"/>
          </w:rPr>
          <w:t>Table 8 Size class distribution of crown-of-thorns removed as listed in (Table 7)</w:t>
        </w:r>
        <w:r w:rsidR="006F1D4F">
          <w:rPr>
            <w:webHidden/>
          </w:rPr>
          <w:tab/>
        </w:r>
        <w:r w:rsidR="006F1D4F">
          <w:rPr>
            <w:webHidden/>
          </w:rPr>
          <w:fldChar w:fldCharType="begin"/>
        </w:r>
        <w:r w:rsidR="006F1D4F">
          <w:rPr>
            <w:webHidden/>
          </w:rPr>
          <w:instrText xml:space="preserve"> PAGEREF _Toc35947194 \h </w:instrText>
        </w:r>
        <w:r w:rsidR="006F1D4F">
          <w:rPr>
            <w:webHidden/>
          </w:rPr>
        </w:r>
        <w:r w:rsidR="006F1D4F">
          <w:rPr>
            <w:webHidden/>
          </w:rPr>
          <w:fldChar w:fldCharType="separate"/>
        </w:r>
        <w:r>
          <w:rPr>
            <w:webHidden/>
          </w:rPr>
          <w:t>30</w:t>
        </w:r>
        <w:r w:rsidR="006F1D4F">
          <w:rPr>
            <w:webHidden/>
          </w:rPr>
          <w:fldChar w:fldCharType="end"/>
        </w:r>
      </w:hyperlink>
    </w:p>
    <w:p w14:paraId="53C13650" w14:textId="4406F338" w:rsidR="006F1D4F" w:rsidRDefault="003053D1">
      <w:pPr>
        <w:pStyle w:val="TableofFigures"/>
        <w:rPr>
          <w:rFonts w:asciiTheme="minorHAnsi" w:eastAsiaTheme="minorEastAsia" w:hAnsiTheme="minorHAnsi" w:cstheme="minorBidi"/>
          <w:bCs w:val="0"/>
          <w:sz w:val="22"/>
          <w:lang w:eastAsia="en-AU"/>
        </w:rPr>
      </w:pPr>
      <w:hyperlink w:anchor="_Toc35947195" w:history="1">
        <w:r w:rsidR="006F1D4F" w:rsidRPr="00A60633">
          <w:rPr>
            <w:rStyle w:val="Hyperlink"/>
          </w:rPr>
          <w:t>Table 9 Index and indicator score comparisons in the Barren Daintree sub-region</w:t>
        </w:r>
        <w:r w:rsidR="006F1D4F">
          <w:rPr>
            <w:webHidden/>
          </w:rPr>
          <w:tab/>
        </w:r>
        <w:r w:rsidR="006F1D4F">
          <w:rPr>
            <w:webHidden/>
          </w:rPr>
          <w:fldChar w:fldCharType="begin"/>
        </w:r>
        <w:r w:rsidR="006F1D4F">
          <w:rPr>
            <w:webHidden/>
          </w:rPr>
          <w:instrText xml:space="preserve"> PAGEREF _Toc35947195 \h </w:instrText>
        </w:r>
        <w:r w:rsidR="006F1D4F">
          <w:rPr>
            <w:webHidden/>
          </w:rPr>
        </w:r>
        <w:r w:rsidR="006F1D4F">
          <w:rPr>
            <w:webHidden/>
          </w:rPr>
          <w:fldChar w:fldCharType="separate"/>
        </w:r>
        <w:r>
          <w:rPr>
            <w:webHidden/>
          </w:rPr>
          <w:t>37</w:t>
        </w:r>
        <w:r w:rsidR="006F1D4F">
          <w:rPr>
            <w:webHidden/>
          </w:rPr>
          <w:fldChar w:fldCharType="end"/>
        </w:r>
      </w:hyperlink>
    </w:p>
    <w:p w14:paraId="53C13651" w14:textId="6DEFCF5E" w:rsidR="006F1D4F" w:rsidRDefault="003053D1">
      <w:pPr>
        <w:pStyle w:val="TableofFigures"/>
        <w:rPr>
          <w:rFonts w:asciiTheme="minorHAnsi" w:eastAsiaTheme="minorEastAsia" w:hAnsiTheme="minorHAnsi" w:cstheme="minorBidi"/>
          <w:bCs w:val="0"/>
          <w:sz w:val="22"/>
          <w:lang w:eastAsia="en-AU"/>
        </w:rPr>
      </w:pPr>
      <w:hyperlink w:anchor="_Toc35947196" w:history="1">
        <w:r w:rsidR="006F1D4F" w:rsidRPr="00A60633">
          <w:rPr>
            <w:rStyle w:val="Hyperlink"/>
          </w:rPr>
          <w:t>Table 10 Index and indicator score comparisons in the Johnstone Russell-Mulgrave sub-region.</w:t>
        </w:r>
        <w:r w:rsidR="006F1D4F">
          <w:rPr>
            <w:webHidden/>
          </w:rPr>
          <w:tab/>
        </w:r>
        <w:r w:rsidR="006F1D4F">
          <w:rPr>
            <w:webHidden/>
          </w:rPr>
          <w:fldChar w:fldCharType="begin"/>
        </w:r>
        <w:r w:rsidR="006F1D4F">
          <w:rPr>
            <w:webHidden/>
          </w:rPr>
          <w:instrText xml:space="preserve"> PAGEREF _Toc35947196 \h </w:instrText>
        </w:r>
        <w:r w:rsidR="006F1D4F">
          <w:rPr>
            <w:webHidden/>
          </w:rPr>
        </w:r>
        <w:r w:rsidR="006F1D4F">
          <w:rPr>
            <w:webHidden/>
          </w:rPr>
          <w:fldChar w:fldCharType="separate"/>
        </w:r>
        <w:r>
          <w:rPr>
            <w:webHidden/>
          </w:rPr>
          <w:t>41</w:t>
        </w:r>
        <w:r w:rsidR="006F1D4F">
          <w:rPr>
            <w:webHidden/>
          </w:rPr>
          <w:fldChar w:fldCharType="end"/>
        </w:r>
      </w:hyperlink>
    </w:p>
    <w:p w14:paraId="53C13652" w14:textId="46D918E0" w:rsidR="006F1D4F" w:rsidRDefault="003053D1">
      <w:pPr>
        <w:pStyle w:val="TableofFigures"/>
        <w:rPr>
          <w:rFonts w:asciiTheme="minorHAnsi" w:eastAsiaTheme="minorEastAsia" w:hAnsiTheme="minorHAnsi" w:cstheme="minorBidi"/>
          <w:bCs w:val="0"/>
          <w:sz w:val="22"/>
          <w:lang w:eastAsia="en-AU"/>
        </w:rPr>
      </w:pPr>
      <w:hyperlink w:anchor="_Toc35947197" w:history="1">
        <w:r w:rsidR="006F1D4F" w:rsidRPr="00A60633">
          <w:rPr>
            <w:rStyle w:val="Hyperlink"/>
          </w:rPr>
          <w:t>Table 11 Index and indicator score comparisons in the Herbert Tully sub-region</w:t>
        </w:r>
        <w:r w:rsidR="006F1D4F">
          <w:rPr>
            <w:webHidden/>
          </w:rPr>
          <w:tab/>
        </w:r>
        <w:r w:rsidR="006F1D4F">
          <w:rPr>
            <w:webHidden/>
          </w:rPr>
          <w:fldChar w:fldCharType="begin"/>
        </w:r>
        <w:r w:rsidR="006F1D4F">
          <w:rPr>
            <w:webHidden/>
          </w:rPr>
          <w:instrText xml:space="preserve"> PAGEREF _Toc35947197 \h </w:instrText>
        </w:r>
        <w:r w:rsidR="006F1D4F">
          <w:rPr>
            <w:webHidden/>
          </w:rPr>
        </w:r>
        <w:r w:rsidR="006F1D4F">
          <w:rPr>
            <w:webHidden/>
          </w:rPr>
          <w:fldChar w:fldCharType="separate"/>
        </w:r>
        <w:r>
          <w:rPr>
            <w:webHidden/>
          </w:rPr>
          <w:t>45</w:t>
        </w:r>
        <w:r w:rsidR="006F1D4F">
          <w:rPr>
            <w:webHidden/>
          </w:rPr>
          <w:fldChar w:fldCharType="end"/>
        </w:r>
      </w:hyperlink>
    </w:p>
    <w:p w14:paraId="53C13653" w14:textId="2C2B3BBC" w:rsidR="006F1D4F" w:rsidRDefault="003053D1">
      <w:pPr>
        <w:pStyle w:val="TableofFigures"/>
        <w:rPr>
          <w:rFonts w:asciiTheme="minorHAnsi" w:eastAsiaTheme="minorEastAsia" w:hAnsiTheme="minorHAnsi" w:cstheme="minorBidi"/>
          <w:bCs w:val="0"/>
          <w:sz w:val="22"/>
          <w:lang w:eastAsia="en-AU"/>
        </w:rPr>
      </w:pPr>
      <w:hyperlink w:anchor="_Toc35947198" w:history="1">
        <w:r w:rsidR="006F1D4F" w:rsidRPr="00A60633">
          <w:rPr>
            <w:rStyle w:val="Hyperlink"/>
          </w:rPr>
          <w:t>Table 12 Index and indicator score comparisons in the Burdekin Region</w:t>
        </w:r>
        <w:r w:rsidR="006F1D4F">
          <w:rPr>
            <w:webHidden/>
          </w:rPr>
          <w:tab/>
        </w:r>
        <w:r w:rsidR="006F1D4F">
          <w:rPr>
            <w:webHidden/>
          </w:rPr>
          <w:fldChar w:fldCharType="begin"/>
        </w:r>
        <w:r w:rsidR="006F1D4F">
          <w:rPr>
            <w:webHidden/>
          </w:rPr>
          <w:instrText xml:space="preserve"> PAGEREF _Toc35947198 \h </w:instrText>
        </w:r>
        <w:r w:rsidR="006F1D4F">
          <w:rPr>
            <w:webHidden/>
          </w:rPr>
        </w:r>
        <w:r w:rsidR="006F1D4F">
          <w:rPr>
            <w:webHidden/>
          </w:rPr>
          <w:fldChar w:fldCharType="separate"/>
        </w:r>
        <w:r>
          <w:rPr>
            <w:webHidden/>
          </w:rPr>
          <w:t>50</w:t>
        </w:r>
        <w:r w:rsidR="006F1D4F">
          <w:rPr>
            <w:webHidden/>
          </w:rPr>
          <w:fldChar w:fldCharType="end"/>
        </w:r>
      </w:hyperlink>
    </w:p>
    <w:p w14:paraId="53C13654" w14:textId="2A7AD2A0" w:rsidR="006F1D4F" w:rsidRDefault="003053D1">
      <w:pPr>
        <w:pStyle w:val="TableofFigures"/>
        <w:rPr>
          <w:rFonts w:asciiTheme="minorHAnsi" w:eastAsiaTheme="minorEastAsia" w:hAnsiTheme="minorHAnsi" w:cstheme="minorBidi"/>
          <w:bCs w:val="0"/>
          <w:sz w:val="22"/>
          <w:lang w:eastAsia="en-AU"/>
        </w:rPr>
      </w:pPr>
      <w:hyperlink w:anchor="_Toc35947199" w:history="1">
        <w:r w:rsidR="006F1D4F" w:rsidRPr="00A60633">
          <w:rPr>
            <w:rStyle w:val="Hyperlink"/>
          </w:rPr>
          <w:t>Table 13 Index and indicator score comparisons in the Mackay-Whitsunday Region</w:t>
        </w:r>
        <w:r w:rsidR="006F1D4F">
          <w:rPr>
            <w:webHidden/>
          </w:rPr>
          <w:tab/>
        </w:r>
        <w:r w:rsidR="006F1D4F">
          <w:rPr>
            <w:webHidden/>
          </w:rPr>
          <w:fldChar w:fldCharType="begin"/>
        </w:r>
        <w:r w:rsidR="006F1D4F">
          <w:rPr>
            <w:webHidden/>
          </w:rPr>
          <w:instrText xml:space="preserve"> PAGEREF _Toc35947199 \h </w:instrText>
        </w:r>
        <w:r w:rsidR="006F1D4F">
          <w:rPr>
            <w:webHidden/>
          </w:rPr>
        </w:r>
        <w:r w:rsidR="006F1D4F">
          <w:rPr>
            <w:webHidden/>
          </w:rPr>
          <w:fldChar w:fldCharType="separate"/>
        </w:r>
        <w:r>
          <w:rPr>
            <w:webHidden/>
          </w:rPr>
          <w:t>54</w:t>
        </w:r>
        <w:r w:rsidR="006F1D4F">
          <w:rPr>
            <w:webHidden/>
          </w:rPr>
          <w:fldChar w:fldCharType="end"/>
        </w:r>
      </w:hyperlink>
    </w:p>
    <w:p w14:paraId="53C13655" w14:textId="220A592D" w:rsidR="006F1D4F" w:rsidRDefault="003053D1">
      <w:pPr>
        <w:pStyle w:val="TableofFigures"/>
        <w:rPr>
          <w:rFonts w:asciiTheme="minorHAnsi" w:eastAsiaTheme="minorEastAsia" w:hAnsiTheme="minorHAnsi" w:cstheme="minorBidi"/>
          <w:bCs w:val="0"/>
          <w:sz w:val="22"/>
          <w:lang w:eastAsia="en-AU"/>
        </w:rPr>
      </w:pPr>
      <w:hyperlink w:anchor="_Toc35947200" w:history="1">
        <w:r w:rsidR="006F1D4F" w:rsidRPr="00A60633">
          <w:rPr>
            <w:rStyle w:val="Hyperlink"/>
          </w:rPr>
          <w:t>Table 14 Index and indicator score comparisons in the Fitzroy Region</w:t>
        </w:r>
        <w:r w:rsidR="006F1D4F">
          <w:rPr>
            <w:webHidden/>
          </w:rPr>
          <w:tab/>
        </w:r>
        <w:r w:rsidR="006F1D4F">
          <w:rPr>
            <w:webHidden/>
          </w:rPr>
          <w:fldChar w:fldCharType="begin"/>
        </w:r>
        <w:r w:rsidR="006F1D4F">
          <w:rPr>
            <w:webHidden/>
          </w:rPr>
          <w:instrText xml:space="preserve"> PAGEREF _Toc35947200 \h </w:instrText>
        </w:r>
        <w:r w:rsidR="006F1D4F">
          <w:rPr>
            <w:webHidden/>
          </w:rPr>
        </w:r>
        <w:r w:rsidR="006F1D4F">
          <w:rPr>
            <w:webHidden/>
          </w:rPr>
          <w:fldChar w:fldCharType="separate"/>
        </w:r>
        <w:r>
          <w:rPr>
            <w:webHidden/>
          </w:rPr>
          <w:t>57</w:t>
        </w:r>
        <w:r w:rsidR="006F1D4F">
          <w:rPr>
            <w:webHidden/>
          </w:rPr>
          <w:fldChar w:fldCharType="end"/>
        </w:r>
      </w:hyperlink>
    </w:p>
    <w:p w14:paraId="53C13656" w14:textId="1A21EF74" w:rsidR="006F1D4F" w:rsidRDefault="003053D1">
      <w:pPr>
        <w:pStyle w:val="TableofFigures"/>
        <w:rPr>
          <w:rFonts w:asciiTheme="minorHAnsi" w:eastAsiaTheme="minorEastAsia" w:hAnsiTheme="minorHAnsi" w:cstheme="minorBidi"/>
          <w:bCs w:val="0"/>
          <w:sz w:val="22"/>
          <w:lang w:eastAsia="en-AU"/>
        </w:rPr>
      </w:pPr>
      <w:hyperlink w:anchor="_Toc35947201" w:history="1">
        <w:r w:rsidR="006F1D4F" w:rsidRPr="00A60633">
          <w:rPr>
            <w:rStyle w:val="Hyperlink"/>
          </w:rPr>
          <w:t>Table 15 Relationship between index and indicator scores and gradients in water quality in 2019</w:t>
        </w:r>
        <w:r w:rsidR="006F1D4F">
          <w:rPr>
            <w:webHidden/>
          </w:rPr>
          <w:tab/>
        </w:r>
        <w:r w:rsidR="006F1D4F">
          <w:rPr>
            <w:webHidden/>
          </w:rPr>
          <w:fldChar w:fldCharType="begin"/>
        </w:r>
        <w:r w:rsidR="006F1D4F">
          <w:rPr>
            <w:webHidden/>
          </w:rPr>
          <w:instrText xml:space="preserve"> PAGEREF _Toc35947201 \h </w:instrText>
        </w:r>
        <w:r w:rsidR="006F1D4F">
          <w:rPr>
            <w:webHidden/>
          </w:rPr>
        </w:r>
        <w:r w:rsidR="006F1D4F">
          <w:rPr>
            <w:webHidden/>
          </w:rPr>
          <w:fldChar w:fldCharType="separate"/>
        </w:r>
        <w:r>
          <w:rPr>
            <w:webHidden/>
          </w:rPr>
          <w:t>61</w:t>
        </w:r>
        <w:r w:rsidR="006F1D4F">
          <w:rPr>
            <w:webHidden/>
          </w:rPr>
          <w:fldChar w:fldCharType="end"/>
        </w:r>
      </w:hyperlink>
    </w:p>
    <w:p w14:paraId="53C13657" w14:textId="52EE140B" w:rsidR="006F1D4F" w:rsidRDefault="003053D1">
      <w:pPr>
        <w:pStyle w:val="TableofFigures"/>
        <w:rPr>
          <w:rFonts w:asciiTheme="minorHAnsi" w:eastAsiaTheme="minorEastAsia" w:hAnsiTheme="minorHAnsi" w:cstheme="minorBidi"/>
          <w:bCs w:val="0"/>
          <w:sz w:val="22"/>
          <w:lang w:eastAsia="en-AU"/>
        </w:rPr>
      </w:pPr>
      <w:hyperlink w:anchor="_Toc35947202" w:history="1">
        <w:r w:rsidR="006F1D4F" w:rsidRPr="00A60633">
          <w:rPr>
            <w:rStyle w:val="Hyperlink"/>
          </w:rPr>
          <w:t>Table 16 Relationship between indicator values underpinning the macroalgae and composition indicator scores</w:t>
        </w:r>
        <w:r w:rsidR="006F1D4F">
          <w:rPr>
            <w:webHidden/>
          </w:rPr>
          <w:tab/>
        </w:r>
        <w:r w:rsidR="006F1D4F">
          <w:rPr>
            <w:webHidden/>
          </w:rPr>
          <w:fldChar w:fldCharType="begin"/>
        </w:r>
        <w:r w:rsidR="006F1D4F">
          <w:rPr>
            <w:webHidden/>
          </w:rPr>
          <w:instrText xml:space="preserve"> PAGEREF _Toc35947202 \h </w:instrText>
        </w:r>
        <w:r w:rsidR="006F1D4F">
          <w:rPr>
            <w:webHidden/>
          </w:rPr>
        </w:r>
        <w:r w:rsidR="006F1D4F">
          <w:rPr>
            <w:webHidden/>
          </w:rPr>
          <w:fldChar w:fldCharType="separate"/>
        </w:r>
        <w:r>
          <w:rPr>
            <w:webHidden/>
          </w:rPr>
          <w:t>64</w:t>
        </w:r>
        <w:r w:rsidR="006F1D4F">
          <w:rPr>
            <w:webHidden/>
          </w:rPr>
          <w:fldChar w:fldCharType="end"/>
        </w:r>
      </w:hyperlink>
    </w:p>
    <w:p w14:paraId="53C13658" w14:textId="63110504" w:rsidR="006F1D4F" w:rsidRDefault="003053D1">
      <w:pPr>
        <w:pStyle w:val="TableofFigures"/>
        <w:rPr>
          <w:rFonts w:asciiTheme="minorHAnsi" w:eastAsiaTheme="minorEastAsia" w:hAnsiTheme="minorHAnsi" w:cstheme="minorBidi"/>
          <w:bCs w:val="0"/>
          <w:sz w:val="22"/>
          <w:lang w:eastAsia="en-AU"/>
        </w:rPr>
      </w:pPr>
      <w:hyperlink w:anchor="_Toc35947203" w:history="1">
        <w:r w:rsidR="006F1D4F" w:rsidRPr="00A60633">
          <w:rPr>
            <w:rStyle w:val="Hyperlink"/>
          </w:rPr>
          <w:t>Table 17 Relationship between changes in index scores and environmental conditions</w:t>
        </w:r>
        <w:r w:rsidR="006F1D4F">
          <w:rPr>
            <w:webHidden/>
          </w:rPr>
          <w:tab/>
        </w:r>
        <w:r w:rsidR="006F1D4F">
          <w:rPr>
            <w:webHidden/>
          </w:rPr>
          <w:fldChar w:fldCharType="begin"/>
        </w:r>
        <w:r w:rsidR="006F1D4F">
          <w:rPr>
            <w:webHidden/>
          </w:rPr>
          <w:instrText xml:space="preserve"> PAGEREF _Toc35947203 \h </w:instrText>
        </w:r>
        <w:r w:rsidR="006F1D4F">
          <w:rPr>
            <w:webHidden/>
          </w:rPr>
        </w:r>
        <w:r w:rsidR="006F1D4F">
          <w:rPr>
            <w:webHidden/>
          </w:rPr>
          <w:fldChar w:fldCharType="separate"/>
        </w:r>
        <w:r>
          <w:rPr>
            <w:webHidden/>
          </w:rPr>
          <w:t>66</w:t>
        </w:r>
        <w:r w:rsidR="006F1D4F">
          <w:rPr>
            <w:webHidden/>
          </w:rPr>
          <w:fldChar w:fldCharType="end"/>
        </w:r>
      </w:hyperlink>
    </w:p>
    <w:p w14:paraId="53C1365A" w14:textId="6A38BC6E" w:rsidR="00A84742" w:rsidRPr="00CE4E0F" w:rsidRDefault="00CD4137" w:rsidP="001A0721">
      <w:pPr>
        <w:ind w:right="340"/>
        <w:rPr>
          <w:color w:val="548DD4" w:themeColor="text2" w:themeTint="99"/>
        </w:rPr>
      </w:pPr>
      <w:r w:rsidRPr="00CE4E0F">
        <w:rPr>
          <w:rFonts w:eastAsiaTheme="majorEastAsia"/>
          <w:noProof/>
          <w:color w:val="548DD4" w:themeColor="text2" w:themeTint="99"/>
        </w:rPr>
        <w:fldChar w:fldCharType="end"/>
      </w:r>
      <w:r w:rsidR="00A84742" w:rsidRPr="00CE4E0F">
        <w:rPr>
          <w:color w:val="548DD4" w:themeColor="text2" w:themeTint="99"/>
        </w:rPr>
        <w:br w:type="page"/>
      </w:r>
    </w:p>
    <w:p w14:paraId="53C1365B" w14:textId="77777777" w:rsidR="00CD4137" w:rsidRPr="00CE4E0F" w:rsidRDefault="00CD4137" w:rsidP="00D217FF">
      <w:pPr>
        <w:pStyle w:val="Heading1"/>
        <w:numPr>
          <w:ilvl w:val="0"/>
          <w:numId w:val="0"/>
        </w:numPr>
      </w:pPr>
      <w:bookmarkStart w:id="9" w:name="_Toc35947065"/>
      <w:bookmarkStart w:id="10" w:name="_Toc330115298"/>
      <w:bookmarkStart w:id="11" w:name="_Toc330177377"/>
      <w:bookmarkStart w:id="12" w:name="_Toc330177721"/>
      <w:bookmarkStart w:id="13" w:name="_Toc330191319"/>
      <w:bookmarkStart w:id="14" w:name="_Toc330281932"/>
      <w:bookmarkStart w:id="15" w:name="_Toc437424398"/>
      <w:bookmarkStart w:id="16" w:name="_Toc437424522"/>
      <w:bookmarkStart w:id="17" w:name="_Toc437432452"/>
      <w:bookmarkStart w:id="18" w:name="_Toc437432525"/>
      <w:r w:rsidRPr="00CE4E0F">
        <w:lastRenderedPageBreak/>
        <w:t>Appendices</w:t>
      </w:r>
      <w:r w:rsidR="00FE4AAC" w:rsidRPr="00CE4E0F">
        <w:t>: List of Figures and Tables</w:t>
      </w:r>
      <w:bookmarkEnd w:id="9"/>
      <w:r w:rsidR="00FE4AAC" w:rsidRPr="00CE4E0F">
        <w:t xml:space="preserve"> </w:t>
      </w:r>
    </w:p>
    <w:bookmarkStart w:id="19" w:name="_List_of_Figures"/>
    <w:bookmarkEnd w:id="19"/>
    <w:p w14:paraId="53C1365C" w14:textId="17ED4E27" w:rsidR="00777077" w:rsidRDefault="00CD4137">
      <w:pPr>
        <w:pStyle w:val="TableofFigures"/>
        <w:rPr>
          <w:rFonts w:asciiTheme="minorHAnsi" w:eastAsiaTheme="minorEastAsia" w:hAnsiTheme="minorHAnsi" w:cstheme="minorBidi"/>
          <w:bCs w:val="0"/>
          <w:sz w:val="22"/>
          <w:lang w:eastAsia="en-AU"/>
        </w:rPr>
      </w:pPr>
      <w:r w:rsidRPr="00CE4E0F">
        <w:rPr>
          <w:color w:val="548DD4" w:themeColor="text2" w:themeTint="99"/>
        </w:rPr>
        <w:fldChar w:fldCharType="begin"/>
      </w:r>
      <w:r w:rsidRPr="00CE4E0F">
        <w:rPr>
          <w:color w:val="548DD4" w:themeColor="text2" w:themeTint="99"/>
        </w:rPr>
        <w:instrText xml:space="preserve"> TOC \h \z \c "Figure A" </w:instrText>
      </w:r>
      <w:r w:rsidRPr="00CE4E0F">
        <w:rPr>
          <w:color w:val="548DD4" w:themeColor="text2" w:themeTint="99"/>
        </w:rPr>
        <w:fldChar w:fldCharType="separate"/>
      </w:r>
      <w:hyperlink w:anchor="_Toc35524079" w:history="1">
        <w:r w:rsidR="00777077" w:rsidRPr="00CF0663">
          <w:rPr>
            <w:rStyle w:val="Hyperlink"/>
          </w:rPr>
          <w:t>Figure A 1 Barron Daintree sub-region benthic community composition</w:t>
        </w:r>
        <w:r w:rsidR="00777077">
          <w:rPr>
            <w:webHidden/>
          </w:rPr>
          <w:tab/>
        </w:r>
        <w:r w:rsidR="00777077">
          <w:rPr>
            <w:webHidden/>
          </w:rPr>
          <w:fldChar w:fldCharType="begin"/>
        </w:r>
        <w:r w:rsidR="00777077">
          <w:rPr>
            <w:webHidden/>
          </w:rPr>
          <w:instrText xml:space="preserve"> PAGEREF _Toc35524079 \h </w:instrText>
        </w:r>
        <w:r w:rsidR="00777077">
          <w:rPr>
            <w:webHidden/>
          </w:rPr>
        </w:r>
        <w:r w:rsidR="00777077">
          <w:rPr>
            <w:webHidden/>
          </w:rPr>
          <w:fldChar w:fldCharType="separate"/>
        </w:r>
        <w:r w:rsidR="003053D1">
          <w:rPr>
            <w:webHidden/>
          </w:rPr>
          <w:t>106</w:t>
        </w:r>
        <w:r w:rsidR="00777077">
          <w:rPr>
            <w:webHidden/>
          </w:rPr>
          <w:fldChar w:fldCharType="end"/>
        </w:r>
      </w:hyperlink>
    </w:p>
    <w:p w14:paraId="53C1365D" w14:textId="63577B7A" w:rsidR="00777077" w:rsidRDefault="003053D1">
      <w:pPr>
        <w:pStyle w:val="TableofFigures"/>
        <w:rPr>
          <w:rFonts w:asciiTheme="minorHAnsi" w:eastAsiaTheme="minorEastAsia" w:hAnsiTheme="minorHAnsi" w:cstheme="minorBidi"/>
          <w:bCs w:val="0"/>
          <w:sz w:val="22"/>
          <w:lang w:eastAsia="en-AU"/>
        </w:rPr>
      </w:pPr>
      <w:hyperlink w:anchor="_Toc35524080" w:history="1">
        <w:r w:rsidR="00777077" w:rsidRPr="00CF0663">
          <w:rPr>
            <w:rStyle w:val="Hyperlink"/>
          </w:rPr>
          <w:t>Figure A 2 Johnstone Russell-Mulgrave sub-region benthic community composition</w:t>
        </w:r>
        <w:r w:rsidR="00777077">
          <w:rPr>
            <w:webHidden/>
          </w:rPr>
          <w:tab/>
        </w:r>
        <w:r w:rsidR="00777077">
          <w:rPr>
            <w:webHidden/>
          </w:rPr>
          <w:fldChar w:fldCharType="begin"/>
        </w:r>
        <w:r w:rsidR="00777077">
          <w:rPr>
            <w:webHidden/>
          </w:rPr>
          <w:instrText xml:space="preserve"> PAGEREF _Toc35524080 \h </w:instrText>
        </w:r>
        <w:r w:rsidR="00777077">
          <w:rPr>
            <w:webHidden/>
          </w:rPr>
        </w:r>
        <w:r w:rsidR="00777077">
          <w:rPr>
            <w:webHidden/>
          </w:rPr>
          <w:fldChar w:fldCharType="separate"/>
        </w:r>
        <w:r>
          <w:rPr>
            <w:webHidden/>
          </w:rPr>
          <w:t>107</w:t>
        </w:r>
        <w:r w:rsidR="00777077">
          <w:rPr>
            <w:webHidden/>
          </w:rPr>
          <w:fldChar w:fldCharType="end"/>
        </w:r>
      </w:hyperlink>
    </w:p>
    <w:p w14:paraId="53C1365E" w14:textId="71C9E296" w:rsidR="00777077" w:rsidRDefault="003053D1">
      <w:pPr>
        <w:pStyle w:val="TableofFigures"/>
        <w:rPr>
          <w:rFonts w:asciiTheme="minorHAnsi" w:eastAsiaTheme="minorEastAsia" w:hAnsiTheme="minorHAnsi" w:cstheme="minorBidi"/>
          <w:bCs w:val="0"/>
          <w:sz w:val="22"/>
          <w:lang w:eastAsia="en-AU"/>
        </w:rPr>
      </w:pPr>
      <w:hyperlink w:anchor="_Toc35524081" w:history="1">
        <w:r w:rsidR="00777077" w:rsidRPr="00CF0663">
          <w:rPr>
            <w:rStyle w:val="Hyperlink"/>
          </w:rPr>
          <w:t>Figure A 3 Herbert Tully sub- region benthic community composition</w:t>
        </w:r>
        <w:r w:rsidR="00777077">
          <w:rPr>
            <w:webHidden/>
          </w:rPr>
          <w:tab/>
        </w:r>
        <w:r w:rsidR="00777077">
          <w:rPr>
            <w:webHidden/>
          </w:rPr>
          <w:fldChar w:fldCharType="begin"/>
        </w:r>
        <w:r w:rsidR="00777077">
          <w:rPr>
            <w:webHidden/>
          </w:rPr>
          <w:instrText xml:space="preserve"> PAGEREF _Toc35524081 \h </w:instrText>
        </w:r>
        <w:r w:rsidR="00777077">
          <w:rPr>
            <w:webHidden/>
          </w:rPr>
        </w:r>
        <w:r w:rsidR="00777077">
          <w:rPr>
            <w:webHidden/>
          </w:rPr>
          <w:fldChar w:fldCharType="separate"/>
        </w:r>
        <w:r>
          <w:rPr>
            <w:webHidden/>
          </w:rPr>
          <w:t>110</w:t>
        </w:r>
        <w:r w:rsidR="00777077">
          <w:rPr>
            <w:webHidden/>
          </w:rPr>
          <w:fldChar w:fldCharType="end"/>
        </w:r>
      </w:hyperlink>
    </w:p>
    <w:p w14:paraId="53C1365F" w14:textId="3A303D1B" w:rsidR="00777077" w:rsidRDefault="003053D1">
      <w:pPr>
        <w:pStyle w:val="TableofFigures"/>
        <w:rPr>
          <w:rFonts w:asciiTheme="minorHAnsi" w:eastAsiaTheme="minorEastAsia" w:hAnsiTheme="minorHAnsi" w:cstheme="minorBidi"/>
          <w:bCs w:val="0"/>
          <w:sz w:val="22"/>
          <w:lang w:eastAsia="en-AU"/>
        </w:rPr>
      </w:pPr>
      <w:hyperlink w:anchor="_Toc35524082" w:history="1">
        <w:r w:rsidR="00777077" w:rsidRPr="00CF0663">
          <w:rPr>
            <w:rStyle w:val="Hyperlink"/>
          </w:rPr>
          <w:t>Figure A 4 Burdekin Region benthic community composition</w:t>
        </w:r>
        <w:r w:rsidR="00777077">
          <w:rPr>
            <w:webHidden/>
          </w:rPr>
          <w:tab/>
        </w:r>
        <w:r w:rsidR="00777077">
          <w:rPr>
            <w:webHidden/>
          </w:rPr>
          <w:fldChar w:fldCharType="begin"/>
        </w:r>
        <w:r w:rsidR="00777077">
          <w:rPr>
            <w:webHidden/>
          </w:rPr>
          <w:instrText xml:space="preserve"> PAGEREF _Toc35524082 \h </w:instrText>
        </w:r>
        <w:r w:rsidR="00777077">
          <w:rPr>
            <w:webHidden/>
          </w:rPr>
        </w:r>
        <w:r w:rsidR="00777077">
          <w:rPr>
            <w:webHidden/>
          </w:rPr>
          <w:fldChar w:fldCharType="separate"/>
        </w:r>
        <w:r>
          <w:rPr>
            <w:webHidden/>
          </w:rPr>
          <w:t>112</w:t>
        </w:r>
        <w:r w:rsidR="00777077">
          <w:rPr>
            <w:webHidden/>
          </w:rPr>
          <w:fldChar w:fldCharType="end"/>
        </w:r>
      </w:hyperlink>
    </w:p>
    <w:p w14:paraId="53C13660" w14:textId="437A591B" w:rsidR="00777077" w:rsidRDefault="003053D1">
      <w:pPr>
        <w:pStyle w:val="TableofFigures"/>
        <w:rPr>
          <w:rFonts w:asciiTheme="minorHAnsi" w:eastAsiaTheme="minorEastAsia" w:hAnsiTheme="minorHAnsi" w:cstheme="minorBidi"/>
          <w:bCs w:val="0"/>
          <w:sz w:val="22"/>
          <w:lang w:eastAsia="en-AU"/>
        </w:rPr>
      </w:pPr>
      <w:hyperlink w:anchor="_Toc35524083" w:history="1">
        <w:r w:rsidR="00777077" w:rsidRPr="00CF0663">
          <w:rPr>
            <w:rStyle w:val="Hyperlink"/>
          </w:rPr>
          <w:t>Figure A 5 Mackay-Whitsunday Region benthic community composition</w:t>
        </w:r>
        <w:r w:rsidR="00777077">
          <w:rPr>
            <w:webHidden/>
          </w:rPr>
          <w:tab/>
        </w:r>
        <w:r w:rsidR="00777077">
          <w:rPr>
            <w:webHidden/>
          </w:rPr>
          <w:fldChar w:fldCharType="begin"/>
        </w:r>
        <w:r w:rsidR="00777077">
          <w:rPr>
            <w:webHidden/>
          </w:rPr>
          <w:instrText xml:space="preserve"> PAGEREF _Toc35524083 \h </w:instrText>
        </w:r>
        <w:r w:rsidR="00777077">
          <w:rPr>
            <w:webHidden/>
          </w:rPr>
        </w:r>
        <w:r w:rsidR="00777077">
          <w:rPr>
            <w:webHidden/>
          </w:rPr>
          <w:fldChar w:fldCharType="separate"/>
        </w:r>
        <w:r>
          <w:rPr>
            <w:webHidden/>
          </w:rPr>
          <w:t>116</w:t>
        </w:r>
        <w:r w:rsidR="00777077">
          <w:rPr>
            <w:webHidden/>
          </w:rPr>
          <w:fldChar w:fldCharType="end"/>
        </w:r>
      </w:hyperlink>
    </w:p>
    <w:p w14:paraId="53C13661" w14:textId="25F23C2A" w:rsidR="00777077" w:rsidRDefault="003053D1">
      <w:pPr>
        <w:pStyle w:val="TableofFigures"/>
        <w:rPr>
          <w:rFonts w:asciiTheme="minorHAnsi" w:eastAsiaTheme="minorEastAsia" w:hAnsiTheme="minorHAnsi" w:cstheme="minorBidi"/>
          <w:bCs w:val="0"/>
          <w:sz w:val="22"/>
          <w:lang w:eastAsia="en-AU"/>
        </w:rPr>
      </w:pPr>
      <w:hyperlink w:anchor="_Toc35524084" w:history="1">
        <w:r w:rsidR="00777077" w:rsidRPr="00CF0663">
          <w:rPr>
            <w:rStyle w:val="Hyperlink"/>
          </w:rPr>
          <w:t>Figure A 6 Fitzroy Region benthic community composition</w:t>
        </w:r>
        <w:r w:rsidR="00777077">
          <w:rPr>
            <w:webHidden/>
          </w:rPr>
          <w:tab/>
        </w:r>
        <w:r w:rsidR="00777077">
          <w:rPr>
            <w:webHidden/>
          </w:rPr>
          <w:fldChar w:fldCharType="begin"/>
        </w:r>
        <w:r w:rsidR="00777077">
          <w:rPr>
            <w:webHidden/>
          </w:rPr>
          <w:instrText xml:space="preserve"> PAGEREF _Toc35524084 \h </w:instrText>
        </w:r>
        <w:r w:rsidR="00777077">
          <w:rPr>
            <w:webHidden/>
          </w:rPr>
        </w:r>
        <w:r w:rsidR="00777077">
          <w:rPr>
            <w:webHidden/>
          </w:rPr>
          <w:fldChar w:fldCharType="separate"/>
        </w:r>
        <w:r>
          <w:rPr>
            <w:webHidden/>
          </w:rPr>
          <w:t>120</w:t>
        </w:r>
        <w:r w:rsidR="00777077">
          <w:rPr>
            <w:webHidden/>
          </w:rPr>
          <w:fldChar w:fldCharType="end"/>
        </w:r>
      </w:hyperlink>
    </w:p>
    <w:p w14:paraId="53C13662" w14:textId="28B07AED" w:rsidR="00777077" w:rsidRDefault="003053D1">
      <w:pPr>
        <w:pStyle w:val="TableofFigures"/>
        <w:rPr>
          <w:rFonts w:asciiTheme="minorHAnsi" w:eastAsiaTheme="minorEastAsia" w:hAnsiTheme="minorHAnsi" w:cstheme="minorBidi"/>
          <w:bCs w:val="0"/>
          <w:sz w:val="22"/>
          <w:lang w:eastAsia="en-AU"/>
        </w:rPr>
      </w:pPr>
      <w:hyperlink w:anchor="_Toc35524085" w:history="1">
        <w:r w:rsidR="00777077" w:rsidRPr="00CF0663">
          <w:rPr>
            <w:rStyle w:val="Hyperlink"/>
          </w:rPr>
          <w:t>Figure A 7 Coral disease by year in each region</w:t>
        </w:r>
        <w:r w:rsidR="00777077">
          <w:rPr>
            <w:webHidden/>
          </w:rPr>
          <w:tab/>
        </w:r>
        <w:r w:rsidR="00777077">
          <w:rPr>
            <w:webHidden/>
          </w:rPr>
          <w:fldChar w:fldCharType="begin"/>
        </w:r>
        <w:r w:rsidR="00777077">
          <w:rPr>
            <w:webHidden/>
          </w:rPr>
          <w:instrText xml:space="preserve"> PAGEREF _Toc35524085 \h </w:instrText>
        </w:r>
        <w:r w:rsidR="00777077">
          <w:rPr>
            <w:webHidden/>
          </w:rPr>
        </w:r>
        <w:r w:rsidR="00777077">
          <w:rPr>
            <w:webHidden/>
          </w:rPr>
          <w:fldChar w:fldCharType="separate"/>
        </w:r>
        <w:r>
          <w:rPr>
            <w:webHidden/>
          </w:rPr>
          <w:t>122</w:t>
        </w:r>
        <w:r w:rsidR="00777077">
          <w:rPr>
            <w:webHidden/>
          </w:rPr>
          <w:fldChar w:fldCharType="end"/>
        </w:r>
      </w:hyperlink>
    </w:p>
    <w:p w14:paraId="53C13663" w14:textId="6B0A492D" w:rsidR="00777077" w:rsidRDefault="003053D1">
      <w:pPr>
        <w:pStyle w:val="TableofFigures"/>
        <w:rPr>
          <w:rFonts w:asciiTheme="minorHAnsi" w:eastAsiaTheme="minorEastAsia" w:hAnsiTheme="minorHAnsi" w:cstheme="minorBidi"/>
          <w:bCs w:val="0"/>
          <w:sz w:val="22"/>
          <w:lang w:eastAsia="en-AU"/>
        </w:rPr>
      </w:pPr>
      <w:hyperlink w:anchor="_Toc35524086" w:history="1">
        <w:r w:rsidR="00777077" w:rsidRPr="00CF0663">
          <w:rPr>
            <w:rStyle w:val="Hyperlink"/>
          </w:rPr>
          <w:t>Figure A 8 Crown -of-thorn-starfish mean density (P/ha) by year in each region</w:t>
        </w:r>
        <w:r w:rsidR="00777077">
          <w:rPr>
            <w:webHidden/>
          </w:rPr>
          <w:tab/>
        </w:r>
        <w:r w:rsidR="00777077">
          <w:rPr>
            <w:webHidden/>
          </w:rPr>
          <w:fldChar w:fldCharType="begin"/>
        </w:r>
        <w:r w:rsidR="00777077">
          <w:rPr>
            <w:webHidden/>
          </w:rPr>
          <w:instrText xml:space="preserve"> PAGEREF _Toc35524086 \h </w:instrText>
        </w:r>
        <w:r w:rsidR="00777077">
          <w:rPr>
            <w:webHidden/>
          </w:rPr>
        </w:r>
        <w:r w:rsidR="00777077">
          <w:rPr>
            <w:webHidden/>
          </w:rPr>
          <w:fldChar w:fldCharType="separate"/>
        </w:r>
        <w:r>
          <w:rPr>
            <w:webHidden/>
          </w:rPr>
          <w:t>123</w:t>
        </w:r>
        <w:r w:rsidR="00777077">
          <w:rPr>
            <w:webHidden/>
          </w:rPr>
          <w:fldChar w:fldCharType="end"/>
        </w:r>
      </w:hyperlink>
    </w:p>
    <w:p w14:paraId="53C13664" w14:textId="79C7E68D" w:rsidR="00777077" w:rsidRDefault="003053D1">
      <w:pPr>
        <w:pStyle w:val="TableofFigures"/>
        <w:rPr>
          <w:rFonts w:asciiTheme="minorHAnsi" w:eastAsiaTheme="minorEastAsia" w:hAnsiTheme="minorHAnsi" w:cstheme="minorBidi"/>
          <w:bCs w:val="0"/>
          <w:sz w:val="22"/>
          <w:lang w:eastAsia="en-AU"/>
        </w:rPr>
      </w:pPr>
      <w:hyperlink w:anchor="_Toc35524087" w:history="1">
        <w:r w:rsidR="00777077" w:rsidRPr="00CF0663">
          <w:rPr>
            <w:rStyle w:val="Hyperlink"/>
          </w:rPr>
          <w:t>Figure A 9 Mean density of Drupella (P/ha) by year in each (sub)-region</w:t>
        </w:r>
        <w:r w:rsidR="00777077">
          <w:rPr>
            <w:webHidden/>
          </w:rPr>
          <w:tab/>
        </w:r>
        <w:r w:rsidR="00777077">
          <w:rPr>
            <w:webHidden/>
          </w:rPr>
          <w:fldChar w:fldCharType="begin"/>
        </w:r>
        <w:r w:rsidR="00777077">
          <w:rPr>
            <w:webHidden/>
          </w:rPr>
          <w:instrText xml:space="preserve"> PAGEREF _Toc35524087 \h </w:instrText>
        </w:r>
        <w:r w:rsidR="00777077">
          <w:rPr>
            <w:webHidden/>
          </w:rPr>
        </w:r>
        <w:r w:rsidR="00777077">
          <w:rPr>
            <w:webHidden/>
          </w:rPr>
          <w:fldChar w:fldCharType="separate"/>
        </w:r>
        <w:r>
          <w:rPr>
            <w:webHidden/>
          </w:rPr>
          <w:t>124</w:t>
        </w:r>
        <w:r w:rsidR="00777077">
          <w:rPr>
            <w:webHidden/>
          </w:rPr>
          <w:fldChar w:fldCharType="end"/>
        </w:r>
      </w:hyperlink>
    </w:p>
    <w:p w14:paraId="53C13665" w14:textId="5102FEC2" w:rsidR="00777077" w:rsidRDefault="003053D1">
      <w:pPr>
        <w:pStyle w:val="TableofFigures"/>
        <w:rPr>
          <w:rFonts w:asciiTheme="minorHAnsi" w:eastAsiaTheme="minorEastAsia" w:hAnsiTheme="minorHAnsi" w:cstheme="minorBidi"/>
          <w:bCs w:val="0"/>
          <w:sz w:val="22"/>
          <w:lang w:eastAsia="en-AU"/>
        </w:rPr>
      </w:pPr>
      <w:hyperlink w:anchor="_Toc35524088" w:history="1">
        <w:r w:rsidR="00777077" w:rsidRPr="00CF0663">
          <w:rPr>
            <w:rStyle w:val="Hyperlink"/>
          </w:rPr>
          <w:t>Figure A 10 Temporal trends in water quality: Barron Daintree sub-region</w:t>
        </w:r>
        <w:r w:rsidR="00777077">
          <w:rPr>
            <w:webHidden/>
          </w:rPr>
          <w:tab/>
        </w:r>
        <w:r w:rsidR="00777077">
          <w:rPr>
            <w:webHidden/>
          </w:rPr>
          <w:fldChar w:fldCharType="begin"/>
        </w:r>
        <w:r w:rsidR="00777077">
          <w:rPr>
            <w:webHidden/>
          </w:rPr>
          <w:instrText xml:space="preserve"> PAGEREF _Toc35524088 \h </w:instrText>
        </w:r>
        <w:r w:rsidR="00777077">
          <w:rPr>
            <w:webHidden/>
          </w:rPr>
        </w:r>
        <w:r w:rsidR="00777077">
          <w:rPr>
            <w:webHidden/>
          </w:rPr>
          <w:fldChar w:fldCharType="separate"/>
        </w:r>
        <w:r>
          <w:rPr>
            <w:webHidden/>
          </w:rPr>
          <w:t>136</w:t>
        </w:r>
        <w:r w:rsidR="00777077">
          <w:rPr>
            <w:webHidden/>
          </w:rPr>
          <w:fldChar w:fldCharType="end"/>
        </w:r>
      </w:hyperlink>
    </w:p>
    <w:p w14:paraId="53C13666" w14:textId="08519B89" w:rsidR="00777077" w:rsidRDefault="003053D1">
      <w:pPr>
        <w:pStyle w:val="TableofFigures"/>
        <w:rPr>
          <w:rFonts w:asciiTheme="minorHAnsi" w:eastAsiaTheme="minorEastAsia" w:hAnsiTheme="minorHAnsi" w:cstheme="minorBidi"/>
          <w:bCs w:val="0"/>
          <w:sz w:val="22"/>
          <w:lang w:eastAsia="en-AU"/>
        </w:rPr>
      </w:pPr>
      <w:hyperlink w:anchor="_Toc35524089" w:history="1">
        <w:r w:rsidR="00777077" w:rsidRPr="00CF0663">
          <w:rPr>
            <w:rStyle w:val="Hyperlink"/>
          </w:rPr>
          <w:t>Figure A 11 Temporal trends in water quality</w:t>
        </w:r>
        <w:r w:rsidR="00777077">
          <w:rPr>
            <w:webHidden/>
          </w:rPr>
          <w:tab/>
        </w:r>
        <w:r w:rsidR="00777077">
          <w:rPr>
            <w:webHidden/>
          </w:rPr>
          <w:fldChar w:fldCharType="begin"/>
        </w:r>
        <w:r w:rsidR="00777077">
          <w:rPr>
            <w:webHidden/>
          </w:rPr>
          <w:instrText xml:space="preserve"> PAGEREF _Toc35524089 \h </w:instrText>
        </w:r>
        <w:r w:rsidR="00777077">
          <w:rPr>
            <w:webHidden/>
          </w:rPr>
        </w:r>
        <w:r w:rsidR="00777077">
          <w:rPr>
            <w:webHidden/>
          </w:rPr>
          <w:fldChar w:fldCharType="separate"/>
        </w:r>
        <w:r>
          <w:rPr>
            <w:webHidden/>
          </w:rPr>
          <w:t>137</w:t>
        </w:r>
        <w:r w:rsidR="00777077">
          <w:rPr>
            <w:webHidden/>
          </w:rPr>
          <w:fldChar w:fldCharType="end"/>
        </w:r>
      </w:hyperlink>
    </w:p>
    <w:p w14:paraId="53C13667" w14:textId="540186D0" w:rsidR="00777077" w:rsidRDefault="003053D1">
      <w:pPr>
        <w:pStyle w:val="TableofFigures"/>
        <w:rPr>
          <w:rFonts w:asciiTheme="minorHAnsi" w:eastAsiaTheme="minorEastAsia" w:hAnsiTheme="minorHAnsi" w:cstheme="minorBidi"/>
          <w:bCs w:val="0"/>
          <w:sz w:val="22"/>
          <w:lang w:eastAsia="en-AU"/>
        </w:rPr>
      </w:pPr>
      <w:hyperlink w:anchor="_Toc35524090" w:history="1">
        <w:r w:rsidR="00777077" w:rsidRPr="00CF0663">
          <w:rPr>
            <w:rStyle w:val="Hyperlink"/>
          </w:rPr>
          <w:t>Figure A 12 Temporal trends in water quality: Herbert Tully sub-region</w:t>
        </w:r>
        <w:r w:rsidR="00777077">
          <w:rPr>
            <w:webHidden/>
          </w:rPr>
          <w:tab/>
        </w:r>
        <w:r w:rsidR="00777077">
          <w:rPr>
            <w:webHidden/>
          </w:rPr>
          <w:fldChar w:fldCharType="begin"/>
        </w:r>
        <w:r w:rsidR="00777077">
          <w:rPr>
            <w:webHidden/>
          </w:rPr>
          <w:instrText xml:space="preserve"> PAGEREF _Toc35524090 \h </w:instrText>
        </w:r>
        <w:r w:rsidR="00777077">
          <w:rPr>
            <w:webHidden/>
          </w:rPr>
        </w:r>
        <w:r w:rsidR="00777077">
          <w:rPr>
            <w:webHidden/>
          </w:rPr>
          <w:fldChar w:fldCharType="separate"/>
        </w:r>
        <w:r>
          <w:rPr>
            <w:webHidden/>
          </w:rPr>
          <w:t>138</w:t>
        </w:r>
        <w:r w:rsidR="00777077">
          <w:rPr>
            <w:webHidden/>
          </w:rPr>
          <w:fldChar w:fldCharType="end"/>
        </w:r>
      </w:hyperlink>
    </w:p>
    <w:p w14:paraId="53C13668" w14:textId="13963578" w:rsidR="00777077" w:rsidRDefault="003053D1">
      <w:pPr>
        <w:pStyle w:val="TableofFigures"/>
        <w:rPr>
          <w:rFonts w:asciiTheme="minorHAnsi" w:eastAsiaTheme="minorEastAsia" w:hAnsiTheme="minorHAnsi" w:cstheme="minorBidi"/>
          <w:bCs w:val="0"/>
          <w:sz w:val="22"/>
          <w:lang w:eastAsia="en-AU"/>
        </w:rPr>
      </w:pPr>
      <w:hyperlink w:anchor="_Toc35524091" w:history="1">
        <w:r w:rsidR="00777077" w:rsidRPr="00CF0663">
          <w:rPr>
            <w:rStyle w:val="Hyperlink"/>
          </w:rPr>
          <w:t>Figure A 13 Temporal trends in water quality: Burdekin region</w:t>
        </w:r>
        <w:r w:rsidR="00777077">
          <w:rPr>
            <w:webHidden/>
          </w:rPr>
          <w:tab/>
        </w:r>
        <w:r w:rsidR="00777077">
          <w:rPr>
            <w:webHidden/>
          </w:rPr>
          <w:fldChar w:fldCharType="begin"/>
        </w:r>
        <w:r w:rsidR="00777077">
          <w:rPr>
            <w:webHidden/>
          </w:rPr>
          <w:instrText xml:space="preserve"> PAGEREF _Toc35524091 \h </w:instrText>
        </w:r>
        <w:r w:rsidR="00777077">
          <w:rPr>
            <w:webHidden/>
          </w:rPr>
        </w:r>
        <w:r w:rsidR="00777077">
          <w:rPr>
            <w:webHidden/>
          </w:rPr>
          <w:fldChar w:fldCharType="separate"/>
        </w:r>
        <w:r>
          <w:rPr>
            <w:webHidden/>
          </w:rPr>
          <w:t>139</w:t>
        </w:r>
        <w:r w:rsidR="00777077">
          <w:rPr>
            <w:webHidden/>
          </w:rPr>
          <w:fldChar w:fldCharType="end"/>
        </w:r>
      </w:hyperlink>
    </w:p>
    <w:p w14:paraId="53C13669" w14:textId="573C51CF" w:rsidR="00777077" w:rsidRDefault="003053D1">
      <w:pPr>
        <w:pStyle w:val="TableofFigures"/>
        <w:rPr>
          <w:rFonts w:asciiTheme="minorHAnsi" w:eastAsiaTheme="minorEastAsia" w:hAnsiTheme="minorHAnsi" w:cstheme="minorBidi"/>
          <w:bCs w:val="0"/>
          <w:sz w:val="22"/>
          <w:lang w:eastAsia="en-AU"/>
        </w:rPr>
      </w:pPr>
      <w:hyperlink w:anchor="_Toc35524092" w:history="1">
        <w:r w:rsidR="00777077" w:rsidRPr="00CF0663">
          <w:rPr>
            <w:rStyle w:val="Hyperlink"/>
          </w:rPr>
          <w:t>Figure A 14 Temporal trends in water quality</w:t>
        </w:r>
        <w:r w:rsidR="00777077">
          <w:rPr>
            <w:webHidden/>
          </w:rPr>
          <w:tab/>
        </w:r>
        <w:r w:rsidR="00777077">
          <w:rPr>
            <w:webHidden/>
          </w:rPr>
          <w:fldChar w:fldCharType="begin"/>
        </w:r>
        <w:r w:rsidR="00777077">
          <w:rPr>
            <w:webHidden/>
          </w:rPr>
          <w:instrText xml:space="preserve"> PAGEREF _Toc35524092 \h </w:instrText>
        </w:r>
        <w:r w:rsidR="00777077">
          <w:rPr>
            <w:webHidden/>
          </w:rPr>
        </w:r>
        <w:r w:rsidR="00777077">
          <w:rPr>
            <w:webHidden/>
          </w:rPr>
          <w:fldChar w:fldCharType="separate"/>
        </w:r>
        <w:r>
          <w:rPr>
            <w:webHidden/>
          </w:rPr>
          <w:t>140</w:t>
        </w:r>
        <w:r w:rsidR="00777077">
          <w:rPr>
            <w:webHidden/>
          </w:rPr>
          <w:fldChar w:fldCharType="end"/>
        </w:r>
      </w:hyperlink>
    </w:p>
    <w:p w14:paraId="53C1366A" w14:textId="74A251E2" w:rsidR="00777077" w:rsidRDefault="003053D1">
      <w:pPr>
        <w:pStyle w:val="TableofFigures"/>
        <w:rPr>
          <w:rFonts w:asciiTheme="minorHAnsi" w:eastAsiaTheme="minorEastAsia" w:hAnsiTheme="minorHAnsi" w:cstheme="minorBidi"/>
          <w:bCs w:val="0"/>
          <w:sz w:val="22"/>
          <w:lang w:eastAsia="en-AU"/>
        </w:rPr>
      </w:pPr>
      <w:hyperlink w:anchor="_Toc35524093" w:history="1">
        <w:r w:rsidR="00777077" w:rsidRPr="00CF0663">
          <w:rPr>
            <w:rStyle w:val="Hyperlink"/>
          </w:rPr>
          <w:t>Figure A 15 Temporal trends in water quality: Fitzroy region</w:t>
        </w:r>
        <w:r w:rsidR="00777077">
          <w:rPr>
            <w:webHidden/>
          </w:rPr>
          <w:tab/>
        </w:r>
        <w:r w:rsidR="00777077">
          <w:rPr>
            <w:webHidden/>
          </w:rPr>
          <w:fldChar w:fldCharType="begin"/>
        </w:r>
        <w:r w:rsidR="00777077">
          <w:rPr>
            <w:webHidden/>
          </w:rPr>
          <w:instrText xml:space="preserve"> PAGEREF _Toc35524093 \h </w:instrText>
        </w:r>
        <w:r w:rsidR="00777077">
          <w:rPr>
            <w:webHidden/>
          </w:rPr>
        </w:r>
        <w:r w:rsidR="00777077">
          <w:rPr>
            <w:webHidden/>
          </w:rPr>
          <w:fldChar w:fldCharType="separate"/>
        </w:r>
        <w:r>
          <w:rPr>
            <w:webHidden/>
          </w:rPr>
          <w:t>141</w:t>
        </w:r>
        <w:r w:rsidR="00777077">
          <w:rPr>
            <w:webHidden/>
          </w:rPr>
          <w:fldChar w:fldCharType="end"/>
        </w:r>
      </w:hyperlink>
    </w:p>
    <w:p w14:paraId="53C1366B" w14:textId="77777777" w:rsidR="00CD4137" w:rsidRPr="00CE4E0F" w:rsidRDefault="00CD4137" w:rsidP="00CD4137">
      <w:pPr>
        <w:pStyle w:val="TableofFigures"/>
        <w:rPr>
          <w:color w:val="548DD4" w:themeColor="text2" w:themeTint="99"/>
        </w:rPr>
      </w:pPr>
      <w:r w:rsidRPr="00CE4E0F">
        <w:rPr>
          <w:color w:val="548DD4" w:themeColor="text2" w:themeTint="99"/>
        </w:rPr>
        <w:fldChar w:fldCharType="end"/>
      </w:r>
    </w:p>
    <w:p w14:paraId="53C1366C" w14:textId="498DF2DB" w:rsidR="00877FA4" w:rsidRDefault="00CD4137">
      <w:pPr>
        <w:pStyle w:val="TableofFigures"/>
        <w:rPr>
          <w:rFonts w:asciiTheme="minorHAnsi" w:eastAsiaTheme="minorEastAsia" w:hAnsiTheme="minorHAnsi" w:cstheme="minorBidi"/>
          <w:bCs w:val="0"/>
          <w:sz w:val="22"/>
          <w:lang w:eastAsia="en-AU"/>
        </w:rPr>
      </w:pPr>
      <w:r w:rsidRPr="00CE4E0F">
        <w:rPr>
          <w:color w:val="548DD4" w:themeColor="text2" w:themeTint="99"/>
        </w:rPr>
        <w:fldChar w:fldCharType="begin"/>
      </w:r>
      <w:r w:rsidRPr="00CE4E0F">
        <w:rPr>
          <w:color w:val="548DD4" w:themeColor="text2" w:themeTint="99"/>
        </w:rPr>
        <w:instrText xml:space="preserve"> TOC \h \z \c "Table A" </w:instrText>
      </w:r>
      <w:r w:rsidRPr="00CE4E0F">
        <w:rPr>
          <w:color w:val="548DD4" w:themeColor="text2" w:themeTint="99"/>
        </w:rPr>
        <w:fldChar w:fldCharType="separate"/>
      </w:r>
      <w:hyperlink w:anchor="_Toc35519349" w:history="1">
        <w:r w:rsidR="00877FA4" w:rsidRPr="00046400">
          <w:rPr>
            <w:rStyle w:val="Hyperlink"/>
          </w:rPr>
          <w:t>Table A 1 Source of river discharge data used for daily discharge estimates</w:t>
        </w:r>
        <w:r w:rsidR="00877FA4">
          <w:rPr>
            <w:webHidden/>
          </w:rPr>
          <w:tab/>
        </w:r>
        <w:r w:rsidR="00877FA4">
          <w:rPr>
            <w:webHidden/>
          </w:rPr>
          <w:fldChar w:fldCharType="begin"/>
        </w:r>
        <w:r w:rsidR="00877FA4">
          <w:rPr>
            <w:webHidden/>
          </w:rPr>
          <w:instrText xml:space="preserve"> PAGEREF _Toc35519349 \h </w:instrText>
        </w:r>
        <w:r w:rsidR="00877FA4">
          <w:rPr>
            <w:webHidden/>
          </w:rPr>
        </w:r>
        <w:r w:rsidR="00877FA4">
          <w:rPr>
            <w:webHidden/>
          </w:rPr>
          <w:fldChar w:fldCharType="separate"/>
        </w:r>
        <w:r w:rsidR="003053D1">
          <w:rPr>
            <w:webHidden/>
          </w:rPr>
          <w:t>94</w:t>
        </w:r>
        <w:r w:rsidR="00877FA4">
          <w:rPr>
            <w:webHidden/>
          </w:rPr>
          <w:fldChar w:fldCharType="end"/>
        </w:r>
      </w:hyperlink>
    </w:p>
    <w:p w14:paraId="53C1366D" w14:textId="5E3A8451" w:rsidR="00877FA4" w:rsidRDefault="003053D1">
      <w:pPr>
        <w:pStyle w:val="TableofFigures"/>
        <w:rPr>
          <w:rFonts w:asciiTheme="minorHAnsi" w:eastAsiaTheme="minorEastAsia" w:hAnsiTheme="minorHAnsi" w:cstheme="minorBidi"/>
          <w:bCs w:val="0"/>
          <w:sz w:val="22"/>
          <w:lang w:eastAsia="en-AU"/>
        </w:rPr>
      </w:pPr>
      <w:hyperlink w:anchor="_Toc35519350" w:history="1">
        <w:r w:rsidR="00877FA4" w:rsidRPr="00046400">
          <w:rPr>
            <w:rStyle w:val="Hyperlink"/>
          </w:rPr>
          <w:t>Table A 2 Source of river loads time series used for analysis</w:t>
        </w:r>
        <w:r w:rsidR="00877FA4">
          <w:rPr>
            <w:webHidden/>
          </w:rPr>
          <w:tab/>
        </w:r>
        <w:r w:rsidR="00877FA4">
          <w:rPr>
            <w:webHidden/>
          </w:rPr>
          <w:fldChar w:fldCharType="begin"/>
        </w:r>
        <w:r w:rsidR="00877FA4">
          <w:rPr>
            <w:webHidden/>
          </w:rPr>
          <w:instrText xml:space="preserve"> PAGEREF _Toc35519350 \h </w:instrText>
        </w:r>
        <w:r w:rsidR="00877FA4">
          <w:rPr>
            <w:webHidden/>
          </w:rPr>
        </w:r>
        <w:r w:rsidR="00877FA4">
          <w:rPr>
            <w:webHidden/>
          </w:rPr>
          <w:fldChar w:fldCharType="separate"/>
        </w:r>
        <w:r>
          <w:rPr>
            <w:webHidden/>
          </w:rPr>
          <w:t>94</w:t>
        </w:r>
        <w:r w:rsidR="00877FA4">
          <w:rPr>
            <w:webHidden/>
          </w:rPr>
          <w:fldChar w:fldCharType="end"/>
        </w:r>
      </w:hyperlink>
    </w:p>
    <w:p w14:paraId="53C1366E" w14:textId="57408B4B" w:rsidR="00877FA4" w:rsidRDefault="003053D1">
      <w:pPr>
        <w:pStyle w:val="TableofFigures"/>
        <w:rPr>
          <w:rFonts w:asciiTheme="minorHAnsi" w:eastAsiaTheme="minorEastAsia" w:hAnsiTheme="minorHAnsi" w:cstheme="minorBidi"/>
          <w:bCs w:val="0"/>
          <w:sz w:val="22"/>
          <w:lang w:eastAsia="en-AU"/>
        </w:rPr>
      </w:pPr>
      <w:hyperlink w:anchor="_Toc35519351" w:history="1">
        <w:r w:rsidR="00877FA4" w:rsidRPr="00046400">
          <w:rPr>
            <w:rStyle w:val="Hyperlink"/>
          </w:rPr>
          <w:t>Table A 3 Temperature loggers used</w:t>
        </w:r>
        <w:r w:rsidR="00877FA4">
          <w:rPr>
            <w:webHidden/>
          </w:rPr>
          <w:tab/>
        </w:r>
        <w:r w:rsidR="00877FA4">
          <w:rPr>
            <w:webHidden/>
          </w:rPr>
          <w:fldChar w:fldCharType="begin"/>
        </w:r>
        <w:r w:rsidR="00877FA4">
          <w:rPr>
            <w:webHidden/>
          </w:rPr>
          <w:instrText xml:space="preserve"> PAGEREF _Toc35519351 \h </w:instrText>
        </w:r>
        <w:r w:rsidR="00877FA4">
          <w:rPr>
            <w:webHidden/>
          </w:rPr>
        </w:r>
        <w:r w:rsidR="00877FA4">
          <w:rPr>
            <w:webHidden/>
          </w:rPr>
          <w:fldChar w:fldCharType="separate"/>
        </w:r>
        <w:r>
          <w:rPr>
            <w:webHidden/>
          </w:rPr>
          <w:t>94</w:t>
        </w:r>
        <w:r w:rsidR="00877FA4">
          <w:rPr>
            <w:webHidden/>
          </w:rPr>
          <w:fldChar w:fldCharType="end"/>
        </w:r>
      </w:hyperlink>
    </w:p>
    <w:p w14:paraId="53C1366F" w14:textId="63A07A80" w:rsidR="00877FA4" w:rsidRDefault="003053D1">
      <w:pPr>
        <w:pStyle w:val="TableofFigures"/>
        <w:rPr>
          <w:rFonts w:asciiTheme="minorHAnsi" w:eastAsiaTheme="minorEastAsia" w:hAnsiTheme="minorHAnsi" w:cstheme="minorBidi"/>
          <w:bCs w:val="0"/>
          <w:sz w:val="22"/>
          <w:lang w:eastAsia="en-AU"/>
        </w:rPr>
      </w:pPr>
      <w:hyperlink w:anchor="_Toc35519352" w:history="1">
        <w:r w:rsidR="00877FA4" w:rsidRPr="00046400">
          <w:rPr>
            <w:rStyle w:val="Hyperlink"/>
          </w:rPr>
          <w:t>Table A 4 Thresholds for proportion of macroalgae in the algae communities.</w:t>
        </w:r>
        <w:r w:rsidR="00877FA4">
          <w:rPr>
            <w:webHidden/>
          </w:rPr>
          <w:tab/>
        </w:r>
        <w:r w:rsidR="00877FA4">
          <w:rPr>
            <w:webHidden/>
          </w:rPr>
          <w:fldChar w:fldCharType="begin"/>
        </w:r>
        <w:r w:rsidR="00877FA4">
          <w:rPr>
            <w:webHidden/>
          </w:rPr>
          <w:instrText xml:space="preserve"> PAGEREF _Toc35519352 \h </w:instrText>
        </w:r>
        <w:r w:rsidR="00877FA4">
          <w:rPr>
            <w:webHidden/>
          </w:rPr>
        </w:r>
        <w:r w:rsidR="00877FA4">
          <w:rPr>
            <w:webHidden/>
          </w:rPr>
          <w:fldChar w:fldCharType="separate"/>
        </w:r>
        <w:r>
          <w:rPr>
            <w:webHidden/>
          </w:rPr>
          <w:t>95</w:t>
        </w:r>
        <w:r w:rsidR="00877FA4">
          <w:rPr>
            <w:webHidden/>
          </w:rPr>
          <w:fldChar w:fldCharType="end"/>
        </w:r>
      </w:hyperlink>
    </w:p>
    <w:p w14:paraId="53C13670" w14:textId="701E2BDA" w:rsidR="00877FA4" w:rsidRDefault="003053D1">
      <w:pPr>
        <w:pStyle w:val="TableofFigures"/>
        <w:rPr>
          <w:rFonts w:asciiTheme="minorHAnsi" w:eastAsiaTheme="minorEastAsia" w:hAnsiTheme="minorHAnsi" w:cstheme="minorBidi"/>
          <w:bCs w:val="0"/>
          <w:sz w:val="22"/>
          <w:lang w:eastAsia="en-AU"/>
        </w:rPr>
      </w:pPr>
      <w:hyperlink w:anchor="_Toc35519353" w:history="1">
        <w:r w:rsidR="00877FA4" w:rsidRPr="00046400">
          <w:rPr>
            <w:rStyle w:val="Hyperlink"/>
          </w:rPr>
          <w:t>Table A 5 Eigenvalues for hard coral genera along constrained water quality axis</w:t>
        </w:r>
        <w:r w:rsidR="00877FA4">
          <w:rPr>
            <w:webHidden/>
          </w:rPr>
          <w:tab/>
        </w:r>
        <w:r w:rsidR="00877FA4">
          <w:rPr>
            <w:webHidden/>
          </w:rPr>
          <w:fldChar w:fldCharType="begin"/>
        </w:r>
        <w:r w:rsidR="00877FA4">
          <w:rPr>
            <w:webHidden/>
          </w:rPr>
          <w:instrText xml:space="preserve"> PAGEREF _Toc35519353 \h </w:instrText>
        </w:r>
        <w:r w:rsidR="00877FA4">
          <w:rPr>
            <w:webHidden/>
          </w:rPr>
        </w:r>
        <w:r w:rsidR="00877FA4">
          <w:rPr>
            <w:webHidden/>
          </w:rPr>
          <w:fldChar w:fldCharType="separate"/>
        </w:r>
        <w:r>
          <w:rPr>
            <w:webHidden/>
          </w:rPr>
          <w:t>96</w:t>
        </w:r>
        <w:r w:rsidR="00877FA4">
          <w:rPr>
            <w:webHidden/>
          </w:rPr>
          <w:fldChar w:fldCharType="end"/>
        </w:r>
      </w:hyperlink>
    </w:p>
    <w:p w14:paraId="53C13671" w14:textId="23676988" w:rsidR="00877FA4" w:rsidRDefault="003053D1">
      <w:pPr>
        <w:pStyle w:val="TableofFigures"/>
        <w:rPr>
          <w:rFonts w:asciiTheme="minorHAnsi" w:eastAsiaTheme="minorEastAsia" w:hAnsiTheme="minorHAnsi" w:cstheme="minorBidi"/>
          <w:bCs w:val="0"/>
          <w:sz w:val="22"/>
          <w:lang w:eastAsia="en-AU"/>
        </w:rPr>
      </w:pPr>
      <w:hyperlink w:anchor="_Toc35519354" w:history="1">
        <w:r w:rsidR="00877FA4" w:rsidRPr="00046400">
          <w:rPr>
            <w:rStyle w:val="Hyperlink"/>
          </w:rPr>
          <w:t>Table A 6 Annual freshwater discharge for the major Reef Catchments</w:t>
        </w:r>
        <w:r w:rsidR="00877FA4">
          <w:rPr>
            <w:webHidden/>
          </w:rPr>
          <w:tab/>
        </w:r>
        <w:r w:rsidR="00877FA4">
          <w:rPr>
            <w:webHidden/>
          </w:rPr>
          <w:fldChar w:fldCharType="begin"/>
        </w:r>
        <w:r w:rsidR="00877FA4">
          <w:rPr>
            <w:webHidden/>
          </w:rPr>
          <w:instrText xml:space="preserve"> PAGEREF _Toc35519354 \h </w:instrText>
        </w:r>
        <w:r w:rsidR="00877FA4">
          <w:rPr>
            <w:webHidden/>
          </w:rPr>
        </w:r>
        <w:r w:rsidR="00877FA4">
          <w:rPr>
            <w:webHidden/>
          </w:rPr>
          <w:fldChar w:fldCharType="separate"/>
        </w:r>
        <w:r>
          <w:rPr>
            <w:webHidden/>
          </w:rPr>
          <w:t>97</w:t>
        </w:r>
        <w:r w:rsidR="00877FA4">
          <w:rPr>
            <w:webHidden/>
          </w:rPr>
          <w:fldChar w:fldCharType="end"/>
        </w:r>
      </w:hyperlink>
    </w:p>
    <w:p w14:paraId="53C13672" w14:textId="5E765B84" w:rsidR="00877FA4" w:rsidRDefault="003053D1">
      <w:pPr>
        <w:pStyle w:val="TableofFigures"/>
        <w:rPr>
          <w:rFonts w:asciiTheme="minorHAnsi" w:eastAsiaTheme="minorEastAsia" w:hAnsiTheme="minorHAnsi" w:cstheme="minorBidi"/>
          <w:bCs w:val="0"/>
          <w:sz w:val="22"/>
          <w:lang w:eastAsia="en-AU"/>
        </w:rPr>
      </w:pPr>
      <w:hyperlink w:anchor="_Toc35519355" w:history="1">
        <w:r w:rsidR="00877FA4" w:rsidRPr="00046400">
          <w:rPr>
            <w:rStyle w:val="Hyperlink"/>
          </w:rPr>
          <w:t>Table A 7 Disturbance records for each reef</w:t>
        </w:r>
        <w:r w:rsidR="00877FA4">
          <w:rPr>
            <w:webHidden/>
          </w:rPr>
          <w:tab/>
        </w:r>
        <w:r w:rsidR="00877FA4">
          <w:rPr>
            <w:webHidden/>
          </w:rPr>
          <w:fldChar w:fldCharType="begin"/>
        </w:r>
        <w:r w:rsidR="00877FA4">
          <w:rPr>
            <w:webHidden/>
          </w:rPr>
          <w:instrText xml:space="preserve"> PAGEREF _Toc35519355 \h </w:instrText>
        </w:r>
        <w:r w:rsidR="00877FA4">
          <w:rPr>
            <w:webHidden/>
          </w:rPr>
        </w:r>
        <w:r w:rsidR="00877FA4">
          <w:rPr>
            <w:webHidden/>
          </w:rPr>
          <w:fldChar w:fldCharType="separate"/>
        </w:r>
        <w:r>
          <w:rPr>
            <w:webHidden/>
          </w:rPr>
          <w:t>98</w:t>
        </w:r>
        <w:r w:rsidR="00877FA4">
          <w:rPr>
            <w:webHidden/>
          </w:rPr>
          <w:fldChar w:fldCharType="end"/>
        </w:r>
      </w:hyperlink>
    </w:p>
    <w:p w14:paraId="53C13673" w14:textId="432CDDB2" w:rsidR="00877FA4" w:rsidRDefault="003053D1">
      <w:pPr>
        <w:pStyle w:val="TableofFigures"/>
        <w:rPr>
          <w:rFonts w:asciiTheme="minorHAnsi" w:eastAsiaTheme="minorEastAsia" w:hAnsiTheme="minorHAnsi" w:cstheme="minorBidi"/>
          <w:bCs w:val="0"/>
          <w:sz w:val="22"/>
          <w:lang w:eastAsia="en-AU"/>
        </w:rPr>
      </w:pPr>
      <w:hyperlink w:anchor="_Toc35519356" w:history="1">
        <w:r w:rsidR="00877FA4" w:rsidRPr="00046400">
          <w:rPr>
            <w:rStyle w:val="Hyperlink"/>
          </w:rPr>
          <w:t>Table A 8 Reef level Coral index and indicator scores 2019</w:t>
        </w:r>
        <w:r w:rsidR="00877FA4">
          <w:rPr>
            <w:webHidden/>
          </w:rPr>
          <w:tab/>
        </w:r>
        <w:r w:rsidR="00877FA4">
          <w:rPr>
            <w:webHidden/>
          </w:rPr>
          <w:fldChar w:fldCharType="begin"/>
        </w:r>
        <w:r w:rsidR="00877FA4">
          <w:rPr>
            <w:webHidden/>
          </w:rPr>
          <w:instrText xml:space="preserve"> PAGEREF _Toc35519356 \h </w:instrText>
        </w:r>
        <w:r w:rsidR="00877FA4">
          <w:rPr>
            <w:webHidden/>
          </w:rPr>
        </w:r>
        <w:r w:rsidR="00877FA4">
          <w:rPr>
            <w:webHidden/>
          </w:rPr>
          <w:fldChar w:fldCharType="separate"/>
        </w:r>
        <w:r>
          <w:rPr>
            <w:webHidden/>
          </w:rPr>
          <w:t>103</w:t>
        </w:r>
        <w:r w:rsidR="00877FA4">
          <w:rPr>
            <w:webHidden/>
          </w:rPr>
          <w:fldChar w:fldCharType="end"/>
        </w:r>
      </w:hyperlink>
    </w:p>
    <w:p w14:paraId="53C13674" w14:textId="18C7C242" w:rsidR="00877FA4" w:rsidRDefault="003053D1">
      <w:pPr>
        <w:pStyle w:val="TableofFigures"/>
        <w:rPr>
          <w:rFonts w:asciiTheme="minorHAnsi" w:eastAsiaTheme="minorEastAsia" w:hAnsiTheme="minorHAnsi" w:cstheme="minorBidi"/>
          <w:bCs w:val="0"/>
          <w:sz w:val="22"/>
          <w:lang w:eastAsia="en-AU"/>
        </w:rPr>
      </w:pPr>
      <w:hyperlink w:anchor="_Toc35519357" w:history="1">
        <w:r w:rsidR="00877FA4" w:rsidRPr="00046400">
          <w:rPr>
            <w:rStyle w:val="Hyperlink"/>
          </w:rPr>
          <w:t>Table A 9 Environmental covariates for coral locations</w:t>
        </w:r>
        <w:r w:rsidR="00877FA4">
          <w:rPr>
            <w:webHidden/>
          </w:rPr>
          <w:tab/>
        </w:r>
        <w:r w:rsidR="00877FA4">
          <w:rPr>
            <w:webHidden/>
          </w:rPr>
          <w:fldChar w:fldCharType="begin"/>
        </w:r>
        <w:r w:rsidR="00877FA4">
          <w:rPr>
            <w:webHidden/>
          </w:rPr>
          <w:instrText xml:space="preserve"> PAGEREF _Toc35519357 \h </w:instrText>
        </w:r>
        <w:r w:rsidR="00877FA4">
          <w:rPr>
            <w:webHidden/>
          </w:rPr>
        </w:r>
        <w:r w:rsidR="00877FA4">
          <w:rPr>
            <w:webHidden/>
          </w:rPr>
          <w:fldChar w:fldCharType="separate"/>
        </w:r>
        <w:r>
          <w:rPr>
            <w:webHidden/>
          </w:rPr>
          <w:t>105</w:t>
        </w:r>
        <w:r w:rsidR="00877FA4">
          <w:rPr>
            <w:webHidden/>
          </w:rPr>
          <w:fldChar w:fldCharType="end"/>
        </w:r>
      </w:hyperlink>
    </w:p>
    <w:p w14:paraId="53C13675" w14:textId="7D8E759D" w:rsidR="00877FA4" w:rsidRDefault="003053D1">
      <w:pPr>
        <w:pStyle w:val="TableofFigures"/>
        <w:rPr>
          <w:rFonts w:asciiTheme="minorHAnsi" w:eastAsiaTheme="minorEastAsia" w:hAnsiTheme="minorHAnsi" w:cstheme="minorBidi"/>
          <w:bCs w:val="0"/>
          <w:sz w:val="22"/>
          <w:lang w:eastAsia="en-AU"/>
        </w:rPr>
      </w:pPr>
      <w:hyperlink w:anchor="_Toc35519358" w:history="1">
        <w:r w:rsidR="00877FA4" w:rsidRPr="00046400">
          <w:rPr>
            <w:rStyle w:val="Hyperlink"/>
          </w:rPr>
          <w:t>Table A 10 Percent cover of hard coral genera 2019</w:t>
        </w:r>
        <w:r w:rsidR="00877FA4">
          <w:rPr>
            <w:webHidden/>
          </w:rPr>
          <w:tab/>
        </w:r>
        <w:r w:rsidR="00877FA4">
          <w:rPr>
            <w:webHidden/>
          </w:rPr>
          <w:fldChar w:fldCharType="begin"/>
        </w:r>
        <w:r w:rsidR="00877FA4">
          <w:rPr>
            <w:webHidden/>
          </w:rPr>
          <w:instrText xml:space="preserve"> PAGEREF _Toc35519358 \h </w:instrText>
        </w:r>
        <w:r w:rsidR="00877FA4">
          <w:rPr>
            <w:webHidden/>
          </w:rPr>
        </w:r>
        <w:r w:rsidR="00877FA4">
          <w:rPr>
            <w:webHidden/>
          </w:rPr>
          <w:fldChar w:fldCharType="separate"/>
        </w:r>
        <w:r>
          <w:rPr>
            <w:webHidden/>
          </w:rPr>
          <w:t>125</w:t>
        </w:r>
        <w:r w:rsidR="00877FA4">
          <w:rPr>
            <w:webHidden/>
          </w:rPr>
          <w:fldChar w:fldCharType="end"/>
        </w:r>
      </w:hyperlink>
    </w:p>
    <w:p w14:paraId="53C13676" w14:textId="7040D6A9" w:rsidR="00877FA4" w:rsidRDefault="003053D1">
      <w:pPr>
        <w:pStyle w:val="TableofFigures"/>
        <w:rPr>
          <w:rFonts w:asciiTheme="minorHAnsi" w:eastAsiaTheme="minorEastAsia" w:hAnsiTheme="minorHAnsi" w:cstheme="minorBidi"/>
          <w:bCs w:val="0"/>
          <w:sz w:val="22"/>
          <w:lang w:eastAsia="en-AU"/>
        </w:rPr>
      </w:pPr>
      <w:hyperlink w:anchor="_Toc35519359" w:history="1">
        <w:r w:rsidR="00877FA4" w:rsidRPr="00046400">
          <w:rPr>
            <w:rStyle w:val="Hyperlink"/>
          </w:rPr>
          <w:t>Table A 11 Percent cover of soft coral families 2019.</w:t>
        </w:r>
        <w:r w:rsidR="00877FA4">
          <w:rPr>
            <w:webHidden/>
          </w:rPr>
          <w:tab/>
        </w:r>
        <w:r w:rsidR="00877FA4">
          <w:rPr>
            <w:webHidden/>
          </w:rPr>
          <w:fldChar w:fldCharType="begin"/>
        </w:r>
        <w:r w:rsidR="00877FA4">
          <w:rPr>
            <w:webHidden/>
          </w:rPr>
          <w:instrText xml:space="preserve"> PAGEREF _Toc35519359 \h </w:instrText>
        </w:r>
        <w:r w:rsidR="00877FA4">
          <w:rPr>
            <w:webHidden/>
          </w:rPr>
        </w:r>
        <w:r w:rsidR="00877FA4">
          <w:rPr>
            <w:webHidden/>
          </w:rPr>
          <w:fldChar w:fldCharType="separate"/>
        </w:r>
        <w:r>
          <w:rPr>
            <w:webHidden/>
          </w:rPr>
          <w:t>129</w:t>
        </w:r>
        <w:r w:rsidR="00877FA4">
          <w:rPr>
            <w:webHidden/>
          </w:rPr>
          <w:fldChar w:fldCharType="end"/>
        </w:r>
      </w:hyperlink>
    </w:p>
    <w:p w14:paraId="53C13677" w14:textId="542B0230" w:rsidR="00877FA4" w:rsidRDefault="003053D1">
      <w:pPr>
        <w:pStyle w:val="TableofFigures"/>
        <w:rPr>
          <w:rFonts w:asciiTheme="minorHAnsi" w:eastAsiaTheme="minorEastAsia" w:hAnsiTheme="minorHAnsi" w:cstheme="minorBidi"/>
          <w:bCs w:val="0"/>
          <w:sz w:val="22"/>
          <w:lang w:eastAsia="en-AU"/>
        </w:rPr>
      </w:pPr>
      <w:hyperlink w:anchor="_Toc35519360" w:history="1">
        <w:r w:rsidR="00877FA4" w:rsidRPr="00046400">
          <w:rPr>
            <w:rStyle w:val="Hyperlink"/>
          </w:rPr>
          <w:t>Table A 12 Percent cover of Macroalgae groups 2019</w:t>
        </w:r>
        <w:r w:rsidR="00877FA4">
          <w:rPr>
            <w:webHidden/>
          </w:rPr>
          <w:tab/>
        </w:r>
        <w:r w:rsidR="00877FA4">
          <w:rPr>
            <w:webHidden/>
          </w:rPr>
          <w:fldChar w:fldCharType="begin"/>
        </w:r>
        <w:r w:rsidR="00877FA4">
          <w:rPr>
            <w:webHidden/>
          </w:rPr>
          <w:instrText xml:space="preserve"> PAGEREF _Toc35519360 \h </w:instrText>
        </w:r>
        <w:r w:rsidR="00877FA4">
          <w:rPr>
            <w:webHidden/>
          </w:rPr>
        </w:r>
        <w:r w:rsidR="00877FA4">
          <w:rPr>
            <w:webHidden/>
          </w:rPr>
          <w:fldChar w:fldCharType="separate"/>
        </w:r>
        <w:r>
          <w:rPr>
            <w:webHidden/>
          </w:rPr>
          <w:t>132</w:t>
        </w:r>
        <w:r w:rsidR="00877FA4">
          <w:rPr>
            <w:webHidden/>
          </w:rPr>
          <w:fldChar w:fldCharType="end"/>
        </w:r>
      </w:hyperlink>
    </w:p>
    <w:p w14:paraId="53C13678" w14:textId="77777777" w:rsidR="00A84742" w:rsidRPr="00CE4E0F" w:rsidRDefault="00CD4137" w:rsidP="00CD4137">
      <w:pPr>
        <w:rPr>
          <w:color w:val="548DD4" w:themeColor="text2" w:themeTint="99"/>
        </w:rPr>
      </w:pPr>
      <w:r w:rsidRPr="00CE4E0F">
        <w:rPr>
          <w:color w:val="548DD4" w:themeColor="text2" w:themeTint="99"/>
        </w:rPr>
        <w:fldChar w:fldCharType="end"/>
      </w:r>
    </w:p>
    <w:p w14:paraId="53C13679" w14:textId="77777777" w:rsidR="00A84742" w:rsidRPr="00CE4E0F" w:rsidRDefault="00A84742" w:rsidP="00A84742">
      <w:pPr>
        <w:rPr>
          <w:color w:val="548DD4" w:themeColor="text2" w:themeTint="99"/>
        </w:rPr>
      </w:pPr>
    </w:p>
    <w:p w14:paraId="53C1367A" w14:textId="77777777" w:rsidR="00A84742" w:rsidRPr="00CE4E0F" w:rsidRDefault="00A84742" w:rsidP="00A84742">
      <w:pPr>
        <w:rPr>
          <w:color w:val="548DD4" w:themeColor="text2" w:themeTint="99"/>
        </w:rPr>
      </w:pPr>
    </w:p>
    <w:p w14:paraId="53C1367B" w14:textId="77777777" w:rsidR="00A84742" w:rsidRPr="00CE4E0F" w:rsidRDefault="00A84742" w:rsidP="00D217FF">
      <w:pPr>
        <w:pStyle w:val="Heading1"/>
        <w:numPr>
          <w:ilvl w:val="0"/>
          <w:numId w:val="0"/>
        </w:numPr>
      </w:pPr>
      <w:bookmarkStart w:id="20" w:name="_Toc35947066"/>
      <w:r w:rsidRPr="00CE4E0F">
        <w:lastRenderedPageBreak/>
        <w:t>Glossary</w:t>
      </w:r>
      <w:bookmarkEnd w:id="20"/>
      <w:r w:rsidR="00BF033E" w:rsidRPr="00CE4E0F">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Caption w:val="glossary"/>
        <w:tblDescription w:val="acronym descriptions"/>
      </w:tblPr>
      <w:tblGrid>
        <w:gridCol w:w="1980"/>
        <w:gridCol w:w="7649"/>
      </w:tblGrid>
      <w:tr w:rsidR="00CE4E0F" w:rsidRPr="00CE4E0F" w14:paraId="53C1367E" w14:textId="77777777" w:rsidTr="00F309F1">
        <w:trPr>
          <w:tblHeader/>
        </w:trPr>
        <w:tc>
          <w:tcPr>
            <w:tcW w:w="1980" w:type="dxa"/>
          </w:tcPr>
          <w:p w14:paraId="53C1367C" w14:textId="77777777" w:rsidR="00765192" w:rsidRPr="00475D13" w:rsidRDefault="00765192" w:rsidP="00A5229E">
            <w:pPr>
              <w:rPr>
                <w:rFonts w:ascii="Arial" w:hAnsi="Arial" w:cs="Arial"/>
                <w:color w:val="000000" w:themeColor="text1"/>
                <w:sz w:val="22"/>
                <w:szCs w:val="22"/>
              </w:rPr>
            </w:pPr>
            <w:r w:rsidRPr="00475D13">
              <w:rPr>
                <w:rFonts w:ascii="Arial" w:hAnsi="Arial" w:cs="Arial"/>
                <w:color w:val="000000" w:themeColor="text1"/>
                <w:sz w:val="22"/>
                <w:szCs w:val="22"/>
              </w:rPr>
              <w:t xml:space="preserve">AIMS </w:t>
            </w:r>
          </w:p>
        </w:tc>
        <w:tc>
          <w:tcPr>
            <w:tcW w:w="7649" w:type="dxa"/>
          </w:tcPr>
          <w:p w14:paraId="53C1367D" w14:textId="77777777" w:rsidR="00765192" w:rsidRPr="00475D13" w:rsidRDefault="00765192" w:rsidP="00A5229E">
            <w:pPr>
              <w:rPr>
                <w:rFonts w:ascii="Arial" w:hAnsi="Arial" w:cs="Arial"/>
                <w:color w:val="000000" w:themeColor="text1"/>
                <w:sz w:val="22"/>
                <w:szCs w:val="22"/>
              </w:rPr>
            </w:pPr>
            <w:r w:rsidRPr="00475D13">
              <w:rPr>
                <w:rFonts w:ascii="Arial" w:hAnsi="Arial" w:cs="Arial"/>
                <w:color w:val="000000" w:themeColor="text1"/>
                <w:sz w:val="22"/>
                <w:szCs w:val="22"/>
              </w:rPr>
              <w:t>Australian Institute of Marine Science</w:t>
            </w:r>
          </w:p>
        </w:tc>
      </w:tr>
      <w:tr w:rsidR="007B4339" w:rsidRPr="00CE4E0F" w14:paraId="0AA36C9C" w14:textId="77777777" w:rsidTr="00765192">
        <w:tc>
          <w:tcPr>
            <w:tcW w:w="1980" w:type="dxa"/>
          </w:tcPr>
          <w:p w14:paraId="41B0EDFD" w14:textId="0EA5050C" w:rsidR="007B4339" w:rsidRPr="00475D13" w:rsidRDefault="007B4339" w:rsidP="007B4339">
            <w:pPr>
              <w:rPr>
                <w:color w:val="000000" w:themeColor="text1"/>
              </w:rPr>
            </w:pPr>
            <w:r w:rsidRPr="00475D13">
              <w:rPr>
                <w:rFonts w:ascii="Arial" w:hAnsi="Arial" w:cs="Arial"/>
                <w:color w:val="000000" w:themeColor="text1"/>
                <w:sz w:val="22"/>
                <w:szCs w:val="22"/>
              </w:rPr>
              <w:t>Authority</w:t>
            </w:r>
          </w:p>
        </w:tc>
        <w:tc>
          <w:tcPr>
            <w:tcW w:w="7649" w:type="dxa"/>
          </w:tcPr>
          <w:p w14:paraId="3BA6D76E" w14:textId="77262D4E" w:rsidR="007B4339" w:rsidRPr="00475D13" w:rsidRDefault="007B4339" w:rsidP="007B4339">
            <w:pPr>
              <w:rPr>
                <w:color w:val="000000" w:themeColor="text1"/>
              </w:rPr>
            </w:pPr>
            <w:r w:rsidRPr="00475D13">
              <w:rPr>
                <w:rFonts w:ascii="Arial" w:hAnsi="Arial" w:cs="Arial"/>
                <w:color w:val="000000" w:themeColor="text1"/>
                <w:sz w:val="22"/>
                <w:szCs w:val="22"/>
              </w:rPr>
              <w:t>Great Barrier Reef Marine Park Authority</w:t>
            </w:r>
          </w:p>
        </w:tc>
      </w:tr>
      <w:tr w:rsidR="007B4339" w:rsidRPr="00CE4E0F" w14:paraId="53C13681" w14:textId="77777777" w:rsidTr="00765192">
        <w:tc>
          <w:tcPr>
            <w:tcW w:w="1980" w:type="dxa"/>
          </w:tcPr>
          <w:p w14:paraId="53C1367F" w14:textId="77777777" w:rsidR="007B4339" w:rsidRPr="00475D13" w:rsidRDefault="007B4339" w:rsidP="007B4339">
            <w:pPr>
              <w:rPr>
                <w:color w:val="000000" w:themeColor="text1"/>
              </w:rPr>
            </w:pPr>
            <w:r w:rsidRPr="00475D13">
              <w:rPr>
                <w:rFonts w:ascii="Arial" w:hAnsi="Arial" w:cs="Arial"/>
                <w:color w:val="000000" w:themeColor="text1"/>
                <w:sz w:val="22"/>
                <w:szCs w:val="22"/>
              </w:rPr>
              <w:t xml:space="preserve">BOM </w:t>
            </w:r>
          </w:p>
        </w:tc>
        <w:tc>
          <w:tcPr>
            <w:tcW w:w="7649" w:type="dxa"/>
          </w:tcPr>
          <w:p w14:paraId="53C13680" w14:textId="77777777" w:rsidR="007B4339" w:rsidRPr="00475D13" w:rsidRDefault="007B4339" w:rsidP="007B4339">
            <w:pPr>
              <w:rPr>
                <w:color w:val="000000" w:themeColor="text1"/>
              </w:rPr>
            </w:pPr>
            <w:r w:rsidRPr="00475D13">
              <w:rPr>
                <w:rFonts w:ascii="Arial" w:hAnsi="Arial" w:cs="Arial"/>
                <w:color w:val="000000" w:themeColor="text1"/>
                <w:sz w:val="22"/>
                <w:szCs w:val="22"/>
              </w:rPr>
              <w:t>Bureau of Meteorology</w:t>
            </w:r>
          </w:p>
        </w:tc>
      </w:tr>
      <w:tr w:rsidR="007B4339" w:rsidRPr="00CE4E0F" w14:paraId="53C13686" w14:textId="77777777" w:rsidTr="00765192">
        <w:tc>
          <w:tcPr>
            <w:tcW w:w="1980" w:type="dxa"/>
          </w:tcPr>
          <w:p w14:paraId="53C13683" w14:textId="00CA9797" w:rsidR="007B4339" w:rsidRPr="007B4339" w:rsidRDefault="007B4339" w:rsidP="007B4339">
            <w:pPr>
              <w:rPr>
                <w:rFonts w:ascii="Arial" w:hAnsi="Arial" w:cs="Arial"/>
                <w:i/>
                <w:color w:val="000000" w:themeColor="text1"/>
                <w:sz w:val="22"/>
                <w:szCs w:val="22"/>
              </w:rPr>
            </w:pPr>
            <w:r w:rsidRPr="00475D13">
              <w:rPr>
                <w:rFonts w:ascii="Arial" w:hAnsi="Arial" w:cs="Arial"/>
                <w:color w:val="000000" w:themeColor="text1"/>
                <w:sz w:val="22"/>
                <w:szCs w:val="22"/>
              </w:rPr>
              <w:t xml:space="preserve">Chl </w:t>
            </w:r>
            <w:r w:rsidRPr="00475D13">
              <w:rPr>
                <w:rFonts w:ascii="Arial" w:hAnsi="Arial" w:cs="Arial"/>
                <w:i/>
                <w:color w:val="000000" w:themeColor="text1"/>
                <w:sz w:val="22"/>
                <w:szCs w:val="22"/>
              </w:rPr>
              <w:t>a</w:t>
            </w:r>
          </w:p>
        </w:tc>
        <w:tc>
          <w:tcPr>
            <w:tcW w:w="7649" w:type="dxa"/>
          </w:tcPr>
          <w:p w14:paraId="53C13685" w14:textId="626D9324" w:rsidR="007B4339" w:rsidRPr="007B4339" w:rsidRDefault="007B4339" w:rsidP="007B4339">
            <w:pPr>
              <w:rPr>
                <w:rFonts w:ascii="Arial" w:hAnsi="Arial" w:cs="Arial"/>
                <w:i/>
                <w:color w:val="000000" w:themeColor="text1"/>
                <w:sz w:val="22"/>
                <w:szCs w:val="22"/>
              </w:rPr>
            </w:pPr>
            <w:r w:rsidRPr="00475D13">
              <w:rPr>
                <w:rFonts w:ascii="Arial" w:hAnsi="Arial" w:cs="Arial"/>
                <w:color w:val="000000" w:themeColor="text1"/>
                <w:sz w:val="22"/>
                <w:szCs w:val="22"/>
              </w:rPr>
              <w:t xml:space="preserve">Chlorophyll </w:t>
            </w:r>
            <w:r w:rsidRPr="00475D13">
              <w:rPr>
                <w:rFonts w:ascii="Arial" w:hAnsi="Arial" w:cs="Arial"/>
                <w:i/>
                <w:color w:val="000000" w:themeColor="text1"/>
                <w:sz w:val="22"/>
                <w:szCs w:val="22"/>
              </w:rPr>
              <w:t>a</w:t>
            </w:r>
          </w:p>
        </w:tc>
      </w:tr>
      <w:tr w:rsidR="007B4339" w:rsidRPr="00CE4E0F" w14:paraId="53C13689" w14:textId="77777777" w:rsidTr="00765192">
        <w:tc>
          <w:tcPr>
            <w:tcW w:w="1980" w:type="dxa"/>
          </w:tcPr>
          <w:p w14:paraId="53C13687" w14:textId="77777777" w:rsidR="007B4339" w:rsidRPr="00475D13" w:rsidRDefault="007B4339" w:rsidP="007B4339">
            <w:pPr>
              <w:rPr>
                <w:rFonts w:ascii="Arial" w:hAnsi="Arial" w:cs="Arial"/>
                <w:color w:val="000000" w:themeColor="text1"/>
                <w:sz w:val="22"/>
                <w:szCs w:val="22"/>
              </w:rPr>
            </w:pPr>
            <w:r w:rsidRPr="00475D13">
              <w:rPr>
                <w:rFonts w:ascii="Arial" w:hAnsi="Arial" w:cs="Arial"/>
                <w:color w:val="000000" w:themeColor="text1"/>
                <w:sz w:val="22"/>
                <w:szCs w:val="22"/>
              </w:rPr>
              <w:t xml:space="preserve">LTMP </w:t>
            </w:r>
          </w:p>
        </w:tc>
        <w:tc>
          <w:tcPr>
            <w:tcW w:w="7649" w:type="dxa"/>
          </w:tcPr>
          <w:p w14:paraId="53C13688" w14:textId="77777777" w:rsidR="007B4339" w:rsidRPr="00475D13" w:rsidRDefault="007B4339" w:rsidP="007B4339">
            <w:pPr>
              <w:rPr>
                <w:rFonts w:ascii="Arial" w:hAnsi="Arial" w:cs="Arial"/>
                <w:color w:val="000000" w:themeColor="text1"/>
                <w:sz w:val="22"/>
                <w:szCs w:val="22"/>
              </w:rPr>
            </w:pPr>
            <w:r w:rsidRPr="00475D13">
              <w:rPr>
                <w:rFonts w:ascii="Arial" w:hAnsi="Arial" w:cs="Arial"/>
                <w:color w:val="000000" w:themeColor="text1"/>
                <w:sz w:val="22"/>
                <w:szCs w:val="22"/>
              </w:rPr>
              <w:t>Long</w:t>
            </w:r>
            <w:r>
              <w:rPr>
                <w:rFonts w:ascii="Arial" w:hAnsi="Arial" w:cs="Arial"/>
                <w:color w:val="000000" w:themeColor="text1"/>
                <w:sz w:val="22"/>
                <w:szCs w:val="22"/>
              </w:rPr>
              <w:t>-</w:t>
            </w:r>
            <w:r w:rsidRPr="00475D13">
              <w:rPr>
                <w:rFonts w:ascii="Arial" w:hAnsi="Arial" w:cs="Arial"/>
                <w:color w:val="000000" w:themeColor="text1"/>
                <w:sz w:val="22"/>
                <w:szCs w:val="22"/>
              </w:rPr>
              <w:t>Term Monitoring Program</w:t>
            </w:r>
          </w:p>
        </w:tc>
      </w:tr>
      <w:tr w:rsidR="007B4339" w:rsidRPr="00CE4E0F" w14:paraId="53C1368C" w14:textId="77777777" w:rsidTr="00765192">
        <w:tc>
          <w:tcPr>
            <w:tcW w:w="1980" w:type="dxa"/>
          </w:tcPr>
          <w:p w14:paraId="53C1368A" w14:textId="77777777" w:rsidR="007B4339" w:rsidRPr="00475D13" w:rsidRDefault="007B4339" w:rsidP="007B4339">
            <w:pPr>
              <w:rPr>
                <w:rFonts w:ascii="Arial" w:hAnsi="Arial" w:cs="Arial"/>
                <w:color w:val="000000" w:themeColor="text1"/>
                <w:sz w:val="22"/>
                <w:szCs w:val="22"/>
              </w:rPr>
            </w:pPr>
            <w:r w:rsidRPr="00475D13">
              <w:rPr>
                <w:rFonts w:ascii="Arial" w:hAnsi="Arial" w:cs="Arial"/>
                <w:color w:val="000000" w:themeColor="text1"/>
                <w:sz w:val="22"/>
                <w:szCs w:val="22"/>
              </w:rPr>
              <w:t>MMP</w:t>
            </w:r>
          </w:p>
        </w:tc>
        <w:tc>
          <w:tcPr>
            <w:tcW w:w="7649" w:type="dxa"/>
          </w:tcPr>
          <w:p w14:paraId="53C1368B" w14:textId="77777777" w:rsidR="007B4339" w:rsidRPr="00475D13" w:rsidRDefault="007B4339" w:rsidP="007B4339">
            <w:pPr>
              <w:rPr>
                <w:rFonts w:ascii="Arial" w:hAnsi="Arial" w:cs="Arial"/>
                <w:color w:val="000000" w:themeColor="text1"/>
                <w:sz w:val="22"/>
                <w:szCs w:val="22"/>
              </w:rPr>
            </w:pPr>
            <w:r w:rsidRPr="00475D13">
              <w:rPr>
                <w:rFonts w:ascii="Arial" w:hAnsi="Arial" w:cs="Arial"/>
                <w:color w:val="000000" w:themeColor="text1"/>
                <w:sz w:val="22"/>
                <w:szCs w:val="22"/>
              </w:rPr>
              <w:t>Marine Monitoring Program</w:t>
            </w:r>
          </w:p>
        </w:tc>
      </w:tr>
      <w:tr w:rsidR="007B4339" w:rsidRPr="00CE4E0F" w14:paraId="23E3C43D" w14:textId="77777777" w:rsidTr="00765192">
        <w:tc>
          <w:tcPr>
            <w:tcW w:w="1980" w:type="dxa"/>
          </w:tcPr>
          <w:p w14:paraId="5DE55E8A" w14:textId="7582DB91" w:rsidR="007B4339" w:rsidRPr="00475D13" w:rsidRDefault="007B4339" w:rsidP="007B4339">
            <w:pPr>
              <w:rPr>
                <w:color w:val="000000" w:themeColor="text1"/>
              </w:rPr>
            </w:pPr>
            <w:r w:rsidRPr="00475D13">
              <w:rPr>
                <w:rFonts w:ascii="Arial" w:hAnsi="Arial" w:cs="Arial"/>
                <w:color w:val="000000" w:themeColor="text1"/>
                <w:sz w:val="22"/>
                <w:szCs w:val="22"/>
              </w:rPr>
              <w:t>NAP</w:t>
            </w:r>
          </w:p>
        </w:tc>
        <w:tc>
          <w:tcPr>
            <w:tcW w:w="7649" w:type="dxa"/>
          </w:tcPr>
          <w:p w14:paraId="4368BB3C" w14:textId="1FBECB1D" w:rsidR="007B4339" w:rsidRPr="00475D13" w:rsidRDefault="007B4339" w:rsidP="007B4339">
            <w:pPr>
              <w:rPr>
                <w:color w:val="000000" w:themeColor="text1"/>
              </w:rPr>
            </w:pPr>
            <w:r w:rsidRPr="00475D13">
              <w:rPr>
                <w:rFonts w:ascii="Arial" w:hAnsi="Arial" w:cs="Arial"/>
                <w:color w:val="000000" w:themeColor="text1"/>
                <w:sz w:val="22"/>
                <w:szCs w:val="22"/>
              </w:rPr>
              <w:t>Non-algal particulate</w:t>
            </w:r>
          </w:p>
        </w:tc>
      </w:tr>
      <w:tr w:rsidR="007B4339" w:rsidRPr="00CE4E0F" w14:paraId="53C1368F" w14:textId="77777777" w:rsidTr="00765192">
        <w:tc>
          <w:tcPr>
            <w:tcW w:w="1980" w:type="dxa"/>
          </w:tcPr>
          <w:p w14:paraId="53C1368D" w14:textId="77777777" w:rsidR="007B4339" w:rsidRPr="00475D13" w:rsidRDefault="007B4339" w:rsidP="007B4339">
            <w:pPr>
              <w:rPr>
                <w:rFonts w:ascii="Arial" w:hAnsi="Arial" w:cs="Arial"/>
                <w:color w:val="000000" w:themeColor="text1"/>
                <w:sz w:val="22"/>
                <w:szCs w:val="22"/>
              </w:rPr>
            </w:pPr>
            <w:r w:rsidRPr="00475D13">
              <w:rPr>
                <w:rFonts w:ascii="Arial" w:hAnsi="Arial" w:cs="Arial"/>
                <w:color w:val="000000" w:themeColor="text1"/>
                <w:sz w:val="22"/>
                <w:szCs w:val="22"/>
              </w:rPr>
              <w:t xml:space="preserve">Reef 2050 WQIP </w:t>
            </w:r>
          </w:p>
        </w:tc>
        <w:tc>
          <w:tcPr>
            <w:tcW w:w="7649" w:type="dxa"/>
          </w:tcPr>
          <w:p w14:paraId="53C1368E" w14:textId="77777777" w:rsidR="007B4339" w:rsidRPr="00475D13" w:rsidRDefault="007B4339" w:rsidP="007B4339">
            <w:pPr>
              <w:rPr>
                <w:rFonts w:ascii="Arial" w:hAnsi="Arial" w:cs="Arial"/>
                <w:color w:val="000000" w:themeColor="text1"/>
                <w:sz w:val="22"/>
                <w:szCs w:val="22"/>
              </w:rPr>
            </w:pPr>
            <w:r w:rsidRPr="00475D13">
              <w:rPr>
                <w:rFonts w:ascii="Arial" w:hAnsi="Arial" w:cs="Arial"/>
                <w:color w:val="000000" w:themeColor="text1"/>
                <w:sz w:val="22"/>
                <w:szCs w:val="22"/>
              </w:rPr>
              <w:t>Reef 2050 Water Quality Improvement Plan</w:t>
            </w:r>
          </w:p>
        </w:tc>
      </w:tr>
      <w:tr w:rsidR="007B4339" w:rsidRPr="00CE4E0F" w14:paraId="634D1380" w14:textId="77777777" w:rsidTr="00982946">
        <w:trPr>
          <w:trHeight w:val="207"/>
        </w:trPr>
        <w:tc>
          <w:tcPr>
            <w:tcW w:w="1980" w:type="dxa"/>
          </w:tcPr>
          <w:p w14:paraId="09A7379C" w14:textId="58DEA2C0" w:rsidR="007B4339" w:rsidRPr="00982946" w:rsidRDefault="007B4339" w:rsidP="007B4339">
            <w:pPr>
              <w:rPr>
                <w:rFonts w:ascii="Arial" w:hAnsi="Arial" w:cs="Arial"/>
                <w:color w:val="000000" w:themeColor="text1"/>
                <w:sz w:val="22"/>
                <w:szCs w:val="22"/>
              </w:rPr>
            </w:pPr>
            <w:r w:rsidRPr="00475D13">
              <w:rPr>
                <w:rFonts w:ascii="Arial" w:hAnsi="Arial" w:cs="Arial"/>
                <w:color w:val="000000" w:themeColor="text1"/>
                <w:sz w:val="22"/>
                <w:szCs w:val="22"/>
              </w:rPr>
              <w:t xml:space="preserve">The Reef </w:t>
            </w:r>
          </w:p>
        </w:tc>
        <w:tc>
          <w:tcPr>
            <w:tcW w:w="7649" w:type="dxa"/>
          </w:tcPr>
          <w:p w14:paraId="6F0D10DE" w14:textId="6AA0F0EB" w:rsidR="007B4339" w:rsidRPr="00475D13" w:rsidRDefault="007B4339" w:rsidP="007B4339">
            <w:pPr>
              <w:rPr>
                <w:color w:val="000000" w:themeColor="text1"/>
              </w:rPr>
            </w:pPr>
            <w:r w:rsidRPr="00475D13">
              <w:rPr>
                <w:rFonts w:ascii="Arial" w:hAnsi="Arial" w:cs="Arial"/>
                <w:color w:val="000000" w:themeColor="text1"/>
                <w:sz w:val="22"/>
                <w:szCs w:val="22"/>
              </w:rPr>
              <w:t>Great Barrier Reef</w:t>
            </w:r>
          </w:p>
        </w:tc>
      </w:tr>
    </w:tbl>
    <w:p w14:paraId="53C13695" w14:textId="77777777" w:rsidR="00A84742" w:rsidRPr="00CE4E0F" w:rsidRDefault="00A84742" w:rsidP="00A84742">
      <w:pPr>
        <w:rPr>
          <w:color w:val="548DD4" w:themeColor="text2" w:themeTint="99"/>
        </w:rPr>
      </w:pPr>
    </w:p>
    <w:p w14:paraId="53C13696" w14:textId="77777777" w:rsidR="00A84742" w:rsidRPr="00CE4E0F" w:rsidRDefault="00A84742" w:rsidP="00A84742">
      <w:pPr>
        <w:rPr>
          <w:color w:val="548DD4" w:themeColor="text2" w:themeTint="99"/>
        </w:rPr>
      </w:pPr>
    </w:p>
    <w:p w14:paraId="53C13697" w14:textId="77777777" w:rsidR="00A84742" w:rsidRPr="00CE4E0F" w:rsidRDefault="00A84742" w:rsidP="00A84742">
      <w:pPr>
        <w:rPr>
          <w:color w:val="548DD4" w:themeColor="text2" w:themeTint="99"/>
        </w:rPr>
      </w:pPr>
    </w:p>
    <w:p w14:paraId="53C13698" w14:textId="77777777" w:rsidR="00A84742" w:rsidRPr="00CE4E0F" w:rsidRDefault="00A84742" w:rsidP="00A84742">
      <w:pPr>
        <w:rPr>
          <w:color w:val="548DD4" w:themeColor="text2" w:themeTint="99"/>
        </w:rPr>
      </w:pPr>
    </w:p>
    <w:p w14:paraId="53C13699" w14:textId="77777777" w:rsidR="00A84742" w:rsidRPr="00CE4E0F" w:rsidRDefault="00A84742" w:rsidP="00A84742">
      <w:pPr>
        <w:rPr>
          <w:color w:val="548DD4" w:themeColor="text2" w:themeTint="99"/>
        </w:rPr>
        <w:sectPr w:rsidR="00A84742" w:rsidRPr="00CE4E0F" w:rsidSect="0031401F">
          <w:headerReference w:type="default" r:id="rId23"/>
          <w:footerReference w:type="default" r:id="rId24"/>
          <w:pgSz w:w="11907" w:h="16840" w:code="9"/>
          <w:pgMar w:top="1276" w:right="1134" w:bottom="1134" w:left="1134" w:header="709" w:footer="709" w:gutter="0"/>
          <w:pgNumType w:fmt="lowerRoman" w:start="1"/>
          <w:cols w:space="708"/>
          <w:docGrid w:linePitch="360"/>
        </w:sectPr>
      </w:pPr>
    </w:p>
    <w:p w14:paraId="53C1369A" w14:textId="77777777" w:rsidR="00BF033E" w:rsidRPr="00CE4E0F" w:rsidRDefault="00BF033E" w:rsidP="00D217FF">
      <w:pPr>
        <w:pStyle w:val="Heading1"/>
        <w:numPr>
          <w:ilvl w:val="0"/>
          <w:numId w:val="0"/>
        </w:numPr>
      </w:pPr>
      <w:bookmarkStart w:id="21" w:name="_Toc526246937"/>
      <w:bookmarkStart w:id="22" w:name="_Toc530654990"/>
      <w:bookmarkStart w:id="23" w:name="_Toc35947067"/>
      <w:bookmarkStart w:id="24" w:name="_Toc437424402"/>
      <w:bookmarkStart w:id="25" w:name="_Toc437424526"/>
      <w:bookmarkStart w:id="26" w:name="_Toc437432456"/>
      <w:bookmarkStart w:id="27" w:name="_Toc437432529"/>
      <w:bookmarkStart w:id="28" w:name="_Toc491847355"/>
      <w:bookmarkStart w:id="29" w:name="_Toc526246876"/>
      <w:bookmarkStart w:id="30" w:name="_Toc530654929"/>
      <w:bookmarkStart w:id="31" w:name="_Toc491847354"/>
      <w:bookmarkStart w:id="32" w:name="_Ref503361100"/>
      <w:bookmarkStart w:id="33" w:name="_Toc526246875"/>
      <w:bookmarkStart w:id="34" w:name="_Toc530654923"/>
      <w:r w:rsidRPr="00CE4E0F">
        <w:lastRenderedPageBreak/>
        <w:t>Acknowledgments</w:t>
      </w:r>
      <w:bookmarkEnd w:id="21"/>
      <w:bookmarkEnd w:id="22"/>
      <w:bookmarkEnd w:id="23"/>
    </w:p>
    <w:p w14:paraId="53C1369B" w14:textId="40B55E42" w:rsidR="006240A4" w:rsidRPr="00523DE1" w:rsidRDefault="00BF033E" w:rsidP="00523DE1">
      <w:pPr>
        <w:sectPr w:rsidR="006240A4" w:rsidRPr="00523DE1" w:rsidSect="0041533C">
          <w:footerReference w:type="default" r:id="rId25"/>
          <w:pgSz w:w="11907" w:h="16840" w:code="9"/>
          <w:pgMar w:top="1276" w:right="1134" w:bottom="1134" w:left="1134" w:header="709" w:footer="709" w:gutter="0"/>
          <w:pgNumType w:fmt="lowerRoman"/>
          <w:cols w:space="708"/>
          <w:docGrid w:linePitch="360"/>
        </w:sectPr>
      </w:pPr>
      <w:r w:rsidRPr="003841F8">
        <w:t>We acknowledge the valuable contributions to data collection, sampling integrity and reporting of John Carlton, Stephen Neale and Damian Thomson over the first few years of the monitoring program. We thank Aaron Anderson, Joe Gioffre, Charlotte Johansson, Kate Osborne, Shawn Smith, Marcus Stowar and Irena Zagorskis for valuable field assistance over the years. We also thank Ed Butler, Terry Done, Johanna Johnson, Katherine Martin</w:t>
      </w:r>
      <w:r w:rsidR="00A30DB4">
        <w:t>, Bronwyn Houlden, Carol Honchin</w:t>
      </w:r>
      <w:r w:rsidRPr="003841F8">
        <w:t xml:space="preserve"> and anonymous reviewers for their detailed reviews that improved the series of reports culminating in this current instalment.</w:t>
      </w:r>
      <w:bookmarkEnd w:id="24"/>
      <w:bookmarkEnd w:id="25"/>
      <w:bookmarkEnd w:id="26"/>
      <w:bookmarkEnd w:id="27"/>
      <w:bookmarkEnd w:id="28"/>
      <w:bookmarkEnd w:id="29"/>
      <w:bookmarkEnd w:id="30"/>
    </w:p>
    <w:p w14:paraId="53C1369C" w14:textId="77777777" w:rsidR="00A84742" w:rsidRPr="00CE4E0F" w:rsidRDefault="00A84742" w:rsidP="00D217FF">
      <w:pPr>
        <w:pStyle w:val="Heading1"/>
        <w:numPr>
          <w:ilvl w:val="0"/>
          <w:numId w:val="0"/>
        </w:numPr>
      </w:pPr>
      <w:bookmarkStart w:id="35" w:name="_Toc35947068"/>
      <w:r w:rsidRPr="007A4738">
        <w:lastRenderedPageBreak/>
        <w:t>Executive</w:t>
      </w:r>
      <w:r w:rsidRPr="00CE4E0F">
        <w:t xml:space="preserve"> Summary</w:t>
      </w:r>
      <w:bookmarkEnd w:id="10"/>
      <w:bookmarkEnd w:id="11"/>
      <w:bookmarkEnd w:id="12"/>
      <w:bookmarkEnd w:id="13"/>
      <w:bookmarkEnd w:id="14"/>
      <w:bookmarkEnd w:id="15"/>
      <w:bookmarkEnd w:id="16"/>
      <w:bookmarkEnd w:id="17"/>
      <w:bookmarkEnd w:id="18"/>
      <w:bookmarkEnd w:id="31"/>
      <w:bookmarkEnd w:id="32"/>
      <w:bookmarkEnd w:id="33"/>
      <w:bookmarkEnd w:id="34"/>
      <w:bookmarkEnd w:id="35"/>
    </w:p>
    <w:p w14:paraId="53C1369D" w14:textId="277D3271" w:rsidR="00A84742" w:rsidRPr="001B0A5A" w:rsidRDefault="00A84742" w:rsidP="00A84742">
      <w:r w:rsidRPr="001B0A5A">
        <w:rPr>
          <w:rFonts w:eastAsia="MS Mincho"/>
        </w:rPr>
        <w:t xml:space="preserve">This </w:t>
      </w:r>
      <w:r w:rsidR="00EC4F26" w:rsidRPr="001B0A5A">
        <w:rPr>
          <w:rFonts w:eastAsia="MS Mincho"/>
        </w:rPr>
        <w:t xml:space="preserve">report </w:t>
      </w:r>
      <w:r w:rsidR="3E07A8EF" w:rsidRPr="001B0A5A">
        <w:t>details</w:t>
      </w:r>
      <w:r w:rsidRPr="001B0A5A">
        <w:t xml:space="preserve"> the </w:t>
      </w:r>
      <w:r w:rsidR="6D24AE72" w:rsidRPr="001B0A5A">
        <w:t>condit</w:t>
      </w:r>
      <w:r w:rsidR="39631317" w:rsidRPr="001B0A5A">
        <w:t xml:space="preserve">ion </w:t>
      </w:r>
      <w:r w:rsidR="620C1083" w:rsidRPr="001B0A5A">
        <w:t xml:space="preserve">of </w:t>
      </w:r>
      <w:r w:rsidR="0030568C">
        <w:t xml:space="preserve">31 </w:t>
      </w:r>
      <w:r w:rsidR="004161FA">
        <w:t xml:space="preserve">inshore </w:t>
      </w:r>
      <w:r w:rsidR="55BFCEE9" w:rsidRPr="001B0A5A">
        <w:t>coral re</w:t>
      </w:r>
      <w:r w:rsidR="3E07A8EF" w:rsidRPr="001B0A5A">
        <w:t xml:space="preserve">efs monitored </w:t>
      </w:r>
      <w:r w:rsidR="00A30DB4">
        <w:t>under</w:t>
      </w:r>
      <w:r w:rsidR="3E07A8EF" w:rsidRPr="001B0A5A">
        <w:t xml:space="preserve"> </w:t>
      </w:r>
      <w:r w:rsidR="620C1083" w:rsidRPr="001B0A5A">
        <w:t xml:space="preserve">the </w:t>
      </w:r>
      <w:r w:rsidR="00A30DB4">
        <w:t xml:space="preserve">Great Barrier Reef Marine Park Authority’s </w:t>
      </w:r>
      <w:r w:rsidR="620C1083">
        <w:t>Marine Monitoring Program</w:t>
      </w:r>
      <w:r w:rsidR="0030568C">
        <w:t xml:space="preserve"> and nine </w:t>
      </w:r>
      <w:r w:rsidR="004161FA">
        <w:t xml:space="preserve">inshore </w:t>
      </w:r>
      <w:r w:rsidR="0030568C">
        <w:t>coral reefs monitor</w:t>
      </w:r>
      <w:r w:rsidR="00B766D2">
        <w:t>ed</w:t>
      </w:r>
      <w:r w:rsidR="0030568C">
        <w:t xml:space="preserve"> by the </w:t>
      </w:r>
      <w:r w:rsidR="0030568C" w:rsidRPr="00D0082A">
        <w:t>Australian Institute of Marine Science’s Long-Term Monitoring Program</w:t>
      </w:r>
      <w:r w:rsidR="620C1083">
        <w:t xml:space="preserve">. </w:t>
      </w:r>
      <w:r w:rsidR="3E07A8EF">
        <w:t xml:space="preserve">Results are presented in the </w:t>
      </w:r>
      <w:r w:rsidRPr="001B0A5A">
        <w:t>context of the pressures faced by the ecosystem</w:t>
      </w:r>
      <w:r w:rsidR="00EC4F26" w:rsidRPr="001B0A5A">
        <w:t xml:space="preserve"> </w:t>
      </w:r>
      <w:r w:rsidR="0667739C" w:rsidRPr="001B0A5A">
        <w:t>and the</w:t>
      </w:r>
      <w:r w:rsidR="62B6C0AB" w:rsidRPr="001B0A5A">
        <w:t xml:space="preserve">ir ramifications for </w:t>
      </w:r>
      <w:r w:rsidR="0667739C" w:rsidRPr="001B0A5A">
        <w:t>the long-term health of inshore coral reefs</w:t>
      </w:r>
      <w:r w:rsidR="62B6C0AB" w:rsidRPr="001B0A5A">
        <w:t>.</w:t>
      </w:r>
      <w:r w:rsidR="00EC4F26" w:rsidRPr="19F3FB73">
        <w:t xml:space="preserve"> </w:t>
      </w:r>
    </w:p>
    <w:p w14:paraId="53C1369E" w14:textId="449A8B6B" w:rsidR="00A84742" w:rsidRPr="00D0082A" w:rsidRDefault="00A84742" w:rsidP="00A84742">
      <w:r w:rsidRPr="00D0082A">
        <w:t>Environmental conditions over the 201</w:t>
      </w:r>
      <w:r w:rsidR="00D0082A" w:rsidRPr="00D0082A">
        <w:t>8</w:t>
      </w:r>
      <w:r w:rsidRPr="00D0082A">
        <w:rPr>
          <w:sz w:val="18"/>
          <w:szCs w:val="18"/>
          <w:lang w:val="en"/>
        </w:rPr>
        <w:t>–</w:t>
      </w:r>
      <w:r w:rsidRPr="00D0082A">
        <w:t>1</w:t>
      </w:r>
      <w:r w:rsidR="00D0082A" w:rsidRPr="00D0082A">
        <w:t>9</w:t>
      </w:r>
      <w:r w:rsidRPr="00D0082A">
        <w:t xml:space="preserve"> summer were relatively benign</w:t>
      </w:r>
      <w:r w:rsidR="00F100B1">
        <w:t xml:space="preserve"> for inshore coral</w:t>
      </w:r>
      <w:r w:rsidR="00BB3B93">
        <w:t>s</w:t>
      </w:r>
      <w:r w:rsidRPr="00D0082A">
        <w:t xml:space="preserve">. There were no severe disturbances associated with tropical cyclones or high seawater temperatures impacting the reefs monitored. </w:t>
      </w:r>
      <w:r w:rsidR="35F22078" w:rsidRPr="00D0082A">
        <w:t xml:space="preserve">A tropical low that developed into </w:t>
      </w:r>
      <w:r w:rsidR="00B766D2">
        <w:t>c</w:t>
      </w:r>
      <w:r w:rsidR="35F22078" w:rsidRPr="00D0082A">
        <w:t>yclone Owen is likely to have cause</w:t>
      </w:r>
      <w:r w:rsidR="00933B60">
        <w:t>d</w:t>
      </w:r>
      <w:r w:rsidR="35F22078" w:rsidRPr="00D0082A">
        <w:t xml:space="preserve"> minor damage at a single reef in the Wet Tropics.</w:t>
      </w:r>
      <w:r w:rsidR="6794F51A" w:rsidRPr="00D0082A">
        <w:t xml:space="preserve"> </w:t>
      </w:r>
      <w:r w:rsidRPr="00D0082A">
        <w:t xml:space="preserve">Flooding in the </w:t>
      </w:r>
      <w:r w:rsidR="00D0082A" w:rsidRPr="00D0082A">
        <w:t xml:space="preserve">Burdekin </w:t>
      </w:r>
      <w:r w:rsidR="24AE8E6E" w:rsidRPr="00D0082A">
        <w:t>region</w:t>
      </w:r>
      <w:r w:rsidR="00D0082A" w:rsidRPr="00D0082A">
        <w:t xml:space="preserve"> and Daintree</w:t>
      </w:r>
      <w:r w:rsidRPr="00D0082A">
        <w:t xml:space="preserve"> sub-region </w:t>
      </w:r>
      <w:r w:rsidR="71E2C46E" w:rsidRPr="00D0082A">
        <w:t>caus</w:t>
      </w:r>
      <w:r w:rsidR="4E23B89F" w:rsidRPr="00D0082A">
        <w:t xml:space="preserve">ed some mortality of </w:t>
      </w:r>
      <w:r w:rsidR="71E2C46E" w:rsidRPr="00D0082A">
        <w:t>coral</w:t>
      </w:r>
      <w:r w:rsidR="4E23B89F" w:rsidRPr="00D0082A">
        <w:t>s</w:t>
      </w:r>
      <w:r w:rsidRPr="00D0082A">
        <w:t>.</w:t>
      </w:r>
    </w:p>
    <w:p w14:paraId="53C1369F" w14:textId="1B57CB46" w:rsidR="00A84742" w:rsidRDefault="00A84742" w:rsidP="00A84742">
      <w:r w:rsidRPr="00D0082A">
        <w:t xml:space="preserve">Inshore corals </w:t>
      </w:r>
      <w:r w:rsidR="00A12081">
        <w:t xml:space="preserve">declined </w:t>
      </w:r>
      <w:r w:rsidR="000515BF">
        <w:t xml:space="preserve">to </w:t>
      </w:r>
      <w:r w:rsidR="00B766D2">
        <w:t xml:space="preserve">an overall </w:t>
      </w:r>
      <w:r w:rsidR="00601776">
        <w:t>‘</w:t>
      </w:r>
      <w:r w:rsidR="000515BF">
        <w:t>poor</w:t>
      </w:r>
      <w:r w:rsidR="00601776">
        <w:t>’</w:t>
      </w:r>
      <w:r w:rsidRPr="00D0082A">
        <w:t xml:space="preserve"> condition</w:t>
      </w:r>
      <w:r w:rsidR="0058689D">
        <w:t xml:space="preserve"> in 2019</w:t>
      </w:r>
      <w:r w:rsidR="007E2BC4">
        <w:t xml:space="preserve"> (</w:t>
      </w:r>
      <w:r w:rsidR="000A0830">
        <w:fldChar w:fldCharType="begin"/>
      </w:r>
      <w:r w:rsidR="000A0830">
        <w:instrText xml:space="preserve"> REF _Ref491090713 \h </w:instrText>
      </w:r>
      <w:r w:rsidR="000A0830">
        <w:fldChar w:fldCharType="separate"/>
      </w:r>
      <w:r w:rsidR="003053D1" w:rsidRPr="00AA24BD">
        <w:t xml:space="preserve">Figure </w:t>
      </w:r>
      <w:r w:rsidR="003053D1">
        <w:rPr>
          <w:noProof/>
        </w:rPr>
        <w:t>1</w:t>
      </w:r>
      <w:r w:rsidR="000A0830">
        <w:fldChar w:fldCharType="end"/>
      </w:r>
      <w:r w:rsidR="007E2BC4">
        <w:t>)</w:t>
      </w:r>
      <w:r w:rsidR="000A0830">
        <w:t xml:space="preserve">. </w:t>
      </w:r>
      <w:r w:rsidR="00E843F1">
        <w:t xml:space="preserve">The declining scores since 2016 primarily reflect </w:t>
      </w:r>
      <w:r w:rsidR="00873DC8">
        <w:t>the severe impact of cyclone Debbie</w:t>
      </w:r>
      <w:r w:rsidR="00742193">
        <w:t xml:space="preserve"> in the</w:t>
      </w:r>
      <w:r w:rsidRPr="00D0082A">
        <w:t xml:space="preserve"> Mackay</w:t>
      </w:r>
      <w:r w:rsidR="00EC4F26" w:rsidRPr="00D62444">
        <w:rPr>
          <w:sz w:val="18"/>
          <w:szCs w:val="18"/>
          <w:lang w:val="en"/>
        </w:rPr>
        <w:t>–</w:t>
      </w:r>
      <w:r w:rsidRPr="00D0082A">
        <w:t>Whitsunday region</w:t>
      </w:r>
      <w:r w:rsidR="00BF0696">
        <w:t xml:space="preserve">, </w:t>
      </w:r>
      <w:r w:rsidR="00B766D2">
        <w:t xml:space="preserve">while </w:t>
      </w:r>
      <w:r w:rsidR="00BF0696">
        <w:t xml:space="preserve">elsewhere </w:t>
      </w:r>
      <w:r w:rsidR="007E2BC4">
        <w:t>scores have remained stable or improved over this period.</w:t>
      </w:r>
      <w:r w:rsidRPr="00D0082A">
        <w:t xml:space="preserve"> </w:t>
      </w:r>
      <w:r w:rsidR="0059378E">
        <w:t xml:space="preserve">Over </w:t>
      </w:r>
      <w:r w:rsidR="002B4C84">
        <w:t>the longer-term</w:t>
      </w:r>
      <w:r w:rsidR="00324C75">
        <w:t>,</w:t>
      </w:r>
      <w:r w:rsidR="002B4C84">
        <w:t xml:space="preserve"> coral cover</w:t>
      </w:r>
      <w:r w:rsidR="00190502">
        <w:t xml:space="preserve"> and macroalgae </w:t>
      </w:r>
      <w:r w:rsidR="00D57BFB">
        <w:t xml:space="preserve">indicator scores </w:t>
      </w:r>
      <w:r w:rsidR="002B4C84">
        <w:t xml:space="preserve">in 2019 </w:t>
      </w:r>
      <w:r w:rsidR="00324C75">
        <w:t>w</w:t>
      </w:r>
      <w:r w:rsidR="00D57BFB">
        <w:t>ere</w:t>
      </w:r>
      <w:r w:rsidR="002B4C84">
        <w:t xml:space="preserve"> at</w:t>
      </w:r>
      <w:r w:rsidR="00324C75">
        <w:t xml:space="preserve"> t</w:t>
      </w:r>
      <w:r w:rsidR="002B4C84">
        <w:t>he lowest levels</w:t>
      </w:r>
      <w:r w:rsidR="00324C75">
        <w:t xml:space="preserve"> recorded since</w:t>
      </w:r>
      <w:r w:rsidR="00AA55D0">
        <w:t xml:space="preserve"> the beginning of the Marine Monitoring Program in 20</w:t>
      </w:r>
      <w:r w:rsidR="00D46E08">
        <w:t>05</w:t>
      </w:r>
      <w:r w:rsidR="00923948">
        <w:t xml:space="preserve"> (Figure 1)</w:t>
      </w:r>
      <w:r w:rsidR="14A60EB2" w:rsidRPr="00D0082A">
        <w:t>.</w:t>
      </w:r>
      <w:r w:rsidRPr="14A60EB2">
        <w:t xml:space="preserve"> </w:t>
      </w:r>
      <w:r w:rsidR="00D237D1">
        <w:t>C</w:t>
      </w:r>
      <w:r w:rsidR="006F0F55">
        <w:t>oral communities are naturally dynam</w:t>
      </w:r>
      <w:r w:rsidR="003A60FF">
        <w:t xml:space="preserve">ic going through periods of recovery following acute disturbances such as </w:t>
      </w:r>
      <w:r w:rsidR="00B53C4B">
        <w:t>cyclones</w:t>
      </w:r>
      <w:r w:rsidR="00EA4756">
        <w:t xml:space="preserve">. Improvement of </w:t>
      </w:r>
      <w:r w:rsidR="002C1C09">
        <w:t xml:space="preserve">coral condition scores from a low point reached in 2011 </w:t>
      </w:r>
      <w:r w:rsidR="003A5415">
        <w:t>demonstrates the ongoing ability of coral communities to recover</w:t>
      </w:r>
      <w:r w:rsidR="008F566E">
        <w:t xml:space="preserve">. However, extended periods of low scores for the cover change </w:t>
      </w:r>
      <w:r w:rsidR="004F4AD3">
        <w:t xml:space="preserve">indicator and the overall decline in coral cover suggest a potential </w:t>
      </w:r>
      <w:r w:rsidR="00CA4F36">
        <w:t>mismatch between disturbances and the rate at which coral communities are recovering.</w:t>
      </w:r>
      <w:r w:rsidR="004F4AD3">
        <w:t xml:space="preserve"> </w:t>
      </w:r>
    </w:p>
    <w:p w14:paraId="53C136A0" w14:textId="77777777" w:rsidR="00D173DA" w:rsidRPr="00D0082A" w:rsidRDefault="00D173DA" w:rsidP="00A84742"/>
    <w:p w14:paraId="53C136A1" w14:textId="77777777" w:rsidR="009E00F5" w:rsidRPr="00CE4E0F" w:rsidRDefault="0050471A" w:rsidP="009E00F5">
      <w:pPr>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left"/>
        <w:rPr>
          <w:rFonts w:ascii="Arial Narrow" w:eastAsia="SimSun" w:hAnsi="Arial Narrow"/>
          <w:color w:val="548DD4" w:themeColor="text2" w:themeTint="99"/>
          <w:sz w:val="20"/>
        </w:rPr>
      </w:pPr>
      <w:bookmarkStart w:id="36" w:name="_Ref438116746"/>
      <w:bookmarkStart w:id="37" w:name="_Toc437423847"/>
      <w:bookmarkStart w:id="38" w:name="_Toc437424026"/>
      <w:bookmarkStart w:id="39" w:name="_Toc437424289"/>
      <w:bookmarkStart w:id="40" w:name="_Toc437597624"/>
      <w:r>
        <w:rPr>
          <w:rFonts w:ascii="Arial Narrow" w:eastAsia="SimSun" w:hAnsi="Arial Narrow"/>
          <w:noProof/>
          <w:color w:val="548DD4" w:themeColor="text2" w:themeTint="99"/>
          <w:sz w:val="20"/>
          <w:lang w:eastAsia="en-AU"/>
        </w:rPr>
        <w:lastRenderedPageBreak/>
        <w:drawing>
          <wp:inline distT="0" distB="0" distL="0" distR="0" wp14:anchorId="53C15F2C" wp14:editId="01D4CED0">
            <wp:extent cx="5817394" cy="3324225"/>
            <wp:effectExtent l="0" t="0" r="0" b="0"/>
            <wp:docPr id="19" name="Picture 19" descr="shows coral condition since 2005, ranging from moderate to poor at various times, poor in this reporting year" title="trends in coral ind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Reef.worm.with.indicators.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817710" cy="3324406"/>
                    </a:xfrm>
                    <a:prstGeom prst="rect">
                      <a:avLst/>
                    </a:prstGeom>
                  </pic:spPr>
                </pic:pic>
              </a:graphicData>
            </a:graphic>
          </wp:inline>
        </w:drawing>
      </w:r>
    </w:p>
    <w:p w14:paraId="53C136A2" w14:textId="0ECE0D4B" w:rsidR="00F115AB" w:rsidRPr="0062064A" w:rsidRDefault="009E00F5" w:rsidP="002B5296">
      <w:pPr>
        <w:pStyle w:val="Caption"/>
        <w:rPr>
          <w:rStyle w:val="FigureChar"/>
          <w:rFonts w:eastAsia="SimSun"/>
          <w:vanish/>
          <w:specVanish/>
        </w:rPr>
      </w:pPr>
      <w:bookmarkStart w:id="41" w:name="_Ref491090713"/>
      <w:bookmarkStart w:id="42" w:name="_Toc35947151"/>
      <w:bookmarkStart w:id="43" w:name="_Ref501100672"/>
      <w:bookmarkStart w:id="44" w:name="_Toc530654900"/>
      <w:bookmarkStart w:id="45" w:name="_Toc534965108"/>
      <w:bookmarkEnd w:id="36"/>
      <w:r w:rsidRPr="00AA24BD">
        <w:t xml:space="preserve">Figure </w:t>
      </w:r>
      <w:r w:rsidR="005D7AC6" w:rsidRPr="00D62444">
        <w:fldChar w:fldCharType="begin"/>
      </w:r>
      <w:r w:rsidR="005D7AC6" w:rsidRPr="00AA24BD">
        <w:rPr>
          <w:noProof/>
        </w:rPr>
        <w:instrText xml:space="preserve"> SEQ Figure \* ARABIC </w:instrText>
      </w:r>
      <w:r w:rsidR="005D7AC6" w:rsidRPr="00D62444">
        <w:rPr>
          <w:noProof/>
        </w:rPr>
        <w:fldChar w:fldCharType="separate"/>
      </w:r>
      <w:r w:rsidR="003053D1">
        <w:rPr>
          <w:noProof/>
        </w:rPr>
        <w:t>1</w:t>
      </w:r>
      <w:r w:rsidR="005D7AC6" w:rsidRPr="00D62444">
        <w:fldChar w:fldCharType="end"/>
      </w:r>
      <w:bookmarkEnd w:id="41"/>
      <w:r w:rsidR="00005115">
        <w:t xml:space="preserve"> </w:t>
      </w:r>
      <w:r w:rsidR="00707FD1">
        <w:t>T</w:t>
      </w:r>
      <w:r w:rsidR="00005115">
        <w:t>rends in</w:t>
      </w:r>
      <w:r w:rsidRPr="00AA24BD">
        <w:t xml:space="preserve"> Coral index</w:t>
      </w:r>
      <w:r w:rsidR="00005115">
        <w:t xml:space="preserve"> and</w:t>
      </w:r>
      <w:r w:rsidRPr="00AA24BD">
        <w:t xml:space="preserve"> contributing indicator scores</w:t>
      </w:r>
      <w:r w:rsidR="00AF5466">
        <w:t xml:space="preserve"> for the inshore Reef</w:t>
      </w:r>
      <w:bookmarkEnd w:id="42"/>
    </w:p>
    <w:p w14:paraId="53C136A3" w14:textId="77777777" w:rsidR="009E00F5" w:rsidRDefault="009E00F5" w:rsidP="00777077">
      <w:pPr>
        <w:pStyle w:val="Caption"/>
      </w:pPr>
      <w:r w:rsidRPr="00AA24BD">
        <w:t>.</w:t>
      </w:r>
      <w:bookmarkEnd w:id="43"/>
      <w:bookmarkEnd w:id="44"/>
      <w:bookmarkEnd w:id="45"/>
      <w:r w:rsidRPr="00AA24BD">
        <w:t xml:space="preserve"> </w:t>
      </w:r>
      <w:bookmarkEnd w:id="37"/>
      <w:bookmarkEnd w:id="38"/>
      <w:bookmarkEnd w:id="39"/>
      <w:bookmarkEnd w:id="40"/>
      <w:r w:rsidR="00F115AB">
        <w:t>Coral index scores are coloured by report card categories: orange = ‘poor’, yellow=’moderate’. Error in index score derived from bootstrapped distribution of regional indicator scores weighted by the relative area of inshore coral reefs in each region.</w:t>
      </w:r>
    </w:p>
    <w:p w14:paraId="53C136A4" w14:textId="77777777" w:rsidR="00BB3B93" w:rsidRDefault="00BB3B93">
      <w:pPr>
        <w:jc w:val="left"/>
        <w:rPr>
          <w:lang w:val="en-GB"/>
        </w:rPr>
      </w:pPr>
      <w:r>
        <w:rPr>
          <w:lang w:val="en-GB"/>
        </w:rPr>
        <w:br w:type="page"/>
      </w:r>
    </w:p>
    <w:p w14:paraId="53C136A5" w14:textId="77777777" w:rsidR="00A84742" w:rsidRPr="00D0082A" w:rsidRDefault="00A84742" w:rsidP="00A84742">
      <w:r w:rsidRPr="00D0082A">
        <w:lastRenderedPageBreak/>
        <w:t>Coral condition</w:t>
      </w:r>
      <w:r w:rsidR="00212781">
        <w:t>,</w:t>
      </w:r>
      <w:r w:rsidR="004161FA">
        <w:t xml:space="preserve"> </w:t>
      </w:r>
      <w:r w:rsidR="004161FA" w:rsidRPr="00D0082A">
        <w:t>expressed as the coral index</w:t>
      </w:r>
      <w:r w:rsidR="00212781">
        <w:t>,</w:t>
      </w:r>
      <w:r w:rsidRPr="00D0082A">
        <w:t xml:space="preserve"> is a composite of five indicators</w:t>
      </w:r>
      <w:r w:rsidR="004161FA">
        <w:t xml:space="preserve"> </w:t>
      </w:r>
      <w:r w:rsidR="00212781">
        <w:t>c</w:t>
      </w:r>
      <w:r w:rsidRPr="00D0082A">
        <w:t>ombin</w:t>
      </w:r>
      <w:r w:rsidR="00212781">
        <w:t>ed for all reefs in a region</w:t>
      </w:r>
      <w:r w:rsidRPr="00D0082A">
        <w:t>. Each indicator represents different processes that contribute to coral community resilience. Indicators are in bold, followed by an explanation for their selection:</w:t>
      </w:r>
    </w:p>
    <w:p w14:paraId="53C136A6" w14:textId="1F773746" w:rsidR="00A84742" w:rsidRPr="00D0082A" w:rsidDel="00AF7DFC" w:rsidRDefault="00A84742" w:rsidP="00A84742">
      <w:pPr>
        <w:numPr>
          <w:ilvl w:val="0"/>
          <w:numId w:val="12"/>
        </w:numPr>
        <w:contextualSpacing/>
        <w:rPr>
          <w:lang w:eastAsia="en-GB"/>
        </w:rPr>
      </w:pPr>
      <w:r w:rsidRPr="006A125F" w:rsidDel="00AF7DFC">
        <w:rPr>
          <w:b/>
          <w:lang w:eastAsia="en-GB"/>
        </w:rPr>
        <w:t>coral cover</w:t>
      </w:r>
      <w:r w:rsidRPr="00D0082A" w:rsidDel="00AF7DFC">
        <w:rPr>
          <w:lang w:eastAsia="en-GB"/>
        </w:rPr>
        <w:t xml:space="preserve"> as an indicator of corals</w:t>
      </w:r>
      <w:r w:rsidR="0029758A">
        <w:rPr>
          <w:lang w:eastAsia="en-GB"/>
        </w:rPr>
        <w:t>'</w:t>
      </w:r>
      <w:r w:rsidRPr="00D0082A" w:rsidDel="00AF7DFC">
        <w:rPr>
          <w:lang w:eastAsia="en-GB"/>
        </w:rPr>
        <w:t xml:space="preserve"> ability to resist the cumulative environmental pressures to which they have been exposed</w:t>
      </w:r>
      <w:r w:rsidR="004D3DAD">
        <w:rPr>
          <w:lang w:eastAsia="en-GB"/>
        </w:rPr>
        <w:t>,</w:t>
      </w:r>
      <w:r w:rsidR="484EB6DF" w:rsidRPr="00D0082A" w:rsidDel="00AF7DFC">
        <w:rPr>
          <w:lang w:eastAsia="en-GB"/>
        </w:rPr>
        <w:t xml:space="preserve"> </w:t>
      </w:r>
      <w:r w:rsidR="1608306D" w:rsidRPr="00D0082A" w:rsidDel="00AF7DFC">
        <w:rPr>
          <w:lang w:eastAsia="en-GB"/>
        </w:rPr>
        <w:t>but</w:t>
      </w:r>
      <w:r w:rsidR="046CA635" w:rsidRPr="00D0082A">
        <w:rPr>
          <w:lang w:eastAsia="en-GB"/>
        </w:rPr>
        <w:t xml:space="preserve"> also the </w:t>
      </w:r>
      <w:r w:rsidR="16817FA8" w:rsidRPr="00D0082A" w:rsidDel="00AF7DFC">
        <w:rPr>
          <w:lang w:eastAsia="en-GB"/>
        </w:rPr>
        <w:t xml:space="preserve">relative </w:t>
      </w:r>
      <w:r w:rsidR="046CA635" w:rsidRPr="00D0082A" w:rsidDel="00AF7DFC">
        <w:rPr>
          <w:lang w:eastAsia="en-GB"/>
        </w:rPr>
        <w:t>size of the</w:t>
      </w:r>
      <w:r w:rsidR="046CA635" w:rsidRPr="00D0082A">
        <w:rPr>
          <w:lang w:eastAsia="en-GB"/>
        </w:rPr>
        <w:t xml:space="preserve"> </w:t>
      </w:r>
      <w:r w:rsidR="046CA635" w:rsidRPr="00D0082A" w:rsidDel="00AF7DFC">
        <w:rPr>
          <w:lang w:eastAsia="en-GB"/>
        </w:rPr>
        <w:t>population</w:t>
      </w:r>
      <w:r w:rsidR="046CA635" w:rsidRPr="00D0082A">
        <w:rPr>
          <w:lang w:eastAsia="en-GB"/>
        </w:rPr>
        <w:t xml:space="preserve"> </w:t>
      </w:r>
      <w:r w:rsidR="16817FA8" w:rsidRPr="00D0082A" w:rsidDel="00AF7DFC">
        <w:rPr>
          <w:lang w:eastAsia="en-GB"/>
        </w:rPr>
        <w:t xml:space="preserve">of corals </w:t>
      </w:r>
      <w:r w:rsidR="1608306D" w:rsidRPr="00D0082A" w:rsidDel="00AF7DFC">
        <w:rPr>
          <w:lang w:eastAsia="en-GB"/>
        </w:rPr>
        <w:t>as a source of larvae</w:t>
      </w:r>
      <w:r w:rsidR="484EB6DF" w:rsidRPr="00D0082A" w:rsidDel="1608306D">
        <w:rPr>
          <w:lang w:eastAsia="en-GB"/>
        </w:rPr>
        <w:t xml:space="preserve"> </w:t>
      </w:r>
    </w:p>
    <w:p w14:paraId="53C136A7" w14:textId="77777777" w:rsidR="00A84742" w:rsidRPr="00D0082A" w:rsidDel="00AF7DFC" w:rsidRDefault="00A84742" w:rsidP="00A84742">
      <w:pPr>
        <w:numPr>
          <w:ilvl w:val="0"/>
          <w:numId w:val="12"/>
        </w:numPr>
        <w:contextualSpacing/>
        <w:rPr>
          <w:lang w:eastAsia="en-GB"/>
        </w:rPr>
      </w:pPr>
      <w:r w:rsidRPr="00D0082A">
        <w:rPr>
          <w:b/>
          <w:lang w:eastAsia="en-GB"/>
        </w:rPr>
        <w:t xml:space="preserve">proportion of </w:t>
      </w:r>
      <w:r w:rsidRPr="00D0082A" w:rsidDel="00AF7DFC">
        <w:rPr>
          <w:b/>
          <w:lang w:eastAsia="en-GB"/>
        </w:rPr>
        <w:t>macroalgae</w:t>
      </w:r>
      <w:r w:rsidRPr="00D0082A" w:rsidDel="00AF7DFC">
        <w:rPr>
          <w:lang w:eastAsia="en-GB"/>
        </w:rPr>
        <w:t xml:space="preserve"> </w:t>
      </w:r>
      <w:r w:rsidRPr="00D0082A">
        <w:rPr>
          <w:lang w:eastAsia="en-GB"/>
        </w:rPr>
        <w:t xml:space="preserve">in algal </w:t>
      </w:r>
      <w:r w:rsidRPr="00D0082A" w:rsidDel="00AF7DFC">
        <w:rPr>
          <w:lang w:eastAsia="en-GB"/>
        </w:rPr>
        <w:t xml:space="preserve">cover as an indicator of competition </w:t>
      </w:r>
      <w:r w:rsidRPr="00D0082A">
        <w:rPr>
          <w:lang w:eastAsia="en-GB"/>
        </w:rPr>
        <w:t xml:space="preserve">with </w:t>
      </w:r>
      <w:r w:rsidRPr="00D0082A" w:rsidDel="00AF7DFC">
        <w:rPr>
          <w:lang w:eastAsia="en-GB"/>
        </w:rPr>
        <w:t xml:space="preserve">corals </w:t>
      </w:r>
    </w:p>
    <w:p w14:paraId="53C136A8" w14:textId="77777777" w:rsidR="00A84742" w:rsidRPr="00D0082A" w:rsidDel="00AF7DFC" w:rsidRDefault="00A84742" w:rsidP="00A84742">
      <w:pPr>
        <w:numPr>
          <w:ilvl w:val="0"/>
          <w:numId w:val="12"/>
        </w:numPr>
        <w:contextualSpacing/>
        <w:rPr>
          <w:lang w:eastAsia="en-GB"/>
        </w:rPr>
      </w:pPr>
      <w:r w:rsidRPr="00D0082A" w:rsidDel="00AF7DFC">
        <w:rPr>
          <w:b/>
          <w:lang w:eastAsia="en-GB"/>
        </w:rPr>
        <w:t>juvenile coral density</w:t>
      </w:r>
      <w:r w:rsidRPr="00D0082A" w:rsidDel="00AF7DFC">
        <w:rPr>
          <w:lang w:eastAsia="en-GB"/>
        </w:rPr>
        <w:t xml:space="preserve"> as an indicator of the success of early life history stages in the replenishment of coral populations</w:t>
      </w:r>
    </w:p>
    <w:p w14:paraId="53C136A9" w14:textId="77777777" w:rsidR="00A84742" w:rsidRPr="00D0082A" w:rsidDel="00AF7DFC" w:rsidRDefault="00A84742" w:rsidP="00A84742">
      <w:pPr>
        <w:numPr>
          <w:ilvl w:val="0"/>
          <w:numId w:val="12"/>
        </w:numPr>
        <w:contextualSpacing/>
        <w:rPr>
          <w:lang w:eastAsia="en-GB"/>
        </w:rPr>
      </w:pPr>
      <w:r w:rsidRPr="00D0082A" w:rsidDel="00AF7DFC">
        <w:rPr>
          <w:lang w:eastAsia="en-GB"/>
        </w:rPr>
        <w:t xml:space="preserve">rate </w:t>
      </w:r>
      <w:r w:rsidR="61C152A4" w:rsidRPr="00D0082A" w:rsidDel="00AF7DFC">
        <w:rPr>
          <w:lang w:eastAsia="en-GB"/>
        </w:rPr>
        <w:t>of</w:t>
      </w:r>
      <w:r w:rsidRPr="00D0082A" w:rsidDel="00AF7DFC">
        <w:rPr>
          <w:lang w:eastAsia="en-GB"/>
        </w:rPr>
        <w:t xml:space="preserve"> </w:t>
      </w:r>
      <w:r w:rsidRPr="00A96D20" w:rsidDel="00AF7DFC">
        <w:rPr>
          <w:b/>
          <w:lang w:eastAsia="en-GB"/>
        </w:rPr>
        <w:t xml:space="preserve">coral cover </w:t>
      </w:r>
      <w:r w:rsidRPr="00A96D20">
        <w:rPr>
          <w:b/>
          <w:lang w:eastAsia="en-GB"/>
        </w:rPr>
        <w:t>change</w:t>
      </w:r>
      <w:r w:rsidRPr="00D0082A" w:rsidDel="00AF7DFC">
        <w:rPr>
          <w:lang w:eastAsia="en-GB"/>
        </w:rPr>
        <w:t xml:space="preserve"> as an indicator of the recovery potential of cora</w:t>
      </w:r>
      <w:r w:rsidRPr="00D0082A">
        <w:rPr>
          <w:lang w:eastAsia="en-GB"/>
        </w:rPr>
        <w:t xml:space="preserve">l communities due to growth </w:t>
      </w:r>
    </w:p>
    <w:p w14:paraId="53C136AA" w14:textId="77777777" w:rsidR="00A84742" w:rsidRPr="00D0082A" w:rsidRDefault="00A84742" w:rsidP="00A84742">
      <w:pPr>
        <w:numPr>
          <w:ilvl w:val="0"/>
          <w:numId w:val="12"/>
        </w:numPr>
        <w:contextualSpacing/>
        <w:rPr>
          <w:lang w:eastAsia="en-GB"/>
        </w:rPr>
      </w:pPr>
      <w:r w:rsidRPr="00D0082A" w:rsidDel="00AF7DFC">
        <w:rPr>
          <w:b/>
          <w:lang w:eastAsia="en-GB"/>
        </w:rPr>
        <w:t>community composition</w:t>
      </w:r>
      <w:r w:rsidRPr="00D0082A" w:rsidDel="00AF7DFC">
        <w:rPr>
          <w:lang w:eastAsia="en-GB"/>
        </w:rPr>
        <w:t xml:space="preserve"> </w:t>
      </w:r>
      <w:r w:rsidRPr="00D0082A">
        <w:rPr>
          <w:lang w:eastAsia="en-GB"/>
        </w:rPr>
        <w:t>as</w:t>
      </w:r>
      <w:r w:rsidRPr="00D0082A" w:rsidDel="00AF7DFC">
        <w:rPr>
          <w:lang w:eastAsia="en-GB"/>
        </w:rPr>
        <w:t xml:space="preserve"> an indicator of selective pressures</w:t>
      </w:r>
      <w:r w:rsidRPr="00D0082A">
        <w:rPr>
          <w:lang w:eastAsia="en-GB"/>
        </w:rPr>
        <w:t xml:space="preserve"> imposed by the environmental conditions at a reef.</w:t>
      </w:r>
    </w:p>
    <w:p w14:paraId="53C136AB" w14:textId="77777777" w:rsidR="00FD6FAF" w:rsidRPr="00D0082A" w:rsidDel="00AF7DFC" w:rsidRDefault="00FD6FAF" w:rsidP="00FD6FAF">
      <w:pPr>
        <w:ind w:left="720"/>
        <w:contextualSpacing/>
        <w:rPr>
          <w:lang w:eastAsia="en-GB"/>
        </w:rPr>
      </w:pPr>
    </w:p>
    <w:p w14:paraId="53C136AC" w14:textId="495FE3C7" w:rsidR="001A092E" w:rsidRDefault="00A84742" w:rsidP="004161FA">
      <w:r w:rsidRPr="00D0082A">
        <w:t xml:space="preserve">The coral </w:t>
      </w:r>
      <w:r w:rsidR="0097607B">
        <w:t xml:space="preserve">index </w:t>
      </w:r>
      <w:r w:rsidRPr="00D0082A">
        <w:t xml:space="preserve">score </w:t>
      </w:r>
      <w:r w:rsidR="00E34942">
        <w:t xml:space="preserve">is </w:t>
      </w:r>
      <w:r w:rsidRPr="00D0082A">
        <w:t xml:space="preserve">published in the Great Barrier Reef Report Card </w:t>
      </w:r>
      <w:r w:rsidR="00E34942">
        <w:t xml:space="preserve">and contributes to </w:t>
      </w:r>
      <w:r w:rsidR="00E34942" w:rsidRPr="00D0082A">
        <w:t>the marine condition</w:t>
      </w:r>
      <w:r w:rsidR="00E34942">
        <w:t xml:space="preserve"> score</w:t>
      </w:r>
      <w:r w:rsidRPr="00D0082A">
        <w:t xml:space="preserve">. </w:t>
      </w:r>
      <w:r w:rsidR="00FB65E7">
        <w:t>Index scores base</w:t>
      </w:r>
      <w:r w:rsidR="004D3DAD">
        <w:t>d largely on Marine Monitoring P</w:t>
      </w:r>
      <w:r w:rsidR="00FB65E7">
        <w:t xml:space="preserve">rogram data, but also locally relevant data sources, are </w:t>
      </w:r>
      <w:r w:rsidR="008E67F4">
        <w:t xml:space="preserve">also published in </w:t>
      </w:r>
      <w:r w:rsidR="008E67F4" w:rsidRPr="00D0082A">
        <w:t>regional report cards</w:t>
      </w:r>
      <w:r w:rsidR="00FB65E7">
        <w:t xml:space="preserve">. Regional level coral community condition and trend within regions are </w:t>
      </w:r>
      <w:r w:rsidR="008E67F4">
        <w:t xml:space="preserve">summarised below. </w:t>
      </w:r>
    </w:p>
    <w:p w14:paraId="53C136AD" w14:textId="77777777" w:rsidR="00A84742" w:rsidRPr="00CE4E0F" w:rsidRDefault="00A84742" w:rsidP="006F1D4F">
      <w:pPr>
        <w:pStyle w:val="Heading2"/>
        <w:numPr>
          <w:ilvl w:val="0"/>
          <w:numId w:val="0"/>
        </w:numPr>
      </w:pPr>
      <w:bookmarkStart w:id="46" w:name="_Toc530555554"/>
      <w:bookmarkStart w:id="47" w:name="_Toc530638957"/>
      <w:bookmarkStart w:id="48" w:name="_Toc530654924"/>
      <w:bookmarkStart w:id="49" w:name="_Toc530657121"/>
      <w:bookmarkStart w:id="50" w:name="_Toc35947069"/>
      <w:r w:rsidRPr="00CE4E0F">
        <w:t>Wet Tropics region condition</w:t>
      </w:r>
      <w:bookmarkEnd w:id="46"/>
      <w:bookmarkEnd w:id="47"/>
      <w:bookmarkEnd w:id="48"/>
      <w:bookmarkEnd w:id="49"/>
      <w:bookmarkEnd w:id="50"/>
    </w:p>
    <w:p w14:paraId="53C136AE" w14:textId="77777777" w:rsidR="00A84742" w:rsidRPr="00003205" w:rsidRDefault="00A84742" w:rsidP="00A84742">
      <w:r w:rsidRPr="00003205">
        <w:t xml:space="preserve">Inshore coral remains in </w:t>
      </w:r>
      <w:r w:rsidR="00FE673F">
        <w:t>‘</w:t>
      </w:r>
      <w:r w:rsidRPr="00003205">
        <w:t>moderate</w:t>
      </w:r>
      <w:r w:rsidR="008E7D6A">
        <w:t>’</w:t>
      </w:r>
      <w:r w:rsidRPr="00003205">
        <w:t xml:space="preserve"> condition</w:t>
      </w:r>
      <w:r w:rsidR="00563863">
        <w:t xml:space="preserve">. The stable condition observed since 2016 </w:t>
      </w:r>
      <w:r w:rsidR="00240442">
        <w:t xml:space="preserve">masks differing trends </w:t>
      </w:r>
      <w:r w:rsidR="0087267B">
        <w:t>within sub</w:t>
      </w:r>
      <w:r w:rsidR="008E17A4">
        <w:t>-</w:t>
      </w:r>
      <w:r w:rsidR="0087267B">
        <w:t>regions.</w:t>
      </w:r>
    </w:p>
    <w:p w14:paraId="53C136AF" w14:textId="0415B95B" w:rsidR="00A84742" w:rsidRPr="007470CA" w:rsidRDefault="6E1AE64D" w:rsidP="004442C9">
      <w:pPr>
        <w:pStyle w:val="ListParagraph"/>
        <w:numPr>
          <w:ilvl w:val="0"/>
          <w:numId w:val="67"/>
        </w:numPr>
      </w:pPr>
      <w:r>
        <w:t xml:space="preserve">In the Barron Daintree sub-region, coral condition remained </w:t>
      </w:r>
      <w:r w:rsidR="003C403E">
        <w:t>‘</w:t>
      </w:r>
      <w:r>
        <w:t>moderate</w:t>
      </w:r>
      <w:r w:rsidR="003C403E">
        <w:t>’</w:t>
      </w:r>
      <w:r>
        <w:t xml:space="preserve"> with some decline. </w:t>
      </w:r>
      <w:r w:rsidR="00AA0200">
        <w:t>F</w:t>
      </w:r>
      <w:r>
        <w:t xml:space="preserve">looding of the Daintree </w:t>
      </w:r>
      <w:r w:rsidR="00AA0200">
        <w:t>River</w:t>
      </w:r>
      <w:r w:rsidR="00373928">
        <w:t xml:space="preserve">, </w:t>
      </w:r>
      <w:r w:rsidR="0043312E">
        <w:t>physical damage</w:t>
      </w:r>
      <w:r w:rsidR="00BB3B93">
        <w:t xml:space="preserve"> </w:t>
      </w:r>
      <w:r w:rsidR="00373928">
        <w:t xml:space="preserve">caused by </w:t>
      </w:r>
      <w:r w:rsidR="004D3DAD">
        <w:t>c</w:t>
      </w:r>
      <w:r w:rsidR="0043312E">
        <w:t>yclone Owen</w:t>
      </w:r>
      <w:r w:rsidR="00373928">
        <w:t xml:space="preserve"> and thermal bleaching in 2017 are </w:t>
      </w:r>
      <w:r w:rsidR="00BB3B93">
        <w:t xml:space="preserve">likely </w:t>
      </w:r>
      <w:r w:rsidR="00373928">
        <w:t>to have contributed to the observed decline.</w:t>
      </w:r>
      <w:r w:rsidR="000B0410">
        <w:t xml:space="preserve"> Very </w:t>
      </w:r>
      <w:r w:rsidR="00F521B1">
        <w:t xml:space="preserve">high cover of macroalgae </w:t>
      </w:r>
      <w:r w:rsidR="00DC063B">
        <w:t xml:space="preserve">at </w:t>
      </w:r>
      <w:r w:rsidR="00302BEC">
        <w:t>shallow sites of</w:t>
      </w:r>
      <w:r w:rsidR="00DC063B">
        <w:t xml:space="preserve"> Snapper North continue to influence </w:t>
      </w:r>
      <w:r w:rsidR="007273EA">
        <w:t>score</w:t>
      </w:r>
      <w:r w:rsidR="007724CC">
        <w:t>s</w:t>
      </w:r>
      <w:r w:rsidR="000B0410">
        <w:t>.</w:t>
      </w:r>
    </w:p>
    <w:p w14:paraId="53C136B0" w14:textId="77777777" w:rsidR="00AA7C07" w:rsidRPr="00F61236" w:rsidRDefault="6E1AE64D" w:rsidP="004442C9">
      <w:pPr>
        <w:pStyle w:val="ListParagraph"/>
        <w:numPr>
          <w:ilvl w:val="0"/>
          <w:numId w:val="67"/>
        </w:numPr>
      </w:pPr>
      <w:r>
        <w:t xml:space="preserve">In the Johnstone Russell-Mulgrave sub-region coral condition </w:t>
      </w:r>
      <w:r w:rsidR="003D15F5">
        <w:t xml:space="preserve">has fluctuated about the threshold between </w:t>
      </w:r>
      <w:r w:rsidR="004A4618">
        <w:t>‘</w:t>
      </w:r>
      <w:r>
        <w:t>moderate</w:t>
      </w:r>
      <w:r w:rsidR="004A4618">
        <w:t>’</w:t>
      </w:r>
      <w:r>
        <w:t xml:space="preserve"> </w:t>
      </w:r>
      <w:r w:rsidR="003D15F5">
        <w:t xml:space="preserve">and </w:t>
      </w:r>
      <w:r w:rsidR="006A286B">
        <w:t xml:space="preserve">‘good’ </w:t>
      </w:r>
      <w:r>
        <w:t>condition</w:t>
      </w:r>
      <w:r w:rsidR="006A286B">
        <w:t xml:space="preserve"> since </w:t>
      </w:r>
      <w:r w:rsidR="006A286B">
        <w:lastRenderedPageBreak/>
        <w:t>2016</w:t>
      </w:r>
      <w:r w:rsidR="00A25C8F">
        <w:t>.</w:t>
      </w:r>
      <w:r>
        <w:t xml:space="preserve"> </w:t>
      </w:r>
      <w:r w:rsidR="008077FA">
        <w:t xml:space="preserve">Ongoing </w:t>
      </w:r>
      <w:r>
        <w:t xml:space="preserve">low scores for </w:t>
      </w:r>
      <w:r w:rsidR="00370C6E">
        <w:t xml:space="preserve">the </w:t>
      </w:r>
      <w:r>
        <w:t xml:space="preserve">macroalgae </w:t>
      </w:r>
      <w:r w:rsidR="008077FA">
        <w:t>and</w:t>
      </w:r>
      <w:r w:rsidR="0000157F">
        <w:t xml:space="preserve"> </w:t>
      </w:r>
      <w:r w:rsidR="003104A6">
        <w:t>juvenile coral</w:t>
      </w:r>
      <w:r>
        <w:t xml:space="preserve"> indicator</w:t>
      </w:r>
      <w:r w:rsidR="003104A6">
        <w:t>s</w:t>
      </w:r>
      <w:r>
        <w:t xml:space="preserve"> at Franklands West </w:t>
      </w:r>
      <w:r w:rsidR="004E5311">
        <w:t xml:space="preserve">continue to limit </w:t>
      </w:r>
      <w:r w:rsidR="00D46C3F">
        <w:t>condition within the sub</w:t>
      </w:r>
      <w:r w:rsidR="008E17A4">
        <w:t>-</w:t>
      </w:r>
      <w:r w:rsidR="00D46C3F">
        <w:t xml:space="preserve">region. </w:t>
      </w:r>
      <w:r w:rsidR="00993D21">
        <w:t>C</w:t>
      </w:r>
      <w:r>
        <w:t xml:space="preserve">rown-of-thorns starfish </w:t>
      </w:r>
      <w:r w:rsidR="00A25C8F">
        <w:t xml:space="preserve">were </w:t>
      </w:r>
      <w:r w:rsidR="00993D21">
        <w:t xml:space="preserve">observed </w:t>
      </w:r>
      <w:r>
        <w:t xml:space="preserve">at High Island and in the Frankland Group </w:t>
      </w:r>
      <w:r w:rsidR="00993D21">
        <w:t xml:space="preserve">and while </w:t>
      </w:r>
      <w:r w:rsidR="00722A1E">
        <w:t xml:space="preserve">coral cover increased, predation </w:t>
      </w:r>
      <w:r w:rsidR="00A25C8F">
        <w:t xml:space="preserve">of </w:t>
      </w:r>
      <w:r w:rsidR="00722A1E">
        <w:t xml:space="preserve">corals by these starfish </w:t>
      </w:r>
      <w:r w:rsidR="008B4745">
        <w:t xml:space="preserve">will have </w:t>
      </w:r>
      <w:r w:rsidR="00A25C8F">
        <w:t xml:space="preserve">contributed to </w:t>
      </w:r>
      <w:r w:rsidR="008B4745">
        <w:t>reduced</w:t>
      </w:r>
      <w:r>
        <w:t xml:space="preserve"> scores for the change in cover indicator.</w:t>
      </w:r>
    </w:p>
    <w:p w14:paraId="53C136B1" w14:textId="5A9BC324" w:rsidR="00A84742" w:rsidRPr="000B0410" w:rsidRDefault="6E1AE64D" w:rsidP="004442C9">
      <w:pPr>
        <w:pStyle w:val="ListParagraph"/>
        <w:numPr>
          <w:ilvl w:val="0"/>
          <w:numId w:val="67"/>
        </w:numPr>
      </w:pPr>
      <w:r>
        <w:t>In the Herbert Tully sub-region, coral condition has improved to ‘</w:t>
      </w:r>
      <w:r w:rsidR="006533EB">
        <w:t>g</w:t>
      </w:r>
      <w:r>
        <w:t>ood’</w:t>
      </w:r>
      <w:r w:rsidR="000B0410">
        <w:t xml:space="preserve"> as coral communities continue to </w:t>
      </w:r>
      <w:r w:rsidR="008860DE" w:rsidRPr="000B0410">
        <w:t>recover from the severe impact</w:t>
      </w:r>
      <w:r w:rsidR="0043761A" w:rsidRPr="000B0410">
        <w:t xml:space="preserve"> </w:t>
      </w:r>
      <w:r w:rsidR="004D3DAD">
        <w:t>of c</w:t>
      </w:r>
      <w:r w:rsidR="008B1593" w:rsidRPr="000B0410">
        <w:t>yclone Yasi</w:t>
      </w:r>
      <w:r w:rsidR="008A6E50" w:rsidRPr="000B0410">
        <w:t xml:space="preserve"> in </w:t>
      </w:r>
      <w:r w:rsidR="00A25C8F" w:rsidRPr="000B0410">
        <w:t>2011</w:t>
      </w:r>
      <w:r w:rsidR="008B1593" w:rsidRPr="000B0410">
        <w:t xml:space="preserve">. </w:t>
      </w:r>
      <w:r w:rsidR="000B0410">
        <w:t xml:space="preserve">Recovery has been slowest at </w:t>
      </w:r>
      <w:r w:rsidR="000B0410" w:rsidRPr="000B0410">
        <w:t>Bedarra and Dunk South</w:t>
      </w:r>
      <w:r w:rsidR="000B0410">
        <w:t xml:space="preserve"> were macroalgae cover is high</w:t>
      </w:r>
      <w:r w:rsidRPr="000B0410">
        <w:t>.</w:t>
      </w:r>
    </w:p>
    <w:p w14:paraId="53C136B2" w14:textId="77777777" w:rsidR="00A84742" w:rsidRPr="00CE4E0F" w:rsidRDefault="00A84742" w:rsidP="006F1D4F">
      <w:pPr>
        <w:pStyle w:val="Heading2"/>
        <w:numPr>
          <w:ilvl w:val="0"/>
          <w:numId w:val="0"/>
        </w:numPr>
      </w:pPr>
      <w:bookmarkStart w:id="51" w:name="_Toc530555555"/>
      <w:bookmarkStart w:id="52" w:name="_Toc530638958"/>
      <w:bookmarkStart w:id="53" w:name="_Toc530654925"/>
      <w:bookmarkStart w:id="54" w:name="_Toc530657122"/>
      <w:bookmarkStart w:id="55" w:name="_Toc35947070"/>
      <w:r w:rsidRPr="00CE4E0F">
        <w:t>Burdekin region condition</w:t>
      </w:r>
      <w:bookmarkEnd w:id="51"/>
      <w:bookmarkEnd w:id="52"/>
      <w:bookmarkEnd w:id="53"/>
      <w:bookmarkEnd w:id="54"/>
      <w:bookmarkEnd w:id="55"/>
    </w:p>
    <w:p w14:paraId="53C136B3" w14:textId="7C5295FF" w:rsidR="00585886" w:rsidRDefault="00585886" w:rsidP="00585886">
      <w:r>
        <w:t xml:space="preserve">Inshore coral communities remain in ‘moderate’ condition. Coral communities continue to recover from a low point </w:t>
      </w:r>
      <w:r w:rsidR="00A25C8F">
        <w:t>following</w:t>
      </w:r>
      <w:r w:rsidR="004D3DAD">
        <w:t xml:space="preserve"> the impact of c</w:t>
      </w:r>
      <w:r>
        <w:t xml:space="preserve">yclone Yasi in 2011. </w:t>
      </w:r>
      <w:r w:rsidR="005C2C53">
        <w:t xml:space="preserve">Thermal stress leading to coral </w:t>
      </w:r>
      <w:r>
        <w:t xml:space="preserve">bleaching in 2017 temporarily stalled this recovery. </w:t>
      </w:r>
    </w:p>
    <w:p w14:paraId="53C136B4" w14:textId="77777777" w:rsidR="00585886" w:rsidRPr="00662313" w:rsidRDefault="00585886" w:rsidP="00A84742">
      <w:r>
        <w:t xml:space="preserve">At the shallower sites, macroalgae indicator scores remain low due to high cover of macroalgae </w:t>
      </w:r>
      <w:r w:rsidR="00D65C4A">
        <w:t>at</w:t>
      </w:r>
      <w:r>
        <w:t xml:space="preserve"> reefs inshore of the Palm Island group. Low juvenile densities at these shallow s</w:t>
      </w:r>
      <w:r w:rsidR="00D65C4A">
        <w:t>ites also continue to limit scores</w:t>
      </w:r>
      <w:r>
        <w:t>.</w:t>
      </w:r>
    </w:p>
    <w:p w14:paraId="53C136B5" w14:textId="77777777" w:rsidR="00A84742" w:rsidRPr="00CE4E0F" w:rsidRDefault="00A84742" w:rsidP="006F1D4F">
      <w:pPr>
        <w:pStyle w:val="Heading2"/>
        <w:numPr>
          <w:ilvl w:val="0"/>
          <w:numId w:val="0"/>
        </w:numPr>
      </w:pPr>
      <w:bookmarkStart w:id="56" w:name="_Toc530555556"/>
      <w:bookmarkStart w:id="57" w:name="_Toc530638959"/>
      <w:bookmarkStart w:id="58" w:name="_Toc530654926"/>
      <w:bookmarkStart w:id="59" w:name="_Toc530657123"/>
      <w:bookmarkStart w:id="60" w:name="_Toc35947071"/>
      <w:r w:rsidRPr="00CE4E0F">
        <w:t>Mackay</w:t>
      </w:r>
      <w:r w:rsidR="00FD6FAF" w:rsidRPr="00CE4E0F">
        <w:t>–</w:t>
      </w:r>
      <w:r w:rsidRPr="00CE4E0F">
        <w:t>Whitsunday region condition</w:t>
      </w:r>
      <w:bookmarkEnd w:id="56"/>
      <w:bookmarkEnd w:id="57"/>
      <w:bookmarkEnd w:id="58"/>
      <w:bookmarkEnd w:id="59"/>
      <w:bookmarkEnd w:id="60"/>
    </w:p>
    <w:p w14:paraId="53C136B6" w14:textId="77777777" w:rsidR="006F2F71" w:rsidRDefault="006F2F71" w:rsidP="006F2F71">
      <w:r>
        <w:t>Inshore coral condition has declined to ‘poor’. The coral index has declined sharply since 2016 following cyclone Debbie. The seemingly prolonged decline reflects the biennial sampling design</w:t>
      </w:r>
      <w:r w:rsidR="00611DAA">
        <w:t>s</w:t>
      </w:r>
      <w:r>
        <w:t xml:space="preserve"> of </w:t>
      </w:r>
      <w:r w:rsidR="00611DAA">
        <w:t xml:space="preserve">both the Marine Monitoring Program and Long-Term </w:t>
      </w:r>
      <w:r w:rsidR="003A26B3">
        <w:t>Monitoring P</w:t>
      </w:r>
      <w:r>
        <w:t xml:space="preserve">rogram – the 2019 results are the first to include </w:t>
      </w:r>
      <w:r w:rsidR="006A4C26">
        <w:t>post-</w:t>
      </w:r>
      <w:r>
        <w:t xml:space="preserve">cyclone observations from all </w:t>
      </w:r>
      <w:r w:rsidR="006A4C26">
        <w:t xml:space="preserve">monitored </w:t>
      </w:r>
      <w:r>
        <w:t>reefs.</w:t>
      </w:r>
    </w:p>
    <w:p w14:paraId="53C136B7" w14:textId="77777777" w:rsidR="006F2F71" w:rsidRDefault="006F2F71" w:rsidP="006F2F71">
      <w:r>
        <w:t>Reduction in the coral cover and composition indicators are to be expected following a severe cyclone. The subsequent decline in juvenile density and macroalgae indicators and the further decline in the coral cover change indicator, that was already low, suggest rapid recovery is unlikely.</w:t>
      </w:r>
    </w:p>
    <w:p w14:paraId="53C136B8" w14:textId="77777777" w:rsidR="00A84742" w:rsidRPr="00CE4E0F" w:rsidRDefault="00A84742" w:rsidP="006F1D4F">
      <w:pPr>
        <w:pStyle w:val="Heading2"/>
        <w:numPr>
          <w:ilvl w:val="0"/>
          <w:numId w:val="0"/>
        </w:numPr>
      </w:pPr>
      <w:bookmarkStart w:id="61" w:name="_Toc530555557"/>
      <w:bookmarkStart w:id="62" w:name="_Toc530638960"/>
      <w:bookmarkStart w:id="63" w:name="_Toc530654927"/>
      <w:bookmarkStart w:id="64" w:name="_Toc530657124"/>
      <w:bookmarkStart w:id="65" w:name="_Toc35947072"/>
      <w:r w:rsidRPr="00CE4E0F">
        <w:lastRenderedPageBreak/>
        <w:t>Fitzroy region condition</w:t>
      </w:r>
      <w:bookmarkEnd w:id="61"/>
      <w:bookmarkEnd w:id="62"/>
      <w:bookmarkEnd w:id="63"/>
      <w:bookmarkEnd w:id="64"/>
      <w:bookmarkEnd w:id="65"/>
    </w:p>
    <w:p w14:paraId="53C136B9" w14:textId="77777777" w:rsidR="009B6584" w:rsidRDefault="00A84742" w:rsidP="009B6584">
      <w:pPr>
        <w:rPr>
          <w:rFonts w:eastAsia="SimSun"/>
        </w:rPr>
      </w:pPr>
      <w:r w:rsidRPr="00541535">
        <w:t xml:space="preserve">Inshore coral condition remains </w:t>
      </w:r>
      <w:r w:rsidR="00154747">
        <w:t>‘</w:t>
      </w:r>
      <w:r w:rsidRPr="00541535">
        <w:t>poor</w:t>
      </w:r>
      <w:r w:rsidR="00154747">
        <w:t>’</w:t>
      </w:r>
      <w:r w:rsidRPr="00541535">
        <w:t xml:space="preserve"> but has continued to improve from the </w:t>
      </w:r>
      <w:r w:rsidR="00154747">
        <w:t>‘</w:t>
      </w:r>
      <w:r w:rsidRPr="00541535">
        <w:t>very poor</w:t>
      </w:r>
      <w:r w:rsidR="00154747">
        <w:t>’</w:t>
      </w:r>
      <w:r w:rsidRPr="00541535">
        <w:t xml:space="preserve"> condition observed in 2013 and 2014</w:t>
      </w:r>
      <w:r w:rsidRPr="00541535">
        <w:rPr>
          <w:rFonts w:eastAsia="SimSun"/>
        </w:rPr>
        <w:t>.</w:t>
      </w:r>
      <w:r w:rsidRPr="00541535">
        <w:t xml:space="preserve"> </w:t>
      </w:r>
      <w:r w:rsidR="006D769A" w:rsidRPr="00541535">
        <w:t>A</w:t>
      </w:r>
      <w:r w:rsidR="006D769A">
        <w:t xml:space="preserve">lthough all indicators have improved over recent years </w:t>
      </w:r>
      <w:r w:rsidR="001C76B2">
        <w:t xml:space="preserve">it is only the coral cover change score that has reached </w:t>
      </w:r>
      <w:r w:rsidR="008D30AE">
        <w:t>‘moderate’ levels at the regional scale.</w:t>
      </w:r>
    </w:p>
    <w:p w14:paraId="53C136BA" w14:textId="22DA3594" w:rsidR="004161FA" w:rsidRDefault="009D0DF2" w:rsidP="004161FA">
      <w:r>
        <w:rPr>
          <w:rFonts w:eastAsia="SimSun"/>
        </w:rPr>
        <w:t xml:space="preserve">The state of reefs varies </w:t>
      </w:r>
      <w:r w:rsidR="0091537D">
        <w:rPr>
          <w:rFonts w:eastAsia="SimSun"/>
        </w:rPr>
        <w:t xml:space="preserve">markedly across the </w:t>
      </w:r>
      <w:r w:rsidR="006A4C26">
        <w:rPr>
          <w:rFonts w:eastAsia="SimSun"/>
        </w:rPr>
        <w:t>region</w:t>
      </w:r>
      <w:r w:rsidR="0091537D">
        <w:rPr>
          <w:rFonts w:eastAsia="SimSun"/>
        </w:rPr>
        <w:t xml:space="preserve">. </w:t>
      </w:r>
      <w:r w:rsidR="003C39F2">
        <w:rPr>
          <w:rFonts w:eastAsia="SimSun"/>
        </w:rPr>
        <w:t xml:space="preserve">Coral cover is highest at </w:t>
      </w:r>
      <w:r w:rsidR="00AF2408">
        <w:rPr>
          <w:rFonts w:eastAsia="SimSun"/>
        </w:rPr>
        <w:t>the most offshore reef, B</w:t>
      </w:r>
      <w:r w:rsidR="003C39F2">
        <w:rPr>
          <w:rFonts w:eastAsia="SimSun"/>
        </w:rPr>
        <w:t>arren Island</w:t>
      </w:r>
      <w:r w:rsidR="006A4C26">
        <w:rPr>
          <w:rFonts w:eastAsia="SimSun"/>
        </w:rPr>
        <w:t xml:space="preserve"> (</w:t>
      </w:r>
      <w:r w:rsidR="00B51295">
        <w:rPr>
          <w:rFonts w:eastAsia="SimSun"/>
        </w:rPr>
        <w:t>above</w:t>
      </w:r>
      <w:r w:rsidR="00F93839">
        <w:rPr>
          <w:rFonts w:eastAsia="SimSun"/>
        </w:rPr>
        <w:t xml:space="preserve"> 60</w:t>
      </w:r>
      <w:r w:rsidR="004D3DAD">
        <w:rPr>
          <w:rFonts w:eastAsia="SimSun"/>
        </w:rPr>
        <w:t xml:space="preserve"> per cent</w:t>
      </w:r>
      <w:r w:rsidR="00F93839">
        <w:rPr>
          <w:rFonts w:eastAsia="SimSun"/>
        </w:rPr>
        <w:t xml:space="preserve"> at the 5 metre sites</w:t>
      </w:r>
      <w:r w:rsidR="006A4C26">
        <w:rPr>
          <w:rFonts w:eastAsia="SimSun"/>
        </w:rPr>
        <w:t>)</w:t>
      </w:r>
      <w:r w:rsidR="00B87D03">
        <w:rPr>
          <w:rFonts w:eastAsia="SimSun"/>
        </w:rPr>
        <w:t xml:space="preserve">. In </w:t>
      </w:r>
      <w:r w:rsidR="001549F5">
        <w:rPr>
          <w:rFonts w:eastAsia="SimSun"/>
        </w:rPr>
        <w:t>contrast</w:t>
      </w:r>
      <w:r w:rsidR="009B6584">
        <w:rPr>
          <w:rFonts w:eastAsia="SimSun"/>
        </w:rPr>
        <w:t>,</w:t>
      </w:r>
      <w:r w:rsidR="00B87D03">
        <w:rPr>
          <w:rFonts w:eastAsia="SimSun"/>
        </w:rPr>
        <w:t xml:space="preserve"> coral cover remains</w:t>
      </w:r>
      <w:r w:rsidR="00436CE1">
        <w:rPr>
          <w:rFonts w:eastAsia="SimSun"/>
        </w:rPr>
        <w:t xml:space="preserve"> </w:t>
      </w:r>
      <w:r w:rsidR="00EA2A98">
        <w:rPr>
          <w:rFonts w:eastAsia="SimSun"/>
        </w:rPr>
        <w:t>’poor’ or ‘very poor’ closer to the coast</w:t>
      </w:r>
      <w:r w:rsidR="00436CE1">
        <w:rPr>
          <w:rFonts w:eastAsia="SimSun"/>
        </w:rPr>
        <w:t>.</w:t>
      </w:r>
      <w:r w:rsidR="00E072DC">
        <w:rPr>
          <w:rFonts w:eastAsia="SimSun"/>
        </w:rPr>
        <w:t xml:space="preserve"> Macroalgae cover </w:t>
      </w:r>
      <w:r w:rsidR="002F6178">
        <w:rPr>
          <w:rFonts w:eastAsia="SimSun"/>
        </w:rPr>
        <w:t>remains high at almost all reefs</w:t>
      </w:r>
      <w:r w:rsidR="00A84742" w:rsidRPr="00541535">
        <w:rPr>
          <w:rFonts w:eastAsia="SimSun"/>
        </w:rPr>
        <w:t>.</w:t>
      </w:r>
    </w:p>
    <w:p w14:paraId="53C136BB" w14:textId="77777777" w:rsidR="004161FA" w:rsidRPr="00CE4E0F" w:rsidRDefault="004161FA" w:rsidP="006F1D4F">
      <w:pPr>
        <w:pStyle w:val="Heading2"/>
        <w:numPr>
          <w:ilvl w:val="0"/>
          <w:numId w:val="0"/>
        </w:numPr>
      </w:pPr>
      <w:bookmarkStart w:id="66" w:name="_Toc35947073"/>
      <w:r w:rsidRPr="00CE4E0F">
        <w:t>Role of water quality on inshore reef resilience</w:t>
      </w:r>
      <w:bookmarkEnd w:id="66"/>
    </w:p>
    <w:p w14:paraId="53C136BC" w14:textId="77777777" w:rsidR="004161FA" w:rsidRPr="00D754E8" w:rsidRDefault="004161FA" w:rsidP="004161FA">
      <w:r w:rsidRPr="00D754E8">
        <w:t xml:space="preserve">The primary premise of the </w:t>
      </w:r>
      <w:r w:rsidRPr="00D754E8">
        <w:rPr>
          <w:i/>
        </w:rPr>
        <w:t xml:space="preserve">Reef 2050 Water Quality Improvement Plan </w:t>
      </w:r>
      <w:r w:rsidRPr="00D754E8">
        <w:rPr>
          <w:sz w:val="18"/>
          <w:szCs w:val="18"/>
          <w:lang w:val="en"/>
        </w:rPr>
        <w:t xml:space="preserve">— </w:t>
      </w:r>
      <w:r w:rsidRPr="00D754E8">
        <w:t xml:space="preserve">that load reduction will have downstream environmental benefits for the Reef </w:t>
      </w:r>
      <w:r w:rsidRPr="00D754E8">
        <w:rPr>
          <w:sz w:val="18"/>
          <w:szCs w:val="18"/>
          <w:lang w:val="en"/>
        </w:rPr>
        <w:t xml:space="preserve">— </w:t>
      </w:r>
      <w:r w:rsidRPr="00D754E8">
        <w:t>is supported by:</w:t>
      </w:r>
    </w:p>
    <w:p w14:paraId="53C136BD" w14:textId="77777777" w:rsidR="004161FA" w:rsidRPr="00BA1561" w:rsidRDefault="004161FA" w:rsidP="004161FA">
      <w:pPr>
        <w:numPr>
          <w:ilvl w:val="0"/>
          <w:numId w:val="27"/>
        </w:numPr>
        <w:spacing w:after="160" w:line="259" w:lineRule="auto"/>
        <w:contextualSpacing/>
        <w:jc w:val="left"/>
        <w:rPr>
          <w:color w:val="000000" w:themeColor="text1"/>
          <w:lang w:eastAsia="en-GB"/>
        </w:rPr>
      </w:pPr>
      <w:r w:rsidRPr="00BA1561">
        <w:rPr>
          <w:color w:val="000000" w:themeColor="text1"/>
          <w:lang w:eastAsia="en-GB"/>
        </w:rPr>
        <w:t>spatial analyses that demonstrated improved coral index scores along a declining gradient in suspended particulate</w:t>
      </w:r>
      <w:r w:rsidR="009B6584" w:rsidRPr="00BA1561">
        <w:rPr>
          <w:color w:val="000000" w:themeColor="text1"/>
          <w:lang w:eastAsia="en-GB"/>
        </w:rPr>
        <w:t>s</w:t>
      </w:r>
      <w:r w:rsidRPr="00BA1561">
        <w:rPr>
          <w:color w:val="000000" w:themeColor="text1"/>
          <w:lang w:eastAsia="en-GB"/>
        </w:rPr>
        <w:t xml:space="preserve">, and low cover of macroalgae where chlorophyll </w:t>
      </w:r>
      <w:r w:rsidRPr="00BA1561">
        <w:rPr>
          <w:i/>
          <w:color w:val="000000" w:themeColor="text1"/>
          <w:lang w:eastAsia="en-GB"/>
        </w:rPr>
        <w:t>a</w:t>
      </w:r>
      <w:r w:rsidRPr="00BA1561">
        <w:rPr>
          <w:color w:val="000000" w:themeColor="text1"/>
          <w:lang w:eastAsia="en-GB"/>
        </w:rPr>
        <w:t xml:space="preserve"> concentration met guideline values, </w:t>
      </w:r>
    </w:p>
    <w:p w14:paraId="53C136BE" w14:textId="77777777" w:rsidR="008F7240" w:rsidRPr="00BA1561" w:rsidRDefault="004161FA" w:rsidP="00BA1561">
      <w:pPr>
        <w:numPr>
          <w:ilvl w:val="0"/>
          <w:numId w:val="27"/>
        </w:numPr>
        <w:spacing w:after="160" w:line="259" w:lineRule="auto"/>
        <w:contextualSpacing/>
        <w:jc w:val="left"/>
        <w:rPr>
          <w:color w:val="000000" w:themeColor="text1"/>
        </w:rPr>
      </w:pPr>
      <w:r w:rsidRPr="00BA1561">
        <w:rPr>
          <w:color w:val="000000" w:themeColor="text1"/>
          <w:lang w:eastAsia="en-GB"/>
        </w:rPr>
        <w:t>negative relationships between the recovery of coral communities and pressures from catchment run-off. By focusing on periods free from acute disturbance events we demonstrate that incremental changes in the coral index, during periods when reefs were recovering, were inversely related to discharge from local catchments in three of the four regions monitored (the exception being the Mackay-Whitsunday region).</w:t>
      </w:r>
      <w:r w:rsidR="00BA1561" w:rsidRPr="00BA1561">
        <w:rPr>
          <w:color w:val="000000" w:themeColor="text1"/>
        </w:rPr>
        <w:t xml:space="preserve"> </w:t>
      </w:r>
    </w:p>
    <w:p w14:paraId="53C136BF" w14:textId="77777777" w:rsidR="008F7240" w:rsidRPr="00CE4E0F" w:rsidRDefault="008F7240" w:rsidP="00A84742">
      <w:pPr>
        <w:jc w:val="left"/>
        <w:rPr>
          <w:color w:val="548DD4" w:themeColor="text2" w:themeTint="99"/>
        </w:rPr>
        <w:sectPr w:rsidR="008F7240" w:rsidRPr="00CE4E0F" w:rsidSect="008936E5">
          <w:footerReference w:type="default" r:id="rId27"/>
          <w:pgSz w:w="11907" w:h="16840" w:code="9"/>
          <w:pgMar w:top="1276" w:right="1134" w:bottom="1134" w:left="1134" w:header="709" w:footer="709" w:gutter="0"/>
          <w:pgNumType w:start="1"/>
          <w:cols w:space="708"/>
          <w:docGrid w:linePitch="360"/>
        </w:sectPr>
      </w:pPr>
    </w:p>
    <w:p w14:paraId="53C136C0" w14:textId="77777777" w:rsidR="00A84742" w:rsidRDefault="00A84742" w:rsidP="00A61372">
      <w:pPr>
        <w:pStyle w:val="Heading1"/>
        <w:numPr>
          <w:ilvl w:val="0"/>
          <w:numId w:val="62"/>
        </w:numPr>
      </w:pPr>
      <w:bookmarkStart w:id="67" w:name="_Toc167192422"/>
      <w:bookmarkStart w:id="68" w:name="_Toc437424403"/>
      <w:bookmarkStart w:id="69" w:name="_Toc437424527"/>
      <w:bookmarkStart w:id="70" w:name="_Toc437432457"/>
      <w:bookmarkStart w:id="71" w:name="_Toc437432530"/>
      <w:bookmarkStart w:id="72" w:name="_Toc491847356"/>
      <w:bookmarkStart w:id="73" w:name="_Toc526246877"/>
      <w:bookmarkStart w:id="74" w:name="_Toc530654930"/>
      <w:bookmarkStart w:id="75" w:name="_Toc35947074"/>
      <w:bookmarkStart w:id="76" w:name="_Toc330104786"/>
      <w:bookmarkStart w:id="77" w:name="_Toc330104937"/>
      <w:bookmarkStart w:id="78" w:name="_Toc330105841"/>
      <w:bookmarkStart w:id="79" w:name="_Toc330113421"/>
      <w:bookmarkStart w:id="80" w:name="_Toc330115339"/>
      <w:bookmarkStart w:id="81" w:name="_Toc330177419"/>
      <w:bookmarkStart w:id="82" w:name="_Toc330177763"/>
      <w:bookmarkStart w:id="83" w:name="_Toc330191361"/>
      <w:bookmarkStart w:id="84" w:name="_Toc330281974"/>
      <w:r w:rsidRPr="007A4738">
        <w:lastRenderedPageBreak/>
        <w:t>Introduction</w:t>
      </w:r>
      <w:bookmarkEnd w:id="67"/>
      <w:bookmarkEnd w:id="68"/>
      <w:bookmarkEnd w:id="69"/>
      <w:bookmarkEnd w:id="70"/>
      <w:bookmarkEnd w:id="71"/>
      <w:bookmarkEnd w:id="72"/>
      <w:bookmarkEnd w:id="73"/>
      <w:bookmarkEnd w:id="74"/>
      <w:bookmarkEnd w:id="75"/>
    </w:p>
    <w:p w14:paraId="53C136C1" w14:textId="77777777" w:rsidR="00DB64AD" w:rsidRPr="00AA65AC" w:rsidRDefault="00346A83" w:rsidP="00DB64AD">
      <w:pPr>
        <w:rPr>
          <w:color w:val="000000" w:themeColor="text1"/>
        </w:rPr>
      </w:pPr>
      <w:r w:rsidRPr="00AA65AC">
        <w:rPr>
          <w:color w:val="000000" w:themeColor="text1"/>
        </w:rPr>
        <w:t>The proximity of inshore reefs to the coast make them highly accessible</w:t>
      </w:r>
      <w:r w:rsidR="00DB64AD" w:rsidRPr="00AA65AC">
        <w:rPr>
          <w:color w:val="000000" w:themeColor="text1"/>
        </w:rPr>
        <w:t>;</w:t>
      </w:r>
      <w:r w:rsidRPr="00AA65AC">
        <w:rPr>
          <w:color w:val="000000" w:themeColor="text1"/>
        </w:rPr>
        <w:t xml:space="preserve"> a factor elevating their social</w:t>
      </w:r>
      <w:r w:rsidR="00536E61">
        <w:rPr>
          <w:color w:val="000000" w:themeColor="text1"/>
        </w:rPr>
        <w:t>, economic</w:t>
      </w:r>
      <w:r w:rsidRPr="00AA65AC">
        <w:rPr>
          <w:color w:val="000000" w:themeColor="text1"/>
        </w:rPr>
        <w:t xml:space="preserve"> and cultural importance beyond of the</w:t>
      </w:r>
      <w:r w:rsidR="00DB64AD" w:rsidRPr="00AA65AC">
        <w:rPr>
          <w:color w:val="000000" w:themeColor="text1"/>
        </w:rPr>
        <w:t>ir</w:t>
      </w:r>
      <w:r w:rsidRPr="00AA65AC">
        <w:rPr>
          <w:color w:val="000000" w:themeColor="text1"/>
        </w:rPr>
        <w:t xml:space="preserve"> relatively small </w:t>
      </w:r>
      <w:r w:rsidR="00DB64AD" w:rsidRPr="00AA65AC">
        <w:rPr>
          <w:color w:val="000000" w:themeColor="text1"/>
        </w:rPr>
        <w:t xml:space="preserve">contribution to the </w:t>
      </w:r>
      <w:r w:rsidRPr="00AA65AC">
        <w:rPr>
          <w:color w:val="000000" w:themeColor="text1"/>
        </w:rPr>
        <w:t xml:space="preserve">area of the </w:t>
      </w:r>
      <w:r w:rsidR="00057BF2" w:rsidRPr="00AA65AC">
        <w:rPr>
          <w:color w:val="000000" w:themeColor="text1"/>
        </w:rPr>
        <w:t xml:space="preserve">Great Barrier Reef World Heritage area’s </w:t>
      </w:r>
      <w:r w:rsidRPr="00AA65AC">
        <w:rPr>
          <w:color w:val="000000" w:themeColor="text1"/>
        </w:rPr>
        <w:t>coral estate</w:t>
      </w:r>
      <w:r w:rsidR="00AA65AC">
        <w:rPr>
          <w:color w:val="000000" w:themeColor="text1"/>
        </w:rPr>
        <w:t xml:space="preserve"> (GBRMPA 2019)</w:t>
      </w:r>
      <w:r w:rsidRPr="00AA65AC">
        <w:rPr>
          <w:color w:val="000000" w:themeColor="text1"/>
        </w:rPr>
        <w:t xml:space="preserve">. </w:t>
      </w:r>
    </w:p>
    <w:p w14:paraId="53C136C2" w14:textId="77777777" w:rsidR="00BF5727" w:rsidRDefault="00346A83" w:rsidP="00DB64AD">
      <w:pPr>
        <w:rPr>
          <w:color w:val="000000" w:themeColor="text1"/>
        </w:rPr>
      </w:pPr>
      <w:r w:rsidRPr="00AA65AC">
        <w:rPr>
          <w:color w:val="000000" w:themeColor="text1"/>
        </w:rPr>
        <w:t>Unfortunately</w:t>
      </w:r>
      <w:r w:rsidR="00013039" w:rsidRPr="00AA65AC">
        <w:rPr>
          <w:color w:val="000000" w:themeColor="text1"/>
        </w:rPr>
        <w:t>,</w:t>
      </w:r>
      <w:r w:rsidRPr="00AA65AC">
        <w:rPr>
          <w:color w:val="000000" w:themeColor="text1"/>
        </w:rPr>
        <w:t xml:space="preserve"> this proximity also exposes inshore reefs </w:t>
      </w:r>
      <w:r w:rsidR="00013039" w:rsidRPr="00AA65AC">
        <w:rPr>
          <w:color w:val="000000" w:themeColor="text1"/>
        </w:rPr>
        <w:t xml:space="preserve">to increased </w:t>
      </w:r>
      <w:r w:rsidRPr="00AA65AC">
        <w:rPr>
          <w:color w:val="000000" w:themeColor="text1"/>
        </w:rPr>
        <w:t>pressures</w:t>
      </w:r>
      <w:r w:rsidR="00013039" w:rsidRPr="00AA65AC">
        <w:rPr>
          <w:color w:val="000000" w:themeColor="text1"/>
        </w:rPr>
        <w:t xml:space="preserve"> </w:t>
      </w:r>
      <w:r w:rsidR="00BB3B93">
        <w:rPr>
          <w:color w:val="000000" w:themeColor="text1"/>
        </w:rPr>
        <w:t>of</w:t>
      </w:r>
      <w:r w:rsidR="00013039" w:rsidRPr="00AA65AC">
        <w:rPr>
          <w:color w:val="000000" w:themeColor="text1"/>
        </w:rPr>
        <w:t xml:space="preserve"> turbidity, </w:t>
      </w:r>
      <w:r w:rsidRPr="00AA65AC">
        <w:rPr>
          <w:color w:val="000000" w:themeColor="text1"/>
        </w:rPr>
        <w:t>nutrient levels</w:t>
      </w:r>
      <w:r w:rsidR="00013039" w:rsidRPr="00AA65AC">
        <w:rPr>
          <w:color w:val="000000" w:themeColor="text1"/>
        </w:rPr>
        <w:t xml:space="preserve"> and low salinity flood plumes compared to their offshore counterparts. </w:t>
      </w:r>
      <w:r w:rsidR="00DB64AD" w:rsidRPr="00AA65AC">
        <w:rPr>
          <w:color w:val="000000" w:themeColor="text1"/>
        </w:rPr>
        <w:t xml:space="preserve">Reefs globally are under pressure as the effects of climate change are superimposed onto natural disturbance and recovery cycles of coral communities. This ramping up of pressures facing coral reefs makes it ever more important that </w:t>
      </w:r>
      <w:r w:rsidR="00057BF2" w:rsidRPr="00AA65AC">
        <w:rPr>
          <w:color w:val="000000" w:themeColor="text1"/>
        </w:rPr>
        <w:t>the Reef environment is managed to optimise the potential for coral communities to resist or recover from inevitable disturbance events</w:t>
      </w:r>
      <w:r w:rsidR="009A11EC">
        <w:rPr>
          <w:color w:val="000000" w:themeColor="text1"/>
        </w:rPr>
        <w:t xml:space="preserve"> </w:t>
      </w:r>
      <w:r w:rsidR="009A11EC" w:rsidRPr="003841F8">
        <w:t xml:space="preserve">(Bellwood </w:t>
      </w:r>
      <w:r w:rsidR="009A11EC" w:rsidRPr="003841F8">
        <w:rPr>
          <w:i/>
        </w:rPr>
        <w:t>et al.</w:t>
      </w:r>
      <w:r w:rsidR="009A11EC" w:rsidRPr="003841F8">
        <w:t xml:space="preserve"> 2004, Marshall &amp; Johnson 2007, Carpenter </w:t>
      </w:r>
      <w:r w:rsidR="009A11EC" w:rsidRPr="003841F8">
        <w:rPr>
          <w:i/>
        </w:rPr>
        <w:t>et al.</w:t>
      </w:r>
      <w:r w:rsidR="009A11EC" w:rsidRPr="003841F8">
        <w:t xml:space="preserve"> 2008, Mora 2008, Hughes </w:t>
      </w:r>
      <w:r w:rsidR="009A11EC" w:rsidRPr="003841F8">
        <w:rPr>
          <w:i/>
        </w:rPr>
        <w:t>et al</w:t>
      </w:r>
      <w:r w:rsidR="009A11EC" w:rsidRPr="003841F8">
        <w:t>. 2010).</w:t>
      </w:r>
      <w:r w:rsidR="00BF5727" w:rsidRPr="00AA65AC">
        <w:rPr>
          <w:color w:val="000000" w:themeColor="text1"/>
        </w:rPr>
        <w:t xml:space="preserve"> </w:t>
      </w:r>
    </w:p>
    <w:p w14:paraId="53C136C3" w14:textId="77777777" w:rsidR="005637D6" w:rsidRDefault="005637D6" w:rsidP="006F1D4F">
      <w:pPr>
        <w:pStyle w:val="Heading2"/>
        <w:numPr>
          <w:ilvl w:val="1"/>
          <w:numId w:val="66"/>
        </w:numPr>
      </w:pPr>
      <w:bookmarkStart w:id="85" w:name="_Toc35947075"/>
      <w:r>
        <w:t xml:space="preserve">Conceptual basis for </w:t>
      </w:r>
      <w:r w:rsidR="009A11EC">
        <w:t>coral monitoring program</w:t>
      </w:r>
      <w:bookmarkEnd w:id="85"/>
    </w:p>
    <w:p w14:paraId="53C136C4" w14:textId="77777777" w:rsidR="00E62931" w:rsidRDefault="00E62931" w:rsidP="00E62931">
      <w:pPr>
        <w:rPr>
          <w:lang w:eastAsia="en-AU"/>
        </w:rPr>
      </w:pPr>
      <w:r>
        <w:rPr>
          <w:color w:val="000000" w:themeColor="text1"/>
        </w:rPr>
        <w:t xml:space="preserve">Disentangling the </w:t>
      </w:r>
      <w:r w:rsidRPr="00805DD1">
        <w:rPr>
          <w:color w:val="000000" w:themeColor="text1"/>
        </w:rPr>
        <w:t xml:space="preserve">complexity of interactions between benthic communities and environmental pressures </w:t>
      </w:r>
      <w:r>
        <w:rPr>
          <w:color w:val="000000" w:themeColor="text1"/>
        </w:rPr>
        <w:t>influencing the condition of coral reefs is reliant on accurate</w:t>
      </w:r>
      <w:r w:rsidR="00536E61">
        <w:rPr>
          <w:color w:val="000000" w:themeColor="text1"/>
        </w:rPr>
        <w:t>, long term</w:t>
      </w:r>
      <w:r>
        <w:rPr>
          <w:color w:val="000000" w:themeColor="text1"/>
        </w:rPr>
        <w:t xml:space="preserve"> </w:t>
      </w:r>
      <w:r w:rsidR="00DE6E1A">
        <w:rPr>
          <w:color w:val="000000" w:themeColor="text1"/>
        </w:rPr>
        <w:t>field-based</w:t>
      </w:r>
      <w:r>
        <w:rPr>
          <w:color w:val="000000" w:themeColor="text1"/>
        </w:rPr>
        <w:t xml:space="preserve"> observations of the response of communities to a range of pressures. To this end, t</w:t>
      </w:r>
      <w:r w:rsidRPr="003841F8">
        <w:t xml:space="preserve">he Australian Institute of Marine Science (AIMS) and the Authority </w:t>
      </w:r>
      <w:r>
        <w:t xml:space="preserve">have </w:t>
      </w:r>
      <w:r w:rsidRPr="003841F8">
        <w:t>co-invest</w:t>
      </w:r>
      <w:r>
        <w:t xml:space="preserve">ed </w:t>
      </w:r>
      <w:r w:rsidRPr="003841F8">
        <w:t xml:space="preserve">to provide inshore coral reef monitoring under the </w:t>
      </w:r>
      <w:r w:rsidRPr="003841F8">
        <w:rPr>
          <w:lang w:eastAsia="en-AU"/>
        </w:rPr>
        <w:t>Marine Monitoring Program (MMP)</w:t>
      </w:r>
      <w:r w:rsidR="00536E61">
        <w:rPr>
          <w:lang w:eastAsia="en-AU"/>
        </w:rPr>
        <w:t xml:space="preserve"> since 2005</w:t>
      </w:r>
      <w:r w:rsidRPr="003841F8">
        <w:rPr>
          <w:lang w:eastAsia="en-AU"/>
        </w:rPr>
        <w:t>.</w:t>
      </w:r>
    </w:p>
    <w:p w14:paraId="53C136C5" w14:textId="77777777" w:rsidR="00E62931" w:rsidRDefault="00E62931" w:rsidP="00E62931">
      <w:pPr>
        <w:rPr>
          <w:lang w:eastAsia="en-AU"/>
        </w:rPr>
      </w:pPr>
      <w:r>
        <w:rPr>
          <w:lang w:eastAsia="en-AU"/>
        </w:rPr>
        <w:t>A key component of the MMP is the synthesis and communication of information to a range of stakeholders. The primary communication tool for the coral component of the MMP is the coral index that contributes to the Reef report card. The coral index is designed to capture key aspects of coral community condition and resilience that can be used to both track trends in community condition but also highlight where and when condition is poor.</w:t>
      </w:r>
    </w:p>
    <w:p w14:paraId="53C136C6" w14:textId="77777777" w:rsidR="00BA5389" w:rsidRPr="00805DD1" w:rsidRDefault="00BA5389" w:rsidP="00BA5389">
      <w:pPr>
        <w:rPr>
          <w:color w:val="000000" w:themeColor="text1"/>
          <w:lang w:val="en-US"/>
        </w:rPr>
      </w:pPr>
      <w:r w:rsidRPr="00805DD1">
        <w:rPr>
          <w:color w:val="000000" w:themeColor="text1"/>
          <w:lang w:val="en-US"/>
        </w:rPr>
        <w:t xml:space="preserve">The coral </w:t>
      </w:r>
      <w:r w:rsidR="00E62931">
        <w:rPr>
          <w:color w:val="000000" w:themeColor="text1"/>
          <w:lang w:val="en-US"/>
        </w:rPr>
        <w:t xml:space="preserve">index </w:t>
      </w:r>
      <w:r w:rsidRPr="00805DD1">
        <w:rPr>
          <w:color w:val="000000" w:themeColor="text1"/>
          <w:lang w:val="en-US"/>
        </w:rPr>
        <w:t xml:space="preserve">is based on the general understanding that healthy and resilient coral communities exist in a dynamic equilibrium, with communities in a cycle of </w:t>
      </w:r>
      <w:r w:rsidRPr="00805DD1">
        <w:rPr>
          <w:color w:val="000000" w:themeColor="text1"/>
          <w:lang w:val="en-US"/>
        </w:rPr>
        <w:lastRenderedPageBreak/>
        <w:t xml:space="preserve">recovery punctuated by acute disturbance events. </w:t>
      </w:r>
      <w:r w:rsidRPr="00805DD1">
        <w:rPr>
          <w:color w:val="000000" w:themeColor="text1"/>
        </w:rPr>
        <w:t xml:space="preserve">Common disturbances to inshore reefs include cyclones (often coinciding with flooding), </w:t>
      </w:r>
      <w:r w:rsidR="005C2C53">
        <w:rPr>
          <w:color w:val="000000" w:themeColor="text1"/>
        </w:rPr>
        <w:t>high water temperatures</w:t>
      </w:r>
      <w:r w:rsidRPr="00805DD1">
        <w:rPr>
          <w:color w:val="000000" w:themeColor="text1"/>
        </w:rPr>
        <w:t xml:space="preserve">, and outbreaks of crown-of-thorns starfish, all of which can result in widespread mortality of corals (e.g. Sweatman </w:t>
      </w:r>
      <w:r w:rsidRPr="00805DD1">
        <w:rPr>
          <w:i/>
          <w:color w:val="000000" w:themeColor="text1"/>
        </w:rPr>
        <w:t>et al.</w:t>
      </w:r>
      <w:r w:rsidRPr="00805DD1">
        <w:rPr>
          <w:color w:val="000000" w:themeColor="text1"/>
        </w:rPr>
        <w:t xml:space="preserve"> 2007, Osborne </w:t>
      </w:r>
      <w:r w:rsidRPr="00805DD1">
        <w:rPr>
          <w:i/>
          <w:color w:val="000000" w:themeColor="text1"/>
        </w:rPr>
        <w:t>et al.</w:t>
      </w:r>
      <w:r w:rsidRPr="00805DD1">
        <w:rPr>
          <w:color w:val="000000" w:themeColor="text1"/>
        </w:rPr>
        <w:t xml:space="preserve"> 2011). </w:t>
      </w:r>
      <w:r w:rsidR="009A11EC">
        <w:rPr>
          <w:color w:val="000000" w:themeColor="text1"/>
        </w:rPr>
        <w:t xml:space="preserve">While, </w:t>
      </w:r>
      <w:r w:rsidRPr="00805DD1">
        <w:rPr>
          <w:color w:val="000000" w:themeColor="text1"/>
          <w:lang w:val="en-US"/>
        </w:rPr>
        <w:t>elevated nutrients carried into the system as run-off may compound the influences of acute disturbances by: increasing the susceptibility of corals to disease (</w:t>
      </w:r>
      <w:r w:rsidRPr="00805DD1">
        <w:rPr>
          <w:color w:val="000000" w:themeColor="text1"/>
        </w:rPr>
        <w:t xml:space="preserve">Bruno </w:t>
      </w:r>
      <w:r w:rsidRPr="00805DD1">
        <w:rPr>
          <w:i/>
          <w:color w:val="000000" w:themeColor="text1"/>
        </w:rPr>
        <w:t>et al.</w:t>
      </w:r>
      <w:r w:rsidRPr="00805DD1">
        <w:rPr>
          <w:color w:val="000000" w:themeColor="text1"/>
        </w:rPr>
        <w:t xml:space="preserve"> 2003, Haapkylä </w:t>
      </w:r>
      <w:r w:rsidRPr="00805DD1">
        <w:rPr>
          <w:i/>
          <w:color w:val="000000" w:themeColor="text1"/>
        </w:rPr>
        <w:t>et al</w:t>
      </w:r>
      <w:r w:rsidRPr="00805DD1">
        <w:rPr>
          <w:color w:val="000000" w:themeColor="text1"/>
        </w:rPr>
        <w:t xml:space="preserve">. 2011, Kline </w:t>
      </w:r>
      <w:r w:rsidRPr="00805DD1">
        <w:rPr>
          <w:i/>
          <w:color w:val="000000" w:themeColor="text1"/>
        </w:rPr>
        <w:t>et al</w:t>
      </w:r>
      <w:r w:rsidRPr="00805DD1">
        <w:rPr>
          <w:color w:val="000000" w:themeColor="text1"/>
        </w:rPr>
        <w:t xml:space="preserve">. 2006, Kuntz </w:t>
      </w:r>
      <w:r w:rsidRPr="00805DD1">
        <w:rPr>
          <w:i/>
          <w:color w:val="000000" w:themeColor="text1"/>
        </w:rPr>
        <w:t>et al</w:t>
      </w:r>
      <w:r w:rsidRPr="00805DD1">
        <w:rPr>
          <w:color w:val="000000" w:themeColor="text1"/>
        </w:rPr>
        <w:t xml:space="preserve">. 2005, Weber </w:t>
      </w:r>
      <w:r w:rsidRPr="00805DD1">
        <w:rPr>
          <w:i/>
          <w:color w:val="000000" w:themeColor="text1"/>
        </w:rPr>
        <w:t>et al.</w:t>
      </w:r>
      <w:r w:rsidRPr="00805DD1">
        <w:rPr>
          <w:color w:val="000000" w:themeColor="text1"/>
        </w:rPr>
        <w:t xml:space="preserve"> 2012, Vega Thurber </w:t>
      </w:r>
      <w:r w:rsidRPr="00805DD1">
        <w:rPr>
          <w:i/>
          <w:color w:val="000000" w:themeColor="text1"/>
        </w:rPr>
        <w:t>et al.</w:t>
      </w:r>
      <w:r w:rsidRPr="00805DD1">
        <w:rPr>
          <w:color w:val="000000" w:themeColor="text1"/>
        </w:rPr>
        <w:t xml:space="preserve"> 2013)</w:t>
      </w:r>
      <w:r w:rsidRPr="00805DD1">
        <w:rPr>
          <w:color w:val="000000" w:themeColor="text1"/>
          <w:lang w:val="en-US"/>
        </w:rPr>
        <w:t xml:space="preserve">, promoting outbreaks of crown-of-thorns starfish (Wooldridge &amp; Brodie 2015) and increasing susceptibility to thermal stress (Wooldridge &amp; Done 2004, Wiedenmann </w:t>
      </w:r>
      <w:r w:rsidRPr="00805DD1">
        <w:rPr>
          <w:i/>
          <w:color w:val="000000" w:themeColor="text1"/>
          <w:lang w:val="en-US"/>
        </w:rPr>
        <w:t>et al.</w:t>
      </w:r>
      <w:r w:rsidRPr="00805DD1">
        <w:rPr>
          <w:color w:val="000000" w:themeColor="text1"/>
          <w:lang w:val="en-US"/>
        </w:rPr>
        <w:t xml:space="preserve"> 2013). </w:t>
      </w:r>
      <w:r w:rsidR="00B76BBA">
        <w:rPr>
          <w:color w:val="000000" w:themeColor="text1"/>
          <w:lang w:val="en-US"/>
        </w:rPr>
        <w:t>It is the potential for poll</w:t>
      </w:r>
      <w:r w:rsidRPr="00805DD1">
        <w:rPr>
          <w:color w:val="000000" w:themeColor="text1"/>
          <w:lang w:val="en-US"/>
        </w:rPr>
        <w:t xml:space="preserve">utants in run-off </w:t>
      </w:r>
      <w:r w:rsidR="00B76BBA">
        <w:rPr>
          <w:color w:val="000000" w:themeColor="text1"/>
          <w:lang w:val="en-US"/>
        </w:rPr>
        <w:t xml:space="preserve">to suppress </w:t>
      </w:r>
      <w:r w:rsidRPr="00805DD1">
        <w:rPr>
          <w:color w:val="000000" w:themeColor="text1"/>
          <w:lang w:val="en-US"/>
        </w:rPr>
        <w:t xml:space="preserve">the recovery </w:t>
      </w:r>
      <w:r w:rsidR="00B76BBA">
        <w:rPr>
          <w:color w:val="000000" w:themeColor="text1"/>
          <w:lang w:val="en-US"/>
        </w:rPr>
        <w:t>of coral communities</w:t>
      </w:r>
      <w:r w:rsidRPr="00805DD1">
        <w:rPr>
          <w:color w:val="000000" w:themeColor="text1"/>
          <w:lang w:val="en-US"/>
        </w:rPr>
        <w:t xml:space="preserve"> (Schaffelke </w:t>
      </w:r>
      <w:r w:rsidRPr="00805DD1">
        <w:rPr>
          <w:i/>
          <w:color w:val="000000" w:themeColor="text1"/>
          <w:lang w:val="en-US"/>
        </w:rPr>
        <w:t>et al.</w:t>
      </w:r>
      <w:r w:rsidRPr="00805DD1">
        <w:rPr>
          <w:color w:val="000000" w:themeColor="text1"/>
          <w:lang w:val="en-US"/>
        </w:rPr>
        <w:t xml:space="preserve"> 2013)</w:t>
      </w:r>
      <w:r w:rsidR="00B76BBA">
        <w:rPr>
          <w:color w:val="000000" w:themeColor="text1"/>
          <w:lang w:val="en-US"/>
        </w:rPr>
        <w:t xml:space="preserve"> that is a key focus of this monitoring and reporting program</w:t>
      </w:r>
      <w:r w:rsidRPr="00805DD1">
        <w:rPr>
          <w:color w:val="000000" w:themeColor="text1"/>
          <w:lang w:val="en-US"/>
        </w:rPr>
        <w:t>.</w:t>
      </w:r>
    </w:p>
    <w:p w14:paraId="53C136C7" w14:textId="77777777" w:rsidR="00B76BBA" w:rsidRDefault="00BA5389" w:rsidP="00BA5389">
      <w:pPr>
        <w:rPr>
          <w:color w:val="000000" w:themeColor="text1"/>
        </w:rPr>
      </w:pPr>
      <w:r w:rsidRPr="00805DD1">
        <w:rPr>
          <w:color w:val="000000" w:themeColor="text1"/>
        </w:rPr>
        <w:t xml:space="preserve">The replacement of corals lost to disturbance is reliant on both the recruitment of new colonies and regeneration of existing colonies from remaining tissue fragments (Smith 2008, Diaz-Pulido </w:t>
      </w:r>
      <w:r w:rsidRPr="00805DD1">
        <w:rPr>
          <w:i/>
          <w:color w:val="000000" w:themeColor="text1"/>
        </w:rPr>
        <w:t>et al.</w:t>
      </w:r>
      <w:r w:rsidRPr="00805DD1">
        <w:rPr>
          <w:color w:val="000000" w:themeColor="text1"/>
        </w:rPr>
        <w:t xml:space="preserve"> 2009). Elevated concentrations of nutrients, agrochemicals, and turbidity can negatively affect reproduction in corals (reviewed by Fabricius 2005, van Dam </w:t>
      </w:r>
      <w:r w:rsidRPr="00805DD1">
        <w:rPr>
          <w:i/>
          <w:color w:val="000000" w:themeColor="text1"/>
        </w:rPr>
        <w:t>et al.</w:t>
      </w:r>
      <w:r w:rsidRPr="00805DD1">
        <w:rPr>
          <w:color w:val="000000" w:themeColor="text1"/>
        </w:rPr>
        <w:t xml:space="preserve"> 2011, Erftemeijer </w:t>
      </w:r>
      <w:r w:rsidRPr="00805DD1">
        <w:rPr>
          <w:i/>
          <w:color w:val="000000" w:themeColor="text1"/>
        </w:rPr>
        <w:t>et al.</w:t>
      </w:r>
      <w:r w:rsidRPr="00805DD1">
        <w:rPr>
          <w:color w:val="000000" w:themeColor="text1"/>
        </w:rPr>
        <w:t xml:space="preserve"> 2012). High rates of sediment deposition and accumulation on surfaces can affect larval settlement (Babcock &amp; Smith 2002, Baird </w:t>
      </w:r>
      <w:r w:rsidRPr="00805DD1">
        <w:rPr>
          <w:i/>
          <w:color w:val="000000" w:themeColor="text1"/>
        </w:rPr>
        <w:t>et al.</w:t>
      </w:r>
      <w:r w:rsidRPr="00805DD1">
        <w:rPr>
          <w:color w:val="000000" w:themeColor="text1"/>
        </w:rPr>
        <w:t xml:space="preserve"> 2003, Fabricius </w:t>
      </w:r>
      <w:r w:rsidRPr="00805DD1">
        <w:rPr>
          <w:i/>
          <w:color w:val="000000" w:themeColor="text1"/>
        </w:rPr>
        <w:t>et al.</w:t>
      </w:r>
      <w:r w:rsidRPr="00805DD1">
        <w:rPr>
          <w:color w:val="000000" w:themeColor="text1"/>
        </w:rPr>
        <w:t xml:space="preserve"> 2003, Ricardo </w:t>
      </w:r>
      <w:r w:rsidRPr="00805DD1">
        <w:rPr>
          <w:i/>
          <w:color w:val="000000" w:themeColor="text1"/>
        </w:rPr>
        <w:t>et al.</w:t>
      </w:r>
      <w:r w:rsidRPr="00805DD1">
        <w:rPr>
          <w:color w:val="000000" w:themeColor="text1"/>
        </w:rPr>
        <w:t xml:space="preserve"> 2017) and smother juvenile corals (Harrison &amp; Wallace 1990, Rogers 1990, Fabricius &amp; Wolanski 2000). </w:t>
      </w:r>
      <w:r w:rsidR="00B76BBA">
        <w:rPr>
          <w:color w:val="000000" w:themeColor="text1"/>
        </w:rPr>
        <w:t xml:space="preserve">The density of juvenile hard corals is included as a key indicator of the endpoint of recruitment processes. </w:t>
      </w:r>
    </w:p>
    <w:p w14:paraId="53C136C8" w14:textId="77777777" w:rsidR="00BA5389" w:rsidRDefault="00B76BBA" w:rsidP="00BA5389">
      <w:pPr>
        <w:rPr>
          <w:color w:val="000000" w:themeColor="text1"/>
        </w:rPr>
      </w:pPr>
      <w:r>
        <w:rPr>
          <w:color w:val="000000" w:themeColor="text1"/>
        </w:rPr>
        <w:t xml:space="preserve">Macroalgae are monitored and reported as they have </w:t>
      </w:r>
      <w:r w:rsidR="00BA5389" w:rsidRPr="00805DD1">
        <w:rPr>
          <w:color w:val="000000" w:themeColor="text1"/>
        </w:rPr>
        <w:t xml:space="preserve">higher abundance in areas with high water column chlorophyll concentrations, indicating higher nutrient availability (De’ath &amp; Fabricius 2010, Petus </w:t>
      </w:r>
      <w:r w:rsidR="00BA5389" w:rsidRPr="00805DD1">
        <w:rPr>
          <w:i/>
          <w:color w:val="000000" w:themeColor="text1"/>
        </w:rPr>
        <w:t>et al.</w:t>
      </w:r>
      <w:r w:rsidR="00BA5389" w:rsidRPr="00805DD1">
        <w:rPr>
          <w:color w:val="000000" w:themeColor="text1"/>
        </w:rPr>
        <w:t xml:space="preserve"> 2016). High macroalgal abundance may suppress reef resilience (e.g. Hughes </w:t>
      </w:r>
      <w:r w:rsidR="00BA5389" w:rsidRPr="00805DD1">
        <w:rPr>
          <w:i/>
          <w:color w:val="000000" w:themeColor="text1"/>
        </w:rPr>
        <w:t>et al.</w:t>
      </w:r>
      <w:r w:rsidR="00BA5389" w:rsidRPr="00805DD1">
        <w:rPr>
          <w:color w:val="000000" w:themeColor="text1"/>
        </w:rPr>
        <w:t xml:space="preserve"> 2007, Cheal </w:t>
      </w:r>
      <w:r w:rsidR="00BA5389" w:rsidRPr="00805DD1">
        <w:rPr>
          <w:i/>
          <w:color w:val="000000" w:themeColor="text1"/>
        </w:rPr>
        <w:t>et al.</w:t>
      </w:r>
      <w:r w:rsidR="00BA5389" w:rsidRPr="00805DD1">
        <w:rPr>
          <w:color w:val="000000" w:themeColor="text1"/>
        </w:rPr>
        <w:t xml:space="preserve"> 2010, Foster </w:t>
      </w:r>
      <w:r w:rsidR="00BA5389" w:rsidRPr="00805DD1">
        <w:rPr>
          <w:i/>
          <w:color w:val="000000" w:themeColor="text1"/>
        </w:rPr>
        <w:t>et al.</w:t>
      </w:r>
      <w:r w:rsidR="00BA5389" w:rsidRPr="00805DD1">
        <w:rPr>
          <w:color w:val="000000" w:themeColor="text1"/>
        </w:rPr>
        <w:t xml:space="preserve"> 2008, but see Bruno </w:t>
      </w:r>
      <w:r w:rsidR="00BA5389" w:rsidRPr="00805DD1">
        <w:rPr>
          <w:i/>
          <w:color w:val="000000" w:themeColor="text1"/>
        </w:rPr>
        <w:t>et al.</w:t>
      </w:r>
      <w:r w:rsidR="00BA5389" w:rsidRPr="00805DD1">
        <w:rPr>
          <w:color w:val="000000" w:themeColor="text1"/>
        </w:rPr>
        <w:t xml:space="preserve"> 2009) by increased competition for space or changing the microenvironment into which corals settle and grow (e.g. McCook </w:t>
      </w:r>
      <w:r w:rsidR="00BA5389" w:rsidRPr="00805DD1">
        <w:rPr>
          <w:i/>
          <w:color w:val="000000" w:themeColor="text1"/>
        </w:rPr>
        <w:t>et al.</w:t>
      </w:r>
      <w:r w:rsidR="00BA5389" w:rsidRPr="00805DD1">
        <w:rPr>
          <w:color w:val="000000" w:themeColor="text1"/>
        </w:rPr>
        <w:t xml:space="preserve"> 2001, Hauri </w:t>
      </w:r>
      <w:r w:rsidR="00BA5389" w:rsidRPr="00805DD1">
        <w:rPr>
          <w:i/>
          <w:color w:val="000000" w:themeColor="text1"/>
        </w:rPr>
        <w:t>et al.</w:t>
      </w:r>
      <w:r w:rsidR="00BA5389" w:rsidRPr="00805DD1">
        <w:rPr>
          <w:color w:val="000000" w:themeColor="text1"/>
        </w:rPr>
        <w:t xml:space="preserve"> 2010). Macroalgae have been documented to suppress fecundity (Foster </w:t>
      </w:r>
      <w:r w:rsidR="00BA5389" w:rsidRPr="00805DD1">
        <w:rPr>
          <w:i/>
          <w:color w:val="000000" w:themeColor="text1"/>
        </w:rPr>
        <w:t>et al.</w:t>
      </w:r>
      <w:r w:rsidR="00BA5389" w:rsidRPr="00805DD1">
        <w:rPr>
          <w:color w:val="000000" w:themeColor="text1"/>
        </w:rPr>
        <w:t xml:space="preserve"> 2008), </w:t>
      </w:r>
      <w:r w:rsidR="00892500">
        <w:rPr>
          <w:color w:val="000000" w:themeColor="text1"/>
        </w:rPr>
        <w:t xml:space="preserve">and </w:t>
      </w:r>
      <w:r w:rsidR="00BA5389" w:rsidRPr="00805DD1">
        <w:rPr>
          <w:color w:val="000000" w:themeColor="text1"/>
        </w:rPr>
        <w:t xml:space="preserve">reduce recruitment of hard corals (Birrell </w:t>
      </w:r>
      <w:r w:rsidR="00BA5389" w:rsidRPr="00805DD1">
        <w:rPr>
          <w:i/>
          <w:color w:val="000000" w:themeColor="text1"/>
        </w:rPr>
        <w:t>et al.</w:t>
      </w:r>
      <w:r w:rsidR="00BA5389" w:rsidRPr="00805DD1">
        <w:rPr>
          <w:color w:val="000000" w:themeColor="text1"/>
        </w:rPr>
        <w:t xml:space="preserve"> 2008</w:t>
      </w:r>
      <w:r w:rsidR="00892500">
        <w:rPr>
          <w:color w:val="000000" w:themeColor="text1"/>
        </w:rPr>
        <w:t>a</w:t>
      </w:r>
      <w:r w:rsidR="00BA5389" w:rsidRPr="00805DD1">
        <w:rPr>
          <w:color w:val="000000" w:themeColor="text1"/>
        </w:rPr>
        <w:t xml:space="preserve">, Diaz-Pulido </w:t>
      </w:r>
      <w:r w:rsidR="00BA5389" w:rsidRPr="00805DD1">
        <w:rPr>
          <w:i/>
          <w:color w:val="000000" w:themeColor="text1"/>
        </w:rPr>
        <w:t>et al.</w:t>
      </w:r>
      <w:r w:rsidR="00BA5389" w:rsidRPr="00805DD1">
        <w:rPr>
          <w:color w:val="000000" w:themeColor="text1"/>
        </w:rPr>
        <w:t xml:space="preserve"> 2010</w:t>
      </w:r>
      <w:r w:rsidR="00892500">
        <w:rPr>
          <w:color w:val="000000" w:themeColor="text1"/>
        </w:rPr>
        <w:t xml:space="preserve">), although chemical cues from some species appear to promote the settlement of coral larvae (Birrell </w:t>
      </w:r>
      <w:r w:rsidR="00892500" w:rsidRPr="00892500">
        <w:rPr>
          <w:i/>
          <w:iCs/>
          <w:color w:val="000000" w:themeColor="text1"/>
        </w:rPr>
        <w:t>et al.</w:t>
      </w:r>
      <w:r w:rsidR="00892500">
        <w:rPr>
          <w:color w:val="000000" w:themeColor="text1"/>
        </w:rPr>
        <w:t xml:space="preserve"> 2008b, </w:t>
      </w:r>
      <w:r w:rsidR="00892500">
        <w:rPr>
          <w:color w:val="000000" w:themeColor="text1"/>
        </w:rPr>
        <w:lastRenderedPageBreak/>
        <w:t xml:space="preserve">Morse </w:t>
      </w:r>
      <w:r w:rsidR="00892500" w:rsidRPr="00892500">
        <w:rPr>
          <w:i/>
          <w:iCs/>
          <w:color w:val="000000" w:themeColor="text1"/>
        </w:rPr>
        <w:t>et al.</w:t>
      </w:r>
      <w:r w:rsidR="00892500">
        <w:rPr>
          <w:color w:val="000000" w:themeColor="text1"/>
        </w:rPr>
        <w:t xml:space="preserve"> 1996). Macroalgae have also been shown to </w:t>
      </w:r>
      <w:r w:rsidR="00BA5389" w:rsidRPr="00805DD1">
        <w:rPr>
          <w:color w:val="000000" w:themeColor="text1"/>
        </w:rPr>
        <w:t xml:space="preserve">diminish the capacity of growth among local coral communities (Fabricius 2005), and suppress coral recovery by altering microbial communities associated with corals (Morrow </w:t>
      </w:r>
      <w:r w:rsidR="00BA5389" w:rsidRPr="00805DD1">
        <w:rPr>
          <w:i/>
          <w:color w:val="000000" w:themeColor="text1"/>
        </w:rPr>
        <w:t>et al</w:t>
      </w:r>
      <w:r w:rsidR="00BA5389" w:rsidRPr="00805DD1">
        <w:rPr>
          <w:color w:val="000000" w:themeColor="text1"/>
        </w:rPr>
        <w:t xml:space="preserve">. 2012, Vega Thurber </w:t>
      </w:r>
      <w:r w:rsidR="00BA5389" w:rsidRPr="00805DD1">
        <w:rPr>
          <w:i/>
          <w:color w:val="000000" w:themeColor="text1"/>
        </w:rPr>
        <w:t>et al.</w:t>
      </w:r>
      <w:r w:rsidR="00BA5389" w:rsidRPr="00805DD1">
        <w:rPr>
          <w:color w:val="000000" w:themeColor="text1"/>
        </w:rPr>
        <w:t xml:space="preserve"> 2012).</w:t>
      </w:r>
    </w:p>
    <w:p w14:paraId="53C136C9" w14:textId="77777777" w:rsidR="00BA5389" w:rsidRDefault="00B76BBA" w:rsidP="00BA5389">
      <w:pPr>
        <w:rPr>
          <w:color w:val="000000" w:themeColor="text1"/>
        </w:rPr>
      </w:pPr>
      <w:r>
        <w:rPr>
          <w:color w:val="000000" w:themeColor="text1"/>
        </w:rPr>
        <w:t xml:space="preserve">Hard coral community composition is monitored as the </w:t>
      </w:r>
      <w:r w:rsidR="00BA5389" w:rsidRPr="00805DD1">
        <w:rPr>
          <w:color w:val="000000" w:themeColor="text1"/>
        </w:rPr>
        <w:t xml:space="preserve">selective pressure of water quality on coral communities is clearly evident in changes in community composition along environmental gradients (De’ath &amp; Fabricius 2010, Thompson </w:t>
      </w:r>
      <w:r w:rsidR="00BA5389" w:rsidRPr="00805DD1">
        <w:rPr>
          <w:i/>
          <w:color w:val="000000" w:themeColor="text1"/>
        </w:rPr>
        <w:t>et al.</w:t>
      </w:r>
      <w:r w:rsidR="00BA5389" w:rsidRPr="00805DD1">
        <w:rPr>
          <w:color w:val="000000" w:themeColor="text1"/>
        </w:rPr>
        <w:t xml:space="preserve"> 2010, Uthicke </w:t>
      </w:r>
      <w:r w:rsidR="00BA5389" w:rsidRPr="00805DD1">
        <w:rPr>
          <w:i/>
          <w:color w:val="000000" w:themeColor="text1"/>
        </w:rPr>
        <w:t>et al.</w:t>
      </w:r>
      <w:r w:rsidR="00BA5389" w:rsidRPr="00805DD1">
        <w:rPr>
          <w:color w:val="000000" w:themeColor="text1"/>
        </w:rPr>
        <w:t xml:space="preserve"> 2010, Fabricius </w:t>
      </w:r>
      <w:r w:rsidR="00BA5389" w:rsidRPr="00805DD1">
        <w:rPr>
          <w:i/>
          <w:color w:val="000000" w:themeColor="text1"/>
        </w:rPr>
        <w:t>et al</w:t>
      </w:r>
      <w:r w:rsidR="00BA5389" w:rsidRPr="00805DD1">
        <w:rPr>
          <w:color w:val="000000" w:themeColor="text1"/>
        </w:rPr>
        <w:t xml:space="preserve">. 2012). Corals derive energy in two ways; by feeding on ingested particles and planktonic organisms, and from the photosynthesis of their symbiotic algae (zooxanthellae). The ability to compensate by feeding, where there is a reduction in energy derived from photosynthesis, e.g. as a result of light attenuation in turbid waters (Bessell-Brown </w:t>
      </w:r>
      <w:r w:rsidR="00BA5389" w:rsidRPr="00805DD1">
        <w:rPr>
          <w:i/>
          <w:color w:val="000000" w:themeColor="text1"/>
        </w:rPr>
        <w:t>et al.</w:t>
      </w:r>
      <w:r w:rsidR="00BA5389" w:rsidRPr="00805DD1">
        <w:rPr>
          <w:color w:val="000000" w:themeColor="text1"/>
        </w:rPr>
        <w:t xml:space="preserve"> 2017a), varies between species (Anthony 1999, Anthony &amp; Fabricius 2000). Similarly, the energy required to shed sediment varies between species due to differences in the efficiencies of passive (largely depending on growth form) or active (such as mucus production) strategies for sediment removal (Rogers 1990, Stafford-Smith &amp; Ormond 1992, Duckworth </w:t>
      </w:r>
      <w:r w:rsidR="00BA5389" w:rsidRPr="00805DD1">
        <w:rPr>
          <w:i/>
          <w:color w:val="000000" w:themeColor="text1"/>
        </w:rPr>
        <w:t>et al.</w:t>
      </w:r>
      <w:r w:rsidR="00BA5389" w:rsidRPr="00805DD1">
        <w:rPr>
          <w:color w:val="000000" w:themeColor="text1"/>
        </w:rPr>
        <w:t xml:space="preserve"> 2017).</w:t>
      </w:r>
    </w:p>
    <w:p w14:paraId="53C136CA" w14:textId="77777777" w:rsidR="00E62931" w:rsidRDefault="00E62931" w:rsidP="00BA5389">
      <w:pPr>
        <w:rPr>
          <w:color w:val="000000" w:themeColor="text1"/>
        </w:rPr>
      </w:pPr>
      <w:r>
        <w:rPr>
          <w:color w:val="000000" w:themeColor="text1"/>
        </w:rPr>
        <w:t>A precursor, and more responsive indication of selective pressures is that reduced energy, or completion for space is likely to reduce the rate corals grow or result in increased rates of partial colony mortality of corals</w:t>
      </w:r>
      <w:r w:rsidR="00506C77">
        <w:rPr>
          <w:color w:val="000000" w:themeColor="text1"/>
        </w:rPr>
        <w:t>, or increase</w:t>
      </w:r>
      <w:r w:rsidR="00280E4B">
        <w:rPr>
          <w:color w:val="000000" w:themeColor="text1"/>
        </w:rPr>
        <w:t>d</w:t>
      </w:r>
      <w:r w:rsidR="00506C77">
        <w:rPr>
          <w:color w:val="000000" w:themeColor="text1"/>
        </w:rPr>
        <w:t xml:space="preserve"> susceptibility to disease. The rate </w:t>
      </w:r>
      <w:r w:rsidR="00280E4B">
        <w:rPr>
          <w:color w:val="000000" w:themeColor="text1"/>
        </w:rPr>
        <w:t xml:space="preserve">that </w:t>
      </w:r>
      <w:r w:rsidR="00506C77">
        <w:rPr>
          <w:color w:val="000000" w:themeColor="text1"/>
        </w:rPr>
        <w:t>coral cover recovers may decline under increase water quality pressure. A derivative of coral cover is an indicator based on expected rate of coral cover increase.</w:t>
      </w:r>
    </w:p>
    <w:p w14:paraId="53C136CB" w14:textId="77777777" w:rsidR="009A11EC" w:rsidRPr="00053073" w:rsidRDefault="009A11EC" w:rsidP="006F1D4F">
      <w:pPr>
        <w:pStyle w:val="Heading2"/>
        <w:numPr>
          <w:ilvl w:val="1"/>
          <w:numId w:val="66"/>
        </w:numPr>
      </w:pPr>
      <w:bookmarkStart w:id="86" w:name="_Toc35947076"/>
      <w:r>
        <w:t xml:space="preserve">Purpose of this </w:t>
      </w:r>
      <w:r w:rsidRPr="00A63314">
        <w:t>report</w:t>
      </w:r>
      <w:bookmarkEnd w:id="86"/>
    </w:p>
    <w:p w14:paraId="53C136CC" w14:textId="6FF0B33E" w:rsidR="00BA5389" w:rsidRPr="00523DE1" w:rsidRDefault="00BA5389" w:rsidP="00BA5389">
      <w:pPr>
        <w:rPr>
          <w:color w:val="000000" w:themeColor="text1"/>
        </w:rPr>
      </w:pPr>
      <w:r w:rsidRPr="00805DD1">
        <w:rPr>
          <w:color w:val="000000" w:themeColor="text1"/>
        </w:rPr>
        <w:t>The purpose of this report is to provide the data, analyses, and interpretation underpinning coral index scores included in the 2019 Reef report card.</w:t>
      </w:r>
      <w:r w:rsidRPr="00805DD1" w:rsidDel="00FF323C">
        <w:rPr>
          <w:color w:val="000000" w:themeColor="text1"/>
        </w:rPr>
        <w:t xml:space="preserve"> </w:t>
      </w:r>
      <w:r w:rsidRPr="003841F8">
        <w:rPr>
          <w:lang w:eastAsia="en-AU"/>
        </w:rPr>
        <w:t xml:space="preserve">This report covers inshore coral reef monitoring conducted by AIMS as part of the </w:t>
      </w:r>
      <w:r w:rsidR="00982946">
        <w:rPr>
          <w:lang w:eastAsia="en-AU"/>
        </w:rPr>
        <w:t xml:space="preserve">Authority’s </w:t>
      </w:r>
      <w:r w:rsidRPr="003841F8">
        <w:rPr>
          <w:lang w:eastAsia="en-AU"/>
        </w:rPr>
        <w:t>MMP until August 2019, with inclusion of data from reefs monitored by the AIMS Long-Term Monitoring Program (LTMP) from 2005 to 2019</w:t>
      </w:r>
      <w:r w:rsidRPr="003841F8">
        <w:t xml:space="preserve">. </w:t>
      </w:r>
      <w:r w:rsidRPr="00805DD1">
        <w:rPr>
          <w:color w:val="000000" w:themeColor="text1"/>
        </w:rPr>
        <w:t>The</w:t>
      </w:r>
      <w:r>
        <w:rPr>
          <w:color w:val="000000" w:themeColor="text1"/>
        </w:rPr>
        <w:t xml:space="preserve"> coral indicator and index scores reported here are </w:t>
      </w:r>
      <w:r w:rsidRPr="00805DD1">
        <w:rPr>
          <w:color w:val="000000" w:themeColor="text1"/>
        </w:rPr>
        <w:t xml:space="preserve">also </w:t>
      </w:r>
      <w:r>
        <w:rPr>
          <w:color w:val="000000" w:themeColor="text1"/>
        </w:rPr>
        <w:t xml:space="preserve">supplied to regional bodies responsible for </w:t>
      </w:r>
      <w:r w:rsidRPr="00805DD1">
        <w:rPr>
          <w:color w:val="000000" w:themeColor="text1"/>
        </w:rPr>
        <w:t>the Wet Tropics, Burdekin Dry Tropics and Mackay-Whitsunday</w:t>
      </w:r>
      <w:r>
        <w:rPr>
          <w:color w:val="000000" w:themeColor="text1"/>
        </w:rPr>
        <w:t>-Isaac</w:t>
      </w:r>
      <w:r w:rsidRPr="00805DD1">
        <w:rPr>
          <w:color w:val="000000" w:themeColor="text1"/>
        </w:rPr>
        <w:t xml:space="preserve"> regional report cards.</w:t>
      </w:r>
    </w:p>
    <w:p w14:paraId="53C136CD" w14:textId="77777777" w:rsidR="00BA5389" w:rsidRPr="00805DD1" w:rsidRDefault="00BA5389" w:rsidP="00BA5389">
      <w:pPr>
        <w:autoSpaceDE w:val="0"/>
        <w:autoSpaceDN w:val="0"/>
        <w:adjustRightInd w:val="0"/>
        <w:rPr>
          <w:color w:val="000000" w:themeColor="text1"/>
        </w:rPr>
      </w:pPr>
      <w:r w:rsidRPr="00805DD1">
        <w:rPr>
          <w:rFonts w:eastAsia="MS Mincho"/>
          <w:color w:val="000000" w:themeColor="text1"/>
        </w:rPr>
        <w:lastRenderedPageBreak/>
        <w:t>To relate changes in the condition of coral reef communities to variations in local water quality, the coral component of the MMP has the overarching objective to “</w:t>
      </w:r>
      <w:r w:rsidRPr="00805DD1">
        <w:rPr>
          <w:rFonts w:eastAsia="MS Mincho"/>
          <w:i/>
          <w:color w:val="000000" w:themeColor="text1"/>
        </w:rPr>
        <w:t>quantify the extent, frequency and intensity of acute and chronic impacts on the condition and trend of inshore coral reefs and their subsequent recovery</w:t>
      </w:r>
      <w:r w:rsidRPr="00805DD1">
        <w:rPr>
          <w:rFonts w:eastAsia="MS Mincho"/>
          <w:color w:val="000000" w:themeColor="text1"/>
        </w:rPr>
        <w:t>”. The specific objectives are to</w:t>
      </w:r>
      <w:r w:rsidRPr="00805DD1">
        <w:rPr>
          <w:color w:val="000000" w:themeColor="text1"/>
        </w:rPr>
        <w:t xml:space="preserve"> monitor, assess and report:</w:t>
      </w:r>
    </w:p>
    <w:p w14:paraId="53C136CE" w14:textId="77777777" w:rsidR="00BA5389" w:rsidRPr="00805DD1" w:rsidRDefault="00BA5389" w:rsidP="00BA5389">
      <w:pPr>
        <w:pStyle w:val="ListParagraph"/>
        <w:numPr>
          <w:ilvl w:val="0"/>
          <w:numId w:val="65"/>
        </w:numPr>
        <w:rPr>
          <w:color w:val="000000" w:themeColor="text1"/>
        </w:rPr>
      </w:pPr>
      <w:r w:rsidRPr="00805DD1">
        <w:rPr>
          <w:color w:val="000000" w:themeColor="text1"/>
        </w:rPr>
        <w:t>the condition and trend of Great Barrier Reef inshore coral reefs in relation to desired outcomes</w:t>
      </w:r>
      <w:r w:rsidRPr="00805DD1">
        <w:rPr>
          <w:rFonts w:cs="ArialMT"/>
          <w:color w:val="000000" w:themeColor="text1"/>
        </w:rPr>
        <w:t xml:space="preserve"> (expressed as coral index scores)</w:t>
      </w:r>
      <w:r w:rsidRPr="00805DD1">
        <w:rPr>
          <w:color w:val="000000" w:themeColor="text1"/>
        </w:rPr>
        <w:t xml:space="preserve"> along identified or expected gradients in water quality;</w:t>
      </w:r>
    </w:p>
    <w:p w14:paraId="53C136CF" w14:textId="77777777" w:rsidR="00BA5389" w:rsidRPr="00805DD1" w:rsidRDefault="00BA5389" w:rsidP="00BA5389">
      <w:pPr>
        <w:pStyle w:val="ListParagraph"/>
        <w:numPr>
          <w:ilvl w:val="0"/>
          <w:numId w:val="65"/>
        </w:numPr>
        <w:rPr>
          <w:rFonts w:cs="ArialMT"/>
          <w:color w:val="000000" w:themeColor="text1"/>
        </w:rPr>
      </w:pPr>
      <w:r w:rsidRPr="00805DD1">
        <w:rPr>
          <w:rFonts w:cs="ArialMT"/>
          <w:color w:val="000000" w:themeColor="text1"/>
        </w:rPr>
        <w:t xml:space="preserve">the extent, frequency and intensity of acute and chronic impacts on the condition of Great Barrier Reef inshore coral reefs, including exposure to flood plumes, sediments, nutrients and pesticides; </w:t>
      </w:r>
    </w:p>
    <w:p w14:paraId="53C136D0" w14:textId="77777777" w:rsidR="00BA5389" w:rsidRPr="00805DD1" w:rsidRDefault="00BA5389" w:rsidP="00BA5389">
      <w:pPr>
        <w:pStyle w:val="ListParagraph"/>
        <w:numPr>
          <w:ilvl w:val="0"/>
          <w:numId w:val="65"/>
        </w:numPr>
        <w:rPr>
          <w:rFonts w:cs="ArialMT"/>
          <w:color w:val="000000" w:themeColor="text1"/>
        </w:rPr>
      </w:pPr>
      <w:r w:rsidRPr="00805DD1">
        <w:rPr>
          <w:rFonts w:cs="ArialMT"/>
          <w:color w:val="000000" w:themeColor="text1"/>
        </w:rPr>
        <w:t>the recovery in condition of Great Barrier Reef inshore coral reefs from acute and chronic impacts including exposure to flood plumes, sediments, nutrients and pesticides;</w:t>
      </w:r>
    </w:p>
    <w:p w14:paraId="53C136D1" w14:textId="77777777" w:rsidR="00BA5389" w:rsidRDefault="00BA5389" w:rsidP="00BA5389">
      <w:pPr>
        <w:pStyle w:val="ListParagraph"/>
        <w:numPr>
          <w:ilvl w:val="0"/>
          <w:numId w:val="65"/>
        </w:numPr>
        <w:rPr>
          <w:rFonts w:cs="ArialMT"/>
          <w:color w:val="000000" w:themeColor="text1"/>
        </w:rPr>
      </w:pPr>
      <w:r w:rsidRPr="00805DD1">
        <w:rPr>
          <w:rFonts w:cs="ArialMT"/>
          <w:color w:val="000000" w:themeColor="text1"/>
        </w:rPr>
        <w:t xml:space="preserve">trends in incidences of coral mortality attributed to coral disease, crown-of-thorns-starfish, </w:t>
      </w:r>
      <w:r w:rsidRPr="00805DD1">
        <w:rPr>
          <w:rFonts w:cs="ArialMT"/>
          <w:i/>
          <w:color w:val="000000" w:themeColor="text1"/>
        </w:rPr>
        <w:t>Drupella spp.</w:t>
      </w:r>
      <w:r w:rsidRPr="00805DD1">
        <w:rPr>
          <w:rFonts w:cs="ArialMT"/>
          <w:color w:val="000000" w:themeColor="text1"/>
        </w:rPr>
        <w:t xml:space="preserve">, </w:t>
      </w:r>
      <w:r w:rsidRPr="00805DD1">
        <w:rPr>
          <w:rFonts w:cs="ArialMT"/>
          <w:i/>
          <w:color w:val="000000" w:themeColor="text1"/>
        </w:rPr>
        <w:t>Cliona orientalis</w:t>
      </w:r>
      <w:r w:rsidRPr="00805DD1">
        <w:rPr>
          <w:rFonts w:cs="ArialMT"/>
          <w:color w:val="000000" w:themeColor="text1"/>
        </w:rPr>
        <w:t xml:space="preserve">, physical damage and </w:t>
      </w:r>
      <w:r w:rsidR="00CF5AE0">
        <w:rPr>
          <w:rFonts w:cs="ArialMT"/>
          <w:color w:val="000000" w:themeColor="text1"/>
        </w:rPr>
        <w:t>thermal</w:t>
      </w:r>
      <w:r w:rsidRPr="00805DD1">
        <w:rPr>
          <w:rFonts w:cs="ArialMT"/>
          <w:color w:val="000000" w:themeColor="text1"/>
        </w:rPr>
        <w:t xml:space="preserve"> bleaching.</w:t>
      </w:r>
    </w:p>
    <w:p w14:paraId="53C136D2" w14:textId="77777777" w:rsidR="00F10C90" w:rsidRDefault="00F10C90" w:rsidP="006F1D4F">
      <w:pPr>
        <w:pStyle w:val="Heading2"/>
      </w:pPr>
      <w:bookmarkStart w:id="87" w:name="_Toc30772924"/>
      <w:bookmarkStart w:id="88" w:name="_Toc30773055"/>
      <w:bookmarkStart w:id="89" w:name="_Toc30773151"/>
      <w:bookmarkStart w:id="90" w:name="_Toc30772925"/>
      <w:bookmarkStart w:id="91" w:name="_Toc30773056"/>
      <w:bookmarkStart w:id="92" w:name="_Toc30773152"/>
      <w:bookmarkStart w:id="93" w:name="_Toc30772926"/>
      <w:bookmarkStart w:id="94" w:name="_Toc30773057"/>
      <w:bookmarkStart w:id="95" w:name="_Toc30773153"/>
      <w:bookmarkStart w:id="96" w:name="_Toc30772927"/>
      <w:bookmarkStart w:id="97" w:name="_Toc30773058"/>
      <w:bookmarkStart w:id="98" w:name="_Toc30773154"/>
      <w:bookmarkStart w:id="99" w:name="_Toc30772928"/>
      <w:bookmarkStart w:id="100" w:name="_Toc30773059"/>
      <w:bookmarkStart w:id="101" w:name="_Toc30773155"/>
      <w:bookmarkStart w:id="102" w:name="_Toc30772929"/>
      <w:bookmarkStart w:id="103" w:name="_Toc30773060"/>
      <w:bookmarkStart w:id="104" w:name="_Toc30773156"/>
      <w:bookmarkStart w:id="105" w:name="_Toc30596383"/>
      <w:bookmarkStart w:id="106" w:name="_Toc30772930"/>
      <w:bookmarkStart w:id="107" w:name="_Toc30773061"/>
      <w:bookmarkStart w:id="108" w:name="_Toc30773157"/>
      <w:bookmarkStart w:id="109" w:name="_Toc30596384"/>
      <w:bookmarkStart w:id="110" w:name="_Toc30772931"/>
      <w:bookmarkStart w:id="111" w:name="_Toc30773062"/>
      <w:bookmarkStart w:id="112" w:name="_Toc30773158"/>
      <w:bookmarkStart w:id="113" w:name="_Toc30596385"/>
      <w:bookmarkStart w:id="114" w:name="_Toc30772932"/>
      <w:bookmarkStart w:id="115" w:name="_Toc30773063"/>
      <w:bookmarkStart w:id="116" w:name="_Toc30773159"/>
      <w:bookmarkStart w:id="117" w:name="_Toc30596386"/>
      <w:bookmarkStart w:id="118" w:name="_Toc30772933"/>
      <w:bookmarkStart w:id="119" w:name="_Toc30773064"/>
      <w:bookmarkStart w:id="120" w:name="_Toc30773160"/>
      <w:bookmarkStart w:id="121" w:name="_Toc35947077"/>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t>Structure of the report</w:t>
      </w:r>
      <w:bookmarkEnd w:id="121"/>
    </w:p>
    <w:p w14:paraId="53C136D3" w14:textId="77777777" w:rsidR="00A43E28" w:rsidRPr="003841F8" w:rsidRDefault="263B438D" w:rsidP="00A43E28">
      <w:r>
        <w:t>In keeping with these objectives</w:t>
      </w:r>
      <w:r w:rsidR="00F10C90">
        <w:t xml:space="preserve"> listed above</w:t>
      </w:r>
      <w:r>
        <w:t>, the report is structured to present firstly data relating to key pressures likely to have influenced the condi</w:t>
      </w:r>
      <w:r w:rsidRPr="263B438D">
        <w:rPr>
          <w:lang w:eastAsia="en-AU"/>
        </w:rPr>
        <w:t>tion of coral communities</w:t>
      </w:r>
      <w:r w:rsidR="00053073">
        <w:rPr>
          <w:lang w:eastAsia="en-AU"/>
        </w:rPr>
        <w:t xml:space="preserve"> (section 3),</w:t>
      </w:r>
      <w:r w:rsidRPr="263B438D">
        <w:rPr>
          <w:lang w:eastAsia="en-AU"/>
        </w:rPr>
        <w:t xml:space="preserve"> followed by the coral community responses to those pressures. </w:t>
      </w:r>
      <w:r w:rsidR="00BF2056">
        <w:rPr>
          <w:lang w:eastAsia="en-AU"/>
        </w:rPr>
        <w:t>C</w:t>
      </w:r>
      <w:r w:rsidRPr="263B438D">
        <w:rPr>
          <w:lang w:eastAsia="en-AU"/>
        </w:rPr>
        <w:t xml:space="preserve">oral community condition summaries </w:t>
      </w:r>
      <w:r w:rsidR="00BF2056">
        <w:rPr>
          <w:lang w:eastAsia="en-AU"/>
        </w:rPr>
        <w:t>(section 4)</w:t>
      </w:r>
      <w:r w:rsidR="00BF2056" w:rsidRPr="263B438D">
        <w:rPr>
          <w:lang w:eastAsia="en-AU"/>
        </w:rPr>
        <w:t xml:space="preserve"> </w:t>
      </w:r>
      <w:r w:rsidRPr="263B438D">
        <w:rPr>
          <w:lang w:eastAsia="en-AU"/>
        </w:rPr>
        <w:t>are reported at the scale of the inshore Reef</w:t>
      </w:r>
      <w:r w:rsidR="00053073">
        <w:rPr>
          <w:lang w:eastAsia="en-AU"/>
        </w:rPr>
        <w:t xml:space="preserve"> </w:t>
      </w:r>
      <w:r w:rsidRPr="263B438D">
        <w:rPr>
          <w:lang w:eastAsia="en-AU"/>
        </w:rPr>
        <w:t>followed by more detailed exploration of regional patterns</w:t>
      </w:r>
      <w:r w:rsidR="000B0410">
        <w:rPr>
          <w:lang w:eastAsia="en-AU"/>
        </w:rPr>
        <w:t xml:space="preserve"> and </w:t>
      </w:r>
      <w:r w:rsidR="00A63314">
        <w:rPr>
          <w:lang w:eastAsia="en-AU"/>
        </w:rPr>
        <w:t xml:space="preserve">finally responses of communities to water quality. These results are </w:t>
      </w:r>
      <w:r w:rsidR="00BF2056">
        <w:rPr>
          <w:lang w:eastAsia="en-AU"/>
        </w:rPr>
        <w:t>discussed in section 5.</w:t>
      </w:r>
      <w:r w:rsidRPr="263B438D">
        <w:rPr>
          <w:lang w:eastAsia="en-AU"/>
        </w:rPr>
        <w:t xml:space="preserve"> Finer scale trends in condition for individual reefs are available on-line at </w:t>
      </w:r>
      <w:hyperlink r:id="rId28">
        <w:r w:rsidRPr="263B438D">
          <w:rPr>
            <w:rStyle w:val="Hyperlink"/>
          </w:rPr>
          <w:t>http://apps.aims.gov.au/reef-monitoring/</w:t>
        </w:r>
      </w:hyperlink>
      <w:r>
        <w:t>.</w:t>
      </w:r>
    </w:p>
    <w:p w14:paraId="53C136D4" w14:textId="77777777" w:rsidR="00F01230" w:rsidRDefault="00F01230">
      <w:pPr>
        <w:jc w:val="left"/>
        <w:rPr>
          <w:rFonts w:cs="ArialMT"/>
          <w:color w:val="000000" w:themeColor="text1"/>
        </w:rPr>
      </w:pPr>
      <w:r>
        <w:rPr>
          <w:rFonts w:cs="ArialMT"/>
          <w:color w:val="000000" w:themeColor="text1"/>
        </w:rPr>
        <w:br w:type="page"/>
      </w:r>
    </w:p>
    <w:p w14:paraId="53C136D5" w14:textId="77777777" w:rsidR="00A84742" w:rsidRDefault="00A84742" w:rsidP="00D217FF">
      <w:pPr>
        <w:pStyle w:val="Heading1"/>
      </w:pPr>
      <w:bookmarkStart w:id="122" w:name="_Toc491847357"/>
      <w:bookmarkStart w:id="123" w:name="_Ref500251897"/>
      <w:bookmarkStart w:id="124" w:name="_Toc526246878"/>
      <w:bookmarkStart w:id="125" w:name="_Toc530654931"/>
      <w:bookmarkStart w:id="126" w:name="_Toc35947078"/>
      <w:r w:rsidRPr="0047679E">
        <w:lastRenderedPageBreak/>
        <w:t>Methods</w:t>
      </w:r>
      <w:bookmarkEnd w:id="122"/>
      <w:bookmarkEnd w:id="123"/>
      <w:bookmarkEnd w:id="124"/>
      <w:bookmarkEnd w:id="125"/>
      <w:bookmarkEnd w:id="126"/>
    </w:p>
    <w:p w14:paraId="53C136D6" w14:textId="77777777" w:rsidR="00B61D69" w:rsidRPr="00B61D69" w:rsidRDefault="00B61D69" w:rsidP="00B61D69">
      <w:pPr>
        <w:rPr>
          <w:lang w:eastAsia="en-AU"/>
        </w:rPr>
      </w:pPr>
      <w:r>
        <w:rPr>
          <w:lang w:eastAsia="en-AU"/>
        </w:rPr>
        <w:t>This section provides and overview of the source</w:t>
      </w:r>
      <w:r w:rsidR="001F7525">
        <w:rPr>
          <w:lang w:eastAsia="en-AU"/>
        </w:rPr>
        <w:t xml:space="preserve"> and manipulation of</w:t>
      </w:r>
      <w:r>
        <w:rPr>
          <w:lang w:eastAsia="en-AU"/>
        </w:rPr>
        <w:t xml:space="preserve">; climate and environment pressure data, </w:t>
      </w:r>
      <w:r w:rsidR="001F7525">
        <w:rPr>
          <w:lang w:eastAsia="en-AU"/>
        </w:rPr>
        <w:t xml:space="preserve">the sampling of </w:t>
      </w:r>
      <w:r>
        <w:rPr>
          <w:lang w:eastAsia="en-AU"/>
        </w:rPr>
        <w:t>coral communit</w:t>
      </w:r>
      <w:r w:rsidR="001F7525">
        <w:rPr>
          <w:lang w:eastAsia="en-AU"/>
        </w:rPr>
        <w:t>ies</w:t>
      </w:r>
      <w:r>
        <w:rPr>
          <w:lang w:eastAsia="en-AU"/>
        </w:rPr>
        <w:t xml:space="preserve">, </w:t>
      </w:r>
      <w:r w:rsidR="001F7525">
        <w:rPr>
          <w:lang w:eastAsia="en-AU"/>
        </w:rPr>
        <w:t>and the methods used to analyse these data.</w:t>
      </w:r>
    </w:p>
    <w:p w14:paraId="53C136D7" w14:textId="77777777" w:rsidR="00DF6F02" w:rsidRDefault="00DF6F02" w:rsidP="006F1D4F">
      <w:pPr>
        <w:pStyle w:val="Heading2"/>
        <w:numPr>
          <w:ilvl w:val="1"/>
          <w:numId w:val="68"/>
        </w:numPr>
      </w:pPr>
      <w:bookmarkStart w:id="127" w:name="_Toc35947079"/>
      <w:r w:rsidRPr="00AA3C8D">
        <w:t xml:space="preserve">Climate and </w:t>
      </w:r>
      <w:r w:rsidRPr="000C6750">
        <w:t>environmental</w:t>
      </w:r>
      <w:r w:rsidRPr="00AA3C8D">
        <w:t xml:space="preserve"> pressures</w:t>
      </w:r>
      <w:bookmarkEnd w:id="127"/>
    </w:p>
    <w:p w14:paraId="53C136D8" w14:textId="55B2A6A5" w:rsidR="003D4F59" w:rsidRDefault="00DF6F02" w:rsidP="003D4F59">
      <w:r w:rsidRPr="00CE4E0F">
        <w:t xml:space="preserve">A range of environmental </w:t>
      </w:r>
      <w:r>
        <w:t xml:space="preserve">pressure </w:t>
      </w:r>
      <w:r w:rsidRPr="00CE4E0F">
        <w:t>variables are incorporated into this report as a basis for interpreting spatial and temporal trends in coral communities</w:t>
      </w:r>
      <w:r w:rsidR="001F7525">
        <w:t xml:space="preserve">, the source </w:t>
      </w:r>
      <w:r w:rsidR="00D85D4E">
        <w:t xml:space="preserve">and use </w:t>
      </w:r>
      <w:r w:rsidR="001F7525">
        <w:t xml:space="preserve">of these data </w:t>
      </w:r>
      <w:r w:rsidR="00D85D4E">
        <w:t>is</w:t>
      </w:r>
      <w:r w:rsidR="001F7525">
        <w:t xml:space="preserve"> summarised in </w:t>
      </w:r>
      <w:r w:rsidR="00D85D4E">
        <w:fldChar w:fldCharType="begin"/>
      </w:r>
      <w:r w:rsidR="00D85D4E">
        <w:instrText xml:space="preserve"> REF _Ref29909165 \h </w:instrText>
      </w:r>
      <w:r w:rsidR="00D85D4E">
        <w:fldChar w:fldCharType="separate"/>
      </w:r>
      <w:r w:rsidR="003053D1" w:rsidRPr="00CE4E0F">
        <w:t xml:space="preserve">Table </w:t>
      </w:r>
      <w:r w:rsidR="003053D1">
        <w:rPr>
          <w:noProof/>
        </w:rPr>
        <w:t>1</w:t>
      </w:r>
      <w:r w:rsidR="00D85D4E">
        <w:fldChar w:fldCharType="end"/>
      </w:r>
      <w:r w:rsidR="001F7525">
        <w:t>.</w:t>
      </w:r>
    </w:p>
    <w:p w14:paraId="53C136D9" w14:textId="77777777" w:rsidR="00DF6F02" w:rsidRPr="001F6FBC" w:rsidRDefault="00DF6F02" w:rsidP="00727D87">
      <w:pPr>
        <w:pStyle w:val="Heading3"/>
      </w:pPr>
      <w:bookmarkStart w:id="128" w:name="_Toc35947080"/>
      <w:r w:rsidRPr="001F6FBC">
        <w:t>River discharge</w:t>
      </w:r>
      <w:bookmarkEnd w:id="128"/>
    </w:p>
    <w:p w14:paraId="53C136DA" w14:textId="616539E2" w:rsidR="00DF6F02" w:rsidRDefault="00DF6F02" w:rsidP="00DF6F02">
      <w:r w:rsidRPr="00CE4E0F">
        <w:t>Daily records of river discharge were obtained from Queensland Government Department of Natural Resources and Mines (DNRM) river gauge stations for the major rivers draining to the Reef</w:t>
      </w:r>
      <w:r>
        <w:t>. For the Reef and each (sub-)region t</w:t>
      </w:r>
      <w:r w:rsidRPr="00CE4E0F">
        <w:t>otal annual discharge for each water year, 1</w:t>
      </w:r>
      <w:r w:rsidRPr="00CE4E0F">
        <w:rPr>
          <w:vertAlign w:val="superscript"/>
        </w:rPr>
        <w:t>st</w:t>
      </w:r>
      <w:r w:rsidRPr="00CE4E0F">
        <w:t xml:space="preserve"> October to 30</w:t>
      </w:r>
      <w:r w:rsidRPr="00CE4E0F">
        <w:rPr>
          <w:vertAlign w:val="superscript"/>
        </w:rPr>
        <w:t>th</w:t>
      </w:r>
      <w:r w:rsidRPr="00CE4E0F">
        <w:t xml:space="preserve"> September, include a correction factor applied to gauged discharges to account for ungauged areas of the catchment (</w:t>
      </w:r>
      <w:r>
        <w:t xml:space="preserve">Gruber </w:t>
      </w:r>
      <w:r w:rsidRPr="006946AC">
        <w:rPr>
          <w:i/>
        </w:rPr>
        <w:t>et al</w:t>
      </w:r>
      <w:r>
        <w:t xml:space="preserve">. 2020, </w:t>
      </w:r>
      <w:r>
        <w:fldChar w:fldCharType="begin"/>
      </w:r>
      <w:r>
        <w:instrText xml:space="preserve"> REF _Ref30587128 \h </w:instrText>
      </w:r>
      <w:r>
        <w:fldChar w:fldCharType="separate"/>
      </w:r>
      <w:r w:rsidR="003053D1">
        <w:t xml:space="preserve">Table A </w:t>
      </w:r>
      <w:r w:rsidR="003053D1">
        <w:rPr>
          <w:noProof/>
        </w:rPr>
        <w:t>6</w:t>
      </w:r>
      <w:r>
        <w:fldChar w:fldCharType="end"/>
      </w:r>
      <w:r w:rsidRPr="00CE4E0F">
        <w:t>).</w:t>
      </w:r>
      <w:r>
        <w:t xml:space="preserve"> </w:t>
      </w:r>
    </w:p>
    <w:p w14:paraId="53C136DB" w14:textId="4457FB34" w:rsidR="00DF6F02" w:rsidRDefault="00DF6F02" w:rsidP="00DF6F02">
      <w:r>
        <w:t xml:space="preserve">For </w:t>
      </w:r>
      <w:r w:rsidRPr="00CE4E0F">
        <w:t>each (sub</w:t>
      </w:r>
      <w:r w:rsidRPr="00CE4E0F">
        <w:noBreakHyphen/>
        <w:t xml:space="preserve">)region time-series </w:t>
      </w:r>
      <w:r>
        <w:t xml:space="preserve">of daily </w:t>
      </w:r>
      <w:r w:rsidRPr="00CE4E0F">
        <w:t xml:space="preserve">discharge </w:t>
      </w:r>
      <w:r>
        <w:t xml:space="preserve">were estimated as the sum of gauged values from gauging stations nearest the mouths of the major rivers </w:t>
      </w:r>
      <w:r w:rsidR="00D85D4E">
        <w:t>(</w:t>
      </w:r>
      <w:r w:rsidR="00D85D4E">
        <w:fldChar w:fldCharType="begin"/>
      </w:r>
      <w:r w:rsidR="00D85D4E">
        <w:instrText xml:space="preserve"> REF _Ref30596520 \h </w:instrText>
      </w:r>
      <w:r w:rsidR="00D85D4E">
        <w:fldChar w:fldCharType="separate"/>
      </w:r>
      <w:r w:rsidR="003053D1">
        <w:t xml:space="preserve">Table A </w:t>
      </w:r>
      <w:r w:rsidR="003053D1">
        <w:rPr>
          <w:noProof/>
        </w:rPr>
        <w:t>1</w:t>
      </w:r>
      <w:r w:rsidR="00D85D4E">
        <w:fldChar w:fldCharType="end"/>
      </w:r>
      <w:r>
        <w:t>)</w:t>
      </w:r>
      <w:r w:rsidR="001F7525">
        <w:t>.</w:t>
      </w:r>
    </w:p>
    <w:p w14:paraId="53C136DC" w14:textId="77777777" w:rsidR="00DF6F02" w:rsidRDefault="00DF6F02" w:rsidP="00DF6F02">
      <w:r w:rsidRPr="00CE4E0F">
        <w:t>Total annual river discharge for each region was used as a covariate in analysis of change in coral index scores.</w:t>
      </w:r>
      <w:r>
        <w:t xml:space="preserve"> </w:t>
      </w:r>
      <w:r w:rsidRPr="00CE4E0F">
        <w:t>For this analysis</w:t>
      </w:r>
      <w:r>
        <w:t>,</w:t>
      </w:r>
      <w:r w:rsidRPr="00CE4E0F">
        <w:t xml:space="preserve"> the biennial changes in index scores were considered due to the underlying sampling design of the program. To match this sampling frequency, the mean of the total annual discharge from all rivers discharging into a given region for each two-year period between 2006 and 2019 was calculated.</w:t>
      </w:r>
    </w:p>
    <w:p w14:paraId="53C136DD" w14:textId="77777777" w:rsidR="00DF6F02" w:rsidRPr="00CE4E0F" w:rsidRDefault="00DF6F02" w:rsidP="00727D87">
      <w:pPr>
        <w:pStyle w:val="Heading3"/>
      </w:pPr>
      <w:bookmarkStart w:id="129" w:name="_Toc35947081"/>
      <w:r>
        <w:t xml:space="preserve">River Nutrient </w:t>
      </w:r>
      <w:r w:rsidRPr="001F6FBC">
        <w:t>Loads</w:t>
      </w:r>
      <w:bookmarkEnd w:id="129"/>
    </w:p>
    <w:p w14:paraId="53C136DE" w14:textId="26D59F6F" w:rsidR="00CC406D" w:rsidRDefault="00DF6F02" w:rsidP="00CC406D">
      <w:r>
        <w:t xml:space="preserve">Loads of total </w:t>
      </w:r>
      <w:r w:rsidR="00A24446">
        <w:t xml:space="preserve">nitrogen (N) </w:t>
      </w:r>
      <w:r>
        <w:t xml:space="preserve">and </w:t>
      </w:r>
      <w:r w:rsidR="00A24446">
        <w:t>phosphorous (</w:t>
      </w:r>
      <w:r>
        <w:t>P</w:t>
      </w:r>
      <w:r w:rsidR="00A24446">
        <w:t>)</w:t>
      </w:r>
      <w:r>
        <w:t xml:space="preserve"> delivered by rivers were sourced from the Great Barrier Reef Catchment Loads Monitoring Program. In short, annual loads are estimated from concentrations measured across the </w:t>
      </w:r>
      <w:r>
        <w:lastRenderedPageBreak/>
        <w:t xml:space="preserve">year’s hydrological cycle. Time series of loads that span the coral monitoring data are limited to those </w:t>
      </w:r>
      <w:r w:rsidRPr="009D0958">
        <w:t xml:space="preserve">detailed in </w:t>
      </w:r>
      <w:r w:rsidR="00D85D4E">
        <w:t>(</w:t>
      </w:r>
      <w:r w:rsidR="00CC406D">
        <w:fldChar w:fldCharType="begin"/>
      </w:r>
      <w:r w:rsidR="00CC406D">
        <w:instrText xml:space="preserve"> REF _Ref35854605 \h </w:instrText>
      </w:r>
      <w:r w:rsidR="00CC406D">
        <w:fldChar w:fldCharType="separate"/>
      </w:r>
      <w:r w:rsidR="003053D1">
        <w:t xml:space="preserve">Table A </w:t>
      </w:r>
      <w:r w:rsidR="003053D1">
        <w:rPr>
          <w:noProof/>
        </w:rPr>
        <w:t>2</w:t>
      </w:r>
      <w:r w:rsidR="00CC406D">
        <w:fldChar w:fldCharType="end"/>
      </w:r>
      <w:r w:rsidRPr="009D0958">
        <w:t>).</w:t>
      </w:r>
      <w:r>
        <w:t xml:space="preserve"> </w:t>
      </w:r>
    </w:p>
    <w:p w14:paraId="53C136DF" w14:textId="77777777" w:rsidR="00DF6F02" w:rsidRDefault="00DF6F02" w:rsidP="00CC406D">
      <w:r>
        <w:t xml:space="preserve">The load time series from the Great Barrier Reef Catchment Loads Monitoring Program were supplied by the State of Queensland, Department of Environment and Science. Loads for 2016-17 and 2017-18 are available from the </w:t>
      </w:r>
      <w:hyperlink r:id="rId29" w:history="1">
        <w:r>
          <w:rPr>
            <w:rStyle w:val="Hyperlink"/>
          </w:rPr>
          <w:t>© State of Queensland (Department of Environment and Science) 2019</w:t>
        </w:r>
      </w:hyperlink>
      <w:r>
        <w:t>.</w:t>
      </w:r>
    </w:p>
    <w:p w14:paraId="53C136E0" w14:textId="77777777" w:rsidR="00DF6F02" w:rsidRPr="00CE4E0F" w:rsidRDefault="00DF6F02" w:rsidP="00727D87">
      <w:pPr>
        <w:pStyle w:val="Heading3"/>
      </w:pPr>
      <w:bookmarkStart w:id="130" w:name="_Toc35947082"/>
      <w:r w:rsidRPr="00CE4E0F">
        <w:t>Sea temperature</w:t>
      </w:r>
      <w:bookmarkEnd w:id="130"/>
    </w:p>
    <w:p w14:paraId="53C136E1" w14:textId="1C15F60E" w:rsidR="00DF6F02" w:rsidRPr="00CE4E0F" w:rsidRDefault="002A01BB" w:rsidP="002A01BB">
      <w:r>
        <w:t>To assess variability in temperature stress within and among regions, t</w:t>
      </w:r>
      <w:r w:rsidR="00DF6F02" w:rsidRPr="00CE4E0F">
        <w:t xml:space="preserve">emperature loggers were deployed at each coral monitoring reef at both 2 m and 5 m depths and routinely exchanged at the time of the coral surveys (i.e. every 12 or 24 months). Exceptions were Snapper South, Fitzroy East, High East, Franklands East, Dunk South, and Palms East where loggers were not deployed due to the proximity of those sites to the sites on the western or northern aspects of these same islands, where loggers were deployed. A range of logger models have been </w:t>
      </w:r>
      <w:r w:rsidR="00DF6F02" w:rsidRPr="009D0958">
        <w:t>used (</w:t>
      </w:r>
      <w:r>
        <w:fldChar w:fldCharType="begin"/>
      </w:r>
      <w:r>
        <w:instrText xml:space="preserve"> REF _Ref35855234 \h </w:instrText>
      </w:r>
      <w:r>
        <w:fldChar w:fldCharType="separate"/>
      </w:r>
      <w:r w:rsidR="003053D1">
        <w:t xml:space="preserve">Table A </w:t>
      </w:r>
      <w:r w:rsidR="003053D1">
        <w:rPr>
          <w:noProof/>
        </w:rPr>
        <w:t>3</w:t>
      </w:r>
      <w:r>
        <w:fldChar w:fldCharType="end"/>
      </w:r>
      <w:r w:rsidR="00DF6F02" w:rsidRPr="009D0958">
        <w:t>).</w:t>
      </w:r>
    </w:p>
    <w:p w14:paraId="53C136E2" w14:textId="77777777" w:rsidR="00DF6F02" w:rsidRPr="00CE4E0F" w:rsidRDefault="00DF6F02" w:rsidP="00DF6F02">
      <w:r w:rsidRPr="00CE4E0F">
        <w:t>Loggers were calibrated against a certified reference thermometer after each deployment and were generally accurate to ± 0.2°C.</w:t>
      </w:r>
    </w:p>
    <w:p w14:paraId="53C136E3" w14:textId="77777777" w:rsidR="00DF6F02" w:rsidRDefault="00DF6F02" w:rsidP="00DF6F02">
      <w:r w:rsidRPr="00CE4E0F">
        <w:t>For presentation and analysis, the data from all loggers deployed within a (sub</w:t>
      </w:r>
      <w:r w:rsidRPr="00CE4E0F">
        <w:noBreakHyphen/>
        <w:t>)region were averaged to produce a time-series of mean average water temperature. From these time-series a seasonal climatology for each (sub</w:t>
      </w:r>
      <w:r w:rsidRPr="00CE4E0F">
        <w:noBreakHyphen/>
        <w:t xml:space="preserve">)region was estimated as </w:t>
      </w:r>
      <w:r>
        <w:t>the</w:t>
      </w:r>
      <w:r w:rsidRPr="00CE4E0F">
        <w:t xml:space="preserve"> mean temperature for each day of the year over the period 2005 to 2015.</w:t>
      </w:r>
      <w:r>
        <w:t xml:space="preserve"> This baseline climatology excludes the high temperatures that lead to coral bleaching in 2016 and 2017.</w:t>
      </w:r>
      <w:r w:rsidRPr="00CE4E0F">
        <w:t xml:space="preserve"> </w:t>
      </w:r>
      <w:r>
        <w:t xml:space="preserve"> For the Fitzroy Region bleaching was also observed in 2006 and that year is also excluded from the baseline climatology. </w:t>
      </w:r>
      <w:r w:rsidRPr="00CE4E0F">
        <w:t>Temperature data for each (sub</w:t>
      </w:r>
      <w:r w:rsidRPr="00CE4E0F">
        <w:noBreakHyphen/>
        <w:t>)region are plotted as anomalies, estimated as the mean difference between daily observations within a (sub</w:t>
      </w:r>
      <w:r w:rsidRPr="00CE4E0F">
        <w:noBreakHyphen/>
        <w:t>)region and the seasonal climatology.</w:t>
      </w:r>
    </w:p>
    <w:p w14:paraId="53C136E4" w14:textId="77777777" w:rsidR="00DF6F02" w:rsidRPr="00CE4E0F" w:rsidRDefault="00DF6F02" w:rsidP="00727D87">
      <w:pPr>
        <w:pStyle w:val="Heading3"/>
      </w:pPr>
      <w:bookmarkStart w:id="131" w:name="_Toc35947083"/>
      <w:r>
        <w:lastRenderedPageBreak/>
        <w:t>Temperature stress</w:t>
      </w:r>
      <w:bookmarkEnd w:id="131"/>
    </w:p>
    <w:p w14:paraId="53C136E5" w14:textId="77777777" w:rsidR="00DF6F02" w:rsidRPr="00CE4E0F" w:rsidRDefault="00DF6F02" w:rsidP="00DF6F02">
      <w:r w:rsidRPr="00CE4E0F">
        <w:t>Two estimates of seasonal temperature anomalies, as an indication of potential temperature stress to corals, are also presented.</w:t>
      </w:r>
    </w:p>
    <w:p w14:paraId="53C136E6" w14:textId="77777777" w:rsidR="00DF6F02" w:rsidRPr="00CE4E0F" w:rsidRDefault="00DF6F02" w:rsidP="00DF6F02">
      <w:r w:rsidRPr="00CE4E0F">
        <w:t xml:space="preserve">The first, </w:t>
      </w:r>
      <m:oMath>
        <m:r>
          <w:rPr>
            <w:rFonts w:ascii="Cambria Math" w:hAnsi="Cambria Math"/>
          </w:rPr>
          <m:t>Obs.DHD,</m:t>
        </m:r>
      </m:oMath>
      <w:r w:rsidRPr="00CE4E0F">
        <w:t xml:space="preserve"> is derived from the logger time-series and presents the </w:t>
      </w:r>
      <w:r>
        <w:t xml:space="preserve">summer (December to March) </w:t>
      </w:r>
      <w:r w:rsidRPr="00CE4E0F">
        <w:t xml:space="preserve">exposure to temperatures </w:t>
      </w:r>
      <w:r>
        <w:t>greater than t</w:t>
      </w:r>
      <w:r w:rsidRPr="00CE4E0F">
        <w:t>he (sub</w:t>
      </w:r>
      <w:r w:rsidRPr="00CE4E0F">
        <w:noBreakHyphen/>
        <w:t>)region’s seasonal climatology as:</w:t>
      </w:r>
    </w:p>
    <w:p w14:paraId="53C136E7" w14:textId="77777777" w:rsidR="00DF6F02" w:rsidRPr="00CE4E0F" w:rsidRDefault="00DF6F02" w:rsidP="00DF6F02">
      <m:oMathPara>
        <m:oMath>
          <m:r>
            <w:rPr>
              <w:rFonts w:ascii="Cambria Math" w:hAnsi="Cambria Math"/>
            </w:rPr>
            <m:t xml:space="preserve">Obs.DHD= </m:t>
          </m:r>
          <m:nary>
            <m:naryPr>
              <m:chr m:val="∑"/>
              <m:limLoc m:val="undOvr"/>
              <m:subHide m:val="1"/>
              <m:supHide m:val="1"/>
              <m:ctrlPr>
                <w:rPr>
                  <w:rFonts w:ascii="Cambria Math" w:hAnsi="Cambria Math"/>
                  <w:i/>
                </w:rPr>
              </m:ctrlPr>
            </m:naryPr>
            <m:sub/>
            <m:sup/>
            <m:e>
              <m:sSub>
                <m:sSubPr>
                  <m:ctrlPr>
                    <w:rPr>
                      <w:rFonts w:ascii="Cambria Math" w:hAnsi="Cambria Math"/>
                      <w:i/>
                    </w:rPr>
                  </m:ctrlPr>
                </m:sSubPr>
                <m:e>
                  <m:r>
                    <w:rPr>
                      <w:rFonts w:ascii="Cambria Math" w:hAnsi="Cambria Math"/>
                    </w:rPr>
                    <m:t>T</m:t>
                  </m:r>
                </m:e>
                <m:sub>
                  <m:r>
                    <w:rPr>
                      <w:rFonts w:ascii="Cambria Math" w:hAnsi="Cambria Math"/>
                    </w:rPr>
                    <m:t>i</m:t>
                  </m:r>
                </m:sub>
              </m:sSub>
              <m:r>
                <w:rPr>
                  <w:rFonts w:ascii="Cambria Math" w:hAnsi="Cambria Math"/>
                </w:rPr>
                <m:t>-Tci</m:t>
              </m:r>
            </m:e>
          </m:nary>
        </m:oMath>
      </m:oMathPara>
    </w:p>
    <w:p w14:paraId="53C136E8" w14:textId="77777777" w:rsidR="00DF6F02" w:rsidRPr="00CE4E0F" w:rsidRDefault="00DF6F02" w:rsidP="00DF6F02">
      <w:r w:rsidRPr="00CE4E0F">
        <w:t xml:space="preserve">Where, </w:t>
      </w:r>
      <m:oMath>
        <m:sSub>
          <m:sSubPr>
            <m:ctrlPr>
              <w:rPr>
                <w:rFonts w:ascii="Cambria Math" w:hAnsi="Cambria Math"/>
                <w:i/>
              </w:rPr>
            </m:ctrlPr>
          </m:sSubPr>
          <m:e>
            <m:r>
              <w:rPr>
                <w:rFonts w:ascii="Cambria Math" w:hAnsi="Cambria Math"/>
              </w:rPr>
              <m:t>T</m:t>
            </m:r>
          </m:e>
          <m:sub>
            <m:r>
              <w:rPr>
                <w:rFonts w:ascii="Cambria Math" w:hAnsi="Cambria Math"/>
              </w:rPr>
              <m:t>i</m:t>
            </m:r>
          </m:sub>
        </m:sSub>
      </m:oMath>
      <w:r w:rsidRPr="00CE4E0F">
        <w:t xml:space="preserve"> is the mean temperature </w:t>
      </w:r>
      <w:r>
        <w:t xml:space="preserve">recorded by all loggers in a (sub-)region a particular </w:t>
      </w:r>
      <w:r w:rsidRPr="00CE4E0F">
        <w:t>day</w:t>
      </w:r>
      <w:r>
        <w:t xml:space="preserve"> </w:t>
      </w:r>
      <w:r w:rsidRPr="00CE4E0F">
        <w:t>(i)</w:t>
      </w:r>
      <w:r>
        <w:t>, and</w:t>
      </w:r>
      <m:oMath>
        <m:r>
          <w:rPr>
            <w:rFonts w:ascii="Cambria Math" w:hAnsi="Cambria Math"/>
          </w:rPr>
          <m:t xml:space="preserve">  Tci</m:t>
        </m:r>
      </m:oMath>
      <w:r>
        <w:t xml:space="preserve"> is </w:t>
      </w:r>
      <w:r w:rsidRPr="00CE4E0F">
        <w:t>(sub</w:t>
      </w:r>
      <w:r w:rsidRPr="00CE4E0F">
        <w:noBreakHyphen/>
        <w:t xml:space="preserve">)region’s climatological </w:t>
      </w:r>
      <w:r>
        <w:t>temperature for that day of the year. Only positive anomalies are summed</w:t>
      </w:r>
      <w:r w:rsidRPr="00CE4E0F">
        <w:t>.</w:t>
      </w:r>
    </w:p>
    <w:p w14:paraId="53C136E9" w14:textId="77777777" w:rsidR="00DF6F02" w:rsidRPr="00CE4E0F" w:rsidRDefault="00DF6F02" w:rsidP="00DF6F02">
      <w:pPr>
        <w:rPr>
          <w:rFonts w:eastAsia="SimSun"/>
          <w:bCs/>
        </w:rPr>
      </w:pPr>
      <w:r w:rsidRPr="00CE4E0F">
        <w:t xml:space="preserve">The second, </w:t>
      </w:r>
      <w:r w:rsidR="00A71A3B">
        <w:t>degree heating days (</w:t>
      </w:r>
      <w:r w:rsidRPr="00CE4E0F">
        <w:t>DHD</w:t>
      </w:r>
      <w:r w:rsidR="00A71A3B">
        <w:t>)</w:t>
      </w:r>
      <w:r w:rsidRPr="00CE4E0F">
        <w:t xml:space="preserve"> </w:t>
      </w:r>
      <w:r w:rsidRPr="00CE4E0F">
        <w:rPr>
          <w:rFonts w:eastAsia="SimSun"/>
          <w:bCs/>
        </w:rPr>
        <w:t xml:space="preserve">were derived from </w:t>
      </w:r>
      <w:r w:rsidR="00A71A3B">
        <w:rPr>
          <w:rFonts w:eastAsia="SimSun"/>
          <w:bCs/>
        </w:rPr>
        <w:t>~4 km</w:t>
      </w:r>
      <w:r w:rsidR="00A71A3B" w:rsidRPr="00A71A3B">
        <w:rPr>
          <w:rFonts w:eastAsia="SimSun"/>
          <w:bCs/>
          <w:vertAlign w:val="superscript"/>
        </w:rPr>
        <w:t>2</w:t>
      </w:r>
      <w:r w:rsidR="00A71A3B">
        <w:rPr>
          <w:rFonts w:eastAsia="SimSun"/>
          <w:bCs/>
        </w:rPr>
        <w:t xml:space="preserve"> </w:t>
      </w:r>
      <w:r w:rsidRPr="00CE4E0F">
        <w:rPr>
          <w:rFonts w:eastAsia="SimSun"/>
          <w:bCs/>
        </w:rPr>
        <w:t xml:space="preserve">pixels adjacent to each coral monitoring location downloaded from the Bureau of Meteorology satellite-based interactive website </w:t>
      </w:r>
      <w:r w:rsidRPr="00CE4E0F">
        <w:t>ReefTemp Next Generation</w:t>
      </w:r>
      <w:r w:rsidRPr="00CE4E0F">
        <w:rPr>
          <w:vertAlign w:val="superscript"/>
        </w:rPr>
        <w:footnoteReference w:id="2"/>
      </w:r>
      <w:r w:rsidRPr="00CE4E0F">
        <w:t xml:space="preserve">. </w:t>
      </w:r>
      <w:r w:rsidRPr="00CE4E0F">
        <w:rPr>
          <w:rFonts w:eastAsia="SimSun"/>
          <w:bCs/>
        </w:rPr>
        <w:t xml:space="preserve">DHD values were calculated as the sum of daily positive deviations </w:t>
      </w:r>
      <w:r w:rsidRPr="00CE4E0F">
        <w:t>from 14-day IMOS climatology</w:t>
      </w:r>
      <w:r w:rsidRPr="00CE4E0F">
        <w:rPr>
          <w:rFonts w:eastAsia="SimSun"/>
          <w:bCs/>
        </w:rPr>
        <w:t xml:space="preserve"> – a one-degree exceed</w:t>
      </w:r>
      <w:r>
        <w:rPr>
          <w:rFonts w:eastAsia="SimSun"/>
          <w:bCs/>
        </w:rPr>
        <w:t>ance for one day equates to one-</w:t>
      </w:r>
      <w:r w:rsidRPr="00CE4E0F">
        <w:rPr>
          <w:rFonts w:eastAsia="SimSun"/>
          <w:bCs/>
        </w:rPr>
        <w:t>degree heating day, a two-degree exceedance for one day equates to two</w:t>
      </w:r>
      <w:r>
        <w:rPr>
          <w:rFonts w:eastAsia="SimSun"/>
          <w:bCs/>
        </w:rPr>
        <w:t xml:space="preserve"> </w:t>
      </w:r>
      <w:r w:rsidR="00A71A3B">
        <w:rPr>
          <w:rFonts w:eastAsia="SimSun"/>
          <w:bCs/>
        </w:rPr>
        <w:t>DHD</w:t>
      </w:r>
      <w:r w:rsidRPr="00CE4E0F">
        <w:rPr>
          <w:rFonts w:eastAsia="SimSun"/>
          <w:bCs/>
        </w:rPr>
        <w:t>. DHD anomalies are summed over the period December 1 to March 31 each summer.</w:t>
      </w:r>
    </w:p>
    <w:p w14:paraId="53C136EA" w14:textId="77777777" w:rsidR="00DF6F02" w:rsidRDefault="00DF6F02" w:rsidP="00DF6F02">
      <w:pPr>
        <w:rPr>
          <w:rFonts w:eastAsia="SimSun"/>
          <w:bCs/>
        </w:rPr>
      </w:pPr>
      <w:r w:rsidRPr="00CE4E0F">
        <w:rPr>
          <w:rFonts w:eastAsia="SimSun"/>
          <w:bCs/>
        </w:rPr>
        <w:t>The primary difference between these degree heating day estimates are the underlying climatology used and the focus on deviation from the maximum rather than seasonal temperature profile.</w:t>
      </w:r>
    </w:p>
    <w:p w14:paraId="53C136EB" w14:textId="77777777" w:rsidR="00DF6F02" w:rsidRPr="00CE4E0F" w:rsidRDefault="00DF6F02" w:rsidP="00727D87">
      <w:pPr>
        <w:pStyle w:val="Heading3"/>
      </w:pPr>
      <w:bookmarkStart w:id="132" w:name="_Toc35947084"/>
      <w:r>
        <w:t>Cyclone tracks</w:t>
      </w:r>
      <w:bookmarkEnd w:id="132"/>
    </w:p>
    <w:p w14:paraId="53C136EC" w14:textId="77777777" w:rsidR="00DF6F02" w:rsidRPr="00FC5BF0" w:rsidRDefault="00DF6F02" w:rsidP="00DF6F02">
      <w:r>
        <w:t xml:space="preserve">Cyclone tracks and intensity are downloaded from </w:t>
      </w:r>
      <w:r w:rsidRPr="00CE4E0F">
        <w:t>the Australian Bureau of Meteorology</w:t>
      </w:r>
      <w:r>
        <w:t xml:space="preserve"> at </w:t>
      </w:r>
      <w:hyperlink r:id="rId30" w:history="1">
        <w:r w:rsidRPr="009E1657">
          <w:rPr>
            <w:rStyle w:val="Hyperlink"/>
            <w:rFonts w:cs="Arial"/>
          </w:rPr>
          <w:t>http://www.bom.gov.au/cyclone/history/index.shtml</w:t>
        </w:r>
      </w:hyperlink>
      <w:r>
        <w:t>. These t</w:t>
      </w:r>
      <w:r w:rsidR="00D85D4E">
        <w:t xml:space="preserve">racks </w:t>
      </w:r>
      <w:r w:rsidR="00D85D4E">
        <w:lastRenderedPageBreak/>
        <w:t>are</w:t>
      </w:r>
      <w:r>
        <w:t xml:space="preserve"> primarily used as a double check of damage categorised as being caused by cyclones</w:t>
      </w:r>
      <w:r w:rsidR="00D85D4E">
        <w:t xml:space="preserve"> at the time of coral surveys. </w:t>
      </w:r>
      <w:r>
        <w:t xml:space="preserve"> </w:t>
      </w:r>
      <w:r w:rsidR="001F6FBC">
        <w:t>They are also presented in graphical form to illustrate the proximity of cyclones to the reefs monitored</w:t>
      </w:r>
      <w:r>
        <w:t xml:space="preserve">. </w:t>
      </w:r>
    </w:p>
    <w:p w14:paraId="53C136ED" w14:textId="77777777" w:rsidR="00DF6F02" w:rsidRPr="00CE4E0F" w:rsidRDefault="00DF6F02" w:rsidP="00727D87">
      <w:pPr>
        <w:pStyle w:val="Heading3"/>
      </w:pPr>
      <w:bookmarkStart w:id="133" w:name="_Toc35947085"/>
      <w:r w:rsidRPr="00CE4E0F">
        <w:t>Water quality</w:t>
      </w:r>
      <w:bookmarkEnd w:id="133"/>
      <w:r w:rsidRPr="00CE4E0F">
        <w:t xml:space="preserve"> </w:t>
      </w:r>
    </w:p>
    <w:p w14:paraId="53C136EE" w14:textId="77777777" w:rsidR="00DF6F02" w:rsidRPr="00CE4E0F" w:rsidRDefault="00DF6F02" w:rsidP="00DF6F02">
      <w:r w:rsidRPr="00CE4E0F">
        <w:t>Non-algal particulate (NAP) concentration, a proxy for total suspended sediments</w:t>
      </w:r>
      <w:r>
        <w:t xml:space="preserve">, </w:t>
      </w:r>
      <w:r w:rsidRPr="00CE4E0F">
        <w:t>derived from the MODIS aqua satellite mounted sensor were downloaded from the Australian Bureau of Meteorology</w:t>
      </w:r>
      <w:r w:rsidRPr="00CE4E0F">
        <w:rPr>
          <w:vertAlign w:val="superscript"/>
        </w:rPr>
        <w:footnoteReference w:id="3"/>
      </w:r>
      <w:r w:rsidRPr="00CE4E0F">
        <w:t>. For each monitoring location a square of nine 1 km</w:t>
      </w:r>
      <w:r w:rsidRPr="00CE4E0F">
        <w:rPr>
          <w:vertAlign w:val="superscript"/>
        </w:rPr>
        <w:t>2</w:t>
      </w:r>
      <w:r w:rsidRPr="00CE4E0F">
        <w:t xml:space="preserve"> pixels were identified in closely adjacent waters from which daily medians were used to estimate monthly means. For use as a temporal covariate these monthly means were aggregated to annual estimates</w:t>
      </w:r>
      <w:r>
        <w:t>,</w:t>
      </w:r>
      <w:r w:rsidRPr="00CE4E0F">
        <w:t xml:space="preserve"> and for spatial analysis </w:t>
      </w:r>
      <w:r>
        <w:t xml:space="preserve">of current indicator scores </w:t>
      </w:r>
      <w:r w:rsidRPr="00CE4E0F">
        <w:t xml:space="preserve">aggregated to reef level means over the </w:t>
      </w:r>
      <w:r>
        <w:t xml:space="preserve">last five years </w:t>
      </w:r>
      <w:r w:rsidRPr="00CE4E0F">
        <w:t>(20</w:t>
      </w:r>
      <w:r>
        <w:t>15</w:t>
      </w:r>
      <w:r w:rsidRPr="00CE4E0F">
        <w:t xml:space="preserve"> – 2019).</w:t>
      </w:r>
    </w:p>
    <w:p w14:paraId="53C136EF" w14:textId="77777777" w:rsidR="00DF6F02" w:rsidRPr="00CE4E0F" w:rsidRDefault="00DF6F02" w:rsidP="00DF6F02">
      <w:r w:rsidRPr="00CE4E0F">
        <w:t xml:space="preserve">Relative exposure to Chl </w:t>
      </w:r>
      <w:r w:rsidRPr="00CE4E0F">
        <w:rPr>
          <w:i/>
        </w:rPr>
        <w:t>a</w:t>
      </w:r>
      <w:r w:rsidRPr="00CE4E0F">
        <w:t xml:space="preserve"> at each reef in each year, was estimated based on the methods developed by the water quality component of the MMP (</w:t>
      </w:r>
      <w:r>
        <w:t>Gruber</w:t>
      </w:r>
      <w:r w:rsidRPr="00CE4E0F">
        <w:t xml:space="preserve"> </w:t>
      </w:r>
      <w:r w:rsidRPr="00CE4E0F">
        <w:rPr>
          <w:i/>
        </w:rPr>
        <w:t>et al</w:t>
      </w:r>
      <w:r>
        <w:t>. 2020</w:t>
      </w:r>
      <w:r w:rsidRPr="00CE4E0F">
        <w:t xml:space="preserve">, Petus </w:t>
      </w:r>
      <w:r w:rsidRPr="00CE4E0F">
        <w:rPr>
          <w:i/>
        </w:rPr>
        <w:t>et al</w:t>
      </w:r>
      <w:r w:rsidRPr="00CE4E0F">
        <w:t xml:space="preserve">. 2016). In brief, MODIS aqua images were used to classify waters into one of six colour classes that range from those typical of primary (colour classes 1–4), secondary (class 5), or tertiary (class 6) </w:t>
      </w:r>
      <w:r>
        <w:rPr>
          <w:color w:val="000000"/>
          <w:lang w:val="en-US"/>
        </w:rPr>
        <w:t>wet season water types which reflect the influence of river discharge and resuspension events</w:t>
      </w:r>
      <w:r w:rsidRPr="00CE4E0F">
        <w:t xml:space="preserve">. The lowest (most turbid and nutrient rich) colour class for a given pixel is recorded as the exposure of that pixel in each week. </w:t>
      </w:r>
    </w:p>
    <w:p w14:paraId="53C136F0" w14:textId="77777777" w:rsidR="00DF6F02" w:rsidRPr="00CE4E0F" w:rsidRDefault="00DF6F02" w:rsidP="00DF6F02">
      <w:r w:rsidRPr="00CE4E0F">
        <w:lastRenderedPageBreak/>
        <w:t xml:space="preserve">It is important to note that waters can be classified into these colour classes when not exposed to flood plumes as </w:t>
      </w:r>
      <w:r>
        <w:t>non</w:t>
      </w:r>
      <w:r w:rsidRPr="00CE4E0F">
        <w:t>-plume processes, such as wind driven resuspension, produce waters with similar spectral signatures.</w:t>
      </w:r>
    </w:p>
    <w:p w14:paraId="53C136F1" w14:textId="77777777" w:rsidR="00DF6F02" w:rsidRPr="00CE4E0F" w:rsidRDefault="00DF6F02" w:rsidP="00DF6F02">
      <w:r w:rsidRPr="00CE4E0F">
        <w:t xml:space="preserve">Matching </w:t>
      </w:r>
      <w:r w:rsidRPr="00CE4E0F">
        <w:rPr>
          <w:i/>
        </w:rPr>
        <w:t xml:space="preserve">in situ </w:t>
      </w:r>
      <w:r w:rsidRPr="00CE4E0F">
        <w:t xml:space="preserve">sampling with the classified colour of the water at the date and location of the sample provided estimates of the mean concentration of water quality parameters for each colour class. The Chl </w:t>
      </w:r>
      <w:r w:rsidRPr="00CE4E0F">
        <w:rPr>
          <w:i/>
        </w:rPr>
        <w:t>a</w:t>
      </w:r>
      <w:r w:rsidRPr="00CE4E0F">
        <w:t xml:space="preserve"> estimates in this report are expressed as the mean exposure to Chl </w:t>
      </w:r>
      <w:r w:rsidRPr="00CE4E0F">
        <w:rPr>
          <w:i/>
        </w:rPr>
        <w:t>a</w:t>
      </w:r>
      <w:r w:rsidRPr="00CE4E0F">
        <w:t xml:space="preserve"> concentrations above wet-season </w:t>
      </w:r>
      <w:r>
        <w:t>g</w:t>
      </w:r>
      <w:r w:rsidRPr="00CE4E0F">
        <w:t>uideline values (0.63</w:t>
      </w:r>
      <w:r>
        <w:t xml:space="preserve"> </w:t>
      </w:r>
      <w:r w:rsidRPr="00CE4E0F">
        <w:t>ugL</w:t>
      </w:r>
      <w:r w:rsidRPr="00CE4E0F">
        <w:rPr>
          <w:vertAlign w:val="superscript"/>
        </w:rPr>
        <w:t>-1</w:t>
      </w:r>
      <w:r w:rsidRPr="00CE4E0F">
        <w:t>, GBRMPA 2010) over the wet-season (December – April, inclusive) preceding annual coral surveys. Estimates were derived from the same nine pixels as described above for estimation of NAP concentration.</w:t>
      </w:r>
    </w:p>
    <w:p w14:paraId="53C136F2" w14:textId="77777777" w:rsidR="00DF6F02" w:rsidRPr="001F6FBC" w:rsidRDefault="00DF6F02" w:rsidP="00DF6F02">
      <w:pPr>
        <w:sectPr w:rsidR="00DF6F02" w:rsidRPr="001F6FBC" w:rsidSect="00F30CFB">
          <w:pgSz w:w="11907" w:h="16840" w:code="9"/>
          <w:pgMar w:top="1276" w:right="1134" w:bottom="1134" w:left="1134" w:header="709" w:footer="709" w:gutter="0"/>
          <w:cols w:space="708"/>
          <w:docGrid w:linePitch="360"/>
        </w:sectPr>
      </w:pPr>
      <w:r w:rsidRPr="00CE4E0F">
        <w:t xml:space="preserve">As a background to regional maps of sampling locations, mean Chl </w:t>
      </w:r>
      <w:r w:rsidRPr="00CE4E0F">
        <w:rPr>
          <w:i/>
        </w:rPr>
        <w:t>a</w:t>
      </w:r>
      <w:r w:rsidRPr="00CE4E0F">
        <w:t xml:space="preserve"> and NAP concentrations over the period (2003–2018) were derived for all inshore waters using the same methods as described above and scaled to visually demonstrate concentrations relative to Guideline values.</w:t>
      </w:r>
    </w:p>
    <w:p w14:paraId="53C136F3" w14:textId="3EB8CFF4" w:rsidR="00DF6F02" w:rsidRPr="00CE4E0F" w:rsidRDefault="00DF6F02" w:rsidP="002B5296">
      <w:pPr>
        <w:pStyle w:val="Caption"/>
        <w:rPr>
          <w:bCs/>
        </w:rPr>
      </w:pPr>
      <w:bookmarkStart w:id="134" w:name="_Ref29909165"/>
      <w:bookmarkStart w:id="135" w:name="_Toc35947187"/>
      <w:r w:rsidRPr="00CE4E0F">
        <w:lastRenderedPageBreak/>
        <w:t xml:space="preserve">Table </w:t>
      </w:r>
      <w:r w:rsidRPr="00CE4E0F">
        <w:rPr>
          <w:noProof/>
        </w:rPr>
        <w:fldChar w:fldCharType="begin"/>
      </w:r>
      <w:r w:rsidRPr="00CE4E0F">
        <w:rPr>
          <w:noProof/>
        </w:rPr>
        <w:instrText xml:space="preserve"> SEQ Table \* ARABIC </w:instrText>
      </w:r>
      <w:r w:rsidRPr="00CE4E0F">
        <w:rPr>
          <w:noProof/>
        </w:rPr>
        <w:fldChar w:fldCharType="separate"/>
      </w:r>
      <w:r w:rsidR="003053D1">
        <w:rPr>
          <w:noProof/>
        </w:rPr>
        <w:t>1</w:t>
      </w:r>
      <w:r w:rsidRPr="00CE4E0F">
        <w:rPr>
          <w:noProof/>
        </w:rPr>
        <w:fldChar w:fldCharType="end"/>
      </w:r>
      <w:bookmarkEnd w:id="134"/>
      <w:r w:rsidRPr="00CE4E0F">
        <w:t xml:space="preserve"> Summary of climate and environmental data considered in this report</w:t>
      </w:r>
      <w:bookmarkEnd w:id="135"/>
      <w:r w:rsidRPr="00CE4E0F">
        <w:rPr>
          <w:bCs/>
        </w:rPr>
        <w:t xml:space="preserve"> </w:t>
      </w:r>
    </w:p>
    <w:tbl>
      <w:tblPr>
        <w:tblW w:w="14034" w:type="dxa"/>
        <w:tblBorders>
          <w:bottom w:val="single" w:sz="4" w:space="0" w:color="auto"/>
        </w:tblBorders>
        <w:tblLayout w:type="fixed"/>
        <w:tblLook w:val="04A0" w:firstRow="1" w:lastRow="0" w:firstColumn="1" w:lastColumn="0" w:noHBand="0" w:noVBand="1"/>
        <w:tblCaption w:val="Summary of climate and environmental data included in or considered in this report"/>
        <w:tblDescription w:val="A list of environemntal covariates, the temporal span of those data, the methods used for their derevation, the usage of data within the report and the source of data."/>
      </w:tblPr>
      <w:tblGrid>
        <w:gridCol w:w="2198"/>
        <w:gridCol w:w="1204"/>
        <w:gridCol w:w="3402"/>
        <w:gridCol w:w="3402"/>
        <w:gridCol w:w="3828"/>
      </w:tblGrid>
      <w:tr w:rsidR="00DF6F02" w:rsidRPr="00CE4E0F" w14:paraId="53C136F9" w14:textId="77777777" w:rsidTr="001F7525">
        <w:trPr>
          <w:trHeight w:val="397"/>
        </w:trPr>
        <w:tc>
          <w:tcPr>
            <w:tcW w:w="2198" w:type="dxa"/>
            <w:tcBorders>
              <w:top w:val="single" w:sz="4" w:space="0" w:color="auto"/>
              <w:bottom w:val="single" w:sz="4" w:space="0" w:color="auto"/>
            </w:tcBorders>
            <w:shd w:val="clear" w:color="auto" w:fill="BBE0E3"/>
            <w:vAlign w:val="center"/>
          </w:tcPr>
          <w:p w14:paraId="53C136F4" w14:textId="77777777" w:rsidR="00DF6F02" w:rsidRPr="00CE4E0F" w:rsidRDefault="00DF6F02" w:rsidP="001F7525">
            <w:pPr>
              <w:spacing w:after="0" w:line="200" w:lineRule="exact"/>
              <w:ind w:right="-108"/>
              <w:jc w:val="center"/>
              <w:rPr>
                <w:b/>
                <w:color w:val="548DD4" w:themeColor="text2" w:themeTint="99"/>
                <w:sz w:val="18"/>
                <w:szCs w:val="18"/>
              </w:rPr>
            </w:pPr>
          </w:p>
        </w:tc>
        <w:tc>
          <w:tcPr>
            <w:tcW w:w="1204" w:type="dxa"/>
            <w:tcBorders>
              <w:top w:val="single" w:sz="4" w:space="0" w:color="auto"/>
              <w:bottom w:val="single" w:sz="4" w:space="0" w:color="auto"/>
            </w:tcBorders>
            <w:shd w:val="clear" w:color="auto" w:fill="BBE0E3"/>
            <w:vAlign w:val="center"/>
          </w:tcPr>
          <w:p w14:paraId="53C136F5" w14:textId="77777777" w:rsidR="00DF6F02" w:rsidRPr="0063256D" w:rsidRDefault="00DF6F02" w:rsidP="001F7525">
            <w:pPr>
              <w:spacing w:after="0" w:line="200" w:lineRule="exact"/>
              <w:jc w:val="center"/>
              <w:rPr>
                <w:rFonts w:ascii="Arial Narrow" w:hAnsi="Arial Narrow"/>
                <w:b/>
                <w:sz w:val="20"/>
              </w:rPr>
            </w:pPr>
            <w:r w:rsidRPr="0063256D">
              <w:rPr>
                <w:rFonts w:ascii="Arial Narrow" w:hAnsi="Arial Narrow"/>
                <w:b/>
                <w:sz w:val="20"/>
              </w:rPr>
              <w:t>Data range</w:t>
            </w:r>
          </w:p>
        </w:tc>
        <w:tc>
          <w:tcPr>
            <w:tcW w:w="3402" w:type="dxa"/>
            <w:tcBorders>
              <w:top w:val="single" w:sz="4" w:space="0" w:color="auto"/>
              <w:bottom w:val="single" w:sz="4" w:space="0" w:color="auto"/>
            </w:tcBorders>
            <w:shd w:val="clear" w:color="auto" w:fill="BBE0E3"/>
            <w:vAlign w:val="center"/>
          </w:tcPr>
          <w:p w14:paraId="53C136F6" w14:textId="77777777" w:rsidR="00DF6F02" w:rsidRPr="0063256D" w:rsidRDefault="00DF6F02" w:rsidP="001F7525">
            <w:pPr>
              <w:spacing w:after="0" w:line="200" w:lineRule="exact"/>
              <w:jc w:val="center"/>
              <w:rPr>
                <w:rFonts w:ascii="Arial Narrow" w:hAnsi="Arial Narrow"/>
                <w:b/>
                <w:sz w:val="20"/>
              </w:rPr>
            </w:pPr>
            <w:r w:rsidRPr="0063256D">
              <w:rPr>
                <w:rFonts w:ascii="Arial Narrow" w:hAnsi="Arial Narrow"/>
                <w:b/>
                <w:sz w:val="20"/>
              </w:rPr>
              <w:t>Method</w:t>
            </w:r>
          </w:p>
        </w:tc>
        <w:tc>
          <w:tcPr>
            <w:tcW w:w="3402" w:type="dxa"/>
            <w:tcBorders>
              <w:top w:val="single" w:sz="4" w:space="0" w:color="auto"/>
              <w:bottom w:val="single" w:sz="4" w:space="0" w:color="auto"/>
            </w:tcBorders>
            <w:shd w:val="clear" w:color="auto" w:fill="BBE0E3"/>
            <w:vAlign w:val="center"/>
          </w:tcPr>
          <w:p w14:paraId="53C136F7" w14:textId="77777777" w:rsidR="00DF6F02" w:rsidRPr="0063256D" w:rsidRDefault="00DF6F02" w:rsidP="001F7525">
            <w:pPr>
              <w:spacing w:after="0" w:line="200" w:lineRule="exact"/>
              <w:jc w:val="center"/>
              <w:rPr>
                <w:rFonts w:ascii="Arial Narrow" w:hAnsi="Arial Narrow"/>
                <w:b/>
                <w:sz w:val="20"/>
              </w:rPr>
            </w:pPr>
            <w:r w:rsidRPr="0063256D">
              <w:rPr>
                <w:rFonts w:ascii="Arial Narrow" w:hAnsi="Arial Narrow"/>
                <w:b/>
                <w:sz w:val="20"/>
              </w:rPr>
              <w:t>Usage</w:t>
            </w:r>
          </w:p>
        </w:tc>
        <w:tc>
          <w:tcPr>
            <w:tcW w:w="3828" w:type="dxa"/>
            <w:tcBorders>
              <w:top w:val="single" w:sz="4" w:space="0" w:color="auto"/>
              <w:bottom w:val="single" w:sz="4" w:space="0" w:color="auto"/>
            </w:tcBorders>
            <w:shd w:val="clear" w:color="auto" w:fill="BBE0E3"/>
            <w:vAlign w:val="center"/>
          </w:tcPr>
          <w:p w14:paraId="53C136F8" w14:textId="77777777" w:rsidR="00DF6F02" w:rsidRPr="0063256D" w:rsidRDefault="00DF6F02" w:rsidP="001F7525">
            <w:pPr>
              <w:spacing w:after="0" w:line="200" w:lineRule="exact"/>
              <w:jc w:val="center"/>
              <w:rPr>
                <w:rFonts w:ascii="Arial Narrow" w:hAnsi="Arial Narrow"/>
                <w:b/>
                <w:sz w:val="20"/>
              </w:rPr>
            </w:pPr>
            <w:r w:rsidRPr="0063256D">
              <w:rPr>
                <w:rFonts w:ascii="Arial Narrow" w:hAnsi="Arial Narrow"/>
                <w:b/>
                <w:sz w:val="20"/>
              </w:rPr>
              <w:t>Data source</w:t>
            </w:r>
          </w:p>
        </w:tc>
      </w:tr>
      <w:tr w:rsidR="00DF6F02" w:rsidRPr="00CE4E0F" w14:paraId="53C136FF" w14:textId="77777777" w:rsidTr="001F7525">
        <w:trPr>
          <w:trHeight w:val="397"/>
        </w:trPr>
        <w:tc>
          <w:tcPr>
            <w:tcW w:w="2198" w:type="dxa"/>
            <w:tcBorders>
              <w:top w:val="single" w:sz="4" w:space="0" w:color="auto"/>
              <w:bottom w:val="single" w:sz="4" w:space="0" w:color="auto"/>
            </w:tcBorders>
            <w:shd w:val="clear" w:color="auto" w:fill="E7F3F4"/>
          </w:tcPr>
          <w:p w14:paraId="53C136FA" w14:textId="77777777" w:rsidR="00DF6F02" w:rsidRPr="0063256D" w:rsidRDefault="00DF6F02" w:rsidP="001F7525">
            <w:pPr>
              <w:spacing w:after="0" w:line="200" w:lineRule="exact"/>
              <w:rPr>
                <w:rFonts w:ascii="Arial Narrow" w:hAnsi="Arial Narrow"/>
                <w:i/>
                <w:sz w:val="20"/>
              </w:rPr>
            </w:pPr>
            <w:r w:rsidRPr="0063256D">
              <w:rPr>
                <w:rFonts w:ascii="Arial Narrow" w:hAnsi="Arial Narrow"/>
                <w:i/>
                <w:sz w:val="20"/>
              </w:rPr>
              <w:t>Climate</w:t>
            </w:r>
          </w:p>
        </w:tc>
        <w:tc>
          <w:tcPr>
            <w:tcW w:w="1204" w:type="dxa"/>
            <w:tcBorders>
              <w:top w:val="single" w:sz="4" w:space="0" w:color="auto"/>
              <w:bottom w:val="single" w:sz="4" w:space="0" w:color="auto"/>
            </w:tcBorders>
            <w:shd w:val="clear" w:color="auto" w:fill="E7F3F4"/>
          </w:tcPr>
          <w:p w14:paraId="53C136FB" w14:textId="77777777" w:rsidR="00DF6F02" w:rsidRPr="0063256D" w:rsidRDefault="00DF6F02" w:rsidP="001F7525">
            <w:pPr>
              <w:spacing w:after="0" w:line="200" w:lineRule="exact"/>
              <w:rPr>
                <w:rFonts w:ascii="Arial Narrow" w:hAnsi="Arial Narrow"/>
                <w:sz w:val="20"/>
              </w:rPr>
            </w:pPr>
          </w:p>
        </w:tc>
        <w:tc>
          <w:tcPr>
            <w:tcW w:w="3402" w:type="dxa"/>
            <w:tcBorders>
              <w:top w:val="single" w:sz="4" w:space="0" w:color="auto"/>
              <w:bottom w:val="single" w:sz="4" w:space="0" w:color="auto"/>
            </w:tcBorders>
            <w:shd w:val="clear" w:color="auto" w:fill="E7F3F4"/>
          </w:tcPr>
          <w:p w14:paraId="53C136FC" w14:textId="77777777" w:rsidR="00DF6F02" w:rsidRPr="0063256D" w:rsidRDefault="00DF6F02" w:rsidP="001F7525">
            <w:pPr>
              <w:spacing w:after="0" w:line="200" w:lineRule="exact"/>
              <w:rPr>
                <w:rFonts w:ascii="Arial Narrow" w:hAnsi="Arial Narrow"/>
                <w:sz w:val="20"/>
              </w:rPr>
            </w:pPr>
          </w:p>
        </w:tc>
        <w:tc>
          <w:tcPr>
            <w:tcW w:w="3402" w:type="dxa"/>
            <w:tcBorders>
              <w:top w:val="single" w:sz="4" w:space="0" w:color="auto"/>
              <w:bottom w:val="single" w:sz="4" w:space="0" w:color="auto"/>
            </w:tcBorders>
            <w:shd w:val="clear" w:color="auto" w:fill="E7F3F4"/>
          </w:tcPr>
          <w:p w14:paraId="53C136FD" w14:textId="77777777" w:rsidR="00DF6F02" w:rsidRPr="0063256D" w:rsidRDefault="00DF6F02" w:rsidP="001F7525">
            <w:pPr>
              <w:spacing w:after="0" w:line="200" w:lineRule="exact"/>
              <w:rPr>
                <w:rFonts w:ascii="Arial Narrow" w:hAnsi="Arial Narrow"/>
                <w:sz w:val="20"/>
              </w:rPr>
            </w:pPr>
          </w:p>
        </w:tc>
        <w:tc>
          <w:tcPr>
            <w:tcW w:w="3828" w:type="dxa"/>
            <w:tcBorders>
              <w:top w:val="single" w:sz="4" w:space="0" w:color="auto"/>
              <w:bottom w:val="single" w:sz="4" w:space="0" w:color="auto"/>
            </w:tcBorders>
            <w:shd w:val="clear" w:color="auto" w:fill="E7F3F4"/>
          </w:tcPr>
          <w:p w14:paraId="53C136FE" w14:textId="77777777" w:rsidR="00DF6F02" w:rsidRPr="0063256D" w:rsidRDefault="00DF6F02" w:rsidP="001F7525">
            <w:pPr>
              <w:spacing w:after="0" w:line="200" w:lineRule="exact"/>
              <w:rPr>
                <w:rFonts w:ascii="Arial Narrow" w:hAnsi="Arial Narrow"/>
                <w:sz w:val="20"/>
              </w:rPr>
            </w:pPr>
          </w:p>
        </w:tc>
      </w:tr>
      <w:tr w:rsidR="00DF6F02" w:rsidRPr="00CE4E0F" w14:paraId="53C13705" w14:textId="77777777" w:rsidTr="001F7525">
        <w:trPr>
          <w:trHeight w:val="397"/>
        </w:trPr>
        <w:tc>
          <w:tcPr>
            <w:tcW w:w="2198" w:type="dxa"/>
            <w:tcBorders>
              <w:top w:val="single" w:sz="4" w:space="0" w:color="auto"/>
              <w:bottom w:val="single" w:sz="4" w:space="0" w:color="auto"/>
            </w:tcBorders>
            <w:shd w:val="clear" w:color="auto" w:fill="E7F3F4"/>
          </w:tcPr>
          <w:p w14:paraId="53C13700" w14:textId="77777777" w:rsidR="00DF6F02" w:rsidRPr="0063256D" w:rsidRDefault="00DF6F02" w:rsidP="001F7525">
            <w:pPr>
              <w:spacing w:after="0"/>
              <w:ind w:left="176"/>
              <w:jc w:val="left"/>
              <w:rPr>
                <w:rFonts w:ascii="Arial Narrow" w:hAnsi="Arial Narrow"/>
                <w:sz w:val="20"/>
              </w:rPr>
            </w:pPr>
            <w:r w:rsidRPr="0063256D">
              <w:rPr>
                <w:rFonts w:ascii="Arial Narrow" w:hAnsi="Arial Narrow"/>
                <w:sz w:val="20"/>
              </w:rPr>
              <w:t>Riverine discharge</w:t>
            </w:r>
          </w:p>
        </w:tc>
        <w:tc>
          <w:tcPr>
            <w:tcW w:w="1204" w:type="dxa"/>
            <w:tcBorders>
              <w:top w:val="single" w:sz="4" w:space="0" w:color="auto"/>
              <w:bottom w:val="single" w:sz="4" w:space="0" w:color="auto"/>
            </w:tcBorders>
            <w:shd w:val="clear" w:color="auto" w:fill="E7F3F4"/>
          </w:tcPr>
          <w:p w14:paraId="53C13701" w14:textId="77777777" w:rsidR="00DF6F02" w:rsidRPr="0063256D" w:rsidRDefault="00DF6F02" w:rsidP="001F7525">
            <w:pPr>
              <w:spacing w:after="0"/>
              <w:rPr>
                <w:rFonts w:ascii="Arial Narrow" w:hAnsi="Arial Narrow"/>
                <w:sz w:val="20"/>
              </w:rPr>
            </w:pPr>
            <w:r w:rsidRPr="0063256D">
              <w:rPr>
                <w:rFonts w:ascii="Arial Narrow" w:hAnsi="Arial Narrow"/>
                <w:sz w:val="20"/>
              </w:rPr>
              <w:t>1980 – 2019</w:t>
            </w:r>
          </w:p>
        </w:tc>
        <w:tc>
          <w:tcPr>
            <w:tcW w:w="3402" w:type="dxa"/>
            <w:tcBorders>
              <w:top w:val="single" w:sz="4" w:space="0" w:color="auto"/>
              <w:bottom w:val="single" w:sz="4" w:space="0" w:color="auto"/>
            </w:tcBorders>
            <w:shd w:val="clear" w:color="auto" w:fill="E7F3F4"/>
          </w:tcPr>
          <w:p w14:paraId="53C13702" w14:textId="77777777" w:rsidR="00DF6F02" w:rsidRPr="0063256D" w:rsidRDefault="00DF6F02" w:rsidP="001F7525">
            <w:pPr>
              <w:spacing w:after="0"/>
              <w:rPr>
                <w:rFonts w:ascii="Arial Narrow" w:hAnsi="Arial Narrow"/>
                <w:sz w:val="20"/>
              </w:rPr>
            </w:pPr>
            <w:r w:rsidRPr="0063256D">
              <w:rPr>
                <w:rFonts w:ascii="Arial Narrow" w:hAnsi="Arial Narrow"/>
                <w:sz w:val="20"/>
              </w:rPr>
              <w:t>water gauging stations closest to river mouth, adjusted for ungauged area of catchment</w:t>
            </w:r>
          </w:p>
        </w:tc>
        <w:tc>
          <w:tcPr>
            <w:tcW w:w="3402" w:type="dxa"/>
            <w:tcBorders>
              <w:top w:val="single" w:sz="4" w:space="0" w:color="auto"/>
              <w:bottom w:val="single" w:sz="4" w:space="0" w:color="auto"/>
            </w:tcBorders>
            <w:shd w:val="clear" w:color="auto" w:fill="E7F3F4"/>
          </w:tcPr>
          <w:p w14:paraId="53C13703" w14:textId="77777777" w:rsidR="00DF6F02" w:rsidRPr="0063256D" w:rsidRDefault="00DF6F02" w:rsidP="001F7525">
            <w:pPr>
              <w:spacing w:after="0"/>
              <w:rPr>
                <w:rFonts w:ascii="Arial Narrow" w:hAnsi="Arial Narrow"/>
                <w:sz w:val="20"/>
              </w:rPr>
            </w:pPr>
            <w:r w:rsidRPr="0063256D">
              <w:rPr>
                <w:rFonts w:ascii="Arial Narrow" w:hAnsi="Arial Narrow"/>
                <w:sz w:val="20"/>
              </w:rPr>
              <w:t xml:space="preserve">regional discharge plots and table, covariate in analysis of temporal change in Coral index </w:t>
            </w:r>
          </w:p>
        </w:tc>
        <w:tc>
          <w:tcPr>
            <w:tcW w:w="3828" w:type="dxa"/>
            <w:tcBorders>
              <w:top w:val="single" w:sz="4" w:space="0" w:color="auto"/>
              <w:bottom w:val="single" w:sz="4" w:space="0" w:color="auto"/>
            </w:tcBorders>
            <w:shd w:val="clear" w:color="auto" w:fill="E7F3F4"/>
          </w:tcPr>
          <w:p w14:paraId="53C13704" w14:textId="77777777" w:rsidR="00DF6F02" w:rsidRPr="0063256D" w:rsidRDefault="00DF6F02" w:rsidP="001F7525">
            <w:pPr>
              <w:spacing w:after="0"/>
              <w:rPr>
                <w:rFonts w:ascii="Arial Narrow" w:hAnsi="Arial Narrow"/>
                <w:sz w:val="20"/>
              </w:rPr>
            </w:pPr>
            <w:r w:rsidRPr="0063256D">
              <w:rPr>
                <w:rFonts w:ascii="Arial Narrow" w:hAnsi="Arial Narrow"/>
                <w:sz w:val="20"/>
              </w:rPr>
              <w:t xml:space="preserve">DNRME, adjustment as tabulated by (Gruber </w:t>
            </w:r>
            <w:r w:rsidRPr="0063256D">
              <w:rPr>
                <w:rFonts w:ascii="Arial Narrow" w:hAnsi="Arial Narrow"/>
                <w:i/>
                <w:sz w:val="20"/>
              </w:rPr>
              <w:t xml:space="preserve">et al. </w:t>
            </w:r>
            <w:r>
              <w:rPr>
                <w:rFonts w:ascii="Arial Narrow" w:hAnsi="Arial Narrow"/>
                <w:i/>
                <w:sz w:val="20"/>
              </w:rPr>
              <w:t>2020</w:t>
            </w:r>
            <w:r w:rsidRPr="0063256D">
              <w:rPr>
                <w:rFonts w:ascii="Arial Narrow" w:hAnsi="Arial Narrow"/>
                <w:i/>
                <w:sz w:val="20"/>
              </w:rPr>
              <w:t>.</w:t>
            </w:r>
            <w:r w:rsidRPr="0063256D">
              <w:rPr>
                <w:rFonts w:ascii="Arial Narrow" w:hAnsi="Arial Narrow"/>
                <w:sz w:val="20"/>
              </w:rPr>
              <w:t>)</w:t>
            </w:r>
          </w:p>
        </w:tc>
      </w:tr>
      <w:tr w:rsidR="00DF6F02" w:rsidRPr="00CE4E0F" w14:paraId="53C1370B" w14:textId="77777777" w:rsidTr="001F7525">
        <w:trPr>
          <w:trHeight w:val="397"/>
        </w:trPr>
        <w:tc>
          <w:tcPr>
            <w:tcW w:w="2198" w:type="dxa"/>
            <w:tcBorders>
              <w:top w:val="single" w:sz="4" w:space="0" w:color="auto"/>
              <w:bottom w:val="single" w:sz="4" w:space="0" w:color="auto"/>
            </w:tcBorders>
            <w:shd w:val="clear" w:color="auto" w:fill="E7F3F4"/>
          </w:tcPr>
          <w:p w14:paraId="53C13706" w14:textId="77777777" w:rsidR="00DF6F02" w:rsidRPr="0063256D" w:rsidRDefault="00DF6F02" w:rsidP="001F7525">
            <w:pPr>
              <w:spacing w:after="0"/>
              <w:ind w:left="176"/>
              <w:jc w:val="left"/>
              <w:rPr>
                <w:rFonts w:ascii="Arial Narrow" w:hAnsi="Arial Narrow"/>
                <w:sz w:val="20"/>
              </w:rPr>
            </w:pPr>
            <w:r w:rsidRPr="0063256D">
              <w:rPr>
                <w:rFonts w:ascii="Arial Narrow" w:hAnsi="Arial Narrow"/>
                <w:sz w:val="20"/>
              </w:rPr>
              <w:t>Riverine Total N and Total P loads</w:t>
            </w:r>
          </w:p>
        </w:tc>
        <w:tc>
          <w:tcPr>
            <w:tcW w:w="1204" w:type="dxa"/>
            <w:tcBorders>
              <w:top w:val="single" w:sz="4" w:space="0" w:color="auto"/>
              <w:bottom w:val="single" w:sz="4" w:space="0" w:color="auto"/>
            </w:tcBorders>
            <w:shd w:val="clear" w:color="auto" w:fill="E7F3F4"/>
          </w:tcPr>
          <w:p w14:paraId="53C13707" w14:textId="77777777" w:rsidR="00DF6F02" w:rsidRPr="0063256D" w:rsidRDefault="00DF6F02" w:rsidP="001F7525">
            <w:pPr>
              <w:spacing w:after="0"/>
              <w:rPr>
                <w:rFonts w:ascii="Arial Narrow" w:hAnsi="Arial Narrow"/>
                <w:sz w:val="20"/>
              </w:rPr>
            </w:pPr>
            <w:r w:rsidRPr="0063256D">
              <w:rPr>
                <w:rFonts w:ascii="Arial Narrow" w:hAnsi="Arial Narrow"/>
                <w:sz w:val="20"/>
              </w:rPr>
              <w:t>2006 – 2018</w:t>
            </w:r>
          </w:p>
        </w:tc>
        <w:tc>
          <w:tcPr>
            <w:tcW w:w="3402" w:type="dxa"/>
            <w:tcBorders>
              <w:top w:val="single" w:sz="4" w:space="0" w:color="auto"/>
              <w:bottom w:val="single" w:sz="4" w:space="0" w:color="auto"/>
            </w:tcBorders>
            <w:shd w:val="clear" w:color="auto" w:fill="E7F3F4"/>
          </w:tcPr>
          <w:p w14:paraId="53C13708" w14:textId="77777777" w:rsidR="00DF6F02" w:rsidRPr="0063256D" w:rsidRDefault="00DF6F02" w:rsidP="001F7525">
            <w:pPr>
              <w:spacing w:after="0"/>
              <w:rPr>
                <w:rFonts w:ascii="Arial Narrow" w:hAnsi="Arial Narrow"/>
                <w:sz w:val="20"/>
              </w:rPr>
            </w:pPr>
          </w:p>
        </w:tc>
        <w:tc>
          <w:tcPr>
            <w:tcW w:w="3402" w:type="dxa"/>
            <w:tcBorders>
              <w:top w:val="single" w:sz="4" w:space="0" w:color="auto"/>
              <w:bottom w:val="single" w:sz="4" w:space="0" w:color="auto"/>
            </w:tcBorders>
            <w:shd w:val="clear" w:color="auto" w:fill="E7F3F4"/>
          </w:tcPr>
          <w:p w14:paraId="53C13709" w14:textId="77777777" w:rsidR="00DF6F02" w:rsidRPr="0063256D" w:rsidRDefault="00DF6F02" w:rsidP="001F7525">
            <w:pPr>
              <w:spacing w:after="0"/>
              <w:rPr>
                <w:rFonts w:ascii="Arial Narrow" w:hAnsi="Arial Narrow"/>
                <w:sz w:val="20"/>
              </w:rPr>
            </w:pPr>
            <w:r w:rsidRPr="0063256D">
              <w:rPr>
                <w:rFonts w:ascii="Arial Narrow" w:hAnsi="Arial Narrow"/>
                <w:sz w:val="20"/>
              </w:rPr>
              <w:t>covariate in analysis of temporal change in Coral index</w:t>
            </w:r>
          </w:p>
        </w:tc>
        <w:tc>
          <w:tcPr>
            <w:tcW w:w="3828" w:type="dxa"/>
            <w:tcBorders>
              <w:top w:val="single" w:sz="4" w:space="0" w:color="auto"/>
              <w:bottom w:val="single" w:sz="4" w:space="0" w:color="auto"/>
            </w:tcBorders>
            <w:shd w:val="clear" w:color="auto" w:fill="E7F3F4"/>
          </w:tcPr>
          <w:p w14:paraId="53C1370A" w14:textId="77777777" w:rsidR="00DF6F02" w:rsidRPr="0063256D" w:rsidRDefault="00DF6F02" w:rsidP="001F7525">
            <w:pPr>
              <w:spacing w:after="0"/>
              <w:rPr>
                <w:rFonts w:ascii="Arial Narrow" w:hAnsi="Arial Narrow"/>
                <w:sz w:val="20"/>
              </w:rPr>
            </w:pPr>
            <w:r w:rsidRPr="0063256D">
              <w:rPr>
                <w:rFonts w:ascii="Arial Narrow" w:hAnsi="Arial Narrow"/>
                <w:sz w:val="20"/>
              </w:rPr>
              <w:t xml:space="preserve">Data </w:t>
            </w:r>
            <w:r>
              <w:rPr>
                <w:rFonts w:ascii="Arial Narrow" w:hAnsi="Arial Narrow"/>
                <w:sz w:val="20"/>
              </w:rPr>
              <w:t xml:space="preserve">sourced from </w:t>
            </w:r>
            <w:r w:rsidRPr="0063256D">
              <w:rPr>
                <w:rFonts w:ascii="Arial Narrow" w:hAnsi="Arial Narrow"/>
                <w:sz w:val="20"/>
              </w:rPr>
              <w:t>the State of Queensland</w:t>
            </w:r>
            <w:r>
              <w:rPr>
                <w:rFonts w:ascii="Arial Narrow" w:hAnsi="Arial Narrow"/>
                <w:sz w:val="20"/>
              </w:rPr>
              <w:t>,</w:t>
            </w:r>
            <w:r w:rsidRPr="0063256D">
              <w:rPr>
                <w:rFonts w:ascii="Arial Narrow" w:hAnsi="Arial Narrow"/>
                <w:sz w:val="20"/>
              </w:rPr>
              <w:t xml:space="preserve"> </w:t>
            </w:r>
            <w:r>
              <w:rPr>
                <w:rFonts w:ascii="Arial Narrow" w:hAnsi="Arial Narrow"/>
                <w:sz w:val="20"/>
              </w:rPr>
              <w:t>Great Barrier Reef Catchment Loads Monitoring Program</w:t>
            </w:r>
          </w:p>
        </w:tc>
      </w:tr>
      <w:tr w:rsidR="00DF6F02" w:rsidRPr="00CE4E0F" w14:paraId="53C13711" w14:textId="77777777" w:rsidTr="001F7525">
        <w:trPr>
          <w:trHeight w:val="397"/>
        </w:trPr>
        <w:tc>
          <w:tcPr>
            <w:tcW w:w="2198" w:type="dxa"/>
            <w:tcBorders>
              <w:top w:val="single" w:sz="4" w:space="0" w:color="auto"/>
              <w:bottom w:val="single" w:sz="4" w:space="0" w:color="auto"/>
            </w:tcBorders>
            <w:shd w:val="clear" w:color="auto" w:fill="E7F3F4"/>
          </w:tcPr>
          <w:p w14:paraId="53C1370C" w14:textId="77777777" w:rsidR="00DF6F02" w:rsidRDefault="00DF6F02" w:rsidP="001F7525">
            <w:pPr>
              <w:spacing w:after="0"/>
              <w:ind w:left="176"/>
              <w:jc w:val="left"/>
              <w:rPr>
                <w:rFonts w:ascii="Arial Narrow" w:hAnsi="Arial Narrow"/>
                <w:sz w:val="20"/>
              </w:rPr>
            </w:pPr>
            <w:r>
              <w:rPr>
                <w:rFonts w:ascii="Arial Narrow" w:hAnsi="Arial Narrow"/>
                <w:sz w:val="20"/>
              </w:rPr>
              <w:t>Sea</w:t>
            </w:r>
            <w:r w:rsidRPr="0063256D">
              <w:rPr>
                <w:rFonts w:ascii="Arial Narrow" w:hAnsi="Arial Narrow"/>
                <w:sz w:val="20"/>
              </w:rPr>
              <w:t xml:space="preserve"> temperature</w:t>
            </w:r>
          </w:p>
        </w:tc>
        <w:tc>
          <w:tcPr>
            <w:tcW w:w="1204" w:type="dxa"/>
            <w:tcBorders>
              <w:top w:val="single" w:sz="4" w:space="0" w:color="auto"/>
              <w:bottom w:val="single" w:sz="4" w:space="0" w:color="auto"/>
            </w:tcBorders>
            <w:shd w:val="clear" w:color="auto" w:fill="E7F3F4"/>
          </w:tcPr>
          <w:p w14:paraId="53C1370D" w14:textId="77777777" w:rsidR="00DF6F02" w:rsidRDefault="00DF6F02" w:rsidP="001F7525">
            <w:pPr>
              <w:spacing w:after="0"/>
              <w:rPr>
                <w:rFonts w:ascii="Arial Narrow" w:hAnsi="Arial Narrow"/>
                <w:sz w:val="20"/>
              </w:rPr>
            </w:pPr>
            <w:r w:rsidRPr="0063256D">
              <w:rPr>
                <w:rFonts w:ascii="Arial Narrow" w:hAnsi="Arial Narrow"/>
                <w:sz w:val="20"/>
              </w:rPr>
              <w:t>2005 – 2019</w:t>
            </w:r>
          </w:p>
        </w:tc>
        <w:tc>
          <w:tcPr>
            <w:tcW w:w="3402" w:type="dxa"/>
            <w:tcBorders>
              <w:top w:val="single" w:sz="4" w:space="0" w:color="auto"/>
              <w:bottom w:val="single" w:sz="4" w:space="0" w:color="auto"/>
            </w:tcBorders>
            <w:shd w:val="clear" w:color="auto" w:fill="E7F3F4"/>
          </w:tcPr>
          <w:p w14:paraId="53C1370E" w14:textId="77777777" w:rsidR="00DF6F02" w:rsidRPr="0063256D" w:rsidRDefault="00DF6F02" w:rsidP="001F7525">
            <w:pPr>
              <w:spacing w:after="0"/>
              <w:rPr>
                <w:rFonts w:ascii="Arial Narrow" w:hAnsi="Arial Narrow"/>
                <w:sz w:val="20"/>
              </w:rPr>
            </w:pPr>
            <w:r w:rsidRPr="0063256D">
              <w:rPr>
                <w:rFonts w:ascii="Arial Narrow" w:hAnsi="Arial Narrow"/>
                <w:i/>
                <w:sz w:val="20"/>
              </w:rPr>
              <w:t xml:space="preserve">in situ </w:t>
            </w:r>
            <w:r w:rsidRPr="0063256D">
              <w:rPr>
                <w:rFonts w:ascii="Arial Narrow" w:hAnsi="Arial Narrow"/>
                <w:sz w:val="20"/>
              </w:rPr>
              <w:t xml:space="preserve">sensor at coral sites </w:t>
            </w:r>
          </w:p>
        </w:tc>
        <w:tc>
          <w:tcPr>
            <w:tcW w:w="3402" w:type="dxa"/>
            <w:tcBorders>
              <w:top w:val="single" w:sz="4" w:space="0" w:color="auto"/>
              <w:bottom w:val="single" w:sz="4" w:space="0" w:color="auto"/>
            </w:tcBorders>
            <w:shd w:val="clear" w:color="auto" w:fill="E7F3F4"/>
          </w:tcPr>
          <w:p w14:paraId="53C1370F" w14:textId="77777777" w:rsidR="00DF6F02" w:rsidRDefault="00DF6F02" w:rsidP="001F7525">
            <w:pPr>
              <w:spacing w:after="0"/>
              <w:rPr>
                <w:rFonts w:ascii="Arial Narrow" w:hAnsi="Arial Narrow"/>
                <w:sz w:val="20"/>
              </w:rPr>
            </w:pPr>
            <w:r w:rsidRPr="0063256D">
              <w:rPr>
                <w:rFonts w:ascii="Arial Narrow" w:hAnsi="Arial Narrow"/>
                <w:sz w:val="20"/>
              </w:rPr>
              <w:t xml:space="preserve">regional plots, </w:t>
            </w:r>
            <w:r w:rsidR="00CF5AE0">
              <w:rPr>
                <w:rFonts w:ascii="Arial Narrow" w:hAnsi="Arial Narrow"/>
                <w:sz w:val="20"/>
              </w:rPr>
              <w:t xml:space="preserve">thermal </w:t>
            </w:r>
            <w:r w:rsidRPr="0063256D">
              <w:rPr>
                <w:rFonts w:ascii="Arial Narrow" w:hAnsi="Arial Narrow"/>
                <w:sz w:val="20"/>
              </w:rPr>
              <w:t xml:space="preserve">bleaching disturbance categorisation, </w:t>
            </w:r>
            <w:r w:rsidRPr="0063256D">
              <w:rPr>
                <w:rFonts w:ascii="Arial Narrow" w:hAnsi="Arial Narrow"/>
                <w:i/>
                <w:sz w:val="20"/>
              </w:rPr>
              <w:t xml:space="preserve">in situ </w:t>
            </w:r>
            <w:r w:rsidRPr="0063256D">
              <w:rPr>
                <w:rFonts w:ascii="Arial Narrow" w:hAnsi="Arial Narrow"/>
                <w:sz w:val="20"/>
              </w:rPr>
              <w:t>degree heating day estimates</w:t>
            </w:r>
          </w:p>
        </w:tc>
        <w:tc>
          <w:tcPr>
            <w:tcW w:w="3828" w:type="dxa"/>
            <w:tcBorders>
              <w:top w:val="single" w:sz="4" w:space="0" w:color="auto"/>
              <w:bottom w:val="single" w:sz="4" w:space="0" w:color="auto"/>
            </w:tcBorders>
            <w:shd w:val="clear" w:color="auto" w:fill="E7F3F4"/>
          </w:tcPr>
          <w:p w14:paraId="53C13710" w14:textId="77777777" w:rsidR="00DF6F02" w:rsidRPr="0063256D" w:rsidRDefault="00DF6F02" w:rsidP="001F7525">
            <w:pPr>
              <w:spacing w:after="0"/>
              <w:rPr>
                <w:rFonts w:ascii="Arial Narrow" w:hAnsi="Arial Narrow"/>
                <w:sz w:val="20"/>
              </w:rPr>
            </w:pPr>
            <w:r w:rsidRPr="0063256D">
              <w:rPr>
                <w:rFonts w:ascii="Arial Narrow" w:hAnsi="Arial Narrow"/>
                <w:sz w:val="20"/>
              </w:rPr>
              <w:t>MMP Inshore Coral monitoring</w:t>
            </w:r>
          </w:p>
        </w:tc>
      </w:tr>
      <w:tr w:rsidR="00DF6F02" w:rsidRPr="00CE4E0F" w14:paraId="53C13717" w14:textId="77777777" w:rsidTr="001F7525">
        <w:trPr>
          <w:trHeight w:val="397"/>
        </w:trPr>
        <w:tc>
          <w:tcPr>
            <w:tcW w:w="2198" w:type="dxa"/>
            <w:tcBorders>
              <w:top w:val="single" w:sz="4" w:space="0" w:color="auto"/>
              <w:bottom w:val="single" w:sz="4" w:space="0" w:color="auto"/>
            </w:tcBorders>
            <w:shd w:val="clear" w:color="auto" w:fill="E7F3F4"/>
          </w:tcPr>
          <w:p w14:paraId="53C13712" w14:textId="77777777" w:rsidR="00DF6F02" w:rsidRDefault="00DF6F02" w:rsidP="001F7525">
            <w:pPr>
              <w:spacing w:after="0"/>
              <w:ind w:left="176"/>
              <w:jc w:val="left"/>
              <w:rPr>
                <w:rFonts w:ascii="Arial Narrow" w:hAnsi="Arial Narrow"/>
                <w:sz w:val="20"/>
              </w:rPr>
            </w:pPr>
            <w:r w:rsidRPr="0063256D">
              <w:rPr>
                <w:rFonts w:ascii="Arial Narrow" w:hAnsi="Arial Narrow"/>
                <w:sz w:val="20"/>
              </w:rPr>
              <w:t>Degree Heating days</w:t>
            </w:r>
          </w:p>
        </w:tc>
        <w:tc>
          <w:tcPr>
            <w:tcW w:w="1204" w:type="dxa"/>
            <w:tcBorders>
              <w:top w:val="single" w:sz="4" w:space="0" w:color="auto"/>
              <w:bottom w:val="single" w:sz="4" w:space="0" w:color="auto"/>
            </w:tcBorders>
            <w:shd w:val="clear" w:color="auto" w:fill="E7F3F4"/>
          </w:tcPr>
          <w:p w14:paraId="53C13713" w14:textId="77777777" w:rsidR="00DF6F02" w:rsidRDefault="00DF6F02" w:rsidP="001F7525">
            <w:pPr>
              <w:spacing w:after="0"/>
              <w:rPr>
                <w:rFonts w:ascii="Arial Narrow" w:hAnsi="Arial Narrow"/>
                <w:sz w:val="20"/>
              </w:rPr>
            </w:pPr>
            <w:r w:rsidRPr="0063256D">
              <w:rPr>
                <w:rFonts w:ascii="Arial Narrow" w:hAnsi="Arial Narrow"/>
                <w:sz w:val="20"/>
              </w:rPr>
              <w:t>2006 – 2019</w:t>
            </w:r>
          </w:p>
        </w:tc>
        <w:tc>
          <w:tcPr>
            <w:tcW w:w="3402" w:type="dxa"/>
            <w:tcBorders>
              <w:top w:val="single" w:sz="4" w:space="0" w:color="auto"/>
              <w:bottom w:val="single" w:sz="4" w:space="0" w:color="auto"/>
            </w:tcBorders>
            <w:shd w:val="clear" w:color="auto" w:fill="E7F3F4"/>
          </w:tcPr>
          <w:p w14:paraId="53C13714" w14:textId="77777777" w:rsidR="00DF6F02" w:rsidRPr="0063256D" w:rsidRDefault="00DF6F02" w:rsidP="001F7525">
            <w:pPr>
              <w:spacing w:after="0"/>
              <w:rPr>
                <w:rFonts w:ascii="Arial Narrow" w:hAnsi="Arial Narrow"/>
                <w:sz w:val="20"/>
              </w:rPr>
            </w:pPr>
            <w:r w:rsidRPr="0063256D">
              <w:rPr>
                <w:rFonts w:ascii="Arial Narrow" w:hAnsi="Arial Narrow"/>
                <w:sz w:val="20"/>
              </w:rPr>
              <w:t>remote sensing</w:t>
            </w:r>
            <w:r w:rsidR="005B0694">
              <w:rPr>
                <w:rFonts w:ascii="Arial Narrow" w:hAnsi="Arial Narrow"/>
                <w:sz w:val="20"/>
              </w:rPr>
              <w:t>, ~4 km</w:t>
            </w:r>
            <w:r w:rsidR="005B0694" w:rsidRPr="005B0694">
              <w:rPr>
                <w:rFonts w:ascii="Arial Narrow" w:hAnsi="Arial Narrow"/>
                <w:sz w:val="20"/>
                <w:vertAlign w:val="superscript"/>
              </w:rPr>
              <w:t>2</w:t>
            </w:r>
            <w:r w:rsidR="005B0694">
              <w:rPr>
                <w:rFonts w:ascii="Arial Narrow" w:hAnsi="Arial Narrow"/>
                <w:sz w:val="20"/>
              </w:rPr>
              <w:t xml:space="preserve"> pixels</w:t>
            </w:r>
            <w:r w:rsidRPr="0063256D">
              <w:rPr>
                <w:rFonts w:ascii="Arial Narrow" w:hAnsi="Arial Narrow"/>
                <w:sz w:val="20"/>
              </w:rPr>
              <w:t xml:space="preserve"> adjacent to coral sites</w:t>
            </w:r>
            <w:r w:rsidR="00A71A3B">
              <w:rPr>
                <w:rFonts w:ascii="Arial Narrow" w:hAnsi="Arial Narrow"/>
                <w:sz w:val="20"/>
              </w:rPr>
              <w:t xml:space="preserve"> </w:t>
            </w:r>
          </w:p>
        </w:tc>
        <w:tc>
          <w:tcPr>
            <w:tcW w:w="3402" w:type="dxa"/>
            <w:tcBorders>
              <w:top w:val="single" w:sz="4" w:space="0" w:color="auto"/>
              <w:bottom w:val="single" w:sz="4" w:space="0" w:color="auto"/>
            </w:tcBorders>
            <w:shd w:val="clear" w:color="auto" w:fill="E7F3F4"/>
          </w:tcPr>
          <w:p w14:paraId="53C13715" w14:textId="77777777" w:rsidR="00DF6F02" w:rsidRDefault="00DF6F02" w:rsidP="001F7525">
            <w:pPr>
              <w:spacing w:after="0"/>
              <w:rPr>
                <w:rFonts w:ascii="Arial Narrow" w:hAnsi="Arial Narrow"/>
                <w:sz w:val="20"/>
              </w:rPr>
            </w:pPr>
            <w:r w:rsidRPr="0063256D">
              <w:rPr>
                <w:rFonts w:ascii="Arial Narrow" w:hAnsi="Arial Narrow"/>
                <w:sz w:val="20"/>
              </w:rPr>
              <w:t xml:space="preserve">regional plots, </w:t>
            </w:r>
            <w:r w:rsidR="00CF5AE0">
              <w:rPr>
                <w:rFonts w:ascii="Arial Narrow" w:hAnsi="Arial Narrow"/>
                <w:sz w:val="20"/>
              </w:rPr>
              <w:t xml:space="preserve">thermal </w:t>
            </w:r>
            <w:r w:rsidRPr="0063256D">
              <w:rPr>
                <w:rFonts w:ascii="Arial Narrow" w:hAnsi="Arial Narrow"/>
                <w:sz w:val="20"/>
              </w:rPr>
              <w:t>bleaching disturbance categorisation</w:t>
            </w:r>
          </w:p>
        </w:tc>
        <w:tc>
          <w:tcPr>
            <w:tcW w:w="3828" w:type="dxa"/>
            <w:tcBorders>
              <w:top w:val="single" w:sz="4" w:space="0" w:color="auto"/>
              <w:bottom w:val="single" w:sz="4" w:space="0" w:color="auto"/>
            </w:tcBorders>
            <w:shd w:val="clear" w:color="auto" w:fill="E7F3F4"/>
          </w:tcPr>
          <w:p w14:paraId="53C13716" w14:textId="77777777" w:rsidR="00DF6F02" w:rsidRPr="0063256D" w:rsidRDefault="00DF6F02" w:rsidP="001F7525">
            <w:pPr>
              <w:spacing w:after="0"/>
              <w:rPr>
                <w:rFonts w:ascii="Arial Narrow" w:hAnsi="Arial Narrow"/>
                <w:sz w:val="20"/>
              </w:rPr>
            </w:pPr>
            <w:r w:rsidRPr="0063256D">
              <w:rPr>
                <w:rFonts w:ascii="Arial Narrow" w:hAnsi="Arial Narrow"/>
                <w:sz w:val="20"/>
              </w:rPr>
              <w:t>Bureau of Meteorology</w:t>
            </w:r>
          </w:p>
        </w:tc>
      </w:tr>
      <w:tr w:rsidR="00DF6F02" w:rsidRPr="00CE4E0F" w14:paraId="53C1371D" w14:textId="77777777" w:rsidTr="001F7525">
        <w:trPr>
          <w:trHeight w:val="397"/>
        </w:trPr>
        <w:tc>
          <w:tcPr>
            <w:tcW w:w="2198" w:type="dxa"/>
            <w:tcBorders>
              <w:top w:val="single" w:sz="4" w:space="0" w:color="auto"/>
              <w:bottom w:val="single" w:sz="4" w:space="0" w:color="auto"/>
            </w:tcBorders>
            <w:shd w:val="clear" w:color="auto" w:fill="E7F3F4"/>
          </w:tcPr>
          <w:p w14:paraId="53C13718" w14:textId="77777777" w:rsidR="00DF6F02" w:rsidRPr="0063256D" w:rsidRDefault="00DF6F02" w:rsidP="001F7525">
            <w:pPr>
              <w:spacing w:after="0"/>
              <w:ind w:left="176"/>
              <w:jc w:val="left"/>
              <w:rPr>
                <w:rFonts w:ascii="Arial Narrow" w:hAnsi="Arial Narrow"/>
                <w:sz w:val="20"/>
              </w:rPr>
            </w:pPr>
            <w:r>
              <w:rPr>
                <w:rFonts w:ascii="Arial Narrow" w:hAnsi="Arial Narrow"/>
                <w:sz w:val="20"/>
              </w:rPr>
              <w:t>Cyclone tracks</w:t>
            </w:r>
          </w:p>
        </w:tc>
        <w:tc>
          <w:tcPr>
            <w:tcW w:w="1204" w:type="dxa"/>
            <w:tcBorders>
              <w:top w:val="single" w:sz="4" w:space="0" w:color="auto"/>
              <w:bottom w:val="single" w:sz="4" w:space="0" w:color="auto"/>
            </w:tcBorders>
            <w:shd w:val="clear" w:color="auto" w:fill="E7F3F4"/>
          </w:tcPr>
          <w:p w14:paraId="53C13719" w14:textId="77777777" w:rsidR="00DF6F02" w:rsidRPr="0063256D" w:rsidRDefault="00DF6F02" w:rsidP="001F7525">
            <w:pPr>
              <w:spacing w:after="0"/>
              <w:rPr>
                <w:rFonts w:ascii="Arial Narrow" w:hAnsi="Arial Narrow"/>
                <w:sz w:val="20"/>
              </w:rPr>
            </w:pPr>
            <w:r>
              <w:rPr>
                <w:rFonts w:ascii="Arial Narrow" w:hAnsi="Arial Narrow"/>
                <w:sz w:val="20"/>
              </w:rPr>
              <w:t>2005-2019</w:t>
            </w:r>
          </w:p>
        </w:tc>
        <w:tc>
          <w:tcPr>
            <w:tcW w:w="3402" w:type="dxa"/>
            <w:tcBorders>
              <w:top w:val="single" w:sz="4" w:space="0" w:color="auto"/>
              <w:bottom w:val="single" w:sz="4" w:space="0" w:color="auto"/>
            </w:tcBorders>
            <w:shd w:val="clear" w:color="auto" w:fill="E7F3F4"/>
          </w:tcPr>
          <w:p w14:paraId="53C1371A" w14:textId="77777777" w:rsidR="00DF6F02" w:rsidRPr="0063256D" w:rsidRDefault="00DF6F02" w:rsidP="001F7525">
            <w:pPr>
              <w:spacing w:after="0"/>
              <w:rPr>
                <w:rFonts w:ascii="Arial Narrow" w:hAnsi="Arial Narrow"/>
                <w:sz w:val="20"/>
              </w:rPr>
            </w:pPr>
          </w:p>
        </w:tc>
        <w:tc>
          <w:tcPr>
            <w:tcW w:w="3402" w:type="dxa"/>
            <w:tcBorders>
              <w:top w:val="single" w:sz="4" w:space="0" w:color="auto"/>
              <w:bottom w:val="single" w:sz="4" w:space="0" w:color="auto"/>
            </w:tcBorders>
            <w:shd w:val="clear" w:color="auto" w:fill="E7F3F4"/>
          </w:tcPr>
          <w:p w14:paraId="53C1371B" w14:textId="77777777" w:rsidR="00DF6F02" w:rsidRPr="0063256D" w:rsidRDefault="00DF6F02" w:rsidP="001F7525">
            <w:pPr>
              <w:spacing w:after="0"/>
              <w:rPr>
                <w:rFonts w:ascii="Arial Narrow" w:hAnsi="Arial Narrow"/>
                <w:sz w:val="20"/>
              </w:rPr>
            </w:pPr>
            <w:r>
              <w:rPr>
                <w:rFonts w:ascii="Arial Narrow" w:hAnsi="Arial Narrow"/>
                <w:sz w:val="20"/>
              </w:rPr>
              <w:t>informing attribution of storms as cause of observed coral loss</w:t>
            </w:r>
          </w:p>
        </w:tc>
        <w:tc>
          <w:tcPr>
            <w:tcW w:w="3828" w:type="dxa"/>
            <w:tcBorders>
              <w:top w:val="single" w:sz="4" w:space="0" w:color="auto"/>
              <w:bottom w:val="single" w:sz="4" w:space="0" w:color="auto"/>
            </w:tcBorders>
            <w:shd w:val="clear" w:color="auto" w:fill="E7F3F4"/>
          </w:tcPr>
          <w:p w14:paraId="53C1371C" w14:textId="77777777" w:rsidR="00DF6F02" w:rsidRPr="0063256D" w:rsidRDefault="00DF6F02" w:rsidP="001F7525">
            <w:pPr>
              <w:spacing w:after="0"/>
              <w:rPr>
                <w:rFonts w:ascii="Arial Narrow" w:hAnsi="Arial Narrow"/>
                <w:sz w:val="20"/>
              </w:rPr>
            </w:pPr>
            <w:r w:rsidRPr="0063256D">
              <w:rPr>
                <w:rFonts w:ascii="Arial Narrow" w:hAnsi="Arial Narrow"/>
                <w:sz w:val="20"/>
              </w:rPr>
              <w:t>Bureau of Meteorology</w:t>
            </w:r>
          </w:p>
        </w:tc>
      </w:tr>
      <w:tr w:rsidR="00DF6F02" w:rsidRPr="00CE4E0F" w14:paraId="53C13722" w14:textId="77777777" w:rsidTr="001F7525">
        <w:trPr>
          <w:trHeight w:val="305"/>
        </w:trPr>
        <w:tc>
          <w:tcPr>
            <w:tcW w:w="3402" w:type="dxa"/>
            <w:gridSpan w:val="2"/>
            <w:tcBorders>
              <w:top w:val="single" w:sz="4" w:space="0" w:color="auto"/>
              <w:bottom w:val="single" w:sz="4" w:space="0" w:color="auto"/>
            </w:tcBorders>
            <w:shd w:val="clear" w:color="auto" w:fill="F3F9FA"/>
          </w:tcPr>
          <w:p w14:paraId="53C1371E" w14:textId="77777777" w:rsidR="00DF6F02" w:rsidRPr="0063256D" w:rsidRDefault="00DF6F02" w:rsidP="001F7525">
            <w:pPr>
              <w:spacing w:after="0" w:line="200" w:lineRule="exact"/>
              <w:rPr>
                <w:rFonts w:ascii="Arial Narrow" w:hAnsi="Arial Narrow"/>
                <w:sz w:val="20"/>
              </w:rPr>
            </w:pPr>
            <w:r w:rsidRPr="0063256D">
              <w:rPr>
                <w:rFonts w:ascii="Arial Narrow" w:hAnsi="Arial Narrow"/>
                <w:i/>
                <w:sz w:val="20"/>
              </w:rPr>
              <w:t>Environment at coral sites</w:t>
            </w:r>
          </w:p>
        </w:tc>
        <w:tc>
          <w:tcPr>
            <w:tcW w:w="3402" w:type="dxa"/>
            <w:tcBorders>
              <w:top w:val="single" w:sz="4" w:space="0" w:color="auto"/>
              <w:bottom w:val="single" w:sz="4" w:space="0" w:color="auto"/>
            </w:tcBorders>
            <w:shd w:val="clear" w:color="auto" w:fill="F3F9FA"/>
          </w:tcPr>
          <w:p w14:paraId="53C1371F" w14:textId="77777777" w:rsidR="00DF6F02" w:rsidRPr="0063256D" w:rsidRDefault="00DF6F02" w:rsidP="001F7525">
            <w:pPr>
              <w:spacing w:after="0" w:line="200" w:lineRule="exact"/>
              <w:rPr>
                <w:rFonts w:ascii="Arial Narrow" w:hAnsi="Arial Narrow"/>
                <w:sz w:val="20"/>
              </w:rPr>
            </w:pPr>
          </w:p>
        </w:tc>
        <w:tc>
          <w:tcPr>
            <w:tcW w:w="3402" w:type="dxa"/>
            <w:tcBorders>
              <w:top w:val="single" w:sz="4" w:space="0" w:color="auto"/>
              <w:bottom w:val="single" w:sz="4" w:space="0" w:color="auto"/>
            </w:tcBorders>
            <w:shd w:val="clear" w:color="auto" w:fill="F3F9FA"/>
          </w:tcPr>
          <w:p w14:paraId="53C13720" w14:textId="77777777" w:rsidR="00DF6F02" w:rsidRPr="0063256D" w:rsidRDefault="00DF6F02" w:rsidP="001F7525">
            <w:pPr>
              <w:spacing w:after="0" w:line="200" w:lineRule="exact"/>
              <w:rPr>
                <w:rFonts w:ascii="Arial Narrow" w:hAnsi="Arial Narrow"/>
                <w:sz w:val="20"/>
              </w:rPr>
            </w:pPr>
          </w:p>
        </w:tc>
        <w:tc>
          <w:tcPr>
            <w:tcW w:w="3828" w:type="dxa"/>
            <w:tcBorders>
              <w:top w:val="single" w:sz="4" w:space="0" w:color="auto"/>
              <w:bottom w:val="single" w:sz="4" w:space="0" w:color="auto"/>
            </w:tcBorders>
            <w:shd w:val="clear" w:color="auto" w:fill="F3F9FA"/>
          </w:tcPr>
          <w:p w14:paraId="53C13721" w14:textId="77777777" w:rsidR="00DF6F02" w:rsidRPr="0063256D" w:rsidRDefault="00DF6F02" w:rsidP="001F7525">
            <w:pPr>
              <w:spacing w:after="0" w:line="200" w:lineRule="exact"/>
              <w:rPr>
                <w:rFonts w:ascii="Arial Narrow" w:hAnsi="Arial Narrow"/>
                <w:sz w:val="20"/>
              </w:rPr>
            </w:pPr>
          </w:p>
        </w:tc>
      </w:tr>
      <w:tr w:rsidR="00DF6F02" w:rsidRPr="00CE4E0F" w14:paraId="53C13728" w14:textId="77777777" w:rsidTr="001F7525">
        <w:trPr>
          <w:trHeight w:val="397"/>
        </w:trPr>
        <w:tc>
          <w:tcPr>
            <w:tcW w:w="2198" w:type="dxa"/>
            <w:tcBorders>
              <w:top w:val="single" w:sz="4" w:space="0" w:color="auto"/>
              <w:bottom w:val="single" w:sz="4" w:space="0" w:color="auto"/>
            </w:tcBorders>
            <w:shd w:val="clear" w:color="auto" w:fill="F3F9FA"/>
          </w:tcPr>
          <w:p w14:paraId="53C13723" w14:textId="77777777" w:rsidR="00DF6F02" w:rsidRPr="0063256D" w:rsidRDefault="00DF6F02" w:rsidP="001F7525">
            <w:pPr>
              <w:spacing w:after="0" w:line="200" w:lineRule="exact"/>
              <w:ind w:left="176"/>
              <w:jc w:val="left"/>
              <w:rPr>
                <w:rFonts w:ascii="Arial Narrow" w:hAnsi="Arial Narrow"/>
                <w:sz w:val="20"/>
              </w:rPr>
            </w:pPr>
            <w:r w:rsidRPr="0063256D">
              <w:rPr>
                <w:rFonts w:ascii="Arial Narrow" w:hAnsi="Arial Narrow"/>
                <w:sz w:val="20"/>
              </w:rPr>
              <w:t xml:space="preserve">Chlorophyll </w:t>
            </w:r>
            <w:r w:rsidRPr="0063256D">
              <w:rPr>
                <w:rFonts w:ascii="Arial Narrow" w:hAnsi="Arial Narrow"/>
                <w:i/>
                <w:sz w:val="20"/>
              </w:rPr>
              <w:t xml:space="preserve">a </w:t>
            </w:r>
            <w:r w:rsidRPr="0063256D">
              <w:rPr>
                <w:rFonts w:ascii="Arial Narrow" w:hAnsi="Arial Narrow"/>
                <w:sz w:val="20"/>
              </w:rPr>
              <w:t>exposure</w:t>
            </w:r>
          </w:p>
        </w:tc>
        <w:tc>
          <w:tcPr>
            <w:tcW w:w="1204" w:type="dxa"/>
            <w:tcBorders>
              <w:top w:val="single" w:sz="4" w:space="0" w:color="auto"/>
              <w:bottom w:val="single" w:sz="4" w:space="0" w:color="auto"/>
            </w:tcBorders>
            <w:shd w:val="clear" w:color="auto" w:fill="F3F9FA"/>
          </w:tcPr>
          <w:p w14:paraId="53C13724" w14:textId="77777777" w:rsidR="00DF6F02" w:rsidRPr="0063256D" w:rsidRDefault="00DF6F02" w:rsidP="001F7525">
            <w:pPr>
              <w:spacing w:after="0" w:line="200" w:lineRule="exact"/>
              <w:rPr>
                <w:rFonts w:ascii="Arial Narrow" w:hAnsi="Arial Narrow"/>
                <w:sz w:val="20"/>
              </w:rPr>
            </w:pPr>
            <w:r w:rsidRPr="0063256D">
              <w:rPr>
                <w:rFonts w:ascii="Arial Narrow" w:hAnsi="Arial Narrow"/>
                <w:sz w:val="20"/>
              </w:rPr>
              <w:t>2003 – 2019</w:t>
            </w:r>
          </w:p>
        </w:tc>
        <w:tc>
          <w:tcPr>
            <w:tcW w:w="3402" w:type="dxa"/>
            <w:tcBorders>
              <w:top w:val="single" w:sz="4" w:space="0" w:color="auto"/>
              <w:bottom w:val="single" w:sz="4" w:space="0" w:color="auto"/>
            </w:tcBorders>
            <w:shd w:val="clear" w:color="auto" w:fill="F3F9FA"/>
          </w:tcPr>
          <w:p w14:paraId="53C13725" w14:textId="77777777" w:rsidR="00DF6F02" w:rsidRPr="0063256D" w:rsidRDefault="00DF6F02" w:rsidP="001F7525">
            <w:pPr>
              <w:spacing w:after="0" w:line="200" w:lineRule="exact"/>
              <w:rPr>
                <w:rFonts w:ascii="Arial Narrow" w:hAnsi="Arial Narrow"/>
                <w:sz w:val="20"/>
              </w:rPr>
            </w:pPr>
            <w:r w:rsidRPr="0063256D">
              <w:rPr>
                <w:rFonts w:ascii="Arial Narrow" w:hAnsi="Arial Narrow"/>
                <w:sz w:val="20"/>
              </w:rPr>
              <w:t>product of water colour classification derived from remote sensing and coupled niskin samples</w:t>
            </w:r>
            <w:r w:rsidR="005B0694">
              <w:rPr>
                <w:rFonts w:ascii="Arial Narrow" w:hAnsi="Arial Narrow"/>
                <w:sz w:val="20"/>
              </w:rPr>
              <w:t>, resolution ~1 km</w:t>
            </w:r>
            <w:r w:rsidR="005B0694" w:rsidRPr="005B0694">
              <w:rPr>
                <w:rFonts w:ascii="Arial Narrow" w:hAnsi="Arial Narrow"/>
                <w:sz w:val="20"/>
                <w:vertAlign w:val="superscript"/>
              </w:rPr>
              <w:t>2</w:t>
            </w:r>
          </w:p>
        </w:tc>
        <w:tc>
          <w:tcPr>
            <w:tcW w:w="3402" w:type="dxa"/>
            <w:tcBorders>
              <w:top w:val="single" w:sz="4" w:space="0" w:color="auto"/>
              <w:bottom w:val="single" w:sz="4" w:space="0" w:color="auto"/>
            </w:tcBorders>
            <w:shd w:val="clear" w:color="auto" w:fill="F3F9FA"/>
          </w:tcPr>
          <w:p w14:paraId="53C13726" w14:textId="77777777" w:rsidR="00DF6F02" w:rsidRPr="0063256D" w:rsidRDefault="00DF6F02" w:rsidP="001F7525">
            <w:pPr>
              <w:spacing w:after="0" w:line="200" w:lineRule="exact"/>
              <w:rPr>
                <w:rFonts w:ascii="Arial Narrow" w:hAnsi="Arial Narrow"/>
                <w:sz w:val="20"/>
              </w:rPr>
            </w:pPr>
            <w:r w:rsidRPr="0063256D">
              <w:rPr>
                <w:rFonts w:ascii="Arial Narrow" w:hAnsi="Arial Narrow"/>
                <w:sz w:val="20"/>
              </w:rPr>
              <w:t>mapping, covariate in analysis of temporal variability in index score changes</w:t>
            </w:r>
          </w:p>
        </w:tc>
        <w:tc>
          <w:tcPr>
            <w:tcW w:w="3828" w:type="dxa"/>
            <w:tcBorders>
              <w:top w:val="single" w:sz="4" w:space="0" w:color="auto"/>
              <w:bottom w:val="single" w:sz="4" w:space="0" w:color="auto"/>
            </w:tcBorders>
            <w:shd w:val="clear" w:color="auto" w:fill="F3F9FA"/>
          </w:tcPr>
          <w:p w14:paraId="53C13727" w14:textId="77777777" w:rsidR="00DF6F02" w:rsidRPr="0063256D" w:rsidRDefault="00DF6F02" w:rsidP="001F7525">
            <w:pPr>
              <w:spacing w:after="0" w:line="200" w:lineRule="exact"/>
              <w:rPr>
                <w:rFonts w:ascii="Arial Narrow" w:hAnsi="Arial Narrow"/>
                <w:sz w:val="20"/>
              </w:rPr>
            </w:pPr>
            <w:r w:rsidRPr="0063256D">
              <w:rPr>
                <w:rFonts w:ascii="Arial Narrow" w:hAnsi="Arial Narrow"/>
                <w:sz w:val="20"/>
              </w:rPr>
              <w:t xml:space="preserve">MMP Water Quality (Gruber </w:t>
            </w:r>
            <w:r w:rsidRPr="0063256D">
              <w:rPr>
                <w:rFonts w:ascii="Arial Narrow" w:hAnsi="Arial Narrow"/>
                <w:i/>
                <w:sz w:val="20"/>
              </w:rPr>
              <w:t>et al</w:t>
            </w:r>
            <w:r w:rsidRPr="0063256D">
              <w:rPr>
                <w:rFonts w:ascii="Arial Narrow" w:hAnsi="Arial Narrow"/>
                <w:sz w:val="20"/>
              </w:rPr>
              <w:t xml:space="preserve">. </w:t>
            </w:r>
            <w:r>
              <w:rPr>
                <w:rFonts w:ascii="Arial Narrow" w:hAnsi="Arial Narrow"/>
                <w:i/>
                <w:sz w:val="20"/>
              </w:rPr>
              <w:t>2020</w:t>
            </w:r>
            <w:r w:rsidRPr="0063256D">
              <w:rPr>
                <w:rFonts w:ascii="Arial Narrow" w:hAnsi="Arial Narrow"/>
                <w:i/>
                <w:sz w:val="20"/>
              </w:rPr>
              <w:t>.</w:t>
            </w:r>
            <w:r w:rsidRPr="0063256D">
              <w:rPr>
                <w:rFonts w:ascii="Arial Narrow" w:hAnsi="Arial Narrow"/>
                <w:sz w:val="20"/>
              </w:rPr>
              <w:t>)</w:t>
            </w:r>
          </w:p>
        </w:tc>
      </w:tr>
      <w:tr w:rsidR="00DF6F02" w:rsidRPr="00CE4E0F" w14:paraId="53C1372F" w14:textId="77777777" w:rsidTr="001F7525">
        <w:trPr>
          <w:trHeight w:val="431"/>
        </w:trPr>
        <w:tc>
          <w:tcPr>
            <w:tcW w:w="2198" w:type="dxa"/>
            <w:tcBorders>
              <w:top w:val="single" w:sz="4" w:space="0" w:color="auto"/>
              <w:bottom w:val="single" w:sz="4" w:space="0" w:color="auto"/>
            </w:tcBorders>
            <w:shd w:val="clear" w:color="auto" w:fill="F3F9FA"/>
          </w:tcPr>
          <w:p w14:paraId="53C13729" w14:textId="77777777" w:rsidR="00DF6F02" w:rsidRPr="0063256D" w:rsidRDefault="00DF6F02" w:rsidP="001F7525">
            <w:pPr>
              <w:spacing w:after="0" w:line="200" w:lineRule="exact"/>
              <w:ind w:left="176"/>
              <w:jc w:val="left"/>
              <w:rPr>
                <w:rFonts w:ascii="Arial Narrow" w:hAnsi="Arial Narrow"/>
                <w:sz w:val="20"/>
              </w:rPr>
            </w:pPr>
            <w:r w:rsidRPr="0063256D">
              <w:rPr>
                <w:rFonts w:ascii="Arial Narrow" w:hAnsi="Arial Narrow"/>
                <w:sz w:val="20"/>
              </w:rPr>
              <w:t>Non-algal particulate (NAP)</w:t>
            </w:r>
          </w:p>
          <w:p w14:paraId="53C1372A" w14:textId="77777777" w:rsidR="00DF6F02" w:rsidRPr="0063256D" w:rsidRDefault="00DF6F02" w:rsidP="001F7525">
            <w:pPr>
              <w:spacing w:after="0" w:line="200" w:lineRule="exact"/>
              <w:ind w:left="176"/>
              <w:rPr>
                <w:rFonts w:ascii="Arial Narrow" w:hAnsi="Arial Narrow"/>
                <w:sz w:val="20"/>
              </w:rPr>
            </w:pPr>
            <w:r w:rsidRPr="0063256D">
              <w:rPr>
                <w:rFonts w:ascii="Arial Narrow" w:hAnsi="Arial Narrow"/>
                <w:sz w:val="20"/>
              </w:rPr>
              <w:t xml:space="preserve">Chlorophyll </w:t>
            </w:r>
            <w:r w:rsidRPr="0063256D">
              <w:rPr>
                <w:rFonts w:ascii="Arial Narrow" w:hAnsi="Arial Narrow"/>
                <w:i/>
                <w:sz w:val="20"/>
              </w:rPr>
              <w:t>a</w:t>
            </w:r>
          </w:p>
        </w:tc>
        <w:tc>
          <w:tcPr>
            <w:tcW w:w="1204" w:type="dxa"/>
            <w:tcBorders>
              <w:top w:val="single" w:sz="4" w:space="0" w:color="auto"/>
              <w:bottom w:val="single" w:sz="4" w:space="0" w:color="auto"/>
            </w:tcBorders>
            <w:shd w:val="clear" w:color="auto" w:fill="F3F9FA"/>
          </w:tcPr>
          <w:p w14:paraId="53C1372B" w14:textId="77777777" w:rsidR="00DF6F02" w:rsidRPr="0063256D" w:rsidRDefault="00DF6F02" w:rsidP="001F7525">
            <w:pPr>
              <w:spacing w:after="0" w:line="200" w:lineRule="exact"/>
              <w:rPr>
                <w:rFonts w:ascii="Arial Narrow" w:hAnsi="Arial Narrow"/>
                <w:sz w:val="20"/>
              </w:rPr>
            </w:pPr>
            <w:r w:rsidRPr="0063256D">
              <w:rPr>
                <w:rFonts w:ascii="Arial Narrow" w:hAnsi="Arial Narrow"/>
                <w:sz w:val="20"/>
              </w:rPr>
              <w:t>2002 – 2019</w:t>
            </w:r>
          </w:p>
        </w:tc>
        <w:tc>
          <w:tcPr>
            <w:tcW w:w="3402" w:type="dxa"/>
            <w:tcBorders>
              <w:top w:val="single" w:sz="4" w:space="0" w:color="auto"/>
              <w:bottom w:val="single" w:sz="4" w:space="0" w:color="auto"/>
            </w:tcBorders>
            <w:shd w:val="clear" w:color="auto" w:fill="F3F9FA"/>
          </w:tcPr>
          <w:p w14:paraId="53C1372C" w14:textId="77777777" w:rsidR="00DF6F02" w:rsidRPr="0063256D" w:rsidRDefault="00DF6F02" w:rsidP="001F7525">
            <w:pPr>
              <w:spacing w:after="0" w:line="200" w:lineRule="exact"/>
              <w:rPr>
                <w:rFonts w:ascii="Arial Narrow" w:hAnsi="Arial Narrow"/>
                <w:sz w:val="20"/>
              </w:rPr>
            </w:pPr>
            <w:r w:rsidRPr="0063256D">
              <w:rPr>
                <w:rFonts w:ascii="Arial Narrow" w:hAnsi="Arial Narrow"/>
                <w:sz w:val="20"/>
              </w:rPr>
              <w:t>remote sensing adjacent to coral sites</w:t>
            </w:r>
            <w:r w:rsidR="005B0694">
              <w:rPr>
                <w:rFonts w:ascii="Arial Narrow" w:hAnsi="Arial Narrow"/>
                <w:sz w:val="20"/>
              </w:rPr>
              <w:t>, resolution ~1 km</w:t>
            </w:r>
            <w:r w:rsidR="005B0694" w:rsidRPr="00D3657F">
              <w:rPr>
                <w:rFonts w:ascii="Arial Narrow" w:hAnsi="Arial Narrow"/>
                <w:sz w:val="20"/>
                <w:vertAlign w:val="superscript"/>
              </w:rPr>
              <w:t>2</w:t>
            </w:r>
          </w:p>
        </w:tc>
        <w:tc>
          <w:tcPr>
            <w:tcW w:w="3402" w:type="dxa"/>
            <w:tcBorders>
              <w:top w:val="single" w:sz="4" w:space="0" w:color="auto"/>
              <w:bottom w:val="single" w:sz="4" w:space="0" w:color="auto"/>
            </w:tcBorders>
            <w:shd w:val="clear" w:color="auto" w:fill="F3F9FA"/>
          </w:tcPr>
          <w:p w14:paraId="53C1372D" w14:textId="77777777" w:rsidR="00DF6F02" w:rsidRPr="0063256D" w:rsidRDefault="00DF6F02" w:rsidP="001F7525">
            <w:pPr>
              <w:spacing w:after="0" w:line="200" w:lineRule="exact"/>
              <w:jc w:val="left"/>
              <w:rPr>
                <w:rFonts w:ascii="Arial Narrow" w:hAnsi="Arial Narrow"/>
                <w:sz w:val="20"/>
              </w:rPr>
            </w:pPr>
            <w:r w:rsidRPr="0063256D">
              <w:rPr>
                <w:rFonts w:ascii="Arial Narrow" w:hAnsi="Arial Narrow"/>
                <w:sz w:val="20"/>
              </w:rPr>
              <w:t>Macroalgae and Community Composition metric thresholds, mapping, covariate in analysis of spatial trends in index and indicator score, covariate in analysis of temporal variability in index score changes</w:t>
            </w:r>
          </w:p>
        </w:tc>
        <w:tc>
          <w:tcPr>
            <w:tcW w:w="3828" w:type="dxa"/>
            <w:tcBorders>
              <w:top w:val="single" w:sz="4" w:space="0" w:color="auto"/>
              <w:bottom w:val="single" w:sz="4" w:space="0" w:color="auto"/>
            </w:tcBorders>
            <w:shd w:val="clear" w:color="auto" w:fill="F3F9FA"/>
          </w:tcPr>
          <w:p w14:paraId="53C1372E" w14:textId="77777777" w:rsidR="00DF6F02" w:rsidRPr="0063256D" w:rsidRDefault="00DF6F02" w:rsidP="001F7525">
            <w:pPr>
              <w:spacing w:after="0" w:line="200" w:lineRule="exact"/>
              <w:rPr>
                <w:rFonts w:ascii="Arial Narrow" w:hAnsi="Arial Narrow"/>
                <w:sz w:val="20"/>
              </w:rPr>
            </w:pPr>
            <w:r w:rsidRPr="0063256D">
              <w:rPr>
                <w:rFonts w:ascii="Arial Narrow" w:hAnsi="Arial Narrow"/>
                <w:sz w:val="20"/>
              </w:rPr>
              <w:t>Bureau of Meteorology</w:t>
            </w:r>
          </w:p>
        </w:tc>
      </w:tr>
      <w:tr w:rsidR="00DF6F02" w:rsidRPr="00CE4E0F" w14:paraId="53C13735" w14:textId="77777777" w:rsidTr="001F7525">
        <w:trPr>
          <w:trHeight w:val="397"/>
        </w:trPr>
        <w:tc>
          <w:tcPr>
            <w:tcW w:w="2198" w:type="dxa"/>
            <w:tcBorders>
              <w:top w:val="single" w:sz="4" w:space="0" w:color="auto"/>
              <w:bottom w:val="single" w:sz="4" w:space="0" w:color="auto"/>
            </w:tcBorders>
            <w:shd w:val="clear" w:color="auto" w:fill="F3F9FA"/>
          </w:tcPr>
          <w:p w14:paraId="53C13730" w14:textId="77777777" w:rsidR="00DF6F02" w:rsidRPr="0063256D" w:rsidRDefault="00DF6F02" w:rsidP="001F7525">
            <w:pPr>
              <w:spacing w:after="0" w:line="200" w:lineRule="exact"/>
              <w:ind w:left="176"/>
              <w:jc w:val="left"/>
              <w:rPr>
                <w:rFonts w:ascii="Arial Narrow" w:hAnsi="Arial Narrow"/>
                <w:sz w:val="20"/>
              </w:rPr>
            </w:pPr>
            <w:r w:rsidRPr="0063256D">
              <w:rPr>
                <w:rFonts w:ascii="Arial Narrow" w:hAnsi="Arial Narrow"/>
                <w:sz w:val="20"/>
              </w:rPr>
              <w:t>Photosynthetically Active Radiation (PAR)</w:t>
            </w:r>
          </w:p>
        </w:tc>
        <w:tc>
          <w:tcPr>
            <w:tcW w:w="1204" w:type="dxa"/>
            <w:tcBorders>
              <w:top w:val="single" w:sz="4" w:space="0" w:color="auto"/>
              <w:bottom w:val="single" w:sz="4" w:space="0" w:color="auto"/>
            </w:tcBorders>
            <w:shd w:val="clear" w:color="auto" w:fill="F3F9FA"/>
          </w:tcPr>
          <w:p w14:paraId="53C13731" w14:textId="77777777" w:rsidR="00DF6F02" w:rsidRPr="0063256D" w:rsidRDefault="00DF6F02" w:rsidP="001F7525">
            <w:pPr>
              <w:spacing w:after="0" w:line="200" w:lineRule="exact"/>
              <w:rPr>
                <w:rFonts w:ascii="Arial Narrow" w:hAnsi="Arial Narrow"/>
                <w:sz w:val="20"/>
              </w:rPr>
            </w:pPr>
            <w:r w:rsidRPr="0063256D">
              <w:rPr>
                <w:rFonts w:ascii="Arial Narrow" w:hAnsi="Arial Narrow"/>
                <w:sz w:val="20"/>
              </w:rPr>
              <w:t>2005 – 2019</w:t>
            </w:r>
          </w:p>
        </w:tc>
        <w:tc>
          <w:tcPr>
            <w:tcW w:w="3402" w:type="dxa"/>
            <w:tcBorders>
              <w:top w:val="single" w:sz="4" w:space="0" w:color="auto"/>
              <w:bottom w:val="single" w:sz="4" w:space="0" w:color="auto"/>
            </w:tcBorders>
            <w:shd w:val="clear" w:color="auto" w:fill="F3F9FA"/>
          </w:tcPr>
          <w:p w14:paraId="53C13732" w14:textId="77777777" w:rsidR="00DF6F02" w:rsidRPr="0063256D" w:rsidRDefault="00DF6F02" w:rsidP="001F7525">
            <w:pPr>
              <w:spacing w:after="0" w:line="200" w:lineRule="exact"/>
              <w:rPr>
                <w:rFonts w:ascii="Arial Narrow" w:hAnsi="Arial Narrow"/>
                <w:sz w:val="20"/>
              </w:rPr>
            </w:pPr>
            <w:r w:rsidRPr="0063256D">
              <w:rPr>
                <w:rFonts w:ascii="Arial Narrow" w:hAnsi="Arial Narrow"/>
                <w:sz w:val="20"/>
              </w:rPr>
              <w:t>remote sensing adjacent to coral sites</w:t>
            </w:r>
            <w:r w:rsidR="005B0694">
              <w:rPr>
                <w:rFonts w:ascii="Arial Narrow" w:hAnsi="Arial Narrow"/>
                <w:sz w:val="20"/>
              </w:rPr>
              <w:t>, resolution ~1 km</w:t>
            </w:r>
            <w:r w:rsidR="005B0694" w:rsidRPr="00D3657F">
              <w:rPr>
                <w:rFonts w:ascii="Arial Narrow" w:hAnsi="Arial Narrow"/>
                <w:sz w:val="20"/>
                <w:vertAlign w:val="superscript"/>
              </w:rPr>
              <w:t>2</w:t>
            </w:r>
          </w:p>
        </w:tc>
        <w:tc>
          <w:tcPr>
            <w:tcW w:w="3402" w:type="dxa"/>
            <w:tcBorders>
              <w:top w:val="single" w:sz="4" w:space="0" w:color="auto"/>
              <w:bottom w:val="single" w:sz="4" w:space="0" w:color="auto"/>
            </w:tcBorders>
            <w:shd w:val="clear" w:color="auto" w:fill="F3F9FA"/>
          </w:tcPr>
          <w:p w14:paraId="53C13733" w14:textId="77777777" w:rsidR="00DF6F02" w:rsidRPr="0063256D" w:rsidRDefault="00DF6F02" w:rsidP="001F7525">
            <w:pPr>
              <w:spacing w:after="0" w:line="200" w:lineRule="exact"/>
              <w:rPr>
                <w:rFonts w:ascii="Arial Narrow" w:hAnsi="Arial Narrow"/>
                <w:sz w:val="20"/>
              </w:rPr>
            </w:pPr>
            <w:r w:rsidRPr="0063256D">
              <w:rPr>
                <w:rFonts w:ascii="Arial Narrow" w:hAnsi="Arial Narrow"/>
                <w:sz w:val="20"/>
              </w:rPr>
              <w:t>covariate in analysis of spatial trends in index and indicator score, covariate in analysis of temporal variability in index score changes</w:t>
            </w:r>
          </w:p>
        </w:tc>
        <w:tc>
          <w:tcPr>
            <w:tcW w:w="3828" w:type="dxa"/>
            <w:tcBorders>
              <w:top w:val="single" w:sz="4" w:space="0" w:color="auto"/>
              <w:bottom w:val="single" w:sz="4" w:space="0" w:color="auto"/>
            </w:tcBorders>
            <w:shd w:val="clear" w:color="auto" w:fill="F3F9FA"/>
          </w:tcPr>
          <w:p w14:paraId="53C13734" w14:textId="77777777" w:rsidR="00DF6F02" w:rsidRPr="0063256D" w:rsidRDefault="00DF6F02" w:rsidP="001F7525">
            <w:pPr>
              <w:spacing w:after="0" w:line="200" w:lineRule="exact"/>
              <w:rPr>
                <w:rFonts w:ascii="Arial Narrow" w:hAnsi="Arial Narrow"/>
                <w:sz w:val="20"/>
              </w:rPr>
            </w:pPr>
            <w:r w:rsidRPr="0063256D">
              <w:rPr>
                <w:rFonts w:ascii="Arial Narrow" w:hAnsi="Arial Narrow"/>
                <w:sz w:val="20"/>
              </w:rPr>
              <w:t>Marites Magno-Canto (AIMS)</w:t>
            </w:r>
          </w:p>
        </w:tc>
      </w:tr>
      <w:tr w:rsidR="00DF6F02" w:rsidRPr="00CE4E0F" w14:paraId="53C1373B" w14:textId="77777777" w:rsidTr="001F7525">
        <w:trPr>
          <w:trHeight w:val="397"/>
        </w:trPr>
        <w:tc>
          <w:tcPr>
            <w:tcW w:w="2198" w:type="dxa"/>
            <w:tcBorders>
              <w:top w:val="single" w:sz="4" w:space="0" w:color="auto"/>
              <w:bottom w:val="single" w:sz="4" w:space="0" w:color="auto"/>
            </w:tcBorders>
            <w:shd w:val="clear" w:color="auto" w:fill="F3F9FA"/>
          </w:tcPr>
          <w:p w14:paraId="53C13736" w14:textId="77777777" w:rsidR="00DF6F02" w:rsidRPr="0063256D" w:rsidRDefault="00DF6F02" w:rsidP="001F7525">
            <w:pPr>
              <w:spacing w:after="0" w:line="200" w:lineRule="exact"/>
              <w:ind w:left="176"/>
              <w:rPr>
                <w:rFonts w:ascii="Arial Narrow" w:hAnsi="Arial Narrow"/>
                <w:sz w:val="20"/>
              </w:rPr>
            </w:pPr>
            <w:r w:rsidRPr="0063256D">
              <w:rPr>
                <w:rFonts w:ascii="Arial Narrow" w:hAnsi="Arial Narrow"/>
                <w:sz w:val="20"/>
              </w:rPr>
              <w:t>Sediment grain size</w:t>
            </w:r>
          </w:p>
        </w:tc>
        <w:tc>
          <w:tcPr>
            <w:tcW w:w="1204" w:type="dxa"/>
            <w:tcBorders>
              <w:top w:val="single" w:sz="4" w:space="0" w:color="auto"/>
              <w:bottom w:val="single" w:sz="4" w:space="0" w:color="auto"/>
            </w:tcBorders>
            <w:shd w:val="clear" w:color="auto" w:fill="F3F9FA"/>
          </w:tcPr>
          <w:p w14:paraId="53C13737" w14:textId="77777777" w:rsidR="00DF6F02" w:rsidRPr="0063256D" w:rsidRDefault="00DF6F02" w:rsidP="001F7525">
            <w:pPr>
              <w:spacing w:after="0" w:line="200" w:lineRule="exact"/>
              <w:rPr>
                <w:rFonts w:ascii="Arial Narrow" w:hAnsi="Arial Narrow"/>
                <w:sz w:val="20"/>
              </w:rPr>
            </w:pPr>
            <w:r w:rsidRPr="0063256D">
              <w:rPr>
                <w:rFonts w:ascii="Arial Narrow" w:hAnsi="Arial Narrow"/>
                <w:sz w:val="20"/>
              </w:rPr>
              <w:t>2006 – 2017</w:t>
            </w:r>
          </w:p>
        </w:tc>
        <w:tc>
          <w:tcPr>
            <w:tcW w:w="3402" w:type="dxa"/>
            <w:tcBorders>
              <w:top w:val="single" w:sz="4" w:space="0" w:color="auto"/>
              <w:bottom w:val="single" w:sz="4" w:space="0" w:color="auto"/>
            </w:tcBorders>
            <w:shd w:val="clear" w:color="auto" w:fill="F3F9FA"/>
          </w:tcPr>
          <w:p w14:paraId="53C13738" w14:textId="77777777" w:rsidR="00DF6F02" w:rsidRPr="0063256D" w:rsidRDefault="00DF6F02" w:rsidP="001F7525">
            <w:pPr>
              <w:spacing w:after="0" w:line="200" w:lineRule="exact"/>
              <w:rPr>
                <w:rFonts w:ascii="Arial Narrow" w:hAnsi="Arial Narrow"/>
                <w:sz w:val="20"/>
              </w:rPr>
            </w:pPr>
            <w:r w:rsidRPr="0063256D">
              <w:rPr>
                <w:rFonts w:ascii="Arial Narrow" w:hAnsi="Arial Narrow"/>
                <w:sz w:val="20"/>
              </w:rPr>
              <w:t>optical and sieve analysis of samples from coral sites</w:t>
            </w:r>
          </w:p>
        </w:tc>
        <w:tc>
          <w:tcPr>
            <w:tcW w:w="3402" w:type="dxa"/>
            <w:tcBorders>
              <w:top w:val="single" w:sz="4" w:space="0" w:color="auto"/>
              <w:bottom w:val="single" w:sz="4" w:space="0" w:color="auto"/>
            </w:tcBorders>
            <w:shd w:val="clear" w:color="auto" w:fill="F3F9FA"/>
          </w:tcPr>
          <w:p w14:paraId="53C13739" w14:textId="77777777" w:rsidR="00DF6F02" w:rsidRPr="0063256D" w:rsidRDefault="00DF6F02" w:rsidP="001F7525">
            <w:pPr>
              <w:spacing w:after="0" w:line="200" w:lineRule="exact"/>
              <w:rPr>
                <w:rFonts w:ascii="Arial Narrow" w:hAnsi="Arial Narrow"/>
                <w:sz w:val="20"/>
              </w:rPr>
            </w:pPr>
            <w:r w:rsidRPr="0063256D">
              <w:rPr>
                <w:rFonts w:ascii="Arial Narrow" w:hAnsi="Arial Narrow"/>
                <w:sz w:val="20"/>
              </w:rPr>
              <w:t>analysis covariate, Macroalgae metric thresholds</w:t>
            </w:r>
          </w:p>
        </w:tc>
        <w:tc>
          <w:tcPr>
            <w:tcW w:w="3828" w:type="dxa"/>
            <w:tcBorders>
              <w:top w:val="single" w:sz="4" w:space="0" w:color="auto"/>
              <w:bottom w:val="single" w:sz="4" w:space="0" w:color="auto"/>
            </w:tcBorders>
            <w:shd w:val="clear" w:color="auto" w:fill="F3F9FA"/>
          </w:tcPr>
          <w:p w14:paraId="53C1373A" w14:textId="77777777" w:rsidR="00DF6F02" w:rsidRPr="0063256D" w:rsidRDefault="00DF6F02" w:rsidP="001F7525">
            <w:pPr>
              <w:spacing w:after="0" w:line="200" w:lineRule="exact"/>
              <w:rPr>
                <w:rFonts w:ascii="Arial Narrow" w:hAnsi="Arial Narrow"/>
                <w:sz w:val="20"/>
              </w:rPr>
            </w:pPr>
            <w:r w:rsidRPr="0063256D">
              <w:rPr>
                <w:rFonts w:ascii="Arial Narrow" w:hAnsi="Arial Narrow"/>
                <w:sz w:val="20"/>
              </w:rPr>
              <w:t>MMP Inshore Coral monitoring</w:t>
            </w:r>
          </w:p>
        </w:tc>
      </w:tr>
    </w:tbl>
    <w:p w14:paraId="53C1373C" w14:textId="77777777" w:rsidR="00DF6F02" w:rsidRPr="00CE4E0F" w:rsidRDefault="00DF6F02" w:rsidP="00DF6F02">
      <w:pPr>
        <w:rPr>
          <w:color w:val="548DD4" w:themeColor="text2" w:themeTint="99"/>
        </w:rPr>
        <w:sectPr w:rsidR="00DF6F02" w:rsidRPr="00CE4E0F" w:rsidSect="006D1A71">
          <w:footerReference w:type="default" r:id="rId31"/>
          <w:pgSz w:w="16840" w:h="11907" w:orient="landscape" w:code="9"/>
          <w:pgMar w:top="1134" w:right="1440" w:bottom="1134" w:left="1134" w:header="709" w:footer="709" w:gutter="0"/>
          <w:cols w:space="708"/>
          <w:docGrid w:linePitch="360"/>
        </w:sectPr>
      </w:pPr>
    </w:p>
    <w:p w14:paraId="53C1373D" w14:textId="77777777" w:rsidR="00DF6F02" w:rsidRPr="00CE4E0F" w:rsidRDefault="00DF6F02" w:rsidP="00727D87">
      <w:pPr>
        <w:pStyle w:val="Heading3"/>
      </w:pPr>
      <w:bookmarkStart w:id="136" w:name="_Toc35947086"/>
      <w:r>
        <w:lastRenderedPageBreak/>
        <w:t xml:space="preserve">Light available for </w:t>
      </w:r>
      <w:r w:rsidRPr="006931BE">
        <w:t>photosynthesis</w:t>
      </w:r>
      <w:bookmarkEnd w:id="136"/>
    </w:p>
    <w:p w14:paraId="53C1373E" w14:textId="77777777" w:rsidR="00DF6F02" w:rsidRPr="000D55E7" w:rsidRDefault="00DF6F02" w:rsidP="00DF6F02">
      <w:pPr>
        <w:rPr>
          <w:color w:val="000000" w:themeColor="text1"/>
        </w:rPr>
      </w:pPr>
      <w:r w:rsidRPr="000D55E7">
        <w:rPr>
          <w:color w:val="000000" w:themeColor="text1"/>
        </w:rPr>
        <w:t xml:space="preserve">The estimates of Chl </w:t>
      </w:r>
      <w:r w:rsidRPr="000D55E7">
        <w:rPr>
          <w:i/>
          <w:color w:val="000000" w:themeColor="text1"/>
        </w:rPr>
        <w:t>a</w:t>
      </w:r>
      <w:r w:rsidRPr="000D55E7">
        <w:rPr>
          <w:color w:val="000000" w:themeColor="text1"/>
        </w:rPr>
        <w:t xml:space="preserve"> and NAP described above quantify the relative exposure to nutrient and suspended sediments. These and other optically active components of the water column interact to reduce the penetration of light at wavelengths necessary for photosynthesis (photosynthetically a</w:t>
      </w:r>
      <w:r>
        <w:rPr>
          <w:color w:val="000000" w:themeColor="text1"/>
        </w:rPr>
        <w:t>ctive</w:t>
      </w:r>
      <w:r w:rsidRPr="000D55E7">
        <w:rPr>
          <w:color w:val="000000" w:themeColor="text1"/>
        </w:rPr>
        <w:t xml:space="preserve"> radiation, PAR). </w:t>
      </w:r>
      <w:r w:rsidR="004D0453">
        <w:rPr>
          <w:color w:val="000000" w:themeColor="text1"/>
        </w:rPr>
        <w:t>As proxy for relative light attenuation at the coral sites, d</w:t>
      </w:r>
      <w:r w:rsidRPr="000D55E7">
        <w:rPr>
          <w:color w:val="000000" w:themeColor="text1"/>
        </w:rPr>
        <w:t>aily estimates of PAR at 8 m depth</w:t>
      </w:r>
      <w:r>
        <w:rPr>
          <w:color w:val="000000" w:themeColor="text1"/>
        </w:rPr>
        <w:t xml:space="preserve"> below mean tide height</w:t>
      </w:r>
      <w:r w:rsidRPr="000D55E7">
        <w:rPr>
          <w:color w:val="000000" w:themeColor="text1"/>
        </w:rPr>
        <w:t>, were estimated based on an algorithm applied to MODIS aqua images (</w:t>
      </w:r>
      <w:r>
        <w:rPr>
          <w:color w:val="000000" w:themeColor="text1"/>
        </w:rPr>
        <w:t>Magno-</w:t>
      </w:r>
      <w:r w:rsidRPr="000D55E7">
        <w:rPr>
          <w:color w:val="000000" w:themeColor="text1"/>
        </w:rPr>
        <w:t xml:space="preserve">Canto </w:t>
      </w:r>
      <w:r w:rsidRPr="00C8724B">
        <w:rPr>
          <w:i/>
          <w:color w:val="000000" w:themeColor="text1"/>
        </w:rPr>
        <w:t>et al</w:t>
      </w:r>
      <w:r w:rsidRPr="000D55E7">
        <w:rPr>
          <w:color w:val="000000" w:themeColor="text1"/>
        </w:rPr>
        <w:t xml:space="preserve">. 2019) and extracted from the same pixels as used for the NAP and Chl </w:t>
      </w:r>
      <w:r w:rsidRPr="000D55E7">
        <w:rPr>
          <w:i/>
          <w:color w:val="000000" w:themeColor="text1"/>
        </w:rPr>
        <w:t>a</w:t>
      </w:r>
      <w:r w:rsidRPr="000D55E7">
        <w:rPr>
          <w:color w:val="000000" w:themeColor="text1"/>
        </w:rPr>
        <w:t xml:space="preserve"> estimates.</w:t>
      </w:r>
    </w:p>
    <w:p w14:paraId="53C1373F" w14:textId="77777777" w:rsidR="00DF6F02" w:rsidRPr="00CE4E0F" w:rsidRDefault="00DF6F02" w:rsidP="00727D87">
      <w:pPr>
        <w:pStyle w:val="Heading3"/>
      </w:pPr>
      <w:bookmarkStart w:id="137" w:name="_Toc35947087"/>
      <w:r w:rsidRPr="00CE4E0F">
        <w:t>Sediment characteristics</w:t>
      </w:r>
      <w:bookmarkEnd w:id="137"/>
    </w:p>
    <w:p w14:paraId="53C13740" w14:textId="77777777" w:rsidR="00DF6F02" w:rsidRPr="00CE4E0F" w:rsidRDefault="00DF6F02" w:rsidP="00DF6F02">
      <w:r w:rsidRPr="00CE4E0F">
        <w:t xml:space="preserve">The proportion of sediments with grainsize &lt; 63µm (clay and silt) from the reefs sites was used as a proxy for exposure to wave and tide mediated resuspension. These estimates were used as covariates in analysis of spatial distributions of index and indicator scores and in analyses that determined reef level thresholds for macroalgae (Thompson </w:t>
      </w:r>
      <w:r w:rsidRPr="00CE4E0F">
        <w:rPr>
          <w:i/>
        </w:rPr>
        <w:t>et al.</w:t>
      </w:r>
      <w:r w:rsidRPr="00CE4E0F">
        <w:t xml:space="preserve"> 2016).</w:t>
      </w:r>
    </w:p>
    <w:p w14:paraId="53C13741" w14:textId="77777777" w:rsidR="00DF6F02" w:rsidRPr="00CE4E0F" w:rsidRDefault="00DF6F02" w:rsidP="00DF6F02">
      <w:r w:rsidRPr="00CE4E0F">
        <w:t>Grainsize distribution of sediments was estimated from samples collected from the 5 m depth MMP sites at the time of coral sampling until 2014. At each site five 60 ml syringe tubes were used to collect cores of surface sediment from available deposits</w:t>
      </w:r>
      <w:r w:rsidRPr="00CE4E0F" w:rsidDel="00B75830">
        <w:t xml:space="preserve"> </w:t>
      </w:r>
      <w:r w:rsidRPr="00CE4E0F">
        <w:t>along the site. The end of the syringe tube was cut away to produce a uniform cylinder. Sediment was collected by pushing the tube into the sediment being careful not to suck sediment and pore-water into the tube with the plunger. A rubber stopper was then inserted to trap the sediment plug. The surface centimetre of sediment was retained and grainsize distribution determined by a combination of sieving and laser analysis carried out by the School of Earth Sciences, James Cook University (2005–2009) and subsequently by Geoscience Australia.</w:t>
      </w:r>
    </w:p>
    <w:p w14:paraId="53C13742" w14:textId="77777777" w:rsidR="00DF6F02" w:rsidRPr="00CE4E0F" w:rsidRDefault="00DF6F02" w:rsidP="00DF6F02">
      <w:r w:rsidRPr="00CE4E0F">
        <w:t>For LTMP sites the clay and silt content of sediments was estimated by interpolating between MMP reefs with similar exposure to the south</w:t>
      </w:r>
      <w:r>
        <w:t>-</w:t>
      </w:r>
      <w:r w:rsidRPr="00CE4E0F">
        <w:t xml:space="preserve">east as the predominant direction of wave energy in the Reef. Estimated sediment composition </w:t>
      </w:r>
      <w:r w:rsidRPr="00CE4E0F">
        <w:lastRenderedPageBreak/>
        <w:t>was verified by visually checking images including sediment from photo transects against images from MMP reefs with similar exposure.</w:t>
      </w:r>
    </w:p>
    <w:p w14:paraId="53C13743" w14:textId="77777777" w:rsidR="00DF6F02" w:rsidRDefault="00DF6F02" w:rsidP="00DF6F02">
      <w:r w:rsidRPr="00CE4E0F">
        <w:t>For the new site at Bedarra sediment samples collected in 2015 were passed through a 63 µm sieve to estimate the clay and silt grain-sized proportion of the sample.</w:t>
      </w:r>
    </w:p>
    <w:p w14:paraId="53C13744" w14:textId="77777777" w:rsidR="005B5DEA" w:rsidRDefault="005B5DEA">
      <w:pPr>
        <w:jc w:val="left"/>
      </w:pPr>
      <w:r>
        <w:br w:type="page"/>
      </w:r>
    </w:p>
    <w:p w14:paraId="53C13745" w14:textId="77777777" w:rsidR="005B5DEA" w:rsidRDefault="005B5DEA" w:rsidP="006F1D4F">
      <w:pPr>
        <w:pStyle w:val="Heading2"/>
      </w:pPr>
      <w:bookmarkStart w:id="138" w:name="_Toc35947088"/>
      <w:r>
        <w:lastRenderedPageBreak/>
        <w:t>Coral monitoring</w:t>
      </w:r>
      <w:bookmarkEnd w:id="138"/>
    </w:p>
    <w:p w14:paraId="53C13746" w14:textId="77777777" w:rsidR="005B5DEA" w:rsidRPr="005B5DEA" w:rsidRDefault="005B5DEA" w:rsidP="005B5DEA">
      <w:r>
        <w:t xml:space="preserve">This section details the sampling design and sampling methods used to monitor </w:t>
      </w:r>
      <w:r w:rsidR="00BF5727">
        <w:t xml:space="preserve">and report </w:t>
      </w:r>
      <w:r>
        <w:t>coral communit</w:t>
      </w:r>
      <w:r w:rsidR="00BF5727">
        <w:t>y condition</w:t>
      </w:r>
    </w:p>
    <w:p w14:paraId="53C13747" w14:textId="77777777" w:rsidR="00A84742" w:rsidRPr="00CE4E0F" w:rsidRDefault="009520BE" w:rsidP="00727D87">
      <w:pPr>
        <w:pStyle w:val="Heading3"/>
      </w:pPr>
      <w:bookmarkStart w:id="139" w:name="_Toc25750138"/>
      <w:bookmarkStart w:id="140" w:name="_Toc35947089"/>
      <w:bookmarkStart w:id="141" w:name="_Toc491847358"/>
      <w:bookmarkStart w:id="142" w:name="_Toc526246879"/>
      <w:bookmarkStart w:id="143" w:name="_Toc530654932"/>
      <w:bookmarkEnd w:id="139"/>
      <w:r>
        <w:t>Sampling design</w:t>
      </w:r>
      <w:bookmarkEnd w:id="140"/>
      <w:r>
        <w:t xml:space="preserve"> </w:t>
      </w:r>
      <w:bookmarkEnd w:id="141"/>
      <w:bookmarkEnd w:id="142"/>
      <w:bookmarkEnd w:id="143"/>
    </w:p>
    <w:p w14:paraId="53C13748" w14:textId="77777777" w:rsidR="00BF5727" w:rsidRDefault="00A84742" w:rsidP="00BF5727">
      <w:pPr>
        <w:rPr>
          <w:rFonts w:eastAsia="MS Mincho"/>
        </w:rPr>
      </w:pPr>
      <w:r w:rsidRPr="00CE4E0F">
        <w:rPr>
          <w:rFonts w:eastAsia="MS Mincho"/>
        </w:rPr>
        <w:t xml:space="preserve">Monitoring of inshore coral reef communities occurs at reefs adjacent to four of the six natural resource management regions with catchments draining into the Reef: Wet Tropics, Burdekin, </w:t>
      </w:r>
      <w:r w:rsidR="005F2B5B">
        <w:rPr>
          <w:rFonts w:eastAsia="MS Mincho"/>
        </w:rPr>
        <w:t>Mackay-Whitsunday</w:t>
      </w:r>
      <w:r w:rsidRPr="00CE4E0F">
        <w:rPr>
          <w:rFonts w:eastAsia="MS Mincho"/>
        </w:rPr>
        <w:t xml:space="preserve"> and Fitzroy. No reefs are included adjacent to Cape York due to logistic and occupational health and safety issues relating to diving in coastal waters in this region. Limited development of coral reefs in nearshore waters adjacent to the Burnett Mary Region precluded sampling there. </w:t>
      </w:r>
    </w:p>
    <w:p w14:paraId="53C13749" w14:textId="77777777" w:rsidR="00A84742" w:rsidRPr="00CE4E0F" w:rsidRDefault="00A84742" w:rsidP="00BF5727">
      <w:pPr>
        <w:rPr>
          <w:rFonts w:eastAsia="MS Mincho"/>
          <w:lang w:eastAsia="en-GB"/>
        </w:rPr>
      </w:pPr>
      <w:r w:rsidRPr="00CE4E0F">
        <w:t>Sub-regions were included in the Wet Tropics Region to more closely align reefs with the combined catchments of the:</w:t>
      </w:r>
      <w:r w:rsidR="00BF5727">
        <w:t xml:space="preserve"> </w:t>
      </w:r>
      <w:r w:rsidRPr="00CE4E0F">
        <w:rPr>
          <w:lang w:eastAsia="en-GB"/>
        </w:rPr>
        <w:t>Barron and Daintree rivers</w:t>
      </w:r>
      <w:r w:rsidR="00BF5727">
        <w:rPr>
          <w:lang w:eastAsia="en-GB"/>
        </w:rPr>
        <w:t xml:space="preserve">, the </w:t>
      </w:r>
      <w:r w:rsidRPr="00CE4E0F">
        <w:rPr>
          <w:lang w:eastAsia="en-GB"/>
        </w:rPr>
        <w:t>Johnstone and Russell-Mulgrave Rivers</w:t>
      </w:r>
      <w:r w:rsidR="00BF5727">
        <w:rPr>
          <w:lang w:eastAsia="en-GB"/>
        </w:rPr>
        <w:t xml:space="preserve">, and the </w:t>
      </w:r>
      <w:r w:rsidRPr="00CE4E0F">
        <w:rPr>
          <w:lang w:eastAsia="en-GB"/>
        </w:rPr>
        <w:t>Herbert and Tully rivers.</w:t>
      </w:r>
    </w:p>
    <w:p w14:paraId="53C1374A" w14:textId="77777777" w:rsidR="00A84742" w:rsidRPr="00CE4E0F" w:rsidRDefault="0096490D" w:rsidP="00727D87">
      <w:pPr>
        <w:pStyle w:val="Heading3"/>
      </w:pPr>
      <w:bookmarkStart w:id="144" w:name="_Toc526246880"/>
      <w:bookmarkStart w:id="145" w:name="_Toc530654933"/>
      <w:bookmarkStart w:id="146" w:name="_Toc35947090"/>
      <w:r w:rsidRPr="00CE4E0F">
        <w:t>Site s</w:t>
      </w:r>
      <w:r w:rsidR="00A84742" w:rsidRPr="00CE4E0F">
        <w:t>election</w:t>
      </w:r>
      <w:bookmarkEnd w:id="144"/>
      <w:bookmarkEnd w:id="145"/>
      <w:bookmarkEnd w:id="146"/>
    </w:p>
    <w:p w14:paraId="53C1374B" w14:textId="77777777" w:rsidR="00A84742" w:rsidRPr="00CE4E0F" w:rsidRDefault="00A84742" w:rsidP="00A84742">
      <w:r w:rsidRPr="00CE4E0F">
        <w:t>Initial selection of sites was jointly decided by an expert panel chaired by the Authority. The selection was based on two primary considerations:</w:t>
      </w:r>
    </w:p>
    <w:p w14:paraId="53C1374C" w14:textId="77777777" w:rsidR="00A84742" w:rsidRPr="00CE4E0F" w:rsidRDefault="00A84742" w:rsidP="00A84742">
      <w:pPr>
        <w:numPr>
          <w:ilvl w:val="0"/>
          <w:numId w:val="2"/>
        </w:numPr>
        <w:tabs>
          <w:tab w:val="clear" w:pos="720"/>
          <w:tab w:val="num" w:pos="360"/>
        </w:tabs>
        <w:ind w:left="360"/>
      </w:pPr>
      <w:r w:rsidRPr="00CE4E0F">
        <w:t xml:space="preserve">Within the Reef, strong gradients in water quality </w:t>
      </w:r>
      <w:r w:rsidRPr="00CE4E0F">
        <w:rPr>
          <w:rFonts w:eastAsia="MS Mincho"/>
        </w:rPr>
        <w:t xml:space="preserve">exist with distance from the coast and </w:t>
      </w:r>
      <w:r w:rsidRPr="00CE4E0F">
        <w:rPr>
          <w:rFonts w:ascii="Helvetica" w:hAnsi="Helvetica" w:cs="Helvetica"/>
        </w:rPr>
        <w:t xml:space="preserve">increasing distance from rivers, particularly in a northerly direction (Larcombe </w:t>
      </w:r>
      <w:r w:rsidRPr="00CE4E0F">
        <w:rPr>
          <w:rFonts w:ascii="Helvetica" w:hAnsi="Helvetica" w:cs="Helvetica"/>
          <w:i/>
        </w:rPr>
        <w:t>et al.</w:t>
      </w:r>
      <w:r w:rsidRPr="00CE4E0F">
        <w:rPr>
          <w:rFonts w:ascii="Helvetica" w:hAnsi="Helvetica" w:cs="Helvetica"/>
        </w:rPr>
        <w:t xml:space="preserve"> 1995, Brinkman </w:t>
      </w:r>
      <w:r w:rsidRPr="00CE4E0F">
        <w:rPr>
          <w:rFonts w:ascii="Helvetica" w:hAnsi="Helvetica" w:cs="Helvetica"/>
          <w:i/>
        </w:rPr>
        <w:t>et al.</w:t>
      </w:r>
      <w:r w:rsidRPr="00CE4E0F">
        <w:rPr>
          <w:rFonts w:ascii="Helvetica" w:hAnsi="Helvetica" w:cs="Helvetica"/>
        </w:rPr>
        <w:t xml:space="preserve"> 2011)</w:t>
      </w:r>
      <w:r w:rsidRPr="00CE4E0F">
        <w:rPr>
          <w:rFonts w:eastAsia="MS Mincho"/>
        </w:rPr>
        <w:t>. The selection of reefs for inclusion in the sampling design was informed by the desire to include reefs spanning these gradients to facilitate the teasing out of water quality associated impacts.</w:t>
      </w:r>
    </w:p>
    <w:p w14:paraId="53C1374D" w14:textId="77777777" w:rsidR="00A84742" w:rsidRPr="00CE4E0F" w:rsidRDefault="00A84742" w:rsidP="00A84742">
      <w:pPr>
        <w:numPr>
          <w:ilvl w:val="0"/>
          <w:numId w:val="2"/>
        </w:numPr>
        <w:tabs>
          <w:tab w:val="clear" w:pos="720"/>
          <w:tab w:val="num" w:pos="360"/>
        </w:tabs>
        <w:ind w:left="360"/>
      </w:pPr>
      <w:r w:rsidRPr="00CE4E0F">
        <w:t xml:space="preserve">There was either an existing coral reef community or evidence (in the form of carbonate-based substratum) of past coral reef development. </w:t>
      </w:r>
    </w:p>
    <w:p w14:paraId="53C1374E" w14:textId="77777777" w:rsidR="00A84742" w:rsidRPr="00CE4E0F" w:rsidRDefault="00A84742" w:rsidP="00A84742">
      <w:r w:rsidRPr="00CE4E0F">
        <w:t>Exact locations were selected without prior investigation, once a section of reef had been identified that was of sufficient size to accommodate the sampling design a marker was deployed from the surface and transects established from this point.</w:t>
      </w:r>
    </w:p>
    <w:p w14:paraId="53C1374F" w14:textId="77777777" w:rsidR="00212781" w:rsidRPr="00CE4E0F" w:rsidRDefault="00A84742" w:rsidP="00337CE6">
      <w:r w:rsidRPr="00CE4E0F">
        <w:lastRenderedPageBreak/>
        <w:t xml:space="preserve">In the Wet Tropics region, where few reefs exist in the inshore zone and well-developed reefs exist on more than one aspect of an island, separate reefs on windward and leeward aspects were included in the design. Coral reef communities can be quite different on these two aspects even though the surrounding water quality is relatively similar. Differences in wave and current regimes determine whether materials, e.g. sediments, fresh water, nutrients or toxins imported by flood events, accumulate or disperse and hence determine the exposure of benthic communities to environmental stresses. </w:t>
      </w:r>
      <w:r w:rsidR="00C348DB" w:rsidRPr="00CE4E0F">
        <w:t>In addition to reefs monitored by the MMP, data from inshore reefs monitored by the AIMS LTMP have been included in this report</w:t>
      </w:r>
      <w:r w:rsidR="00C348DB">
        <w:t>.</w:t>
      </w:r>
    </w:p>
    <w:p w14:paraId="53C13750" w14:textId="77777777" w:rsidR="00A10DB1" w:rsidRDefault="00A10DB1" w:rsidP="00A10DB1">
      <w:bookmarkStart w:id="147" w:name="_Ref29911908"/>
      <w:r w:rsidRPr="00CE4E0F">
        <w:t xml:space="preserve">Since the program began in 2005 there have been two changes to the selection of reefs sampled. In 2005 and 2006 three mainland fringing reef locations were sampled along the Daintree coast. Concerns over increasing crocodile populations in this area led to the cessation of sampling at these locations. In 2015 a revision of the marine water quality monitoring component of the MMP resulted in modifications to the sampling design for water quality. This included a concentration of sampling effort along a gradient away from the Tully River mouth. To better match the water quality sampling to the coral reef sampling in the </w:t>
      </w:r>
      <w:r>
        <w:t xml:space="preserve">Herbert </w:t>
      </w:r>
      <w:r w:rsidRPr="00CE4E0F">
        <w:t>Tully sub-region a new reef site was initiated at Bedarra and sampling at King Reef discontinued.</w:t>
      </w:r>
      <w:r w:rsidR="00BF5727">
        <w:t xml:space="preserve"> </w:t>
      </w:r>
      <w:r w:rsidRPr="00CE4E0F">
        <w:t>As the MMP sites at Middle Reef in the Burdekin region were co-located with LTMP sites this reef was removed from the MMP sampling schedule in 2015.</w:t>
      </w:r>
      <w:r w:rsidR="00C348DB">
        <w:t xml:space="preserve"> </w:t>
      </w:r>
    </w:p>
    <w:p w14:paraId="53C13751" w14:textId="740682BC" w:rsidR="00C348DB" w:rsidRPr="00A10DB1" w:rsidRDefault="00C348DB" w:rsidP="00A10DB1">
      <w:r>
        <w:t xml:space="preserve">The frequency of sampling by the MMP has varied between annual and biennial, LTMP samples on a biennial basis. Sampling undertaken at each reef is detailed in </w:t>
      </w:r>
      <w:r>
        <w:fldChar w:fldCharType="begin"/>
      </w:r>
      <w:r>
        <w:instrText xml:space="preserve"> REF _Ref30599738 \h </w:instrText>
      </w:r>
      <w:r>
        <w:fldChar w:fldCharType="separate"/>
      </w:r>
      <w:r w:rsidR="003053D1" w:rsidRPr="002B1DCB">
        <w:t xml:space="preserve">Table </w:t>
      </w:r>
      <w:r w:rsidR="003053D1">
        <w:rPr>
          <w:noProof/>
        </w:rPr>
        <w:t>2</w:t>
      </w:r>
      <w:r>
        <w:fldChar w:fldCharType="end"/>
      </w:r>
      <w:r>
        <w:t xml:space="preserve"> and the location of those reefs presented in </w:t>
      </w:r>
      <w:r>
        <w:fldChar w:fldCharType="begin"/>
      </w:r>
      <w:r>
        <w:instrText xml:space="preserve"> REF _Ref491090953 \h </w:instrText>
      </w:r>
      <w:r>
        <w:fldChar w:fldCharType="separate"/>
      </w:r>
      <w:r w:rsidR="003053D1" w:rsidRPr="00CE4E0F">
        <w:t xml:space="preserve">Figure </w:t>
      </w:r>
      <w:r w:rsidR="003053D1">
        <w:rPr>
          <w:noProof/>
        </w:rPr>
        <w:t>2</w:t>
      </w:r>
      <w:r>
        <w:fldChar w:fldCharType="end"/>
      </w:r>
      <w:r>
        <w:t>.</w:t>
      </w:r>
      <w:r w:rsidR="005B0694">
        <w:t xml:space="preserve"> In 2019 the LTMP sampled three inshore reefs in both the Wet Tropics and Mackay-Whitsunday regions and two of three reefs in the Burdekin region.</w:t>
      </w:r>
      <w:r w:rsidR="00BE0898">
        <w:t xml:space="preserve"> The number of reefs sampled by the MMP in 2019 were: Wet Tropics (9 of 13), Burdekin (4 of 6), Mackay-Whitsunday (4 of 7) and Fitzroy (</w:t>
      </w:r>
      <w:r w:rsidR="005729CB">
        <w:t>4</w:t>
      </w:r>
      <w:r w:rsidR="00BE0898">
        <w:t xml:space="preserve"> of </w:t>
      </w:r>
      <w:r w:rsidR="005729CB">
        <w:t>6</w:t>
      </w:r>
      <w:r w:rsidR="00BE0898">
        <w:t>).</w:t>
      </w:r>
    </w:p>
    <w:p w14:paraId="53C13752" w14:textId="6CAF79D9" w:rsidR="00F115AB" w:rsidRPr="0062064A" w:rsidRDefault="00212781" w:rsidP="002B5296">
      <w:pPr>
        <w:pStyle w:val="Caption"/>
        <w:rPr>
          <w:rStyle w:val="FigureChar"/>
          <w:rFonts w:eastAsia="SimSun"/>
          <w:vanish/>
          <w:specVanish/>
        </w:rPr>
      </w:pPr>
      <w:bookmarkStart w:id="148" w:name="_Ref30599738"/>
      <w:bookmarkStart w:id="149" w:name="_Toc35947188"/>
      <w:r w:rsidRPr="002B1DCB">
        <w:lastRenderedPageBreak/>
        <w:t xml:space="preserve">Table </w:t>
      </w:r>
      <w:r w:rsidRPr="002B1DCB">
        <w:rPr>
          <w:noProof/>
        </w:rPr>
        <w:fldChar w:fldCharType="begin"/>
      </w:r>
      <w:r w:rsidRPr="002B1DCB">
        <w:rPr>
          <w:noProof/>
        </w:rPr>
        <w:instrText xml:space="preserve"> SEQ Table \* ARABIC </w:instrText>
      </w:r>
      <w:r w:rsidRPr="002B1DCB">
        <w:rPr>
          <w:noProof/>
        </w:rPr>
        <w:fldChar w:fldCharType="separate"/>
      </w:r>
      <w:r w:rsidR="003053D1">
        <w:rPr>
          <w:noProof/>
        </w:rPr>
        <w:t>2</w:t>
      </w:r>
      <w:r w:rsidRPr="002B1DCB">
        <w:rPr>
          <w:noProof/>
        </w:rPr>
        <w:fldChar w:fldCharType="end"/>
      </w:r>
      <w:bookmarkEnd w:id="147"/>
      <w:bookmarkEnd w:id="148"/>
      <w:r w:rsidRPr="002B1DCB">
        <w:t xml:space="preserve"> </w:t>
      </w:r>
      <w:r w:rsidR="00F115AB">
        <w:t xml:space="preserve">Coral monitoring </w:t>
      </w:r>
      <w:r w:rsidRPr="002B1DCB">
        <w:t>locations</w:t>
      </w:r>
      <w:bookmarkEnd w:id="149"/>
    </w:p>
    <w:p w14:paraId="53C13753" w14:textId="77777777" w:rsidR="00212781" w:rsidRPr="002B1DCB" w:rsidRDefault="00212781">
      <w:pPr>
        <w:pStyle w:val="Caption"/>
      </w:pPr>
      <w:r w:rsidRPr="002B1DCB">
        <w:t xml:space="preserve">. </w:t>
      </w:r>
      <w:r w:rsidRPr="00F115AB">
        <w:rPr>
          <w:rStyle w:val="IntenseReference"/>
        </w:rPr>
        <w:t>Black dots mark reefs surveyed as per sampling design, the “+” symbol indicates reefs surveyed out of schedule to assess disturbance. At each reef surveys of juvenile coral densities, benthic cover estimates derived from photo point intercept transects and scuba searches for incidence of coral mortality are undertaken. WQ, indicates reefs at which water quality monitoring is undertaken, * indicates WQ was ceased in 2014, and ** indicates WQ was begun in 2015. Shading indicates discontinued reefs. Blank cells indicate where reefs were not surveyed.</w:t>
      </w:r>
    </w:p>
    <w:tbl>
      <w:tblPr>
        <w:tblStyle w:val="TableGrid"/>
        <w:tblW w:w="9634" w:type="dxa"/>
        <w:tblLayout w:type="fixed"/>
        <w:tblLook w:val="04A0" w:firstRow="1" w:lastRow="0" w:firstColumn="1" w:lastColumn="0" w:noHBand="0" w:noVBand="1"/>
        <w:tblCaption w:val="Table 1 Sampling locations"/>
        <w:tblDescription w:val="Illustrates the years each reef was sampled over the duration of the program"/>
      </w:tblPr>
      <w:tblGrid>
        <w:gridCol w:w="1129"/>
        <w:gridCol w:w="1843"/>
        <w:gridCol w:w="567"/>
        <w:gridCol w:w="406"/>
        <w:gridCol w:w="406"/>
        <w:gridCol w:w="407"/>
        <w:gridCol w:w="406"/>
        <w:gridCol w:w="406"/>
        <w:gridCol w:w="407"/>
        <w:gridCol w:w="406"/>
        <w:gridCol w:w="406"/>
        <w:gridCol w:w="407"/>
        <w:gridCol w:w="406"/>
        <w:gridCol w:w="406"/>
        <w:gridCol w:w="407"/>
        <w:gridCol w:w="406"/>
        <w:gridCol w:w="406"/>
        <w:gridCol w:w="407"/>
      </w:tblGrid>
      <w:tr w:rsidR="00212781" w:rsidRPr="002B1DCB" w14:paraId="53C13766" w14:textId="77777777" w:rsidTr="00C348DB">
        <w:trPr>
          <w:cantSplit/>
          <w:trHeight w:val="1067"/>
          <w:tblHeader/>
        </w:trPr>
        <w:tc>
          <w:tcPr>
            <w:tcW w:w="1129" w:type="dxa"/>
            <w:shd w:val="clear" w:color="auto" w:fill="F2F2F2" w:themeFill="background1" w:themeFillShade="F2"/>
            <w:vAlign w:val="center"/>
          </w:tcPr>
          <w:p w14:paraId="53C13754"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(Sub</w:t>
            </w:r>
            <w:r w:rsidRPr="002B1DCB">
              <w:rPr>
                <w:rFonts w:ascii="Arial Narrow" w:hAnsi="Arial Narrow"/>
                <w:bCs/>
                <w:color w:val="000000" w:themeColor="text1"/>
              </w:rPr>
              <w:noBreakHyphen/>
              <w:t>) Region</w:t>
            </w:r>
          </w:p>
        </w:tc>
        <w:tc>
          <w:tcPr>
            <w:tcW w:w="1843" w:type="dxa"/>
            <w:shd w:val="clear" w:color="auto" w:fill="F2F2F2" w:themeFill="background1" w:themeFillShade="F2"/>
            <w:vAlign w:val="center"/>
          </w:tcPr>
          <w:p w14:paraId="53C13755" w14:textId="77777777" w:rsidR="00212781" w:rsidRPr="002B1DCB" w:rsidRDefault="00212781" w:rsidP="00212781">
            <w:pPr>
              <w:jc w:val="center"/>
              <w:rPr>
                <w:rFonts w:ascii="Arial Narrow" w:hAnsi="Arial Narrow"/>
                <w:bCs/>
                <w:color w:val="000000" w:themeColor="text1"/>
              </w:rPr>
            </w:pPr>
            <w:r w:rsidRPr="002B1DCB">
              <w:rPr>
                <w:rFonts w:ascii="Arial Narrow" w:hAnsi="Arial Narrow"/>
                <w:bCs/>
                <w:color w:val="000000" w:themeColor="text1"/>
              </w:rPr>
              <w:t>Reef</w:t>
            </w:r>
          </w:p>
        </w:tc>
        <w:tc>
          <w:tcPr>
            <w:tcW w:w="567" w:type="dxa"/>
            <w:shd w:val="clear" w:color="auto" w:fill="F2F2F2" w:themeFill="background1" w:themeFillShade="F2"/>
            <w:textDirection w:val="btLr"/>
            <w:vAlign w:val="center"/>
          </w:tcPr>
          <w:p w14:paraId="53C13756" w14:textId="77777777" w:rsidR="00212781" w:rsidRPr="002B1DCB" w:rsidRDefault="00212781" w:rsidP="00212781">
            <w:pPr>
              <w:ind w:left="113" w:right="113"/>
              <w:jc w:val="center"/>
              <w:rPr>
                <w:rFonts w:ascii="Arial Narrow" w:hAnsi="Arial Narrow"/>
                <w:bCs/>
                <w:color w:val="000000" w:themeColor="text1"/>
              </w:rPr>
            </w:pPr>
            <w:r w:rsidRPr="002B1DCB">
              <w:rPr>
                <w:rFonts w:ascii="Arial Narrow" w:hAnsi="Arial Narrow"/>
                <w:bCs/>
                <w:color w:val="000000" w:themeColor="text1"/>
              </w:rPr>
              <w:t>Program</w:t>
            </w:r>
          </w:p>
        </w:tc>
        <w:tc>
          <w:tcPr>
            <w:tcW w:w="406" w:type="dxa"/>
            <w:shd w:val="clear" w:color="auto" w:fill="F2F2F2" w:themeFill="background1" w:themeFillShade="F2"/>
            <w:textDirection w:val="btLr"/>
            <w:vAlign w:val="center"/>
          </w:tcPr>
          <w:p w14:paraId="53C13757" w14:textId="77777777" w:rsidR="00212781" w:rsidRPr="002B1DCB" w:rsidRDefault="00212781" w:rsidP="00212781">
            <w:pPr>
              <w:ind w:left="113" w:right="113"/>
              <w:jc w:val="center"/>
              <w:rPr>
                <w:rFonts w:ascii="Arial Narrow" w:hAnsi="Arial Narrow"/>
                <w:bCs/>
                <w:color w:val="000000" w:themeColor="text1"/>
              </w:rPr>
            </w:pPr>
            <w:r w:rsidRPr="002B1DCB">
              <w:rPr>
                <w:rFonts w:ascii="Arial Narrow" w:hAnsi="Arial Narrow"/>
                <w:bCs/>
                <w:color w:val="000000" w:themeColor="text1"/>
              </w:rPr>
              <w:t>2005</w:t>
            </w:r>
          </w:p>
        </w:tc>
        <w:tc>
          <w:tcPr>
            <w:tcW w:w="406" w:type="dxa"/>
            <w:shd w:val="clear" w:color="auto" w:fill="F2F2F2" w:themeFill="background1" w:themeFillShade="F2"/>
            <w:textDirection w:val="btLr"/>
            <w:vAlign w:val="center"/>
          </w:tcPr>
          <w:p w14:paraId="53C13758" w14:textId="77777777" w:rsidR="00212781" w:rsidRPr="002B1DCB" w:rsidRDefault="00212781" w:rsidP="00212781">
            <w:pPr>
              <w:ind w:left="113" w:right="113"/>
              <w:jc w:val="center"/>
              <w:rPr>
                <w:rFonts w:ascii="Arial Narrow" w:hAnsi="Arial Narrow"/>
                <w:bCs/>
                <w:color w:val="000000" w:themeColor="text1"/>
              </w:rPr>
            </w:pPr>
            <w:r w:rsidRPr="002B1DCB">
              <w:rPr>
                <w:rFonts w:ascii="Arial Narrow" w:hAnsi="Arial Narrow"/>
                <w:bCs/>
                <w:color w:val="000000" w:themeColor="text1"/>
              </w:rPr>
              <w:t>2006</w:t>
            </w:r>
          </w:p>
        </w:tc>
        <w:tc>
          <w:tcPr>
            <w:tcW w:w="407" w:type="dxa"/>
            <w:shd w:val="clear" w:color="auto" w:fill="F2F2F2" w:themeFill="background1" w:themeFillShade="F2"/>
            <w:textDirection w:val="btLr"/>
            <w:vAlign w:val="center"/>
          </w:tcPr>
          <w:p w14:paraId="53C13759" w14:textId="77777777" w:rsidR="00212781" w:rsidRPr="002B1DCB" w:rsidRDefault="00212781" w:rsidP="00212781">
            <w:pPr>
              <w:ind w:left="113" w:right="113"/>
              <w:jc w:val="center"/>
              <w:rPr>
                <w:rFonts w:ascii="Arial Narrow" w:hAnsi="Arial Narrow"/>
                <w:bCs/>
                <w:color w:val="000000" w:themeColor="text1"/>
              </w:rPr>
            </w:pPr>
            <w:r w:rsidRPr="002B1DCB">
              <w:rPr>
                <w:rFonts w:ascii="Arial Narrow" w:hAnsi="Arial Narrow"/>
                <w:bCs/>
                <w:color w:val="000000" w:themeColor="text1"/>
              </w:rPr>
              <w:t>2007</w:t>
            </w:r>
          </w:p>
        </w:tc>
        <w:tc>
          <w:tcPr>
            <w:tcW w:w="406" w:type="dxa"/>
            <w:shd w:val="clear" w:color="auto" w:fill="F2F2F2" w:themeFill="background1" w:themeFillShade="F2"/>
            <w:textDirection w:val="btLr"/>
            <w:vAlign w:val="center"/>
          </w:tcPr>
          <w:p w14:paraId="53C1375A" w14:textId="77777777" w:rsidR="00212781" w:rsidRPr="002B1DCB" w:rsidRDefault="00212781" w:rsidP="00212781">
            <w:pPr>
              <w:ind w:left="113" w:right="113"/>
              <w:jc w:val="center"/>
              <w:rPr>
                <w:rFonts w:ascii="Arial Narrow" w:hAnsi="Arial Narrow"/>
                <w:bCs/>
                <w:color w:val="000000" w:themeColor="text1"/>
              </w:rPr>
            </w:pPr>
            <w:r w:rsidRPr="002B1DCB">
              <w:rPr>
                <w:rFonts w:ascii="Arial Narrow" w:hAnsi="Arial Narrow"/>
                <w:bCs/>
                <w:color w:val="000000" w:themeColor="text1"/>
              </w:rPr>
              <w:t>2008</w:t>
            </w:r>
          </w:p>
        </w:tc>
        <w:tc>
          <w:tcPr>
            <w:tcW w:w="406" w:type="dxa"/>
            <w:shd w:val="clear" w:color="auto" w:fill="F2F2F2" w:themeFill="background1" w:themeFillShade="F2"/>
            <w:textDirection w:val="btLr"/>
            <w:vAlign w:val="center"/>
          </w:tcPr>
          <w:p w14:paraId="53C1375B" w14:textId="77777777" w:rsidR="00212781" w:rsidRPr="002B1DCB" w:rsidRDefault="00212781" w:rsidP="00212781">
            <w:pPr>
              <w:ind w:left="113" w:right="113"/>
              <w:jc w:val="center"/>
              <w:rPr>
                <w:rFonts w:ascii="Arial Narrow" w:hAnsi="Arial Narrow"/>
                <w:bCs/>
                <w:color w:val="000000" w:themeColor="text1"/>
              </w:rPr>
            </w:pPr>
            <w:r w:rsidRPr="002B1DCB">
              <w:rPr>
                <w:rFonts w:ascii="Arial Narrow" w:hAnsi="Arial Narrow"/>
                <w:bCs/>
                <w:color w:val="000000" w:themeColor="text1"/>
              </w:rPr>
              <w:t>2009</w:t>
            </w:r>
          </w:p>
        </w:tc>
        <w:tc>
          <w:tcPr>
            <w:tcW w:w="407" w:type="dxa"/>
            <w:shd w:val="clear" w:color="auto" w:fill="F2F2F2" w:themeFill="background1" w:themeFillShade="F2"/>
            <w:textDirection w:val="btLr"/>
            <w:vAlign w:val="center"/>
          </w:tcPr>
          <w:p w14:paraId="53C1375C" w14:textId="77777777" w:rsidR="00212781" w:rsidRPr="002B1DCB" w:rsidRDefault="00212781" w:rsidP="00212781">
            <w:pPr>
              <w:ind w:left="113" w:right="113"/>
              <w:jc w:val="center"/>
              <w:rPr>
                <w:rFonts w:ascii="Arial Narrow" w:hAnsi="Arial Narrow"/>
                <w:bCs/>
                <w:color w:val="000000" w:themeColor="text1"/>
              </w:rPr>
            </w:pPr>
            <w:r w:rsidRPr="002B1DCB">
              <w:rPr>
                <w:rFonts w:ascii="Arial Narrow" w:hAnsi="Arial Narrow"/>
                <w:bCs/>
                <w:color w:val="000000" w:themeColor="text1"/>
              </w:rPr>
              <w:t>2010</w:t>
            </w:r>
          </w:p>
        </w:tc>
        <w:tc>
          <w:tcPr>
            <w:tcW w:w="406" w:type="dxa"/>
            <w:shd w:val="clear" w:color="auto" w:fill="F2F2F2" w:themeFill="background1" w:themeFillShade="F2"/>
            <w:textDirection w:val="btLr"/>
            <w:vAlign w:val="center"/>
          </w:tcPr>
          <w:p w14:paraId="53C1375D" w14:textId="77777777" w:rsidR="00212781" w:rsidRPr="002B1DCB" w:rsidRDefault="00212781" w:rsidP="00212781">
            <w:pPr>
              <w:ind w:left="113" w:right="113"/>
              <w:jc w:val="center"/>
              <w:rPr>
                <w:rFonts w:ascii="Arial Narrow" w:hAnsi="Arial Narrow"/>
                <w:bCs/>
                <w:color w:val="000000" w:themeColor="text1"/>
              </w:rPr>
            </w:pPr>
            <w:r w:rsidRPr="002B1DCB">
              <w:rPr>
                <w:rFonts w:ascii="Arial Narrow" w:hAnsi="Arial Narrow"/>
                <w:bCs/>
                <w:color w:val="000000" w:themeColor="text1"/>
              </w:rPr>
              <w:t>2011</w:t>
            </w:r>
          </w:p>
        </w:tc>
        <w:tc>
          <w:tcPr>
            <w:tcW w:w="406" w:type="dxa"/>
            <w:shd w:val="clear" w:color="auto" w:fill="F2F2F2" w:themeFill="background1" w:themeFillShade="F2"/>
            <w:textDirection w:val="btLr"/>
            <w:vAlign w:val="center"/>
          </w:tcPr>
          <w:p w14:paraId="53C1375E" w14:textId="77777777" w:rsidR="00212781" w:rsidRPr="002B1DCB" w:rsidRDefault="00212781" w:rsidP="00212781">
            <w:pPr>
              <w:ind w:left="113" w:right="113"/>
              <w:jc w:val="center"/>
              <w:rPr>
                <w:rFonts w:ascii="Arial Narrow" w:hAnsi="Arial Narrow"/>
                <w:bCs/>
                <w:color w:val="000000" w:themeColor="text1"/>
              </w:rPr>
            </w:pPr>
            <w:r w:rsidRPr="002B1DCB">
              <w:rPr>
                <w:rFonts w:ascii="Arial Narrow" w:hAnsi="Arial Narrow"/>
                <w:bCs/>
                <w:color w:val="000000" w:themeColor="text1"/>
              </w:rPr>
              <w:t>2012</w:t>
            </w:r>
          </w:p>
        </w:tc>
        <w:tc>
          <w:tcPr>
            <w:tcW w:w="407" w:type="dxa"/>
            <w:shd w:val="clear" w:color="auto" w:fill="F2F2F2" w:themeFill="background1" w:themeFillShade="F2"/>
            <w:textDirection w:val="btLr"/>
            <w:vAlign w:val="center"/>
          </w:tcPr>
          <w:p w14:paraId="53C1375F" w14:textId="77777777" w:rsidR="00212781" w:rsidRPr="002B1DCB" w:rsidRDefault="00212781" w:rsidP="00212781">
            <w:pPr>
              <w:ind w:left="113" w:right="113"/>
              <w:jc w:val="center"/>
              <w:rPr>
                <w:rFonts w:ascii="Arial Narrow" w:hAnsi="Arial Narrow"/>
                <w:bCs/>
                <w:color w:val="000000" w:themeColor="text1"/>
              </w:rPr>
            </w:pPr>
            <w:r w:rsidRPr="002B1DCB">
              <w:rPr>
                <w:rFonts w:ascii="Arial Narrow" w:hAnsi="Arial Narrow"/>
                <w:bCs/>
                <w:color w:val="000000" w:themeColor="text1"/>
              </w:rPr>
              <w:t>2013</w:t>
            </w:r>
          </w:p>
        </w:tc>
        <w:tc>
          <w:tcPr>
            <w:tcW w:w="406" w:type="dxa"/>
            <w:shd w:val="clear" w:color="auto" w:fill="F2F2F2" w:themeFill="background1" w:themeFillShade="F2"/>
            <w:textDirection w:val="btLr"/>
            <w:vAlign w:val="center"/>
          </w:tcPr>
          <w:p w14:paraId="53C13760" w14:textId="77777777" w:rsidR="00212781" w:rsidRPr="002B1DCB" w:rsidRDefault="00212781" w:rsidP="00212781">
            <w:pPr>
              <w:ind w:left="113" w:right="113"/>
              <w:jc w:val="center"/>
              <w:rPr>
                <w:rFonts w:ascii="Arial Narrow" w:hAnsi="Arial Narrow"/>
                <w:bCs/>
                <w:color w:val="000000" w:themeColor="text1"/>
              </w:rPr>
            </w:pPr>
            <w:r w:rsidRPr="002B1DCB">
              <w:rPr>
                <w:rFonts w:ascii="Arial Narrow" w:hAnsi="Arial Narrow"/>
                <w:bCs/>
                <w:color w:val="000000" w:themeColor="text1"/>
              </w:rPr>
              <w:t>2014</w:t>
            </w:r>
          </w:p>
        </w:tc>
        <w:tc>
          <w:tcPr>
            <w:tcW w:w="406" w:type="dxa"/>
            <w:shd w:val="clear" w:color="auto" w:fill="F2F2F2" w:themeFill="background1" w:themeFillShade="F2"/>
            <w:textDirection w:val="btLr"/>
            <w:vAlign w:val="center"/>
          </w:tcPr>
          <w:p w14:paraId="53C13761" w14:textId="77777777" w:rsidR="00212781" w:rsidRPr="002B1DCB" w:rsidRDefault="00212781" w:rsidP="00212781">
            <w:pPr>
              <w:ind w:left="113" w:right="113"/>
              <w:jc w:val="center"/>
              <w:rPr>
                <w:rFonts w:ascii="Arial Narrow" w:hAnsi="Arial Narrow"/>
                <w:bCs/>
                <w:color w:val="000000" w:themeColor="text1"/>
              </w:rPr>
            </w:pPr>
            <w:r w:rsidRPr="002B1DCB">
              <w:rPr>
                <w:rFonts w:ascii="Arial Narrow" w:hAnsi="Arial Narrow"/>
                <w:bCs/>
                <w:color w:val="000000" w:themeColor="text1"/>
              </w:rPr>
              <w:t>2015</w:t>
            </w:r>
          </w:p>
        </w:tc>
        <w:tc>
          <w:tcPr>
            <w:tcW w:w="407" w:type="dxa"/>
            <w:shd w:val="clear" w:color="auto" w:fill="F2F2F2" w:themeFill="background1" w:themeFillShade="F2"/>
            <w:textDirection w:val="btLr"/>
          </w:tcPr>
          <w:p w14:paraId="53C13762" w14:textId="77777777" w:rsidR="00212781" w:rsidRPr="002B1DCB" w:rsidRDefault="00212781" w:rsidP="00212781">
            <w:pPr>
              <w:ind w:left="113" w:right="113"/>
              <w:jc w:val="center"/>
              <w:rPr>
                <w:rFonts w:ascii="Arial Narrow" w:hAnsi="Arial Narrow"/>
                <w:bCs/>
                <w:color w:val="000000" w:themeColor="text1"/>
              </w:rPr>
            </w:pPr>
            <w:r w:rsidRPr="002B1DCB">
              <w:rPr>
                <w:rFonts w:ascii="Arial Narrow" w:hAnsi="Arial Narrow"/>
                <w:bCs/>
                <w:color w:val="000000" w:themeColor="text1"/>
              </w:rPr>
              <w:t>2016</w:t>
            </w:r>
          </w:p>
        </w:tc>
        <w:tc>
          <w:tcPr>
            <w:tcW w:w="406" w:type="dxa"/>
            <w:shd w:val="clear" w:color="auto" w:fill="F2F2F2" w:themeFill="background1" w:themeFillShade="F2"/>
            <w:textDirection w:val="btLr"/>
          </w:tcPr>
          <w:p w14:paraId="53C13763" w14:textId="77777777" w:rsidR="00212781" w:rsidRPr="002B1DCB" w:rsidRDefault="00212781" w:rsidP="00212781">
            <w:pPr>
              <w:ind w:left="113" w:right="113"/>
              <w:jc w:val="center"/>
              <w:rPr>
                <w:rFonts w:ascii="Arial Narrow" w:hAnsi="Arial Narrow"/>
                <w:bCs/>
                <w:color w:val="000000" w:themeColor="text1"/>
              </w:rPr>
            </w:pPr>
            <w:r w:rsidRPr="002B1DCB">
              <w:rPr>
                <w:rFonts w:ascii="Arial Narrow" w:hAnsi="Arial Narrow"/>
                <w:bCs/>
                <w:color w:val="000000" w:themeColor="text1"/>
              </w:rPr>
              <w:t>2017</w:t>
            </w:r>
          </w:p>
        </w:tc>
        <w:tc>
          <w:tcPr>
            <w:tcW w:w="406" w:type="dxa"/>
            <w:shd w:val="clear" w:color="auto" w:fill="F2F2F2" w:themeFill="background1" w:themeFillShade="F2"/>
            <w:textDirection w:val="btLr"/>
          </w:tcPr>
          <w:p w14:paraId="53C13764" w14:textId="77777777" w:rsidR="00212781" w:rsidRPr="002B1DCB" w:rsidRDefault="00212781" w:rsidP="00212781">
            <w:pPr>
              <w:ind w:left="113" w:right="113"/>
              <w:jc w:val="center"/>
              <w:rPr>
                <w:rFonts w:ascii="Arial Narrow" w:hAnsi="Arial Narrow"/>
                <w:bCs/>
                <w:color w:val="000000" w:themeColor="text1"/>
              </w:rPr>
            </w:pPr>
            <w:r w:rsidRPr="002B1DCB">
              <w:rPr>
                <w:rFonts w:ascii="Arial Narrow" w:hAnsi="Arial Narrow"/>
                <w:bCs/>
                <w:color w:val="000000" w:themeColor="text1"/>
              </w:rPr>
              <w:t>2018</w:t>
            </w:r>
          </w:p>
        </w:tc>
        <w:tc>
          <w:tcPr>
            <w:tcW w:w="407" w:type="dxa"/>
            <w:shd w:val="clear" w:color="auto" w:fill="F2F2F2" w:themeFill="background1" w:themeFillShade="F2"/>
            <w:textDirection w:val="btLr"/>
          </w:tcPr>
          <w:p w14:paraId="53C13765" w14:textId="77777777" w:rsidR="00212781" w:rsidRPr="002B1DCB" w:rsidRDefault="00212781" w:rsidP="00212781">
            <w:pPr>
              <w:ind w:left="113" w:right="113"/>
              <w:jc w:val="center"/>
              <w:rPr>
                <w:rFonts w:ascii="Arial Narrow" w:hAnsi="Arial Narrow"/>
                <w:bCs/>
                <w:color w:val="000000" w:themeColor="text1"/>
              </w:rPr>
            </w:pPr>
            <w:r w:rsidRPr="002B1DCB">
              <w:rPr>
                <w:rFonts w:ascii="Arial Narrow" w:hAnsi="Arial Narrow"/>
                <w:bCs/>
                <w:color w:val="000000" w:themeColor="text1"/>
              </w:rPr>
              <w:t>2019</w:t>
            </w:r>
          </w:p>
        </w:tc>
      </w:tr>
      <w:tr w:rsidR="00212781" w:rsidRPr="002B1DCB" w14:paraId="53C13779" w14:textId="77777777" w:rsidTr="00212781">
        <w:tc>
          <w:tcPr>
            <w:tcW w:w="1129" w:type="dxa"/>
            <w:vMerge w:val="restart"/>
            <w:vAlign w:val="center"/>
          </w:tcPr>
          <w:p w14:paraId="53C13767" w14:textId="77777777" w:rsidR="00212781" w:rsidRPr="002B1DCB" w:rsidRDefault="00212781" w:rsidP="00212781">
            <w:pPr>
              <w:jc w:val="center"/>
              <w:rPr>
                <w:rFonts w:ascii="Arial Narrow" w:hAnsi="Arial Narrow"/>
                <w:bCs/>
                <w:color w:val="000000" w:themeColor="text1"/>
              </w:rPr>
            </w:pPr>
            <w:r w:rsidRPr="002B1DCB">
              <w:rPr>
                <w:rFonts w:ascii="Arial Narrow" w:hAnsi="Arial Narrow"/>
                <w:bCs/>
                <w:color w:val="000000" w:themeColor="text1"/>
              </w:rPr>
              <w:t>Barron Daintree</w:t>
            </w:r>
          </w:p>
        </w:tc>
        <w:tc>
          <w:tcPr>
            <w:tcW w:w="1843" w:type="dxa"/>
            <w:tcMar>
              <w:left w:w="28" w:type="dxa"/>
              <w:right w:w="28" w:type="dxa"/>
            </w:tcMar>
            <w:vAlign w:val="bottom"/>
          </w:tcPr>
          <w:p w14:paraId="53C13768"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Cape Tribulation North</w:t>
            </w:r>
          </w:p>
        </w:tc>
        <w:tc>
          <w:tcPr>
            <w:tcW w:w="567" w:type="dxa"/>
            <w:tcMar>
              <w:left w:w="28" w:type="dxa"/>
              <w:right w:w="28" w:type="dxa"/>
            </w:tcMar>
          </w:tcPr>
          <w:p w14:paraId="53C13769"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MMP</w:t>
            </w:r>
          </w:p>
        </w:tc>
        <w:tc>
          <w:tcPr>
            <w:tcW w:w="406" w:type="dxa"/>
          </w:tcPr>
          <w:p w14:paraId="53C1376A"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76B"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shd w:val="clear" w:color="auto" w:fill="F2F2F2" w:themeFill="background1" w:themeFillShade="F2"/>
          </w:tcPr>
          <w:p w14:paraId="53C1376C" w14:textId="77777777" w:rsidR="00212781" w:rsidRPr="002B1DCB" w:rsidRDefault="00212781" w:rsidP="00212781">
            <w:pPr>
              <w:rPr>
                <w:rFonts w:ascii="Arial Narrow" w:hAnsi="Arial Narrow" w:cs="Arial"/>
                <w:color w:val="000000" w:themeColor="text1"/>
                <w:szCs w:val="22"/>
              </w:rPr>
            </w:pPr>
          </w:p>
        </w:tc>
        <w:tc>
          <w:tcPr>
            <w:tcW w:w="406" w:type="dxa"/>
            <w:shd w:val="clear" w:color="auto" w:fill="F2F2F2" w:themeFill="background1" w:themeFillShade="F2"/>
          </w:tcPr>
          <w:p w14:paraId="53C1376D" w14:textId="77777777" w:rsidR="00212781" w:rsidRPr="002B1DCB" w:rsidRDefault="00212781" w:rsidP="00212781">
            <w:pPr>
              <w:rPr>
                <w:rFonts w:ascii="Arial Narrow" w:hAnsi="Arial Narrow" w:cs="Arial"/>
                <w:color w:val="000000" w:themeColor="text1"/>
                <w:szCs w:val="22"/>
              </w:rPr>
            </w:pPr>
          </w:p>
        </w:tc>
        <w:tc>
          <w:tcPr>
            <w:tcW w:w="406" w:type="dxa"/>
            <w:shd w:val="clear" w:color="auto" w:fill="F2F2F2" w:themeFill="background1" w:themeFillShade="F2"/>
          </w:tcPr>
          <w:p w14:paraId="53C1376E" w14:textId="77777777" w:rsidR="00212781" w:rsidRPr="002B1DCB" w:rsidRDefault="00212781" w:rsidP="00212781">
            <w:pPr>
              <w:rPr>
                <w:rFonts w:ascii="Arial Narrow" w:hAnsi="Arial Narrow" w:cs="Arial"/>
                <w:color w:val="000000" w:themeColor="text1"/>
                <w:szCs w:val="22"/>
              </w:rPr>
            </w:pPr>
          </w:p>
        </w:tc>
        <w:tc>
          <w:tcPr>
            <w:tcW w:w="407" w:type="dxa"/>
            <w:shd w:val="clear" w:color="auto" w:fill="F2F2F2" w:themeFill="background1" w:themeFillShade="F2"/>
          </w:tcPr>
          <w:p w14:paraId="53C1376F" w14:textId="77777777" w:rsidR="00212781" w:rsidRPr="002B1DCB" w:rsidRDefault="00212781" w:rsidP="00212781">
            <w:pPr>
              <w:rPr>
                <w:rFonts w:ascii="Arial Narrow" w:hAnsi="Arial Narrow" w:cs="Arial"/>
                <w:color w:val="000000" w:themeColor="text1"/>
                <w:szCs w:val="22"/>
              </w:rPr>
            </w:pPr>
          </w:p>
        </w:tc>
        <w:tc>
          <w:tcPr>
            <w:tcW w:w="406" w:type="dxa"/>
            <w:shd w:val="clear" w:color="auto" w:fill="F2F2F2" w:themeFill="background1" w:themeFillShade="F2"/>
          </w:tcPr>
          <w:p w14:paraId="53C13770" w14:textId="77777777" w:rsidR="00212781" w:rsidRPr="002B1DCB" w:rsidRDefault="00212781" w:rsidP="00212781">
            <w:pPr>
              <w:rPr>
                <w:rFonts w:ascii="Arial Narrow" w:hAnsi="Arial Narrow" w:cs="Arial"/>
                <w:color w:val="000000" w:themeColor="text1"/>
                <w:szCs w:val="22"/>
              </w:rPr>
            </w:pPr>
          </w:p>
        </w:tc>
        <w:tc>
          <w:tcPr>
            <w:tcW w:w="406" w:type="dxa"/>
            <w:shd w:val="clear" w:color="auto" w:fill="F2F2F2" w:themeFill="background1" w:themeFillShade="F2"/>
          </w:tcPr>
          <w:p w14:paraId="53C13771" w14:textId="77777777" w:rsidR="00212781" w:rsidRPr="002B1DCB" w:rsidRDefault="00212781" w:rsidP="00212781">
            <w:pPr>
              <w:rPr>
                <w:rFonts w:ascii="Arial Narrow" w:hAnsi="Arial Narrow" w:cs="Arial"/>
                <w:color w:val="000000" w:themeColor="text1"/>
                <w:szCs w:val="22"/>
              </w:rPr>
            </w:pPr>
          </w:p>
        </w:tc>
        <w:tc>
          <w:tcPr>
            <w:tcW w:w="407" w:type="dxa"/>
            <w:shd w:val="clear" w:color="auto" w:fill="F2F2F2" w:themeFill="background1" w:themeFillShade="F2"/>
          </w:tcPr>
          <w:p w14:paraId="53C13772" w14:textId="77777777" w:rsidR="00212781" w:rsidRPr="002B1DCB" w:rsidRDefault="00212781" w:rsidP="00212781">
            <w:pPr>
              <w:rPr>
                <w:rFonts w:ascii="Arial Narrow" w:hAnsi="Arial Narrow" w:cs="Arial"/>
                <w:color w:val="000000" w:themeColor="text1"/>
                <w:szCs w:val="22"/>
              </w:rPr>
            </w:pPr>
          </w:p>
        </w:tc>
        <w:tc>
          <w:tcPr>
            <w:tcW w:w="406" w:type="dxa"/>
            <w:shd w:val="clear" w:color="auto" w:fill="F2F2F2" w:themeFill="background1" w:themeFillShade="F2"/>
          </w:tcPr>
          <w:p w14:paraId="53C13773" w14:textId="77777777" w:rsidR="00212781" w:rsidRPr="002B1DCB" w:rsidRDefault="00212781" w:rsidP="00212781">
            <w:pPr>
              <w:rPr>
                <w:rFonts w:ascii="Arial Narrow" w:hAnsi="Arial Narrow" w:cs="Arial"/>
                <w:color w:val="000000" w:themeColor="text1"/>
                <w:szCs w:val="22"/>
              </w:rPr>
            </w:pPr>
          </w:p>
        </w:tc>
        <w:tc>
          <w:tcPr>
            <w:tcW w:w="406" w:type="dxa"/>
            <w:shd w:val="clear" w:color="auto" w:fill="F2F2F2" w:themeFill="background1" w:themeFillShade="F2"/>
          </w:tcPr>
          <w:p w14:paraId="53C13774" w14:textId="77777777" w:rsidR="00212781" w:rsidRPr="002B1DCB" w:rsidRDefault="00212781" w:rsidP="00212781">
            <w:pPr>
              <w:rPr>
                <w:rFonts w:ascii="Arial Narrow" w:hAnsi="Arial Narrow" w:cs="Arial"/>
                <w:color w:val="000000" w:themeColor="text1"/>
                <w:szCs w:val="22"/>
              </w:rPr>
            </w:pPr>
          </w:p>
        </w:tc>
        <w:tc>
          <w:tcPr>
            <w:tcW w:w="407" w:type="dxa"/>
            <w:shd w:val="clear" w:color="auto" w:fill="F2F2F2" w:themeFill="background1" w:themeFillShade="F2"/>
          </w:tcPr>
          <w:p w14:paraId="53C13775" w14:textId="77777777" w:rsidR="00212781" w:rsidRPr="002B1DCB" w:rsidRDefault="00212781" w:rsidP="00212781">
            <w:pPr>
              <w:rPr>
                <w:rFonts w:ascii="Arial Narrow" w:hAnsi="Arial Narrow" w:cs="Arial"/>
                <w:color w:val="000000" w:themeColor="text1"/>
                <w:szCs w:val="22"/>
              </w:rPr>
            </w:pPr>
          </w:p>
        </w:tc>
        <w:tc>
          <w:tcPr>
            <w:tcW w:w="406" w:type="dxa"/>
            <w:shd w:val="clear" w:color="auto" w:fill="F2F2F2" w:themeFill="background1" w:themeFillShade="F2"/>
          </w:tcPr>
          <w:p w14:paraId="53C13776" w14:textId="77777777" w:rsidR="00212781" w:rsidRPr="002B1DCB" w:rsidRDefault="00212781" w:rsidP="00212781">
            <w:pPr>
              <w:rPr>
                <w:rFonts w:ascii="Arial Narrow" w:hAnsi="Arial Narrow" w:cs="Arial"/>
                <w:color w:val="000000" w:themeColor="text1"/>
                <w:szCs w:val="22"/>
              </w:rPr>
            </w:pPr>
          </w:p>
        </w:tc>
        <w:tc>
          <w:tcPr>
            <w:tcW w:w="406" w:type="dxa"/>
            <w:shd w:val="clear" w:color="auto" w:fill="F2F2F2" w:themeFill="background1" w:themeFillShade="F2"/>
          </w:tcPr>
          <w:p w14:paraId="53C13777" w14:textId="77777777" w:rsidR="00212781" w:rsidRPr="002B1DCB" w:rsidRDefault="00212781" w:rsidP="00212781">
            <w:pPr>
              <w:rPr>
                <w:rFonts w:ascii="Arial Narrow" w:hAnsi="Arial Narrow" w:cs="Arial"/>
                <w:color w:val="000000" w:themeColor="text1"/>
                <w:szCs w:val="22"/>
              </w:rPr>
            </w:pPr>
          </w:p>
        </w:tc>
        <w:tc>
          <w:tcPr>
            <w:tcW w:w="407" w:type="dxa"/>
            <w:shd w:val="clear" w:color="auto" w:fill="F2F2F2" w:themeFill="background1" w:themeFillShade="F2"/>
          </w:tcPr>
          <w:p w14:paraId="53C13778" w14:textId="77777777" w:rsidR="00212781" w:rsidRPr="002B1DCB" w:rsidRDefault="00212781" w:rsidP="00212781">
            <w:pPr>
              <w:rPr>
                <w:rFonts w:ascii="Arial Narrow" w:hAnsi="Arial Narrow"/>
                <w:color w:val="000000" w:themeColor="text1"/>
              </w:rPr>
            </w:pPr>
          </w:p>
        </w:tc>
      </w:tr>
      <w:tr w:rsidR="00212781" w:rsidRPr="002B1DCB" w14:paraId="53C1378C" w14:textId="77777777" w:rsidTr="00212781">
        <w:tc>
          <w:tcPr>
            <w:tcW w:w="1129" w:type="dxa"/>
            <w:vMerge/>
            <w:vAlign w:val="center"/>
          </w:tcPr>
          <w:p w14:paraId="53C1377A" w14:textId="77777777" w:rsidR="00212781" w:rsidRPr="002B1DCB" w:rsidRDefault="00212781" w:rsidP="00212781">
            <w:pPr>
              <w:jc w:val="center"/>
              <w:rPr>
                <w:rFonts w:ascii="Arial Narrow" w:hAnsi="Arial Narrow"/>
                <w:bCs/>
                <w:color w:val="000000" w:themeColor="text1"/>
              </w:rPr>
            </w:pPr>
          </w:p>
        </w:tc>
        <w:tc>
          <w:tcPr>
            <w:tcW w:w="1843" w:type="dxa"/>
            <w:tcMar>
              <w:left w:w="28" w:type="dxa"/>
              <w:right w:w="28" w:type="dxa"/>
            </w:tcMar>
            <w:vAlign w:val="bottom"/>
          </w:tcPr>
          <w:p w14:paraId="53C1377B"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Cape Tribulation Mid</w:t>
            </w:r>
          </w:p>
        </w:tc>
        <w:tc>
          <w:tcPr>
            <w:tcW w:w="567" w:type="dxa"/>
            <w:tcMar>
              <w:left w:w="28" w:type="dxa"/>
              <w:right w:w="28" w:type="dxa"/>
            </w:tcMar>
          </w:tcPr>
          <w:p w14:paraId="53C1377C"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MMP</w:t>
            </w:r>
          </w:p>
        </w:tc>
        <w:tc>
          <w:tcPr>
            <w:tcW w:w="406" w:type="dxa"/>
          </w:tcPr>
          <w:p w14:paraId="53C1377D"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77E"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shd w:val="clear" w:color="auto" w:fill="F2F2F2" w:themeFill="background1" w:themeFillShade="F2"/>
          </w:tcPr>
          <w:p w14:paraId="53C1377F" w14:textId="77777777" w:rsidR="00212781" w:rsidRPr="002B1DCB" w:rsidRDefault="00212781" w:rsidP="00212781">
            <w:pPr>
              <w:rPr>
                <w:rFonts w:ascii="Arial Narrow" w:hAnsi="Arial Narrow" w:cs="Arial"/>
                <w:color w:val="000000" w:themeColor="text1"/>
                <w:szCs w:val="22"/>
              </w:rPr>
            </w:pPr>
          </w:p>
        </w:tc>
        <w:tc>
          <w:tcPr>
            <w:tcW w:w="406" w:type="dxa"/>
            <w:shd w:val="clear" w:color="auto" w:fill="F2F2F2" w:themeFill="background1" w:themeFillShade="F2"/>
          </w:tcPr>
          <w:p w14:paraId="53C13780" w14:textId="77777777" w:rsidR="00212781" w:rsidRPr="002B1DCB" w:rsidRDefault="00212781" w:rsidP="00212781">
            <w:pPr>
              <w:rPr>
                <w:rFonts w:ascii="Arial Narrow" w:hAnsi="Arial Narrow" w:cs="Arial"/>
                <w:color w:val="000000" w:themeColor="text1"/>
                <w:szCs w:val="22"/>
              </w:rPr>
            </w:pPr>
          </w:p>
        </w:tc>
        <w:tc>
          <w:tcPr>
            <w:tcW w:w="406" w:type="dxa"/>
            <w:shd w:val="clear" w:color="auto" w:fill="F2F2F2" w:themeFill="background1" w:themeFillShade="F2"/>
          </w:tcPr>
          <w:p w14:paraId="53C13781" w14:textId="77777777" w:rsidR="00212781" w:rsidRPr="002B1DCB" w:rsidRDefault="00212781" w:rsidP="00212781">
            <w:pPr>
              <w:rPr>
                <w:rFonts w:ascii="Arial Narrow" w:hAnsi="Arial Narrow" w:cs="Arial"/>
                <w:color w:val="000000" w:themeColor="text1"/>
                <w:szCs w:val="22"/>
              </w:rPr>
            </w:pPr>
          </w:p>
        </w:tc>
        <w:tc>
          <w:tcPr>
            <w:tcW w:w="407" w:type="dxa"/>
            <w:shd w:val="clear" w:color="auto" w:fill="F2F2F2" w:themeFill="background1" w:themeFillShade="F2"/>
          </w:tcPr>
          <w:p w14:paraId="53C13782" w14:textId="77777777" w:rsidR="00212781" w:rsidRPr="002B1DCB" w:rsidRDefault="00212781" w:rsidP="00212781">
            <w:pPr>
              <w:rPr>
                <w:rFonts w:ascii="Arial Narrow" w:hAnsi="Arial Narrow" w:cs="Arial"/>
                <w:color w:val="000000" w:themeColor="text1"/>
                <w:szCs w:val="22"/>
              </w:rPr>
            </w:pPr>
          </w:p>
        </w:tc>
        <w:tc>
          <w:tcPr>
            <w:tcW w:w="406" w:type="dxa"/>
            <w:shd w:val="clear" w:color="auto" w:fill="F2F2F2" w:themeFill="background1" w:themeFillShade="F2"/>
          </w:tcPr>
          <w:p w14:paraId="53C13783" w14:textId="77777777" w:rsidR="00212781" w:rsidRPr="002B1DCB" w:rsidRDefault="00212781" w:rsidP="00212781">
            <w:pPr>
              <w:rPr>
                <w:rFonts w:ascii="Arial Narrow" w:hAnsi="Arial Narrow" w:cs="Arial"/>
                <w:color w:val="000000" w:themeColor="text1"/>
                <w:szCs w:val="22"/>
              </w:rPr>
            </w:pPr>
          </w:p>
        </w:tc>
        <w:tc>
          <w:tcPr>
            <w:tcW w:w="406" w:type="dxa"/>
            <w:shd w:val="clear" w:color="auto" w:fill="F2F2F2" w:themeFill="background1" w:themeFillShade="F2"/>
          </w:tcPr>
          <w:p w14:paraId="53C13784" w14:textId="77777777" w:rsidR="00212781" w:rsidRPr="002B1DCB" w:rsidRDefault="00212781" w:rsidP="00212781">
            <w:pPr>
              <w:rPr>
                <w:rFonts w:ascii="Arial Narrow" w:hAnsi="Arial Narrow" w:cs="Arial"/>
                <w:color w:val="000000" w:themeColor="text1"/>
                <w:szCs w:val="22"/>
              </w:rPr>
            </w:pPr>
          </w:p>
        </w:tc>
        <w:tc>
          <w:tcPr>
            <w:tcW w:w="407" w:type="dxa"/>
            <w:shd w:val="clear" w:color="auto" w:fill="F2F2F2" w:themeFill="background1" w:themeFillShade="F2"/>
          </w:tcPr>
          <w:p w14:paraId="53C13785" w14:textId="77777777" w:rsidR="00212781" w:rsidRPr="002B1DCB" w:rsidRDefault="00212781" w:rsidP="00212781">
            <w:pPr>
              <w:rPr>
                <w:rFonts w:ascii="Arial Narrow" w:hAnsi="Arial Narrow" w:cs="Arial"/>
                <w:color w:val="000000" w:themeColor="text1"/>
                <w:szCs w:val="22"/>
              </w:rPr>
            </w:pPr>
          </w:p>
        </w:tc>
        <w:tc>
          <w:tcPr>
            <w:tcW w:w="406" w:type="dxa"/>
            <w:shd w:val="clear" w:color="auto" w:fill="F2F2F2" w:themeFill="background1" w:themeFillShade="F2"/>
          </w:tcPr>
          <w:p w14:paraId="53C13786" w14:textId="77777777" w:rsidR="00212781" w:rsidRPr="002B1DCB" w:rsidRDefault="00212781" w:rsidP="00212781">
            <w:pPr>
              <w:rPr>
                <w:rFonts w:ascii="Arial Narrow" w:hAnsi="Arial Narrow" w:cs="Arial"/>
                <w:color w:val="000000" w:themeColor="text1"/>
                <w:szCs w:val="22"/>
              </w:rPr>
            </w:pPr>
          </w:p>
        </w:tc>
        <w:tc>
          <w:tcPr>
            <w:tcW w:w="406" w:type="dxa"/>
            <w:shd w:val="clear" w:color="auto" w:fill="F2F2F2" w:themeFill="background1" w:themeFillShade="F2"/>
          </w:tcPr>
          <w:p w14:paraId="53C13787" w14:textId="77777777" w:rsidR="00212781" w:rsidRPr="002B1DCB" w:rsidRDefault="00212781" w:rsidP="00212781">
            <w:pPr>
              <w:rPr>
                <w:rFonts w:ascii="Arial Narrow" w:hAnsi="Arial Narrow" w:cs="Arial"/>
                <w:color w:val="000000" w:themeColor="text1"/>
                <w:szCs w:val="22"/>
              </w:rPr>
            </w:pPr>
          </w:p>
        </w:tc>
        <w:tc>
          <w:tcPr>
            <w:tcW w:w="407" w:type="dxa"/>
            <w:shd w:val="clear" w:color="auto" w:fill="F2F2F2" w:themeFill="background1" w:themeFillShade="F2"/>
          </w:tcPr>
          <w:p w14:paraId="53C13788" w14:textId="77777777" w:rsidR="00212781" w:rsidRPr="002B1DCB" w:rsidRDefault="00212781" w:rsidP="00212781">
            <w:pPr>
              <w:rPr>
                <w:rFonts w:ascii="Arial Narrow" w:hAnsi="Arial Narrow" w:cs="Arial"/>
                <w:color w:val="000000" w:themeColor="text1"/>
                <w:szCs w:val="22"/>
              </w:rPr>
            </w:pPr>
          </w:p>
        </w:tc>
        <w:tc>
          <w:tcPr>
            <w:tcW w:w="406" w:type="dxa"/>
            <w:shd w:val="clear" w:color="auto" w:fill="F2F2F2" w:themeFill="background1" w:themeFillShade="F2"/>
          </w:tcPr>
          <w:p w14:paraId="53C13789" w14:textId="77777777" w:rsidR="00212781" w:rsidRPr="002B1DCB" w:rsidRDefault="00212781" w:rsidP="00212781">
            <w:pPr>
              <w:rPr>
                <w:rFonts w:ascii="Arial Narrow" w:hAnsi="Arial Narrow" w:cs="Arial"/>
                <w:color w:val="000000" w:themeColor="text1"/>
                <w:szCs w:val="22"/>
              </w:rPr>
            </w:pPr>
          </w:p>
        </w:tc>
        <w:tc>
          <w:tcPr>
            <w:tcW w:w="406" w:type="dxa"/>
            <w:shd w:val="clear" w:color="auto" w:fill="F2F2F2" w:themeFill="background1" w:themeFillShade="F2"/>
          </w:tcPr>
          <w:p w14:paraId="53C1378A" w14:textId="77777777" w:rsidR="00212781" w:rsidRPr="002B1DCB" w:rsidRDefault="00212781" w:rsidP="00212781">
            <w:pPr>
              <w:rPr>
                <w:rFonts w:ascii="Arial Narrow" w:hAnsi="Arial Narrow" w:cs="Arial"/>
                <w:color w:val="000000" w:themeColor="text1"/>
                <w:szCs w:val="22"/>
              </w:rPr>
            </w:pPr>
          </w:p>
        </w:tc>
        <w:tc>
          <w:tcPr>
            <w:tcW w:w="407" w:type="dxa"/>
            <w:shd w:val="clear" w:color="auto" w:fill="F2F2F2" w:themeFill="background1" w:themeFillShade="F2"/>
          </w:tcPr>
          <w:p w14:paraId="53C1378B" w14:textId="77777777" w:rsidR="00212781" w:rsidRPr="002B1DCB" w:rsidRDefault="00212781" w:rsidP="00212781">
            <w:pPr>
              <w:rPr>
                <w:rFonts w:ascii="Arial Narrow" w:hAnsi="Arial Narrow"/>
                <w:color w:val="000000" w:themeColor="text1"/>
              </w:rPr>
            </w:pPr>
          </w:p>
        </w:tc>
      </w:tr>
      <w:tr w:rsidR="00212781" w:rsidRPr="002B1DCB" w14:paraId="53C1379F" w14:textId="77777777" w:rsidTr="00212781">
        <w:tc>
          <w:tcPr>
            <w:tcW w:w="1129" w:type="dxa"/>
            <w:vMerge/>
            <w:vAlign w:val="center"/>
          </w:tcPr>
          <w:p w14:paraId="53C1378D" w14:textId="77777777" w:rsidR="00212781" w:rsidRPr="002B1DCB" w:rsidRDefault="00212781" w:rsidP="00212781">
            <w:pPr>
              <w:jc w:val="center"/>
              <w:rPr>
                <w:rFonts w:ascii="Arial Narrow" w:hAnsi="Arial Narrow"/>
                <w:bCs/>
                <w:color w:val="000000" w:themeColor="text1"/>
              </w:rPr>
            </w:pPr>
          </w:p>
        </w:tc>
        <w:tc>
          <w:tcPr>
            <w:tcW w:w="1843" w:type="dxa"/>
            <w:tcMar>
              <w:left w:w="28" w:type="dxa"/>
              <w:right w:w="28" w:type="dxa"/>
            </w:tcMar>
            <w:vAlign w:val="bottom"/>
          </w:tcPr>
          <w:p w14:paraId="53C1378E"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Cape Tribulation South</w:t>
            </w:r>
          </w:p>
        </w:tc>
        <w:tc>
          <w:tcPr>
            <w:tcW w:w="567" w:type="dxa"/>
            <w:tcMar>
              <w:left w:w="28" w:type="dxa"/>
              <w:right w:w="28" w:type="dxa"/>
            </w:tcMar>
          </w:tcPr>
          <w:p w14:paraId="53C1378F"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MMP</w:t>
            </w:r>
          </w:p>
        </w:tc>
        <w:tc>
          <w:tcPr>
            <w:tcW w:w="406" w:type="dxa"/>
          </w:tcPr>
          <w:p w14:paraId="53C13790"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791"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shd w:val="clear" w:color="auto" w:fill="F2F2F2" w:themeFill="background1" w:themeFillShade="F2"/>
          </w:tcPr>
          <w:p w14:paraId="53C13792" w14:textId="77777777" w:rsidR="00212781" w:rsidRPr="002B1DCB" w:rsidRDefault="00212781" w:rsidP="00212781">
            <w:pPr>
              <w:rPr>
                <w:rFonts w:ascii="Arial Narrow" w:hAnsi="Arial Narrow" w:cs="Arial"/>
                <w:color w:val="000000" w:themeColor="text1"/>
                <w:szCs w:val="22"/>
              </w:rPr>
            </w:pPr>
          </w:p>
        </w:tc>
        <w:tc>
          <w:tcPr>
            <w:tcW w:w="406" w:type="dxa"/>
            <w:shd w:val="clear" w:color="auto" w:fill="F2F2F2" w:themeFill="background1" w:themeFillShade="F2"/>
          </w:tcPr>
          <w:p w14:paraId="53C13793" w14:textId="77777777" w:rsidR="00212781" w:rsidRPr="002B1DCB" w:rsidRDefault="00212781" w:rsidP="00212781">
            <w:pPr>
              <w:rPr>
                <w:rFonts w:ascii="Arial Narrow" w:hAnsi="Arial Narrow" w:cs="Arial"/>
                <w:color w:val="000000" w:themeColor="text1"/>
                <w:szCs w:val="22"/>
              </w:rPr>
            </w:pPr>
          </w:p>
        </w:tc>
        <w:tc>
          <w:tcPr>
            <w:tcW w:w="406" w:type="dxa"/>
            <w:shd w:val="clear" w:color="auto" w:fill="F2F2F2" w:themeFill="background1" w:themeFillShade="F2"/>
          </w:tcPr>
          <w:p w14:paraId="53C13794" w14:textId="77777777" w:rsidR="00212781" w:rsidRPr="002B1DCB" w:rsidRDefault="00212781" w:rsidP="00212781">
            <w:pPr>
              <w:rPr>
                <w:rFonts w:ascii="Arial Narrow" w:hAnsi="Arial Narrow" w:cs="Arial"/>
                <w:color w:val="000000" w:themeColor="text1"/>
                <w:szCs w:val="22"/>
              </w:rPr>
            </w:pPr>
          </w:p>
        </w:tc>
        <w:tc>
          <w:tcPr>
            <w:tcW w:w="407" w:type="dxa"/>
            <w:shd w:val="clear" w:color="auto" w:fill="F2F2F2" w:themeFill="background1" w:themeFillShade="F2"/>
          </w:tcPr>
          <w:p w14:paraId="53C13795" w14:textId="77777777" w:rsidR="00212781" w:rsidRPr="002B1DCB" w:rsidRDefault="00212781" w:rsidP="00212781">
            <w:pPr>
              <w:rPr>
                <w:rFonts w:ascii="Arial Narrow" w:hAnsi="Arial Narrow" w:cs="Arial"/>
                <w:color w:val="000000" w:themeColor="text1"/>
                <w:szCs w:val="22"/>
              </w:rPr>
            </w:pPr>
          </w:p>
        </w:tc>
        <w:tc>
          <w:tcPr>
            <w:tcW w:w="406" w:type="dxa"/>
            <w:shd w:val="clear" w:color="auto" w:fill="F2F2F2" w:themeFill="background1" w:themeFillShade="F2"/>
          </w:tcPr>
          <w:p w14:paraId="53C13796" w14:textId="77777777" w:rsidR="00212781" w:rsidRPr="002B1DCB" w:rsidRDefault="00212781" w:rsidP="00212781">
            <w:pPr>
              <w:rPr>
                <w:rFonts w:ascii="Arial Narrow" w:hAnsi="Arial Narrow" w:cs="Arial"/>
                <w:color w:val="000000" w:themeColor="text1"/>
                <w:szCs w:val="22"/>
              </w:rPr>
            </w:pPr>
          </w:p>
        </w:tc>
        <w:tc>
          <w:tcPr>
            <w:tcW w:w="406" w:type="dxa"/>
            <w:shd w:val="clear" w:color="auto" w:fill="F2F2F2" w:themeFill="background1" w:themeFillShade="F2"/>
          </w:tcPr>
          <w:p w14:paraId="53C13797" w14:textId="77777777" w:rsidR="00212781" w:rsidRPr="002B1DCB" w:rsidRDefault="00212781" w:rsidP="00212781">
            <w:pPr>
              <w:rPr>
                <w:rFonts w:ascii="Arial Narrow" w:hAnsi="Arial Narrow" w:cs="Arial"/>
                <w:color w:val="000000" w:themeColor="text1"/>
                <w:szCs w:val="22"/>
              </w:rPr>
            </w:pPr>
          </w:p>
        </w:tc>
        <w:tc>
          <w:tcPr>
            <w:tcW w:w="407" w:type="dxa"/>
            <w:shd w:val="clear" w:color="auto" w:fill="F2F2F2" w:themeFill="background1" w:themeFillShade="F2"/>
          </w:tcPr>
          <w:p w14:paraId="53C13798" w14:textId="77777777" w:rsidR="00212781" w:rsidRPr="002B1DCB" w:rsidRDefault="00212781" w:rsidP="00212781">
            <w:pPr>
              <w:rPr>
                <w:rFonts w:ascii="Arial Narrow" w:hAnsi="Arial Narrow" w:cs="Arial"/>
                <w:color w:val="000000" w:themeColor="text1"/>
                <w:szCs w:val="22"/>
              </w:rPr>
            </w:pPr>
          </w:p>
        </w:tc>
        <w:tc>
          <w:tcPr>
            <w:tcW w:w="406" w:type="dxa"/>
            <w:shd w:val="clear" w:color="auto" w:fill="F2F2F2" w:themeFill="background1" w:themeFillShade="F2"/>
          </w:tcPr>
          <w:p w14:paraId="53C13799" w14:textId="77777777" w:rsidR="00212781" w:rsidRPr="002B1DCB" w:rsidRDefault="00212781" w:rsidP="00212781">
            <w:pPr>
              <w:rPr>
                <w:rFonts w:ascii="Arial Narrow" w:hAnsi="Arial Narrow" w:cs="Arial"/>
                <w:color w:val="000000" w:themeColor="text1"/>
                <w:szCs w:val="22"/>
              </w:rPr>
            </w:pPr>
          </w:p>
        </w:tc>
        <w:tc>
          <w:tcPr>
            <w:tcW w:w="406" w:type="dxa"/>
            <w:shd w:val="clear" w:color="auto" w:fill="F2F2F2" w:themeFill="background1" w:themeFillShade="F2"/>
          </w:tcPr>
          <w:p w14:paraId="53C1379A" w14:textId="77777777" w:rsidR="00212781" w:rsidRPr="002B1DCB" w:rsidRDefault="00212781" w:rsidP="00212781">
            <w:pPr>
              <w:rPr>
                <w:rFonts w:ascii="Arial Narrow" w:hAnsi="Arial Narrow" w:cs="Arial"/>
                <w:color w:val="000000" w:themeColor="text1"/>
                <w:szCs w:val="22"/>
              </w:rPr>
            </w:pPr>
          </w:p>
        </w:tc>
        <w:tc>
          <w:tcPr>
            <w:tcW w:w="407" w:type="dxa"/>
            <w:shd w:val="clear" w:color="auto" w:fill="F2F2F2" w:themeFill="background1" w:themeFillShade="F2"/>
          </w:tcPr>
          <w:p w14:paraId="53C1379B" w14:textId="77777777" w:rsidR="00212781" w:rsidRPr="002B1DCB" w:rsidRDefault="00212781" w:rsidP="00212781">
            <w:pPr>
              <w:rPr>
                <w:rFonts w:ascii="Arial Narrow" w:hAnsi="Arial Narrow" w:cs="Arial"/>
                <w:color w:val="000000" w:themeColor="text1"/>
                <w:szCs w:val="22"/>
              </w:rPr>
            </w:pPr>
          </w:p>
        </w:tc>
        <w:tc>
          <w:tcPr>
            <w:tcW w:w="406" w:type="dxa"/>
            <w:shd w:val="clear" w:color="auto" w:fill="F2F2F2" w:themeFill="background1" w:themeFillShade="F2"/>
          </w:tcPr>
          <w:p w14:paraId="53C1379C" w14:textId="77777777" w:rsidR="00212781" w:rsidRPr="002B1DCB" w:rsidRDefault="00212781" w:rsidP="00212781">
            <w:pPr>
              <w:rPr>
                <w:rFonts w:ascii="Arial Narrow" w:hAnsi="Arial Narrow" w:cs="Arial"/>
                <w:color w:val="000000" w:themeColor="text1"/>
                <w:szCs w:val="22"/>
              </w:rPr>
            </w:pPr>
          </w:p>
        </w:tc>
        <w:tc>
          <w:tcPr>
            <w:tcW w:w="406" w:type="dxa"/>
            <w:shd w:val="clear" w:color="auto" w:fill="F2F2F2" w:themeFill="background1" w:themeFillShade="F2"/>
          </w:tcPr>
          <w:p w14:paraId="53C1379D" w14:textId="77777777" w:rsidR="00212781" w:rsidRPr="002B1DCB" w:rsidRDefault="00212781" w:rsidP="00212781">
            <w:pPr>
              <w:rPr>
                <w:rFonts w:ascii="Arial Narrow" w:hAnsi="Arial Narrow" w:cs="Arial"/>
                <w:color w:val="000000" w:themeColor="text1"/>
                <w:szCs w:val="22"/>
              </w:rPr>
            </w:pPr>
          </w:p>
        </w:tc>
        <w:tc>
          <w:tcPr>
            <w:tcW w:w="407" w:type="dxa"/>
            <w:shd w:val="clear" w:color="auto" w:fill="F2F2F2" w:themeFill="background1" w:themeFillShade="F2"/>
          </w:tcPr>
          <w:p w14:paraId="53C1379E" w14:textId="77777777" w:rsidR="00212781" w:rsidRPr="002B1DCB" w:rsidRDefault="00212781" w:rsidP="00212781">
            <w:pPr>
              <w:rPr>
                <w:rFonts w:ascii="Arial Narrow" w:hAnsi="Arial Narrow"/>
                <w:color w:val="000000" w:themeColor="text1"/>
              </w:rPr>
            </w:pPr>
          </w:p>
        </w:tc>
      </w:tr>
      <w:tr w:rsidR="00212781" w:rsidRPr="002B1DCB" w14:paraId="53C137B2" w14:textId="77777777" w:rsidTr="00212781">
        <w:tc>
          <w:tcPr>
            <w:tcW w:w="1129" w:type="dxa"/>
            <w:vMerge/>
            <w:vAlign w:val="center"/>
          </w:tcPr>
          <w:p w14:paraId="53C137A0" w14:textId="77777777" w:rsidR="00212781" w:rsidRPr="002B1DCB" w:rsidRDefault="00212781" w:rsidP="00212781">
            <w:pPr>
              <w:jc w:val="center"/>
              <w:rPr>
                <w:rFonts w:ascii="Arial Narrow" w:hAnsi="Arial Narrow"/>
                <w:bCs/>
                <w:color w:val="000000" w:themeColor="text1"/>
              </w:rPr>
            </w:pPr>
          </w:p>
        </w:tc>
        <w:tc>
          <w:tcPr>
            <w:tcW w:w="1843" w:type="dxa"/>
            <w:tcMar>
              <w:left w:w="28" w:type="dxa"/>
              <w:right w:w="28" w:type="dxa"/>
            </w:tcMar>
            <w:vAlign w:val="bottom"/>
          </w:tcPr>
          <w:p w14:paraId="53C137A1"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Snapper North (WQ*)</w:t>
            </w:r>
          </w:p>
        </w:tc>
        <w:tc>
          <w:tcPr>
            <w:tcW w:w="567" w:type="dxa"/>
            <w:tcMar>
              <w:left w:w="28" w:type="dxa"/>
              <w:right w:w="28" w:type="dxa"/>
            </w:tcMar>
          </w:tcPr>
          <w:p w14:paraId="53C137A2"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MMP</w:t>
            </w:r>
          </w:p>
        </w:tc>
        <w:tc>
          <w:tcPr>
            <w:tcW w:w="406" w:type="dxa"/>
          </w:tcPr>
          <w:p w14:paraId="53C137A3"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7A4"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7A5"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7A6"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7A7"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7A8"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7A9"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7AA"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7AB"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7AC"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7AD"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7AE"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b/>
                <w:color w:val="000000" w:themeColor="text1"/>
                <w:szCs w:val="22"/>
              </w:rPr>
              <w:t>+</w:t>
            </w:r>
          </w:p>
        </w:tc>
        <w:tc>
          <w:tcPr>
            <w:tcW w:w="406" w:type="dxa"/>
          </w:tcPr>
          <w:p w14:paraId="53C137AF" w14:textId="77777777" w:rsidR="00212781" w:rsidRPr="002B1DCB" w:rsidRDefault="00212781" w:rsidP="00212781">
            <w:pPr>
              <w:rPr>
                <w:rFonts w:ascii="Arial Narrow" w:hAnsi="Arial Narrow" w:cs="Arial"/>
                <w:b/>
                <w:color w:val="000000" w:themeColor="text1"/>
                <w:szCs w:val="22"/>
              </w:rPr>
            </w:pPr>
            <w:r w:rsidRPr="002B1DCB">
              <w:rPr>
                <w:rFonts w:ascii="Arial Narrow" w:hAnsi="Arial Narrow" w:cs="Arial"/>
                <w:color w:val="000000" w:themeColor="text1"/>
                <w:szCs w:val="22"/>
              </w:rPr>
              <w:t>●</w:t>
            </w:r>
          </w:p>
        </w:tc>
        <w:tc>
          <w:tcPr>
            <w:tcW w:w="406" w:type="dxa"/>
          </w:tcPr>
          <w:p w14:paraId="53C137B0" w14:textId="77777777" w:rsidR="00212781" w:rsidRPr="002B1DCB" w:rsidRDefault="00212781" w:rsidP="00212781">
            <w:pPr>
              <w:rPr>
                <w:rFonts w:ascii="Arial Narrow" w:hAnsi="Arial Narrow" w:cs="Arial"/>
                <w:b/>
                <w:color w:val="000000" w:themeColor="text1"/>
                <w:szCs w:val="22"/>
              </w:rPr>
            </w:pPr>
            <w:r w:rsidRPr="002B1DCB">
              <w:rPr>
                <w:rFonts w:ascii="Arial Narrow" w:hAnsi="Arial Narrow" w:cs="Arial"/>
                <w:b/>
                <w:color w:val="000000" w:themeColor="text1"/>
                <w:szCs w:val="22"/>
              </w:rPr>
              <w:t>+</w:t>
            </w:r>
          </w:p>
        </w:tc>
        <w:tc>
          <w:tcPr>
            <w:tcW w:w="407" w:type="dxa"/>
          </w:tcPr>
          <w:p w14:paraId="53C137B1" w14:textId="77777777" w:rsidR="00212781" w:rsidRPr="002B1DCB" w:rsidRDefault="00212781" w:rsidP="00212781">
            <w:pPr>
              <w:rPr>
                <w:rFonts w:ascii="Arial Narrow" w:hAnsi="Arial Narrow"/>
                <w:b/>
                <w:color w:val="000000" w:themeColor="text1"/>
              </w:rPr>
            </w:pPr>
            <w:r w:rsidRPr="002B1DCB">
              <w:rPr>
                <w:rFonts w:ascii="Arial Narrow" w:hAnsi="Arial Narrow" w:cs="Arial"/>
                <w:color w:val="000000" w:themeColor="text1"/>
                <w:szCs w:val="22"/>
              </w:rPr>
              <w:t>●</w:t>
            </w:r>
          </w:p>
        </w:tc>
      </w:tr>
      <w:tr w:rsidR="00212781" w:rsidRPr="002B1DCB" w14:paraId="53C137C5" w14:textId="77777777" w:rsidTr="00212781">
        <w:tc>
          <w:tcPr>
            <w:tcW w:w="1129" w:type="dxa"/>
            <w:vMerge/>
            <w:vAlign w:val="center"/>
          </w:tcPr>
          <w:p w14:paraId="53C137B3" w14:textId="77777777" w:rsidR="00212781" w:rsidRPr="002B1DCB" w:rsidRDefault="00212781" w:rsidP="00212781">
            <w:pPr>
              <w:jc w:val="center"/>
              <w:rPr>
                <w:rFonts w:ascii="Arial Narrow" w:hAnsi="Arial Narrow"/>
                <w:bCs/>
                <w:color w:val="000000" w:themeColor="text1"/>
              </w:rPr>
            </w:pPr>
          </w:p>
        </w:tc>
        <w:tc>
          <w:tcPr>
            <w:tcW w:w="1843" w:type="dxa"/>
            <w:tcMar>
              <w:left w:w="28" w:type="dxa"/>
              <w:right w:w="28" w:type="dxa"/>
            </w:tcMar>
            <w:vAlign w:val="bottom"/>
          </w:tcPr>
          <w:p w14:paraId="53C137B4"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Snapper South</w:t>
            </w:r>
          </w:p>
        </w:tc>
        <w:tc>
          <w:tcPr>
            <w:tcW w:w="567" w:type="dxa"/>
            <w:tcMar>
              <w:left w:w="28" w:type="dxa"/>
              <w:right w:w="28" w:type="dxa"/>
            </w:tcMar>
          </w:tcPr>
          <w:p w14:paraId="53C137B5"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MMP</w:t>
            </w:r>
          </w:p>
        </w:tc>
        <w:tc>
          <w:tcPr>
            <w:tcW w:w="406" w:type="dxa"/>
          </w:tcPr>
          <w:p w14:paraId="53C137B6"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7B7"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7B8"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7B9"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7BA"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7BB"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7BC"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7BD"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7BE"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7BF"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7C0"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7C1"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7C2" w14:textId="77777777" w:rsidR="00212781" w:rsidRPr="002B1DCB" w:rsidRDefault="00212781" w:rsidP="00212781">
            <w:pPr>
              <w:rPr>
                <w:rFonts w:ascii="Arial Narrow" w:hAnsi="Arial Narrow" w:cs="Arial"/>
                <w:b/>
                <w:color w:val="000000" w:themeColor="text1"/>
                <w:szCs w:val="22"/>
              </w:rPr>
            </w:pPr>
            <w:r w:rsidRPr="002B1DCB">
              <w:rPr>
                <w:rFonts w:ascii="Arial Narrow" w:hAnsi="Arial Narrow" w:cs="Arial"/>
                <w:b/>
                <w:color w:val="000000" w:themeColor="text1"/>
                <w:szCs w:val="22"/>
              </w:rPr>
              <w:t>+</w:t>
            </w:r>
          </w:p>
        </w:tc>
        <w:tc>
          <w:tcPr>
            <w:tcW w:w="406" w:type="dxa"/>
          </w:tcPr>
          <w:p w14:paraId="53C137C3" w14:textId="77777777" w:rsidR="00212781" w:rsidRPr="002B1DCB" w:rsidRDefault="00212781" w:rsidP="00212781">
            <w:pPr>
              <w:rPr>
                <w:rFonts w:ascii="Arial Narrow" w:hAnsi="Arial Narrow" w:cs="Arial"/>
                <w:b/>
                <w:color w:val="000000" w:themeColor="text1"/>
                <w:szCs w:val="22"/>
              </w:rPr>
            </w:pPr>
            <w:r w:rsidRPr="002B1DCB">
              <w:rPr>
                <w:rFonts w:ascii="Arial Narrow" w:hAnsi="Arial Narrow" w:cs="Arial"/>
                <w:b/>
                <w:color w:val="000000" w:themeColor="text1"/>
                <w:szCs w:val="22"/>
              </w:rPr>
              <w:t>●</w:t>
            </w:r>
          </w:p>
        </w:tc>
        <w:tc>
          <w:tcPr>
            <w:tcW w:w="407" w:type="dxa"/>
          </w:tcPr>
          <w:p w14:paraId="53C137C4" w14:textId="77777777" w:rsidR="00212781" w:rsidRPr="002B1DCB" w:rsidRDefault="00212781" w:rsidP="00212781">
            <w:pPr>
              <w:rPr>
                <w:rFonts w:ascii="Arial Narrow" w:hAnsi="Arial Narrow"/>
                <w:b/>
                <w:color w:val="000000" w:themeColor="text1"/>
              </w:rPr>
            </w:pPr>
            <w:r w:rsidRPr="002B1DCB">
              <w:rPr>
                <w:rFonts w:ascii="Arial Narrow" w:hAnsi="Arial Narrow" w:cs="Arial"/>
                <w:b/>
                <w:color w:val="000000" w:themeColor="text1"/>
                <w:szCs w:val="22"/>
              </w:rPr>
              <w:t>+</w:t>
            </w:r>
          </w:p>
        </w:tc>
      </w:tr>
      <w:tr w:rsidR="00212781" w:rsidRPr="002B1DCB" w14:paraId="53C137D8" w14:textId="77777777" w:rsidTr="00212781">
        <w:tc>
          <w:tcPr>
            <w:tcW w:w="1129" w:type="dxa"/>
            <w:vMerge/>
            <w:vAlign w:val="center"/>
          </w:tcPr>
          <w:p w14:paraId="53C137C6" w14:textId="77777777" w:rsidR="00212781" w:rsidRPr="002B1DCB" w:rsidRDefault="00212781" w:rsidP="00212781">
            <w:pPr>
              <w:jc w:val="center"/>
              <w:rPr>
                <w:rFonts w:ascii="Arial Narrow" w:hAnsi="Arial Narrow"/>
                <w:bCs/>
                <w:color w:val="000000" w:themeColor="text1"/>
              </w:rPr>
            </w:pPr>
          </w:p>
        </w:tc>
        <w:tc>
          <w:tcPr>
            <w:tcW w:w="1843" w:type="dxa"/>
            <w:tcMar>
              <w:left w:w="28" w:type="dxa"/>
              <w:right w:w="28" w:type="dxa"/>
            </w:tcMar>
            <w:vAlign w:val="bottom"/>
          </w:tcPr>
          <w:p w14:paraId="53C137C7"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Low Isles</w:t>
            </w:r>
          </w:p>
        </w:tc>
        <w:tc>
          <w:tcPr>
            <w:tcW w:w="567" w:type="dxa"/>
            <w:tcMar>
              <w:left w:w="28" w:type="dxa"/>
              <w:right w:w="28" w:type="dxa"/>
            </w:tcMar>
          </w:tcPr>
          <w:p w14:paraId="53C137C8"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LTMP</w:t>
            </w:r>
          </w:p>
        </w:tc>
        <w:tc>
          <w:tcPr>
            <w:tcW w:w="406" w:type="dxa"/>
          </w:tcPr>
          <w:p w14:paraId="53C137C9"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7CA" w14:textId="77777777" w:rsidR="00212781" w:rsidRPr="002B1DCB" w:rsidRDefault="00212781" w:rsidP="00212781">
            <w:pPr>
              <w:rPr>
                <w:rFonts w:ascii="Arial Narrow" w:hAnsi="Arial Narrow" w:cs="Arial"/>
                <w:color w:val="000000" w:themeColor="text1"/>
                <w:szCs w:val="22"/>
              </w:rPr>
            </w:pPr>
          </w:p>
        </w:tc>
        <w:tc>
          <w:tcPr>
            <w:tcW w:w="407" w:type="dxa"/>
          </w:tcPr>
          <w:p w14:paraId="53C137CB"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7CC" w14:textId="77777777" w:rsidR="00212781" w:rsidRPr="002B1DCB" w:rsidRDefault="00212781" w:rsidP="00212781">
            <w:pPr>
              <w:rPr>
                <w:rFonts w:ascii="Arial Narrow" w:hAnsi="Arial Narrow" w:cs="Arial"/>
                <w:color w:val="000000" w:themeColor="text1"/>
                <w:szCs w:val="22"/>
              </w:rPr>
            </w:pPr>
          </w:p>
        </w:tc>
        <w:tc>
          <w:tcPr>
            <w:tcW w:w="406" w:type="dxa"/>
          </w:tcPr>
          <w:p w14:paraId="53C137CD"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7CE" w14:textId="77777777" w:rsidR="00212781" w:rsidRPr="002B1DCB" w:rsidRDefault="00212781" w:rsidP="00212781">
            <w:pPr>
              <w:rPr>
                <w:rFonts w:ascii="Arial Narrow" w:hAnsi="Arial Narrow" w:cs="Arial"/>
                <w:color w:val="000000" w:themeColor="text1"/>
                <w:szCs w:val="22"/>
              </w:rPr>
            </w:pPr>
          </w:p>
        </w:tc>
        <w:tc>
          <w:tcPr>
            <w:tcW w:w="406" w:type="dxa"/>
          </w:tcPr>
          <w:p w14:paraId="53C137CF"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7D0" w14:textId="77777777" w:rsidR="00212781" w:rsidRPr="002B1DCB" w:rsidRDefault="00212781" w:rsidP="00212781">
            <w:pPr>
              <w:rPr>
                <w:rFonts w:ascii="Arial Narrow" w:hAnsi="Arial Narrow" w:cs="Arial"/>
                <w:color w:val="000000" w:themeColor="text1"/>
                <w:szCs w:val="22"/>
              </w:rPr>
            </w:pPr>
          </w:p>
        </w:tc>
        <w:tc>
          <w:tcPr>
            <w:tcW w:w="407" w:type="dxa"/>
          </w:tcPr>
          <w:p w14:paraId="53C137D1"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7D2" w14:textId="77777777" w:rsidR="00212781" w:rsidRPr="002B1DCB" w:rsidRDefault="00212781" w:rsidP="00212781">
            <w:pPr>
              <w:rPr>
                <w:rFonts w:ascii="Arial Narrow" w:hAnsi="Arial Narrow" w:cs="Arial"/>
                <w:color w:val="000000" w:themeColor="text1"/>
                <w:szCs w:val="22"/>
              </w:rPr>
            </w:pPr>
          </w:p>
        </w:tc>
        <w:tc>
          <w:tcPr>
            <w:tcW w:w="406" w:type="dxa"/>
          </w:tcPr>
          <w:p w14:paraId="53C137D3"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7D4" w14:textId="77777777" w:rsidR="00212781" w:rsidRPr="002B1DCB" w:rsidRDefault="00212781" w:rsidP="00212781">
            <w:pPr>
              <w:rPr>
                <w:rFonts w:ascii="Arial Narrow" w:hAnsi="Arial Narrow" w:cs="Arial"/>
                <w:color w:val="000000" w:themeColor="text1"/>
                <w:szCs w:val="22"/>
              </w:rPr>
            </w:pPr>
          </w:p>
        </w:tc>
        <w:tc>
          <w:tcPr>
            <w:tcW w:w="406" w:type="dxa"/>
          </w:tcPr>
          <w:p w14:paraId="53C137D5"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7D6" w14:textId="77777777" w:rsidR="00212781" w:rsidRPr="002B1DCB" w:rsidRDefault="00212781" w:rsidP="00212781">
            <w:pPr>
              <w:rPr>
                <w:rFonts w:ascii="Arial Narrow" w:hAnsi="Arial Narrow" w:cs="Arial"/>
                <w:b/>
                <w:color w:val="000000" w:themeColor="text1"/>
                <w:szCs w:val="22"/>
              </w:rPr>
            </w:pPr>
          </w:p>
        </w:tc>
        <w:tc>
          <w:tcPr>
            <w:tcW w:w="407" w:type="dxa"/>
          </w:tcPr>
          <w:p w14:paraId="53C137D7" w14:textId="77777777" w:rsidR="00212781" w:rsidRPr="002B1DCB" w:rsidRDefault="00212781" w:rsidP="00212781">
            <w:pPr>
              <w:rPr>
                <w:rFonts w:ascii="Arial Narrow" w:hAnsi="Arial Narrow"/>
                <w:b/>
                <w:color w:val="000000" w:themeColor="text1"/>
              </w:rPr>
            </w:pPr>
            <w:r w:rsidRPr="002B1DCB">
              <w:rPr>
                <w:rFonts w:ascii="Arial Narrow" w:hAnsi="Arial Narrow" w:cs="Arial"/>
                <w:color w:val="000000" w:themeColor="text1"/>
                <w:szCs w:val="22"/>
              </w:rPr>
              <w:t>●</w:t>
            </w:r>
          </w:p>
        </w:tc>
      </w:tr>
      <w:tr w:rsidR="00212781" w:rsidRPr="002B1DCB" w14:paraId="53C137EB" w14:textId="77777777" w:rsidTr="00212781">
        <w:tc>
          <w:tcPr>
            <w:tcW w:w="1129" w:type="dxa"/>
            <w:vMerge w:val="restart"/>
            <w:vAlign w:val="center"/>
          </w:tcPr>
          <w:p w14:paraId="53C137D9" w14:textId="77777777" w:rsidR="00212781" w:rsidRPr="002B1DCB" w:rsidRDefault="00212781" w:rsidP="00212781">
            <w:pPr>
              <w:jc w:val="center"/>
              <w:rPr>
                <w:rFonts w:ascii="Arial Narrow" w:hAnsi="Arial Narrow"/>
                <w:bCs/>
                <w:color w:val="000000" w:themeColor="text1"/>
              </w:rPr>
            </w:pPr>
            <w:r w:rsidRPr="002B1DCB">
              <w:rPr>
                <w:rFonts w:ascii="Arial Narrow" w:hAnsi="Arial Narrow"/>
                <w:bCs/>
                <w:color w:val="000000" w:themeColor="text1"/>
              </w:rPr>
              <w:t>Johnstone Russell-Mulgrave</w:t>
            </w:r>
          </w:p>
        </w:tc>
        <w:tc>
          <w:tcPr>
            <w:tcW w:w="1843" w:type="dxa"/>
            <w:tcMar>
              <w:left w:w="28" w:type="dxa"/>
              <w:right w:w="28" w:type="dxa"/>
            </w:tcMar>
            <w:vAlign w:val="bottom"/>
          </w:tcPr>
          <w:p w14:paraId="53C137DA"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Green</w:t>
            </w:r>
          </w:p>
        </w:tc>
        <w:tc>
          <w:tcPr>
            <w:tcW w:w="567" w:type="dxa"/>
            <w:tcMar>
              <w:left w:w="28" w:type="dxa"/>
              <w:right w:w="28" w:type="dxa"/>
            </w:tcMar>
          </w:tcPr>
          <w:p w14:paraId="53C137DB"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LTMP</w:t>
            </w:r>
          </w:p>
        </w:tc>
        <w:tc>
          <w:tcPr>
            <w:tcW w:w="406" w:type="dxa"/>
          </w:tcPr>
          <w:p w14:paraId="53C137DC"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7DD" w14:textId="77777777" w:rsidR="00212781" w:rsidRPr="002B1DCB" w:rsidRDefault="00212781" w:rsidP="00212781">
            <w:pPr>
              <w:rPr>
                <w:rFonts w:ascii="Arial Narrow" w:hAnsi="Arial Narrow" w:cs="Arial"/>
                <w:color w:val="000000" w:themeColor="text1"/>
                <w:szCs w:val="22"/>
              </w:rPr>
            </w:pPr>
          </w:p>
        </w:tc>
        <w:tc>
          <w:tcPr>
            <w:tcW w:w="407" w:type="dxa"/>
          </w:tcPr>
          <w:p w14:paraId="53C137DE"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7DF" w14:textId="77777777" w:rsidR="00212781" w:rsidRPr="002B1DCB" w:rsidRDefault="00212781" w:rsidP="00212781">
            <w:pPr>
              <w:rPr>
                <w:rFonts w:ascii="Arial Narrow" w:hAnsi="Arial Narrow" w:cs="Arial"/>
                <w:color w:val="000000" w:themeColor="text1"/>
                <w:szCs w:val="22"/>
              </w:rPr>
            </w:pPr>
          </w:p>
        </w:tc>
        <w:tc>
          <w:tcPr>
            <w:tcW w:w="406" w:type="dxa"/>
          </w:tcPr>
          <w:p w14:paraId="53C137E0"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7E1" w14:textId="77777777" w:rsidR="00212781" w:rsidRPr="002B1DCB" w:rsidRDefault="00212781" w:rsidP="00212781">
            <w:pPr>
              <w:rPr>
                <w:rFonts w:ascii="Arial Narrow" w:hAnsi="Arial Narrow" w:cs="Arial"/>
                <w:color w:val="000000" w:themeColor="text1"/>
                <w:szCs w:val="22"/>
              </w:rPr>
            </w:pPr>
          </w:p>
        </w:tc>
        <w:tc>
          <w:tcPr>
            <w:tcW w:w="406" w:type="dxa"/>
          </w:tcPr>
          <w:p w14:paraId="53C137E2"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7E3" w14:textId="77777777" w:rsidR="00212781" w:rsidRPr="002B1DCB" w:rsidRDefault="00212781" w:rsidP="00212781">
            <w:pPr>
              <w:rPr>
                <w:rFonts w:ascii="Arial Narrow" w:hAnsi="Arial Narrow" w:cs="Arial"/>
                <w:color w:val="000000" w:themeColor="text1"/>
                <w:szCs w:val="22"/>
              </w:rPr>
            </w:pPr>
          </w:p>
        </w:tc>
        <w:tc>
          <w:tcPr>
            <w:tcW w:w="407" w:type="dxa"/>
          </w:tcPr>
          <w:p w14:paraId="53C137E4"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7E5" w14:textId="77777777" w:rsidR="00212781" w:rsidRPr="002B1DCB" w:rsidRDefault="00212781" w:rsidP="00212781">
            <w:pPr>
              <w:rPr>
                <w:rFonts w:ascii="Arial Narrow" w:hAnsi="Arial Narrow" w:cs="Arial"/>
                <w:color w:val="000000" w:themeColor="text1"/>
                <w:szCs w:val="22"/>
              </w:rPr>
            </w:pPr>
          </w:p>
        </w:tc>
        <w:tc>
          <w:tcPr>
            <w:tcW w:w="406" w:type="dxa"/>
          </w:tcPr>
          <w:p w14:paraId="53C137E6"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7E7" w14:textId="77777777" w:rsidR="00212781" w:rsidRPr="002B1DCB" w:rsidRDefault="00212781" w:rsidP="00212781">
            <w:pPr>
              <w:rPr>
                <w:rFonts w:ascii="Arial Narrow" w:hAnsi="Arial Narrow" w:cs="Arial"/>
                <w:color w:val="000000" w:themeColor="text1"/>
                <w:szCs w:val="22"/>
              </w:rPr>
            </w:pPr>
          </w:p>
        </w:tc>
        <w:tc>
          <w:tcPr>
            <w:tcW w:w="406" w:type="dxa"/>
          </w:tcPr>
          <w:p w14:paraId="53C137E8"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7E9" w14:textId="77777777" w:rsidR="00212781" w:rsidRPr="002B1DCB" w:rsidRDefault="00212781" w:rsidP="00212781">
            <w:pPr>
              <w:rPr>
                <w:rFonts w:ascii="Arial Narrow" w:hAnsi="Arial Narrow" w:cs="Arial"/>
                <w:b/>
                <w:color w:val="000000" w:themeColor="text1"/>
                <w:szCs w:val="22"/>
              </w:rPr>
            </w:pPr>
          </w:p>
        </w:tc>
        <w:tc>
          <w:tcPr>
            <w:tcW w:w="407" w:type="dxa"/>
          </w:tcPr>
          <w:p w14:paraId="53C137EA" w14:textId="77777777" w:rsidR="00212781" w:rsidRPr="002B1DCB" w:rsidRDefault="00212781" w:rsidP="00212781">
            <w:pPr>
              <w:rPr>
                <w:rFonts w:ascii="Arial Narrow" w:hAnsi="Arial Narrow"/>
                <w:b/>
                <w:color w:val="000000" w:themeColor="text1"/>
              </w:rPr>
            </w:pPr>
            <w:r w:rsidRPr="002B1DCB">
              <w:rPr>
                <w:rFonts w:ascii="Arial Narrow" w:hAnsi="Arial Narrow" w:cs="Arial"/>
                <w:color w:val="000000" w:themeColor="text1"/>
                <w:szCs w:val="22"/>
              </w:rPr>
              <w:t>●</w:t>
            </w:r>
          </w:p>
        </w:tc>
      </w:tr>
      <w:tr w:rsidR="00212781" w:rsidRPr="002B1DCB" w14:paraId="53C137FE" w14:textId="77777777" w:rsidTr="00212781">
        <w:tc>
          <w:tcPr>
            <w:tcW w:w="1129" w:type="dxa"/>
            <w:vMerge/>
            <w:vAlign w:val="center"/>
          </w:tcPr>
          <w:p w14:paraId="53C137EC" w14:textId="77777777" w:rsidR="00212781" w:rsidRPr="002B1DCB" w:rsidRDefault="00212781" w:rsidP="00212781">
            <w:pPr>
              <w:jc w:val="center"/>
              <w:rPr>
                <w:rFonts w:ascii="Arial Narrow" w:hAnsi="Arial Narrow"/>
                <w:bCs/>
                <w:color w:val="000000" w:themeColor="text1"/>
              </w:rPr>
            </w:pPr>
          </w:p>
        </w:tc>
        <w:tc>
          <w:tcPr>
            <w:tcW w:w="1843" w:type="dxa"/>
            <w:tcMar>
              <w:left w:w="28" w:type="dxa"/>
              <w:right w:w="28" w:type="dxa"/>
            </w:tcMar>
            <w:vAlign w:val="bottom"/>
          </w:tcPr>
          <w:p w14:paraId="53C137ED"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Fitzroy West</w:t>
            </w:r>
          </w:p>
        </w:tc>
        <w:tc>
          <w:tcPr>
            <w:tcW w:w="567" w:type="dxa"/>
            <w:tcMar>
              <w:left w:w="28" w:type="dxa"/>
              <w:right w:w="28" w:type="dxa"/>
            </w:tcMar>
          </w:tcPr>
          <w:p w14:paraId="53C137EE"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LTMP</w:t>
            </w:r>
          </w:p>
        </w:tc>
        <w:tc>
          <w:tcPr>
            <w:tcW w:w="406" w:type="dxa"/>
          </w:tcPr>
          <w:p w14:paraId="53C137EF"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7F0" w14:textId="77777777" w:rsidR="00212781" w:rsidRPr="002B1DCB" w:rsidRDefault="00212781" w:rsidP="00212781">
            <w:pPr>
              <w:rPr>
                <w:rFonts w:ascii="Arial Narrow" w:hAnsi="Arial Narrow" w:cs="Arial"/>
                <w:color w:val="000000" w:themeColor="text1"/>
                <w:szCs w:val="22"/>
              </w:rPr>
            </w:pPr>
          </w:p>
        </w:tc>
        <w:tc>
          <w:tcPr>
            <w:tcW w:w="407" w:type="dxa"/>
          </w:tcPr>
          <w:p w14:paraId="53C137F1"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7F2" w14:textId="77777777" w:rsidR="00212781" w:rsidRPr="002B1DCB" w:rsidRDefault="00212781" w:rsidP="00212781">
            <w:pPr>
              <w:rPr>
                <w:rFonts w:ascii="Arial Narrow" w:hAnsi="Arial Narrow" w:cs="Arial"/>
                <w:color w:val="000000" w:themeColor="text1"/>
                <w:szCs w:val="22"/>
              </w:rPr>
            </w:pPr>
          </w:p>
        </w:tc>
        <w:tc>
          <w:tcPr>
            <w:tcW w:w="406" w:type="dxa"/>
          </w:tcPr>
          <w:p w14:paraId="53C137F3"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7F4" w14:textId="77777777" w:rsidR="00212781" w:rsidRPr="002B1DCB" w:rsidRDefault="00212781" w:rsidP="00212781">
            <w:pPr>
              <w:rPr>
                <w:rFonts w:ascii="Arial Narrow" w:hAnsi="Arial Narrow" w:cs="Arial"/>
                <w:color w:val="000000" w:themeColor="text1"/>
                <w:szCs w:val="22"/>
              </w:rPr>
            </w:pPr>
          </w:p>
        </w:tc>
        <w:tc>
          <w:tcPr>
            <w:tcW w:w="406" w:type="dxa"/>
          </w:tcPr>
          <w:p w14:paraId="53C137F5"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7F6" w14:textId="77777777" w:rsidR="00212781" w:rsidRPr="002B1DCB" w:rsidRDefault="00212781" w:rsidP="00212781">
            <w:pPr>
              <w:rPr>
                <w:rFonts w:ascii="Arial Narrow" w:hAnsi="Arial Narrow" w:cs="Arial"/>
                <w:color w:val="000000" w:themeColor="text1"/>
                <w:szCs w:val="22"/>
              </w:rPr>
            </w:pPr>
          </w:p>
        </w:tc>
        <w:tc>
          <w:tcPr>
            <w:tcW w:w="407" w:type="dxa"/>
          </w:tcPr>
          <w:p w14:paraId="53C137F7"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7F8" w14:textId="77777777" w:rsidR="00212781" w:rsidRPr="002B1DCB" w:rsidRDefault="00212781" w:rsidP="00212781">
            <w:pPr>
              <w:rPr>
                <w:rFonts w:ascii="Arial Narrow" w:hAnsi="Arial Narrow" w:cs="Arial"/>
                <w:color w:val="000000" w:themeColor="text1"/>
                <w:szCs w:val="22"/>
              </w:rPr>
            </w:pPr>
          </w:p>
        </w:tc>
        <w:tc>
          <w:tcPr>
            <w:tcW w:w="406" w:type="dxa"/>
          </w:tcPr>
          <w:p w14:paraId="53C137F9"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7FA" w14:textId="77777777" w:rsidR="00212781" w:rsidRPr="002B1DCB" w:rsidRDefault="00212781" w:rsidP="00212781">
            <w:pPr>
              <w:rPr>
                <w:rFonts w:ascii="Arial Narrow" w:hAnsi="Arial Narrow" w:cs="Arial"/>
                <w:color w:val="000000" w:themeColor="text1"/>
                <w:szCs w:val="22"/>
              </w:rPr>
            </w:pPr>
          </w:p>
        </w:tc>
        <w:tc>
          <w:tcPr>
            <w:tcW w:w="406" w:type="dxa"/>
          </w:tcPr>
          <w:p w14:paraId="53C137FB"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7FC" w14:textId="77777777" w:rsidR="00212781" w:rsidRPr="002B1DCB" w:rsidRDefault="00212781" w:rsidP="00212781">
            <w:pPr>
              <w:rPr>
                <w:rFonts w:ascii="Arial Narrow" w:hAnsi="Arial Narrow" w:cs="Arial"/>
                <w:b/>
                <w:color w:val="000000" w:themeColor="text1"/>
                <w:szCs w:val="22"/>
              </w:rPr>
            </w:pPr>
          </w:p>
        </w:tc>
        <w:tc>
          <w:tcPr>
            <w:tcW w:w="407" w:type="dxa"/>
          </w:tcPr>
          <w:p w14:paraId="53C137FD" w14:textId="77777777" w:rsidR="00212781" w:rsidRPr="002B1DCB" w:rsidRDefault="00212781" w:rsidP="00212781">
            <w:pPr>
              <w:rPr>
                <w:rFonts w:ascii="Arial Narrow" w:hAnsi="Arial Narrow"/>
                <w:b/>
                <w:color w:val="000000" w:themeColor="text1"/>
              </w:rPr>
            </w:pPr>
            <w:r w:rsidRPr="002B1DCB">
              <w:rPr>
                <w:rFonts w:ascii="Arial Narrow" w:hAnsi="Arial Narrow" w:cs="Arial"/>
                <w:color w:val="000000" w:themeColor="text1"/>
                <w:szCs w:val="22"/>
              </w:rPr>
              <w:t>●</w:t>
            </w:r>
          </w:p>
        </w:tc>
      </w:tr>
      <w:tr w:rsidR="00212781" w:rsidRPr="002B1DCB" w14:paraId="53C13811" w14:textId="77777777" w:rsidTr="00212781">
        <w:tc>
          <w:tcPr>
            <w:tcW w:w="1129" w:type="dxa"/>
            <w:vMerge/>
            <w:vAlign w:val="center"/>
          </w:tcPr>
          <w:p w14:paraId="53C137FF" w14:textId="77777777" w:rsidR="00212781" w:rsidRPr="002B1DCB" w:rsidRDefault="00212781" w:rsidP="00212781">
            <w:pPr>
              <w:jc w:val="center"/>
              <w:rPr>
                <w:rFonts w:ascii="Arial Narrow" w:hAnsi="Arial Narrow"/>
                <w:bCs/>
                <w:color w:val="000000" w:themeColor="text1"/>
              </w:rPr>
            </w:pPr>
          </w:p>
        </w:tc>
        <w:tc>
          <w:tcPr>
            <w:tcW w:w="1843" w:type="dxa"/>
            <w:tcMar>
              <w:left w:w="28" w:type="dxa"/>
              <w:right w:w="28" w:type="dxa"/>
            </w:tcMar>
            <w:vAlign w:val="bottom"/>
          </w:tcPr>
          <w:p w14:paraId="53C13800"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Fitzroy West (WQ)</w:t>
            </w:r>
          </w:p>
        </w:tc>
        <w:tc>
          <w:tcPr>
            <w:tcW w:w="567" w:type="dxa"/>
            <w:tcMar>
              <w:left w:w="28" w:type="dxa"/>
              <w:right w:w="28" w:type="dxa"/>
            </w:tcMar>
          </w:tcPr>
          <w:p w14:paraId="53C13801"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MMP</w:t>
            </w:r>
          </w:p>
        </w:tc>
        <w:tc>
          <w:tcPr>
            <w:tcW w:w="406" w:type="dxa"/>
          </w:tcPr>
          <w:p w14:paraId="53C13802"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03"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804"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05"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06"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807"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08"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09"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80A"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0B"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0C"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80D" w14:textId="77777777" w:rsidR="00212781" w:rsidRPr="002B1DCB" w:rsidRDefault="00212781" w:rsidP="00212781">
            <w:pPr>
              <w:rPr>
                <w:rFonts w:ascii="Arial Narrow" w:hAnsi="Arial Narrow" w:cs="Arial"/>
                <w:b/>
                <w:color w:val="000000" w:themeColor="text1"/>
                <w:szCs w:val="22"/>
              </w:rPr>
            </w:pPr>
            <w:r w:rsidRPr="002B1DCB">
              <w:rPr>
                <w:rFonts w:ascii="Arial Narrow" w:hAnsi="Arial Narrow" w:cs="Arial"/>
                <w:b/>
                <w:color w:val="000000" w:themeColor="text1"/>
                <w:szCs w:val="22"/>
              </w:rPr>
              <w:t>+</w:t>
            </w:r>
          </w:p>
        </w:tc>
        <w:tc>
          <w:tcPr>
            <w:tcW w:w="406" w:type="dxa"/>
          </w:tcPr>
          <w:p w14:paraId="53C1380E"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0F" w14:textId="77777777" w:rsidR="00212781" w:rsidRPr="002B1DCB" w:rsidRDefault="00212781" w:rsidP="00212781">
            <w:pPr>
              <w:rPr>
                <w:rFonts w:ascii="Arial Narrow" w:hAnsi="Arial Narrow" w:cs="Arial"/>
                <w:b/>
                <w:color w:val="000000" w:themeColor="text1"/>
                <w:szCs w:val="22"/>
              </w:rPr>
            </w:pPr>
            <w:r w:rsidRPr="002B1DCB">
              <w:rPr>
                <w:rFonts w:ascii="Arial Narrow" w:hAnsi="Arial Narrow" w:cs="Arial"/>
                <w:b/>
                <w:color w:val="000000" w:themeColor="text1"/>
                <w:szCs w:val="22"/>
              </w:rPr>
              <w:t>+</w:t>
            </w:r>
          </w:p>
        </w:tc>
        <w:tc>
          <w:tcPr>
            <w:tcW w:w="407" w:type="dxa"/>
          </w:tcPr>
          <w:p w14:paraId="53C13810" w14:textId="77777777" w:rsidR="00212781" w:rsidRPr="002B1DCB" w:rsidRDefault="00212781" w:rsidP="00212781">
            <w:pPr>
              <w:rPr>
                <w:rFonts w:ascii="Arial Narrow" w:hAnsi="Arial Narrow"/>
                <w:b/>
                <w:color w:val="000000" w:themeColor="text1"/>
              </w:rPr>
            </w:pPr>
            <w:r w:rsidRPr="002B1DCB">
              <w:rPr>
                <w:rFonts w:ascii="Arial Narrow" w:hAnsi="Arial Narrow" w:cs="Arial"/>
                <w:color w:val="000000" w:themeColor="text1"/>
                <w:szCs w:val="22"/>
              </w:rPr>
              <w:t>●</w:t>
            </w:r>
          </w:p>
        </w:tc>
      </w:tr>
      <w:tr w:rsidR="00212781" w:rsidRPr="002B1DCB" w14:paraId="53C13824" w14:textId="77777777" w:rsidTr="00212781">
        <w:tc>
          <w:tcPr>
            <w:tcW w:w="1129" w:type="dxa"/>
            <w:vMerge/>
            <w:vAlign w:val="center"/>
          </w:tcPr>
          <w:p w14:paraId="53C13812" w14:textId="77777777" w:rsidR="00212781" w:rsidRPr="002B1DCB" w:rsidRDefault="00212781" w:rsidP="00212781">
            <w:pPr>
              <w:jc w:val="center"/>
              <w:rPr>
                <w:rFonts w:ascii="Arial Narrow" w:hAnsi="Arial Narrow"/>
                <w:bCs/>
                <w:color w:val="000000" w:themeColor="text1"/>
              </w:rPr>
            </w:pPr>
          </w:p>
        </w:tc>
        <w:tc>
          <w:tcPr>
            <w:tcW w:w="1843" w:type="dxa"/>
            <w:tcMar>
              <w:left w:w="28" w:type="dxa"/>
              <w:right w:w="28" w:type="dxa"/>
            </w:tcMar>
            <w:vAlign w:val="bottom"/>
          </w:tcPr>
          <w:p w14:paraId="53C13813"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Fitzroy East</w:t>
            </w:r>
          </w:p>
        </w:tc>
        <w:tc>
          <w:tcPr>
            <w:tcW w:w="567" w:type="dxa"/>
            <w:tcMar>
              <w:left w:w="28" w:type="dxa"/>
              <w:right w:w="28" w:type="dxa"/>
            </w:tcMar>
          </w:tcPr>
          <w:p w14:paraId="53C13814"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MMP</w:t>
            </w:r>
          </w:p>
        </w:tc>
        <w:tc>
          <w:tcPr>
            <w:tcW w:w="406" w:type="dxa"/>
          </w:tcPr>
          <w:p w14:paraId="53C13815"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16"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817"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b/>
                <w:color w:val="000000" w:themeColor="text1"/>
                <w:szCs w:val="22"/>
              </w:rPr>
              <w:t>+</w:t>
            </w:r>
          </w:p>
        </w:tc>
        <w:tc>
          <w:tcPr>
            <w:tcW w:w="406" w:type="dxa"/>
          </w:tcPr>
          <w:p w14:paraId="53C13818"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19" w14:textId="77777777" w:rsidR="00212781" w:rsidRPr="002B1DCB" w:rsidRDefault="00212781" w:rsidP="00212781">
            <w:pPr>
              <w:rPr>
                <w:rFonts w:ascii="Arial Narrow" w:hAnsi="Arial Narrow" w:cs="Arial"/>
                <w:color w:val="000000" w:themeColor="text1"/>
                <w:szCs w:val="22"/>
              </w:rPr>
            </w:pPr>
          </w:p>
        </w:tc>
        <w:tc>
          <w:tcPr>
            <w:tcW w:w="407" w:type="dxa"/>
          </w:tcPr>
          <w:p w14:paraId="53C1381A"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1B"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b/>
                <w:color w:val="000000" w:themeColor="text1"/>
                <w:szCs w:val="22"/>
              </w:rPr>
              <w:t>+</w:t>
            </w:r>
          </w:p>
        </w:tc>
        <w:tc>
          <w:tcPr>
            <w:tcW w:w="406" w:type="dxa"/>
          </w:tcPr>
          <w:p w14:paraId="53C1381C"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81D" w14:textId="77777777" w:rsidR="00212781" w:rsidRPr="002B1DCB" w:rsidRDefault="00212781" w:rsidP="00212781">
            <w:pPr>
              <w:rPr>
                <w:rFonts w:ascii="Arial Narrow" w:hAnsi="Arial Narrow" w:cs="Arial"/>
                <w:color w:val="000000" w:themeColor="text1"/>
                <w:szCs w:val="22"/>
              </w:rPr>
            </w:pPr>
          </w:p>
        </w:tc>
        <w:tc>
          <w:tcPr>
            <w:tcW w:w="406" w:type="dxa"/>
          </w:tcPr>
          <w:p w14:paraId="53C1381E"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1F" w14:textId="77777777" w:rsidR="00212781" w:rsidRPr="002B1DCB" w:rsidRDefault="00212781" w:rsidP="00212781">
            <w:pPr>
              <w:rPr>
                <w:rFonts w:ascii="Arial Narrow" w:hAnsi="Arial Narrow" w:cs="Arial"/>
                <w:color w:val="000000" w:themeColor="text1"/>
                <w:szCs w:val="22"/>
              </w:rPr>
            </w:pPr>
          </w:p>
        </w:tc>
        <w:tc>
          <w:tcPr>
            <w:tcW w:w="407" w:type="dxa"/>
          </w:tcPr>
          <w:p w14:paraId="53C13820"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21" w14:textId="77777777" w:rsidR="00212781" w:rsidRPr="002B1DCB" w:rsidRDefault="00212781" w:rsidP="00212781">
            <w:pPr>
              <w:rPr>
                <w:rFonts w:ascii="Arial Narrow" w:hAnsi="Arial Narrow" w:cs="Arial"/>
                <w:color w:val="000000" w:themeColor="text1"/>
                <w:szCs w:val="22"/>
              </w:rPr>
            </w:pPr>
          </w:p>
        </w:tc>
        <w:tc>
          <w:tcPr>
            <w:tcW w:w="406" w:type="dxa"/>
          </w:tcPr>
          <w:p w14:paraId="53C13822" w14:textId="77777777" w:rsidR="00212781" w:rsidRPr="002B1DCB" w:rsidRDefault="00212781" w:rsidP="00212781">
            <w:pPr>
              <w:rPr>
                <w:rFonts w:ascii="Arial Narrow" w:hAnsi="Arial Narrow" w:cs="Arial"/>
                <w:b/>
                <w:color w:val="000000" w:themeColor="text1"/>
                <w:szCs w:val="22"/>
              </w:rPr>
            </w:pPr>
            <w:r w:rsidRPr="002B1DCB">
              <w:rPr>
                <w:rFonts w:ascii="Arial Narrow" w:hAnsi="Arial Narrow" w:cs="Arial"/>
                <w:b/>
                <w:color w:val="000000" w:themeColor="text1"/>
                <w:szCs w:val="22"/>
              </w:rPr>
              <w:t>●</w:t>
            </w:r>
          </w:p>
        </w:tc>
        <w:tc>
          <w:tcPr>
            <w:tcW w:w="407" w:type="dxa"/>
          </w:tcPr>
          <w:p w14:paraId="53C13823" w14:textId="77777777" w:rsidR="00212781" w:rsidRPr="002B1DCB" w:rsidRDefault="00212781" w:rsidP="00212781">
            <w:pPr>
              <w:rPr>
                <w:rFonts w:ascii="Arial Narrow" w:hAnsi="Arial Narrow"/>
                <w:b/>
                <w:color w:val="000000" w:themeColor="text1"/>
              </w:rPr>
            </w:pPr>
          </w:p>
        </w:tc>
      </w:tr>
      <w:tr w:rsidR="00212781" w:rsidRPr="002B1DCB" w14:paraId="53C13837" w14:textId="77777777" w:rsidTr="00212781">
        <w:tc>
          <w:tcPr>
            <w:tcW w:w="1129" w:type="dxa"/>
            <w:vMerge/>
            <w:vAlign w:val="center"/>
          </w:tcPr>
          <w:p w14:paraId="53C13825" w14:textId="77777777" w:rsidR="00212781" w:rsidRPr="002B1DCB" w:rsidRDefault="00212781" w:rsidP="00212781">
            <w:pPr>
              <w:jc w:val="center"/>
              <w:rPr>
                <w:rFonts w:ascii="Arial Narrow" w:hAnsi="Arial Narrow"/>
                <w:bCs/>
                <w:color w:val="000000" w:themeColor="text1"/>
              </w:rPr>
            </w:pPr>
          </w:p>
        </w:tc>
        <w:tc>
          <w:tcPr>
            <w:tcW w:w="1843" w:type="dxa"/>
            <w:tcMar>
              <w:left w:w="28" w:type="dxa"/>
              <w:right w:w="28" w:type="dxa"/>
            </w:tcMar>
            <w:vAlign w:val="bottom"/>
          </w:tcPr>
          <w:p w14:paraId="53C13826"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High East</w:t>
            </w:r>
          </w:p>
        </w:tc>
        <w:tc>
          <w:tcPr>
            <w:tcW w:w="567" w:type="dxa"/>
            <w:tcMar>
              <w:left w:w="28" w:type="dxa"/>
              <w:right w:w="28" w:type="dxa"/>
            </w:tcMar>
          </w:tcPr>
          <w:p w14:paraId="53C13827"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MMP</w:t>
            </w:r>
          </w:p>
        </w:tc>
        <w:tc>
          <w:tcPr>
            <w:tcW w:w="406" w:type="dxa"/>
          </w:tcPr>
          <w:p w14:paraId="53C13828"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29"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82A"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2B" w14:textId="77777777" w:rsidR="00212781" w:rsidRPr="002B1DCB" w:rsidRDefault="00212781" w:rsidP="00212781">
            <w:pPr>
              <w:rPr>
                <w:rFonts w:ascii="Arial Narrow" w:hAnsi="Arial Narrow" w:cs="Arial"/>
                <w:color w:val="000000" w:themeColor="text1"/>
                <w:szCs w:val="22"/>
              </w:rPr>
            </w:pPr>
          </w:p>
        </w:tc>
        <w:tc>
          <w:tcPr>
            <w:tcW w:w="406" w:type="dxa"/>
          </w:tcPr>
          <w:p w14:paraId="53C1382C"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82D" w14:textId="77777777" w:rsidR="00212781" w:rsidRPr="002B1DCB" w:rsidRDefault="00212781" w:rsidP="00212781">
            <w:pPr>
              <w:rPr>
                <w:rFonts w:ascii="Arial Narrow" w:hAnsi="Arial Narrow" w:cs="Arial"/>
                <w:color w:val="000000" w:themeColor="text1"/>
                <w:szCs w:val="22"/>
              </w:rPr>
            </w:pPr>
          </w:p>
        </w:tc>
        <w:tc>
          <w:tcPr>
            <w:tcW w:w="406" w:type="dxa"/>
          </w:tcPr>
          <w:p w14:paraId="53C1382E"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2F" w14:textId="77777777" w:rsidR="00212781" w:rsidRPr="002B1DCB" w:rsidRDefault="00212781" w:rsidP="00212781">
            <w:pPr>
              <w:rPr>
                <w:rFonts w:ascii="Arial Narrow" w:hAnsi="Arial Narrow" w:cs="Arial"/>
                <w:color w:val="000000" w:themeColor="text1"/>
                <w:szCs w:val="22"/>
              </w:rPr>
            </w:pPr>
          </w:p>
        </w:tc>
        <w:tc>
          <w:tcPr>
            <w:tcW w:w="407" w:type="dxa"/>
          </w:tcPr>
          <w:p w14:paraId="53C13830"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31" w14:textId="77777777" w:rsidR="00212781" w:rsidRPr="002B1DCB" w:rsidRDefault="00212781" w:rsidP="00212781">
            <w:pPr>
              <w:rPr>
                <w:rFonts w:ascii="Arial Narrow" w:hAnsi="Arial Narrow" w:cs="Arial"/>
                <w:color w:val="000000" w:themeColor="text1"/>
                <w:szCs w:val="22"/>
              </w:rPr>
            </w:pPr>
          </w:p>
        </w:tc>
        <w:tc>
          <w:tcPr>
            <w:tcW w:w="406" w:type="dxa"/>
          </w:tcPr>
          <w:p w14:paraId="53C13832"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833" w14:textId="77777777" w:rsidR="00212781" w:rsidRPr="002B1DCB" w:rsidRDefault="00212781" w:rsidP="00212781">
            <w:pPr>
              <w:rPr>
                <w:rFonts w:ascii="Arial Narrow" w:hAnsi="Arial Narrow" w:cs="Arial"/>
                <w:b/>
                <w:color w:val="000000" w:themeColor="text1"/>
                <w:szCs w:val="22"/>
              </w:rPr>
            </w:pPr>
            <w:r w:rsidRPr="002B1DCB">
              <w:rPr>
                <w:rFonts w:ascii="Arial Narrow" w:hAnsi="Arial Narrow" w:cs="Arial"/>
                <w:b/>
                <w:color w:val="000000" w:themeColor="text1"/>
                <w:szCs w:val="22"/>
              </w:rPr>
              <w:t>+</w:t>
            </w:r>
          </w:p>
        </w:tc>
        <w:tc>
          <w:tcPr>
            <w:tcW w:w="406" w:type="dxa"/>
          </w:tcPr>
          <w:p w14:paraId="53C13834" w14:textId="77777777" w:rsidR="00212781" w:rsidRPr="002B1DCB" w:rsidRDefault="00212781" w:rsidP="00212781">
            <w:pPr>
              <w:rPr>
                <w:rFonts w:ascii="Arial Narrow" w:hAnsi="Arial Narrow" w:cs="Arial"/>
                <w:b/>
                <w:color w:val="000000" w:themeColor="text1"/>
                <w:szCs w:val="22"/>
              </w:rPr>
            </w:pPr>
            <w:r w:rsidRPr="002B1DCB">
              <w:rPr>
                <w:rFonts w:ascii="Arial Narrow" w:hAnsi="Arial Narrow" w:cs="Arial"/>
                <w:color w:val="000000" w:themeColor="text1"/>
                <w:szCs w:val="22"/>
              </w:rPr>
              <w:t>●</w:t>
            </w:r>
          </w:p>
        </w:tc>
        <w:tc>
          <w:tcPr>
            <w:tcW w:w="406" w:type="dxa"/>
          </w:tcPr>
          <w:p w14:paraId="53C13835" w14:textId="77777777" w:rsidR="00212781" w:rsidRPr="002B1DCB" w:rsidRDefault="00212781" w:rsidP="00212781">
            <w:pPr>
              <w:rPr>
                <w:rFonts w:ascii="Arial Narrow" w:hAnsi="Arial Narrow" w:cs="Arial"/>
                <w:b/>
                <w:color w:val="000000" w:themeColor="text1"/>
                <w:szCs w:val="22"/>
              </w:rPr>
            </w:pPr>
            <w:r w:rsidRPr="002B1DCB">
              <w:rPr>
                <w:rFonts w:ascii="Arial Narrow" w:hAnsi="Arial Narrow" w:cs="Arial"/>
                <w:b/>
                <w:color w:val="000000" w:themeColor="text1"/>
                <w:szCs w:val="22"/>
              </w:rPr>
              <w:t>+</w:t>
            </w:r>
          </w:p>
        </w:tc>
        <w:tc>
          <w:tcPr>
            <w:tcW w:w="407" w:type="dxa"/>
          </w:tcPr>
          <w:p w14:paraId="53C13836" w14:textId="77777777" w:rsidR="00212781" w:rsidRPr="002B1DCB" w:rsidRDefault="00212781" w:rsidP="00212781">
            <w:pPr>
              <w:rPr>
                <w:rFonts w:ascii="Arial Narrow" w:hAnsi="Arial Narrow"/>
                <w:b/>
                <w:color w:val="000000" w:themeColor="text1"/>
              </w:rPr>
            </w:pPr>
            <w:r w:rsidRPr="002B1DCB">
              <w:rPr>
                <w:rFonts w:ascii="Arial Narrow" w:hAnsi="Arial Narrow" w:cs="Arial"/>
                <w:color w:val="000000" w:themeColor="text1"/>
                <w:szCs w:val="22"/>
              </w:rPr>
              <w:t>●</w:t>
            </w:r>
          </w:p>
        </w:tc>
      </w:tr>
      <w:tr w:rsidR="00212781" w:rsidRPr="002B1DCB" w14:paraId="53C1384A" w14:textId="77777777" w:rsidTr="00212781">
        <w:tc>
          <w:tcPr>
            <w:tcW w:w="1129" w:type="dxa"/>
            <w:vMerge/>
            <w:vAlign w:val="center"/>
          </w:tcPr>
          <w:p w14:paraId="53C13838" w14:textId="77777777" w:rsidR="00212781" w:rsidRPr="002B1DCB" w:rsidRDefault="00212781" w:rsidP="00212781">
            <w:pPr>
              <w:jc w:val="center"/>
              <w:rPr>
                <w:rFonts w:ascii="Arial Narrow" w:hAnsi="Arial Narrow"/>
                <w:bCs/>
                <w:color w:val="000000" w:themeColor="text1"/>
              </w:rPr>
            </w:pPr>
          </w:p>
        </w:tc>
        <w:tc>
          <w:tcPr>
            <w:tcW w:w="1843" w:type="dxa"/>
            <w:tcMar>
              <w:left w:w="28" w:type="dxa"/>
              <w:right w:w="28" w:type="dxa"/>
            </w:tcMar>
            <w:vAlign w:val="bottom"/>
          </w:tcPr>
          <w:p w14:paraId="53C13839"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High West (WQ)</w:t>
            </w:r>
          </w:p>
        </w:tc>
        <w:tc>
          <w:tcPr>
            <w:tcW w:w="567" w:type="dxa"/>
            <w:tcMar>
              <w:left w:w="28" w:type="dxa"/>
              <w:right w:w="28" w:type="dxa"/>
            </w:tcMar>
          </w:tcPr>
          <w:p w14:paraId="53C1383A"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MMP</w:t>
            </w:r>
          </w:p>
        </w:tc>
        <w:tc>
          <w:tcPr>
            <w:tcW w:w="406" w:type="dxa"/>
          </w:tcPr>
          <w:p w14:paraId="53C1383B"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3C"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83D"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3E"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3F"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840"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41"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42"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843"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44"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45" w14:textId="77777777" w:rsidR="00212781" w:rsidRPr="002B1DCB" w:rsidRDefault="00212781" w:rsidP="00212781">
            <w:pPr>
              <w:rPr>
                <w:rFonts w:ascii="Arial Narrow" w:hAnsi="Arial Narrow" w:cs="Arial"/>
                <w:color w:val="000000" w:themeColor="text1"/>
                <w:szCs w:val="22"/>
              </w:rPr>
            </w:pPr>
          </w:p>
        </w:tc>
        <w:tc>
          <w:tcPr>
            <w:tcW w:w="407" w:type="dxa"/>
          </w:tcPr>
          <w:p w14:paraId="53C13846"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47" w14:textId="77777777" w:rsidR="00212781" w:rsidRPr="002B1DCB" w:rsidRDefault="00212781" w:rsidP="00212781">
            <w:pPr>
              <w:rPr>
                <w:rFonts w:ascii="Arial Narrow" w:hAnsi="Arial Narrow" w:cs="Arial"/>
                <w:b/>
                <w:color w:val="000000" w:themeColor="text1"/>
                <w:szCs w:val="22"/>
              </w:rPr>
            </w:pPr>
            <w:r w:rsidRPr="002B1DCB">
              <w:rPr>
                <w:rFonts w:ascii="Arial Narrow" w:hAnsi="Arial Narrow" w:cs="Arial"/>
                <w:b/>
                <w:color w:val="000000" w:themeColor="text1"/>
                <w:szCs w:val="22"/>
              </w:rPr>
              <w:t>+</w:t>
            </w:r>
          </w:p>
        </w:tc>
        <w:tc>
          <w:tcPr>
            <w:tcW w:w="406" w:type="dxa"/>
          </w:tcPr>
          <w:p w14:paraId="53C13848" w14:textId="77777777" w:rsidR="00212781" w:rsidRPr="002B1DCB" w:rsidRDefault="00212781" w:rsidP="00212781">
            <w:pPr>
              <w:rPr>
                <w:rFonts w:ascii="Arial Narrow" w:hAnsi="Arial Narrow" w:cs="Arial"/>
                <w:b/>
                <w:color w:val="000000" w:themeColor="text1"/>
                <w:szCs w:val="22"/>
              </w:rPr>
            </w:pPr>
            <w:r w:rsidRPr="002B1DCB">
              <w:rPr>
                <w:rFonts w:ascii="Arial Narrow" w:hAnsi="Arial Narrow" w:cs="Arial"/>
                <w:b/>
                <w:color w:val="000000" w:themeColor="text1"/>
                <w:szCs w:val="22"/>
              </w:rPr>
              <w:t>●</w:t>
            </w:r>
          </w:p>
        </w:tc>
        <w:tc>
          <w:tcPr>
            <w:tcW w:w="407" w:type="dxa"/>
          </w:tcPr>
          <w:p w14:paraId="53C13849" w14:textId="77777777" w:rsidR="00212781" w:rsidRPr="002B1DCB" w:rsidRDefault="00212781" w:rsidP="00212781">
            <w:pPr>
              <w:rPr>
                <w:rFonts w:ascii="Arial Narrow" w:hAnsi="Arial Narrow"/>
                <w:b/>
                <w:color w:val="000000" w:themeColor="text1"/>
              </w:rPr>
            </w:pPr>
            <w:r w:rsidRPr="002B1DCB">
              <w:rPr>
                <w:rFonts w:ascii="Arial Narrow" w:hAnsi="Arial Narrow" w:cs="Arial"/>
                <w:b/>
                <w:color w:val="000000" w:themeColor="text1"/>
                <w:szCs w:val="22"/>
              </w:rPr>
              <w:t>+</w:t>
            </w:r>
          </w:p>
        </w:tc>
      </w:tr>
      <w:tr w:rsidR="00212781" w:rsidRPr="002B1DCB" w14:paraId="53C1385D" w14:textId="77777777" w:rsidTr="00212781">
        <w:tc>
          <w:tcPr>
            <w:tcW w:w="1129" w:type="dxa"/>
            <w:vMerge/>
            <w:vAlign w:val="center"/>
          </w:tcPr>
          <w:p w14:paraId="53C1384B" w14:textId="77777777" w:rsidR="00212781" w:rsidRPr="002B1DCB" w:rsidRDefault="00212781" w:rsidP="00212781">
            <w:pPr>
              <w:jc w:val="center"/>
              <w:rPr>
                <w:rFonts w:ascii="Arial Narrow" w:hAnsi="Arial Narrow"/>
                <w:bCs/>
                <w:color w:val="000000" w:themeColor="text1"/>
              </w:rPr>
            </w:pPr>
          </w:p>
        </w:tc>
        <w:tc>
          <w:tcPr>
            <w:tcW w:w="1843" w:type="dxa"/>
            <w:tcMar>
              <w:left w:w="28" w:type="dxa"/>
              <w:right w:w="28" w:type="dxa"/>
            </w:tcMar>
            <w:vAlign w:val="bottom"/>
          </w:tcPr>
          <w:p w14:paraId="53C1384C"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Frankland East</w:t>
            </w:r>
          </w:p>
        </w:tc>
        <w:tc>
          <w:tcPr>
            <w:tcW w:w="567" w:type="dxa"/>
            <w:tcMar>
              <w:left w:w="28" w:type="dxa"/>
              <w:right w:w="28" w:type="dxa"/>
            </w:tcMar>
          </w:tcPr>
          <w:p w14:paraId="53C1384D"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MMP</w:t>
            </w:r>
          </w:p>
        </w:tc>
        <w:tc>
          <w:tcPr>
            <w:tcW w:w="406" w:type="dxa"/>
          </w:tcPr>
          <w:p w14:paraId="53C1384E"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4F"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850"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51" w14:textId="77777777" w:rsidR="00212781" w:rsidRPr="002B1DCB" w:rsidRDefault="00212781" w:rsidP="00212781">
            <w:pPr>
              <w:rPr>
                <w:rFonts w:ascii="Arial Narrow" w:hAnsi="Arial Narrow" w:cs="Arial"/>
                <w:color w:val="000000" w:themeColor="text1"/>
                <w:szCs w:val="22"/>
              </w:rPr>
            </w:pPr>
          </w:p>
        </w:tc>
        <w:tc>
          <w:tcPr>
            <w:tcW w:w="406" w:type="dxa"/>
          </w:tcPr>
          <w:p w14:paraId="53C13852"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853" w14:textId="77777777" w:rsidR="00212781" w:rsidRPr="002B1DCB" w:rsidRDefault="00212781" w:rsidP="00212781">
            <w:pPr>
              <w:rPr>
                <w:rFonts w:ascii="Arial Narrow" w:hAnsi="Arial Narrow" w:cs="Arial"/>
                <w:color w:val="000000" w:themeColor="text1"/>
                <w:szCs w:val="22"/>
              </w:rPr>
            </w:pPr>
          </w:p>
        </w:tc>
        <w:tc>
          <w:tcPr>
            <w:tcW w:w="406" w:type="dxa"/>
          </w:tcPr>
          <w:p w14:paraId="53C13854"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55" w14:textId="77777777" w:rsidR="00212781" w:rsidRPr="002B1DCB" w:rsidRDefault="00212781" w:rsidP="00212781">
            <w:pPr>
              <w:rPr>
                <w:rFonts w:ascii="Arial Narrow" w:hAnsi="Arial Narrow" w:cs="Arial"/>
                <w:color w:val="000000" w:themeColor="text1"/>
                <w:szCs w:val="22"/>
              </w:rPr>
            </w:pPr>
          </w:p>
        </w:tc>
        <w:tc>
          <w:tcPr>
            <w:tcW w:w="407" w:type="dxa"/>
          </w:tcPr>
          <w:p w14:paraId="53C13856"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57" w14:textId="77777777" w:rsidR="00212781" w:rsidRPr="002B1DCB" w:rsidRDefault="00212781" w:rsidP="00212781">
            <w:pPr>
              <w:rPr>
                <w:rFonts w:ascii="Arial Narrow" w:hAnsi="Arial Narrow" w:cs="Arial"/>
                <w:color w:val="000000" w:themeColor="text1"/>
                <w:szCs w:val="22"/>
              </w:rPr>
            </w:pPr>
          </w:p>
        </w:tc>
        <w:tc>
          <w:tcPr>
            <w:tcW w:w="406" w:type="dxa"/>
          </w:tcPr>
          <w:p w14:paraId="53C13858"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859"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b/>
                <w:color w:val="000000" w:themeColor="text1"/>
                <w:szCs w:val="22"/>
              </w:rPr>
              <w:t>+</w:t>
            </w:r>
          </w:p>
        </w:tc>
        <w:tc>
          <w:tcPr>
            <w:tcW w:w="406" w:type="dxa"/>
          </w:tcPr>
          <w:p w14:paraId="53C1385A" w14:textId="77777777" w:rsidR="00212781" w:rsidRPr="002B1DCB" w:rsidRDefault="00212781" w:rsidP="00212781">
            <w:pPr>
              <w:rPr>
                <w:rFonts w:ascii="Arial Narrow" w:hAnsi="Arial Narrow" w:cs="Arial"/>
                <w:b/>
                <w:color w:val="000000" w:themeColor="text1"/>
                <w:szCs w:val="22"/>
              </w:rPr>
            </w:pPr>
            <w:r w:rsidRPr="002B1DCB">
              <w:rPr>
                <w:rFonts w:ascii="Arial Narrow" w:hAnsi="Arial Narrow" w:cs="Arial"/>
                <w:color w:val="000000" w:themeColor="text1"/>
                <w:szCs w:val="22"/>
              </w:rPr>
              <w:t>●</w:t>
            </w:r>
          </w:p>
        </w:tc>
        <w:tc>
          <w:tcPr>
            <w:tcW w:w="406" w:type="dxa"/>
          </w:tcPr>
          <w:p w14:paraId="53C1385B" w14:textId="77777777" w:rsidR="00212781" w:rsidRPr="002B1DCB" w:rsidRDefault="00212781" w:rsidP="00212781">
            <w:pPr>
              <w:rPr>
                <w:rFonts w:ascii="Arial Narrow" w:hAnsi="Arial Narrow" w:cs="Arial"/>
                <w:b/>
                <w:color w:val="000000" w:themeColor="text1"/>
                <w:szCs w:val="22"/>
              </w:rPr>
            </w:pPr>
            <w:r w:rsidRPr="002B1DCB">
              <w:rPr>
                <w:rFonts w:ascii="Arial Narrow" w:hAnsi="Arial Narrow" w:cs="Arial"/>
                <w:b/>
                <w:color w:val="000000" w:themeColor="text1"/>
                <w:szCs w:val="22"/>
              </w:rPr>
              <w:t>+</w:t>
            </w:r>
          </w:p>
        </w:tc>
        <w:tc>
          <w:tcPr>
            <w:tcW w:w="407" w:type="dxa"/>
          </w:tcPr>
          <w:p w14:paraId="53C1385C" w14:textId="77777777" w:rsidR="00212781" w:rsidRPr="002B1DCB" w:rsidRDefault="00212781" w:rsidP="00212781">
            <w:pPr>
              <w:rPr>
                <w:rFonts w:ascii="Arial Narrow" w:hAnsi="Arial Narrow"/>
                <w:b/>
                <w:color w:val="000000" w:themeColor="text1"/>
              </w:rPr>
            </w:pPr>
            <w:r w:rsidRPr="002B1DCB">
              <w:rPr>
                <w:rFonts w:ascii="Arial Narrow" w:hAnsi="Arial Narrow" w:cs="Arial"/>
                <w:color w:val="000000" w:themeColor="text1"/>
                <w:szCs w:val="22"/>
              </w:rPr>
              <w:t>●</w:t>
            </w:r>
          </w:p>
        </w:tc>
      </w:tr>
      <w:tr w:rsidR="00212781" w:rsidRPr="002B1DCB" w14:paraId="53C13870" w14:textId="77777777" w:rsidTr="00212781">
        <w:tc>
          <w:tcPr>
            <w:tcW w:w="1129" w:type="dxa"/>
            <w:vMerge/>
            <w:vAlign w:val="center"/>
          </w:tcPr>
          <w:p w14:paraId="53C1385E" w14:textId="77777777" w:rsidR="00212781" w:rsidRPr="002B1DCB" w:rsidRDefault="00212781" w:rsidP="00212781">
            <w:pPr>
              <w:jc w:val="center"/>
              <w:rPr>
                <w:rFonts w:ascii="Arial Narrow" w:hAnsi="Arial Narrow"/>
                <w:bCs/>
                <w:color w:val="000000" w:themeColor="text1"/>
              </w:rPr>
            </w:pPr>
          </w:p>
        </w:tc>
        <w:tc>
          <w:tcPr>
            <w:tcW w:w="1843" w:type="dxa"/>
            <w:tcMar>
              <w:left w:w="28" w:type="dxa"/>
              <w:right w:w="28" w:type="dxa"/>
            </w:tcMar>
            <w:vAlign w:val="bottom"/>
          </w:tcPr>
          <w:p w14:paraId="53C1385F"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Frankland West (WQ)</w:t>
            </w:r>
          </w:p>
        </w:tc>
        <w:tc>
          <w:tcPr>
            <w:tcW w:w="567" w:type="dxa"/>
            <w:tcMar>
              <w:left w:w="28" w:type="dxa"/>
              <w:right w:w="28" w:type="dxa"/>
            </w:tcMar>
          </w:tcPr>
          <w:p w14:paraId="53C13860"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MMP</w:t>
            </w:r>
          </w:p>
        </w:tc>
        <w:tc>
          <w:tcPr>
            <w:tcW w:w="406" w:type="dxa"/>
          </w:tcPr>
          <w:p w14:paraId="53C13861"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62"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863"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64"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65"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866"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67"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68"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869"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6A"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6B" w14:textId="77777777" w:rsidR="00212781" w:rsidRPr="002B1DCB" w:rsidRDefault="00212781" w:rsidP="00212781">
            <w:pPr>
              <w:rPr>
                <w:rFonts w:ascii="Arial Narrow" w:hAnsi="Arial Narrow" w:cs="Arial"/>
                <w:color w:val="000000" w:themeColor="text1"/>
                <w:szCs w:val="22"/>
              </w:rPr>
            </w:pPr>
          </w:p>
        </w:tc>
        <w:tc>
          <w:tcPr>
            <w:tcW w:w="407" w:type="dxa"/>
          </w:tcPr>
          <w:p w14:paraId="53C1386C" w14:textId="77777777" w:rsidR="00212781" w:rsidRPr="002B1DCB" w:rsidRDefault="00212781" w:rsidP="00212781">
            <w:pPr>
              <w:rPr>
                <w:rFonts w:ascii="Arial Narrow" w:hAnsi="Arial Narrow" w:cs="Arial"/>
                <w:b/>
                <w:color w:val="000000" w:themeColor="text1"/>
                <w:szCs w:val="22"/>
              </w:rPr>
            </w:pPr>
            <w:r w:rsidRPr="002B1DCB">
              <w:rPr>
                <w:rFonts w:ascii="Arial Narrow" w:hAnsi="Arial Narrow" w:cs="Arial"/>
                <w:color w:val="000000" w:themeColor="text1"/>
                <w:szCs w:val="22"/>
              </w:rPr>
              <w:t>●</w:t>
            </w:r>
          </w:p>
        </w:tc>
        <w:tc>
          <w:tcPr>
            <w:tcW w:w="406" w:type="dxa"/>
          </w:tcPr>
          <w:p w14:paraId="53C1386D"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b/>
                <w:color w:val="000000" w:themeColor="text1"/>
                <w:szCs w:val="22"/>
              </w:rPr>
              <w:t>+</w:t>
            </w:r>
          </w:p>
        </w:tc>
        <w:tc>
          <w:tcPr>
            <w:tcW w:w="406" w:type="dxa"/>
          </w:tcPr>
          <w:p w14:paraId="53C1386E" w14:textId="77777777" w:rsidR="00212781" w:rsidRPr="002B1DCB" w:rsidRDefault="00212781" w:rsidP="00212781">
            <w:pPr>
              <w:rPr>
                <w:rFonts w:ascii="Arial Narrow" w:hAnsi="Arial Narrow" w:cs="Arial"/>
                <w:b/>
                <w:color w:val="000000" w:themeColor="text1"/>
                <w:szCs w:val="22"/>
              </w:rPr>
            </w:pPr>
            <w:r w:rsidRPr="002B1DCB">
              <w:rPr>
                <w:rFonts w:ascii="Arial Narrow" w:hAnsi="Arial Narrow" w:cs="Arial"/>
                <w:b/>
                <w:color w:val="000000" w:themeColor="text1"/>
                <w:szCs w:val="22"/>
              </w:rPr>
              <w:t>●</w:t>
            </w:r>
          </w:p>
        </w:tc>
        <w:tc>
          <w:tcPr>
            <w:tcW w:w="407" w:type="dxa"/>
          </w:tcPr>
          <w:p w14:paraId="53C1386F" w14:textId="77777777" w:rsidR="00212781" w:rsidRPr="002B1DCB" w:rsidRDefault="00212781" w:rsidP="00212781">
            <w:pPr>
              <w:rPr>
                <w:rFonts w:ascii="Arial Narrow" w:hAnsi="Arial Narrow"/>
                <w:b/>
                <w:color w:val="000000" w:themeColor="text1"/>
              </w:rPr>
            </w:pPr>
          </w:p>
        </w:tc>
      </w:tr>
      <w:tr w:rsidR="00212781" w:rsidRPr="002B1DCB" w14:paraId="53C13883" w14:textId="77777777" w:rsidTr="00212781">
        <w:tc>
          <w:tcPr>
            <w:tcW w:w="1129" w:type="dxa"/>
            <w:vMerge w:val="restart"/>
            <w:vAlign w:val="center"/>
          </w:tcPr>
          <w:p w14:paraId="53C13871" w14:textId="77777777" w:rsidR="00212781" w:rsidRPr="002B1DCB" w:rsidRDefault="00212781" w:rsidP="00212781">
            <w:pPr>
              <w:jc w:val="center"/>
              <w:rPr>
                <w:rFonts w:ascii="Arial Narrow" w:hAnsi="Arial Narrow"/>
                <w:bCs/>
                <w:color w:val="000000" w:themeColor="text1"/>
              </w:rPr>
            </w:pPr>
            <w:r w:rsidRPr="002B1DCB">
              <w:rPr>
                <w:rFonts w:ascii="Arial Narrow" w:hAnsi="Arial Narrow"/>
                <w:bCs/>
                <w:color w:val="000000" w:themeColor="text1"/>
              </w:rPr>
              <w:t>Tully</w:t>
            </w:r>
          </w:p>
        </w:tc>
        <w:tc>
          <w:tcPr>
            <w:tcW w:w="1843" w:type="dxa"/>
            <w:tcMar>
              <w:left w:w="28" w:type="dxa"/>
              <w:right w:w="28" w:type="dxa"/>
            </w:tcMar>
            <w:vAlign w:val="bottom"/>
          </w:tcPr>
          <w:p w14:paraId="53C13872"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Barnards</w:t>
            </w:r>
          </w:p>
        </w:tc>
        <w:tc>
          <w:tcPr>
            <w:tcW w:w="567" w:type="dxa"/>
            <w:tcMar>
              <w:left w:w="28" w:type="dxa"/>
              <w:right w:w="28" w:type="dxa"/>
            </w:tcMar>
          </w:tcPr>
          <w:p w14:paraId="53C13873"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MMP</w:t>
            </w:r>
          </w:p>
        </w:tc>
        <w:tc>
          <w:tcPr>
            <w:tcW w:w="406" w:type="dxa"/>
          </w:tcPr>
          <w:p w14:paraId="53C13874"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75"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876"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77" w14:textId="77777777" w:rsidR="00212781" w:rsidRPr="002B1DCB" w:rsidRDefault="00212781" w:rsidP="00212781">
            <w:pPr>
              <w:rPr>
                <w:rFonts w:ascii="Arial Narrow" w:hAnsi="Arial Narrow" w:cs="Arial"/>
                <w:color w:val="000000" w:themeColor="text1"/>
                <w:szCs w:val="22"/>
              </w:rPr>
            </w:pPr>
          </w:p>
        </w:tc>
        <w:tc>
          <w:tcPr>
            <w:tcW w:w="406" w:type="dxa"/>
          </w:tcPr>
          <w:p w14:paraId="53C13878"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879" w14:textId="77777777" w:rsidR="00212781" w:rsidRPr="002B1DCB" w:rsidRDefault="00212781" w:rsidP="00212781">
            <w:pPr>
              <w:rPr>
                <w:rFonts w:ascii="Arial Narrow" w:hAnsi="Arial Narrow" w:cs="Arial"/>
                <w:color w:val="000000" w:themeColor="text1"/>
                <w:szCs w:val="22"/>
              </w:rPr>
            </w:pPr>
          </w:p>
        </w:tc>
        <w:tc>
          <w:tcPr>
            <w:tcW w:w="406" w:type="dxa"/>
          </w:tcPr>
          <w:p w14:paraId="53C1387A"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7B" w14:textId="77777777" w:rsidR="00212781" w:rsidRPr="002B1DCB" w:rsidRDefault="00212781" w:rsidP="00212781">
            <w:pPr>
              <w:rPr>
                <w:rFonts w:ascii="Arial Narrow" w:hAnsi="Arial Narrow" w:cs="Arial"/>
                <w:color w:val="000000" w:themeColor="text1"/>
                <w:szCs w:val="22"/>
              </w:rPr>
            </w:pPr>
          </w:p>
        </w:tc>
        <w:tc>
          <w:tcPr>
            <w:tcW w:w="407" w:type="dxa"/>
          </w:tcPr>
          <w:p w14:paraId="53C1387C"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7D" w14:textId="77777777" w:rsidR="00212781" w:rsidRPr="002B1DCB" w:rsidRDefault="00212781" w:rsidP="00212781">
            <w:pPr>
              <w:rPr>
                <w:rFonts w:ascii="Arial Narrow" w:hAnsi="Arial Narrow" w:cs="Arial"/>
                <w:color w:val="000000" w:themeColor="text1"/>
                <w:szCs w:val="22"/>
              </w:rPr>
            </w:pPr>
          </w:p>
        </w:tc>
        <w:tc>
          <w:tcPr>
            <w:tcW w:w="406" w:type="dxa"/>
          </w:tcPr>
          <w:p w14:paraId="53C1387E"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87F" w14:textId="77777777" w:rsidR="00212781" w:rsidRPr="002B1DCB" w:rsidRDefault="00212781" w:rsidP="00212781">
            <w:pPr>
              <w:rPr>
                <w:rFonts w:ascii="Arial Narrow" w:hAnsi="Arial Narrow" w:cs="Arial"/>
                <w:color w:val="000000" w:themeColor="text1"/>
                <w:szCs w:val="22"/>
              </w:rPr>
            </w:pPr>
          </w:p>
        </w:tc>
        <w:tc>
          <w:tcPr>
            <w:tcW w:w="406" w:type="dxa"/>
          </w:tcPr>
          <w:p w14:paraId="53C13880"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81" w14:textId="77777777" w:rsidR="00212781" w:rsidRPr="002B1DCB" w:rsidRDefault="00212781" w:rsidP="00212781">
            <w:pPr>
              <w:rPr>
                <w:rFonts w:ascii="Arial Narrow" w:hAnsi="Arial Narrow" w:cs="Arial"/>
                <w:b/>
                <w:color w:val="000000" w:themeColor="text1"/>
                <w:szCs w:val="22"/>
              </w:rPr>
            </w:pPr>
            <w:r w:rsidRPr="002B1DCB">
              <w:rPr>
                <w:rFonts w:ascii="Arial Narrow" w:hAnsi="Arial Narrow" w:cs="Arial"/>
                <w:b/>
                <w:color w:val="000000" w:themeColor="text1"/>
                <w:szCs w:val="22"/>
              </w:rPr>
              <w:t>+</w:t>
            </w:r>
          </w:p>
        </w:tc>
        <w:tc>
          <w:tcPr>
            <w:tcW w:w="407" w:type="dxa"/>
          </w:tcPr>
          <w:p w14:paraId="53C13882" w14:textId="77777777" w:rsidR="00212781" w:rsidRPr="002B1DCB" w:rsidRDefault="00212781" w:rsidP="00212781">
            <w:pPr>
              <w:rPr>
                <w:rFonts w:ascii="Arial Narrow" w:hAnsi="Arial Narrow"/>
                <w:b/>
                <w:color w:val="000000" w:themeColor="text1"/>
              </w:rPr>
            </w:pPr>
            <w:r w:rsidRPr="002B1DCB">
              <w:rPr>
                <w:rFonts w:ascii="Arial Narrow" w:hAnsi="Arial Narrow" w:cs="Arial"/>
                <w:color w:val="000000" w:themeColor="text1"/>
                <w:szCs w:val="22"/>
              </w:rPr>
              <w:t>●</w:t>
            </w:r>
          </w:p>
        </w:tc>
      </w:tr>
      <w:tr w:rsidR="00212781" w:rsidRPr="002B1DCB" w14:paraId="53C13896" w14:textId="77777777" w:rsidTr="00212781">
        <w:tc>
          <w:tcPr>
            <w:tcW w:w="1129" w:type="dxa"/>
            <w:vMerge/>
            <w:vAlign w:val="center"/>
          </w:tcPr>
          <w:p w14:paraId="53C13884" w14:textId="77777777" w:rsidR="00212781" w:rsidRPr="002B1DCB" w:rsidRDefault="00212781" w:rsidP="00212781">
            <w:pPr>
              <w:jc w:val="center"/>
              <w:rPr>
                <w:rFonts w:ascii="Arial Narrow" w:hAnsi="Arial Narrow"/>
                <w:bCs/>
                <w:color w:val="000000" w:themeColor="text1"/>
              </w:rPr>
            </w:pPr>
          </w:p>
        </w:tc>
        <w:tc>
          <w:tcPr>
            <w:tcW w:w="1843" w:type="dxa"/>
            <w:tcMar>
              <w:left w:w="28" w:type="dxa"/>
              <w:right w:w="28" w:type="dxa"/>
            </w:tcMar>
            <w:vAlign w:val="bottom"/>
          </w:tcPr>
          <w:p w14:paraId="53C13885"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King</w:t>
            </w:r>
          </w:p>
        </w:tc>
        <w:tc>
          <w:tcPr>
            <w:tcW w:w="567" w:type="dxa"/>
            <w:tcMar>
              <w:left w:w="28" w:type="dxa"/>
              <w:right w:w="28" w:type="dxa"/>
            </w:tcMar>
          </w:tcPr>
          <w:p w14:paraId="53C13886"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MMP</w:t>
            </w:r>
          </w:p>
        </w:tc>
        <w:tc>
          <w:tcPr>
            <w:tcW w:w="406" w:type="dxa"/>
          </w:tcPr>
          <w:p w14:paraId="53C13887"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88"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889" w14:textId="77777777" w:rsidR="00212781" w:rsidRPr="002B1DCB" w:rsidRDefault="00212781" w:rsidP="00212781">
            <w:pPr>
              <w:rPr>
                <w:rFonts w:ascii="Arial Narrow" w:hAnsi="Arial Narrow" w:cs="Arial"/>
                <w:color w:val="000000" w:themeColor="text1"/>
                <w:szCs w:val="22"/>
              </w:rPr>
            </w:pPr>
          </w:p>
        </w:tc>
        <w:tc>
          <w:tcPr>
            <w:tcW w:w="406" w:type="dxa"/>
          </w:tcPr>
          <w:p w14:paraId="53C1388A"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8B" w14:textId="77777777" w:rsidR="00212781" w:rsidRPr="002B1DCB" w:rsidRDefault="00212781" w:rsidP="00212781">
            <w:pPr>
              <w:rPr>
                <w:rFonts w:ascii="Arial Narrow" w:hAnsi="Arial Narrow" w:cs="Arial"/>
                <w:color w:val="000000" w:themeColor="text1"/>
                <w:szCs w:val="22"/>
              </w:rPr>
            </w:pPr>
          </w:p>
        </w:tc>
        <w:tc>
          <w:tcPr>
            <w:tcW w:w="407" w:type="dxa"/>
          </w:tcPr>
          <w:p w14:paraId="53C1388C"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8D" w14:textId="77777777" w:rsidR="00212781" w:rsidRPr="002B1DCB" w:rsidRDefault="00212781" w:rsidP="00212781">
            <w:pPr>
              <w:rPr>
                <w:rFonts w:ascii="Arial Narrow" w:hAnsi="Arial Narrow" w:cs="Arial"/>
                <w:color w:val="000000" w:themeColor="text1"/>
                <w:szCs w:val="22"/>
              </w:rPr>
            </w:pPr>
          </w:p>
        </w:tc>
        <w:tc>
          <w:tcPr>
            <w:tcW w:w="406" w:type="dxa"/>
          </w:tcPr>
          <w:p w14:paraId="53C1388E"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88F" w14:textId="77777777" w:rsidR="00212781" w:rsidRPr="002B1DCB" w:rsidRDefault="00212781" w:rsidP="00212781">
            <w:pPr>
              <w:rPr>
                <w:rFonts w:ascii="Arial Narrow" w:hAnsi="Arial Narrow" w:cs="Arial"/>
                <w:color w:val="000000" w:themeColor="text1"/>
                <w:szCs w:val="22"/>
              </w:rPr>
            </w:pPr>
          </w:p>
        </w:tc>
        <w:tc>
          <w:tcPr>
            <w:tcW w:w="406" w:type="dxa"/>
          </w:tcPr>
          <w:p w14:paraId="53C13890"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shd w:val="clear" w:color="auto" w:fill="F2F2F2" w:themeFill="background1" w:themeFillShade="F2"/>
          </w:tcPr>
          <w:p w14:paraId="53C13891" w14:textId="77777777" w:rsidR="00212781" w:rsidRPr="002B1DCB" w:rsidRDefault="00212781" w:rsidP="00212781">
            <w:pPr>
              <w:rPr>
                <w:rFonts w:ascii="Arial Narrow" w:hAnsi="Arial Narrow" w:cs="Arial"/>
                <w:color w:val="000000" w:themeColor="text1"/>
                <w:szCs w:val="22"/>
              </w:rPr>
            </w:pPr>
          </w:p>
        </w:tc>
        <w:tc>
          <w:tcPr>
            <w:tcW w:w="407" w:type="dxa"/>
            <w:shd w:val="clear" w:color="auto" w:fill="F2F2F2" w:themeFill="background1" w:themeFillShade="F2"/>
          </w:tcPr>
          <w:p w14:paraId="53C13892" w14:textId="77777777" w:rsidR="00212781" w:rsidRPr="002B1DCB" w:rsidRDefault="00212781" w:rsidP="00212781">
            <w:pPr>
              <w:rPr>
                <w:rFonts w:ascii="Arial Narrow" w:hAnsi="Arial Narrow" w:cs="Arial"/>
                <w:color w:val="000000" w:themeColor="text1"/>
                <w:szCs w:val="22"/>
              </w:rPr>
            </w:pPr>
          </w:p>
        </w:tc>
        <w:tc>
          <w:tcPr>
            <w:tcW w:w="406" w:type="dxa"/>
            <w:shd w:val="clear" w:color="auto" w:fill="F2F2F2" w:themeFill="background1" w:themeFillShade="F2"/>
          </w:tcPr>
          <w:p w14:paraId="53C13893" w14:textId="77777777" w:rsidR="00212781" w:rsidRPr="002B1DCB" w:rsidRDefault="00212781" w:rsidP="00212781">
            <w:pPr>
              <w:rPr>
                <w:rFonts w:ascii="Arial Narrow" w:hAnsi="Arial Narrow" w:cs="Arial"/>
                <w:color w:val="000000" w:themeColor="text1"/>
                <w:szCs w:val="22"/>
              </w:rPr>
            </w:pPr>
          </w:p>
        </w:tc>
        <w:tc>
          <w:tcPr>
            <w:tcW w:w="406" w:type="dxa"/>
            <w:shd w:val="clear" w:color="auto" w:fill="F2F2F2" w:themeFill="background1" w:themeFillShade="F2"/>
          </w:tcPr>
          <w:p w14:paraId="53C13894" w14:textId="77777777" w:rsidR="00212781" w:rsidRPr="002B1DCB" w:rsidRDefault="00212781" w:rsidP="00212781">
            <w:pPr>
              <w:rPr>
                <w:rFonts w:ascii="Arial Narrow" w:hAnsi="Arial Narrow" w:cs="Arial"/>
                <w:b/>
                <w:color w:val="000000" w:themeColor="text1"/>
                <w:szCs w:val="22"/>
              </w:rPr>
            </w:pPr>
          </w:p>
        </w:tc>
        <w:tc>
          <w:tcPr>
            <w:tcW w:w="407" w:type="dxa"/>
            <w:shd w:val="clear" w:color="auto" w:fill="F2F2F2" w:themeFill="background1" w:themeFillShade="F2"/>
          </w:tcPr>
          <w:p w14:paraId="53C13895" w14:textId="77777777" w:rsidR="00212781" w:rsidRPr="002B1DCB" w:rsidRDefault="00212781" w:rsidP="00212781">
            <w:pPr>
              <w:rPr>
                <w:rFonts w:ascii="Arial Narrow" w:hAnsi="Arial Narrow"/>
                <w:b/>
                <w:color w:val="000000" w:themeColor="text1"/>
              </w:rPr>
            </w:pPr>
          </w:p>
        </w:tc>
      </w:tr>
      <w:tr w:rsidR="00212781" w:rsidRPr="002B1DCB" w14:paraId="53C138A9" w14:textId="77777777" w:rsidTr="00212781">
        <w:tc>
          <w:tcPr>
            <w:tcW w:w="1129" w:type="dxa"/>
            <w:vMerge/>
            <w:vAlign w:val="center"/>
          </w:tcPr>
          <w:p w14:paraId="53C13897" w14:textId="77777777" w:rsidR="00212781" w:rsidRPr="002B1DCB" w:rsidRDefault="00212781" w:rsidP="00212781">
            <w:pPr>
              <w:jc w:val="center"/>
              <w:rPr>
                <w:rFonts w:ascii="Arial Narrow" w:hAnsi="Arial Narrow"/>
                <w:bCs/>
                <w:color w:val="000000" w:themeColor="text1"/>
              </w:rPr>
            </w:pPr>
          </w:p>
        </w:tc>
        <w:tc>
          <w:tcPr>
            <w:tcW w:w="1843" w:type="dxa"/>
            <w:tcMar>
              <w:left w:w="28" w:type="dxa"/>
              <w:right w:w="28" w:type="dxa"/>
            </w:tcMar>
            <w:vAlign w:val="bottom"/>
          </w:tcPr>
          <w:p w14:paraId="53C13898"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Dunk North (WQ)</w:t>
            </w:r>
          </w:p>
        </w:tc>
        <w:tc>
          <w:tcPr>
            <w:tcW w:w="567" w:type="dxa"/>
            <w:tcMar>
              <w:left w:w="28" w:type="dxa"/>
              <w:right w:w="28" w:type="dxa"/>
            </w:tcMar>
          </w:tcPr>
          <w:p w14:paraId="53C13899"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MMP</w:t>
            </w:r>
          </w:p>
        </w:tc>
        <w:tc>
          <w:tcPr>
            <w:tcW w:w="406" w:type="dxa"/>
          </w:tcPr>
          <w:p w14:paraId="53C1389A"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9B"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89C"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9D"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9E"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89F"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A0"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A1"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8A2"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A3"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A4" w14:textId="77777777" w:rsidR="00212781" w:rsidRPr="002B1DCB" w:rsidRDefault="00212781" w:rsidP="00212781">
            <w:pPr>
              <w:rPr>
                <w:rFonts w:ascii="Arial Narrow" w:hAnsi="Arial Narrow" w:cs="Arial"/>
                <w:color w:val="000000" w:themeColor="text1"/>
                <w:szCs w:val="22"/>
              </w:rPr>
            </w:pPr>
          </w:p>
        </w:tc>
        <w:tc>
          <w:tcPr>
            <w:tcW w:w="407" w:type="dxa"/>
          </w:tcPr>
          <w:p w14:paraId="53C138A5"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A6" w14:textId="77777777" w:rsidR="00212781" w:rsidRPr="002B1DCB" w:rsidRDefault="00212781" w:rsidP="00212781">
            <w:pPr>
              <w:rPr>
                <w:rFonts w:ascii="Arial Narrow" w:hAnsi="Arial Narrow" w:cs="Arial"/>
                <w:b/>
                <w:color w:val="000000" w:themeColor="text1"/>
                <w:szCs w:val="22"/>
              </w:rPr>
            </w:pPr>
            <w:r w:rsidRPr="002B1DCB">
              <w:rPr>
                <w:rFonts w:ascii="Arial Narrow" w:hAnsi="Arial Narrow" w:cs="Arial"/>
                <w:b/>
                <w:color w:val="000000" w:themeColor="text1"/>
                <w:szCs w:val="22"/>
              </w:rPr>
              <w:t>+</w:t>
            </w:r>
          </w:p>
        </w:tc>
        <w:tc>
          <w:tcPr>
            <w:tcW w:w="406" w:type="dxa"/>
          </w:tcPr>
          <w:p w14:paraId="53C138A7" w14:textId="77777777" w:rsidR="00212781" w:rsidRPr="002B1DCB" w:rsidRDefault="00212781" w:rsidP="00212781">
            <w:pPr>
              <w:rPr>
                <w:rFonts w:ascii="Arial Narrow" w:hAnsi="Arial Narrow" w:cs="Arial"/>
                <w:b/>
                <w:color w:val="000000" w:themeColor="text1"/>
                <w:szCs w:val="22"/>
              </w:rPr>
            </w:pPr>
            <w:r w:rsidRPr="002B1DCB">
              <w:rPr>
                <w:rFonts w:ascii="Arial Narrow" w:hAnsi="Arial Narrow" w:cs="Arial"/>
                <w:b/>
                <w:color w:val="000000" w:themeColor="text1"/>
                <w:szCs w:val="22"/>
              </w:rPr>
              <w:t>●</w:t>
            </w:r>
          </w:p>
        </w:tc>
        <w:tc>
          <w:tcPr>
            <w:tcW w:w="407" w:type="dxa"/>
          </w:tcPr>
          <w:p w14:paraId="53C138A8" w14:textId="77777777" w:rsidR="00212781" w:rsidRPr="002B1DCB" w:rsidRDefault="00212781" w:rsidP="00212781">
            <w:pPr>
              <w:rPr>
                <w:rFonts w:ascii="Arial Narrow" w:hAnsi="Arial Narrow"/>
                <w:b/>
                <w:color w:val="000000" w:themeColor="text1"/>
              </w:rPr>
            </w:pPr>
          </w:p>
        </w:tc>
      </w:tr>
      <w:tr w:rsidR="00212781" w:rsidRPr="002B1DCB" w14:paraId="53C138BC" w14:textId="77777777" w:rsidTr="00212781">
        <w:tc>
          <w:tcPr>
            <w:tcW w:w="1129" w:type="dxa"/>
            <w:vMerge/>
            <w:vAlign w:val="center"/>
          </w:tcPr>
          <w:p w14:paraId="53C138AA" w14:textId="77777777" w:rsidR="00212781" w:rsidRPr="002B1DCB" w:rsidRDefault="00212781" w:rsidP="00212781">
            <w:pPr>
              <w:jc w:val="center"/>
              <w:rPr>
                <w:rFonts w:ascii="Arial Narrow" w:hAnsi="Arial Narrow"/>
                <w:bCs/>
                <w:color w:val="000000" w:themeColor="text1"/>
              </w:rPr>
            </w:pPr>
          </w:p>
        </w:tc>
        <w:tc>
          <w:tcPr>
            <w:tcW w:w="1843" w:type="dxa"/>
            <w:tcMar>
              <w:left w:w="28" w:type="dxa"/>
              <w:right w:w="28" w:type="dxa"/>
            </w:tcMar>
            <w:vAlign w:val="bottom"/>
          </w:tcPr>
          <w:p w14:paraId="53C138AB"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Dunk South</w:t>
            </w:r>
          </w:p>
        </w:tc>
        <w:tc>
          <w:tcPr>
            <w:tcW w:w="567" w:type="dxa"/>
            <w:tcMar>
              <w:left w:w="28" w:type="dxa"/>
              <w:right w:w="28" w:type="dxa"/>
            </w:tcMar>
          </w:tcPr>
          <w:p w14:paraId="53C138AC"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MMP</w:t>
            </w:r>
          </w:p>
        </w:tc>
        <w:tc>
          <w:tcPr>
            <w:tcW w:w="406" w:type="dxa"/>
          </w:tcPr>
          <w:p w14:paraId="53C138AD"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AE"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8AF" w14:textId="77777777" w:rsidR="00212781" w:rsidRPr="002B1DCB" w:rsidRDefault="00212781" w:rsidP="00212781">
            <w:pPr>
              <w:rPr>
                <w:rFonts w:ascii="Arial Narrow" w:hAnsi="Arial Narrow" w:cs="Arial"/>
                <w:color w:val="000000" w:themeColor="text1"/>
                <w:szCs w:val="22"/>
              </w:rPr>
            </w:pPr>
          </w:p>
        </w:tc>
        <w:tc>
          <w:tcPr>
            <w:tcW w:w="406" w:type="dxa"/>
          </w:tcPr>
          <w:p w14:paraId="53C138B0"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B1" w14:textId="77777777" w:rsidR="00212781" w:rsidRPr="002B1DCB" w:rsidRDefault="00212781" w:rsidP="00212781">
            <w:pPr>
              <w:rPr>
                <w:rFonts w:ascii="Arial Narrow" w:hAnsi="Arial Narrow" w:cs="Arial"/>
                <w:color w:val="000000" w:themeColor="text1"/>
                <w:szCs w:val="22"/>
              </w:rPr>
            </w:pPr>
          </w:p>
        </w:tc>
        <w:tc>
          <w:tcPr>
            <w:tcW w:w="407" w:type="dxa"/>
          </w:tcPr>
          <w:p w14:paraId="53C138B2"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B3"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b/>
                <w:color w:val="000000" w:themeColor="text1"/>
                <w:szCs w:val="22"/>
              </w:rPr>
              <w:t>+</w:t>
            </w:r>
          </w:p>
        </w:tc>
        <w:tc>
          <w:tcPr>
            <w:tcW w:w="406" w:type="dxa"/>
          </w:tcPr>
          <w:p w14:paraId="53C138B4"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8B5" w14:textId="77777777" w:rsidR="00212781" w:rsidRPr="002B1DCB" w:rsidRDefault="00212781" w:rsidP="00212781">
            <w:pPr>
              <w:rPr>
                <w:rFonts w:ascii="Arial Narrow" w:hAnsi="Arial Narrow" w:cs="Arial"/>
                <w:color w:val="000000" w:themeColor="text1"/>
                <w:szCs w:val="22"/>
              </w:rPr>
            </w:pPr>
          </w:p>
        </w:tc>
        <w:tc>
          <w:tcPr>
            <w:tcW w:w="406" w:type="dxa"/>
          </w:tcPr>
          <w:p w14:paraId="53C138B6"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B7" w14:textId="77777777" w:rsidR="00212781" w:rsidRPr="002B1DCB" w:rsidRDefault="00212781" w:rsidP="00212781">
            <w:pPr>
              <w:rPr>
                <w:rFonts w:ascii="Arial Narrow" w:hAnsi="Arial Narrow" w:cs="Arial"/>
                <w:color w:val="000000" w:themeColor="text1"/>
                <w:szCs w:val="22"/>
              </w:rPr>
            </w:pPr>
          </w:p>
        </w:tc>
        <w:tc>
          <w:tcPr>
            <w:tcW w:w="407" w:type="dxa"/>
          </w:tcPr>
          <w:p w14:paraId="53C138B8"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B9" w14:textId="77777777" w:rsidR="00212781" w:rsidRPr="002B1DCB" w:rsidRDefault="00212781" w:rsidP="00212781">
            <w:pPr>
              <w:rPr>
                <w:rFonts w:ascii="Arial Narrow" w:hAnsi="Arial Narrow" w:cs="Arial"/>
                <w:b/>
                <w:color w:val="000000" w:themeColor="text1"/>
                <w:szCs w:val="22"/>
              </w:rPr>
            </w:pPr>
            <w:r w:rsidRPr="002B1DCB">
              <w:rPr>
                <w:rFonts w:ascii="Arial Narrow" w:hAnsi="Arial Narrow" w:cs="Arial"/>
                <w:b/>
                <w:color w:val="000000" w:themeColor="text1"/>
                <w:szCs w:val="22"/>
              </w:rPr>
              <w:t>+</w:t>
            </w:r>
          </w:p>
        </w:tc>
        <w:tc>
          <w:tcPr>
            <w:tcW w:w="406" w:type="dxa"/>
          </w:tcPr>
          <w:p w14:paraId="53C138BA" w14:textId="77777777" w:rsidR="00212781" w:rsidRPr="002B1DCB" w:rsidRDefault="00212781" w:rsidP="00212781">
            <w:pPr>
              <w:rPr>
                <w:rFonts w:ascii="Arial Narrow" w:hAnsi="Arial Narrow" w:cs="Arial"/>
                <w:b/>
                <w:color w:val="000000" w:themeColor="text1"/>
              </w:rPr>
            </w:pPr>
            <w:r w:rsidRPr="002B1DCB">
              <w:rPr>
                <w:rFonts w:ascii="Arial Narrow" w:hAnsi="Arial Narrow" w:cs="Arial"/>
                <w:b/>
                <w:color w:val="000000" w:themeColor="text1"/>
              </w:rPr>
              <w:t>●</w:t>
            </w:r>
          </w:p>
        </w:tc>
        <w:tc>
          <w:tcPr>
            <w:tcW w:w="407" w:type="dxa"/>
          </w:tcPr>
          <w:p w14:paraId="53C138BB" w14:textId="77777777" w:rsidR="00212781" w:rsidRPr="002B1DCB" w:rsidRDefault="00212781" w:rsidP="00212781">
            <w:pPr>
              <w:rPr>
                <w:rFonts w:ascii="Arial Narrow" w:hAnsi="Arial Narrow"/>
                <w:b/>
                <w:color w:val="000000" w:themeColor="text1"/>
              </w:rPr>
            </w:pPr>
            <w:r w:rsidRPr="002B1DCB">
              <w:rPr>
                <w:rFonts w:ascii="Arial Narrow" w:hAnsi="Arial Narrow" w:cs="Arial"/>
                <w:b/>
                <w:color w:val="000000" w:themeColor="text1"/>
                <w:szCs w:val="22"/>
              </w:rPr>
              <w:t>+</w:t>
            </w:r>
          </w:p>
        </w:tc>
      </w:tr>
      <w:tr w:rsidR="00212781" w:rsidRPr="002B1DCB" w14:paraId="53C138CF" w14:textId="77777777" w:rsidTr="00212781">
        <w:tc>
          <w:tcPr>
            <w:tcW w:w="1129" w:type="dxa"/>
            <w:vMerge/>
            <w:vAlign w:val="center"/>
          </w:tcPr>
          <w:p w14:paraId="53C138BD" w14:textId="77777777" w:rsidR="00212781" w:rsidRPr="002B1DCB" w:rsidRDefault="00212781" w:rsidP="00212781">
            <w:pPr>
              <w:jc w:val="center"/>
              <w:rPr>
                <w:rFonts w:ascii="Arial Narrow" w:hAnsi="Arial Narrow"/>
                <w:bCs/>
                <w:color w:val="000000" w:themeColor="text1"/>
              </w:rPr>
            </w:pPr>
          </w:p>
        </w:tc>
        <w:tc>
          <w:tcPr>
            <w:tcW w:w="1843" w:type="dxa"/>
            <w:tcMar>
              <w:left w:w="28" w:type="dxa"/>
              <w:right w:w="28" w:type="dxa"/>
            </w:tcMar>
            <w:vAlign w:val="bottom"/>
          </w:tcPr>
          <w:p w14:paraId="53C138BE"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Bedarra</w:t>
            </w:r>
          </w:p>
        </w:tc>
        <w:tc>
          <w:tcPr>
            <w:tcW w:w="567" w:type="dxa"/>
            <w:tcMar>
              <w:left w:w="28" w:type="dxa"/>
              <w:right w:w="28" w:type="dxa"/>
            </w:tcMar>
          </w:tcPr>
          <w:p w14:paraId="53C138BF"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MMP</w:t>
            </w:r>
          </w:p>
        </w:tc>
        <w:tc>
          <w:tcPr>
            <w:tcW w:w="406" w:type="dxa"/>
          </w:tcPr>
          <w:p w14:paraId="53C138C0" w14:textId="77777777" w:rsidR="00212781" w:rsidRPr="002B1DCB" w:rsidRDefault="00212781" w:rsidP="00212781">
            <w:pPr>
              <w:rPr>
                <w:rFonts w:ascii="Arial Narrow" w:hAnsi="Arial Narrow" w:cs="Arial"/>
                <w:color w:val="000000" w:themeColor="text1"/>
                <w:szCs w:val="22"/>
              </w:rPr>
            </w:pPr>
          </w:p>
        </w:tc>
        <w:tc>
          <w:tcPr>
            <w:tcW w:w="406" w:type="dxa"/>
          </w:tcPr>
          <w:p w14:paraId="53C138C1" w14:textId="77777777" w:rsidR="00212781" w:rsidRPr="002B1DCB" w:rsidRDefault="00212781" w:rsidP="00212781">
            <w:pPr>
              <w:rPr>
                <w:rFonts w:ascii="Arial Narrow" w:hAnsi="Arial Narrow" w:cs="Arial"/>
                <w:color w:val="000000" w:themeColor="text1"/>
                <w:szCs w:val="22"/>
              </w:rPr>
            </w:pPr>
          </w:p>
        </w:tc>
        <w:tc>
          <w:tcPr>
            <w:tcW w:w="407" w:type="dxa"/>
          </w:tcPr>
          <w:p w14:paraId="53C138C2" w14:textId="77777777" w:rsidR="00212781" w:rsidRPr="002B1DCB" w:rsidRDefault="00212781" w:rsidP="00212781">
            <w:pPr>
              <w:rPr>
                <w:rFonts w:ascii="Arial Narrow" w:hAnsi="Arial Narrow" w:cs="Arial"/>
                <w:color w:val="000000" w:themeColor="text1"/>
                <w:szCs w:val="22"/>
              </w:rPr>
            </w:pPr>
          </w:p>
        </w:tc>
        <w:tc>
          <w:tcPr>
            <w:tcW w:w="406" w:type="dxa"/>
          </w:tcPr>
          <w:p w14:paraId="53C138C3" w14:textId="77777777" w:rsidR="00212781" w:rsidRPr="002B1DCB" w:rsidRDefault="00212781" w:rsidP="00212781">
            <w:pPr>
              <w:rPr>
                <w:rFonts w:ascii="Arial Narrow" w:hAnsi="Arial Narrow" w:cs="Arial"/>
                <w:color w:val="000000" w:themeColor="text1"/>
                <w:szCs w:val="22"/>
              </w:rPr>
            </w:pPr>
          </w:p>
        </w:tc>
        <w:tc>
          <w:tcPr>
            <w:tcW w:w="406" w:type="dxa"/>
          </w:tcPr>
          <w:p w14:paraId="53C138C4" w14:textId="77777777" w:rsidR="00212781" w:rsidRPr="002B1DCB" w:rsidRDefault="00212781" w:rsidP="00212781">
            <w:pPr>
              <w:rPr>
                <w:rFonts w:ascii="Arial Narrow" w:hAnsi="Arial Narrow" w:cs="Arial"/>
                <w:color w:val="000000" w:themeColor="text1"/>
                <w:szCs w:val="22"/>
              </w:rPr>
            </w:pPr>
          </w:p>
        </w:tc>
        <w:tc>
          <w:tcPr>
            <w:tcW w:w="407" w:type="dxa"/>
          </w:tcPr>
          <w:p w14:paraId="53C138C5" w14:textId="77777777" w:rsidR="00212781" w:rsidRPr="002B1DCB" w:rsidRDefault="00212781" w:rsidP="00212781">
            <w:pPr>
              <w:rPr>
                <w:rFonts w:ascii="Arial Narrow" w:hAnsi="Arial Narrow" w:cs="Arial"/>
                <w:color w:val="000000" w:themeColor="text1"/>
                <w:szCs w:val="22"/>
              </w:rPr>
            </w:pPr>
          </w:p>
        </w:tc>
        <w:tc>
          <w:tcPr>
            <w:tcW w:w="406" w:type="dxa"/>
          </w:tcPr>
          <w:p w14:paraId="53C138C6" w14:textId="77777777" w:rsidR="00212781" w:rsidRPr="002B1DCB" w:rsidRDefault="00212781" w:rsidP="00212781">
            <w:pPr>
              <w:rPr>
                <w:rFonts w:ascii="Arial Narrow" w:hAnsi="Arial Narrow" w:cs="Arial"/>
                <w:color w:val="000000" w:themeColor="text1"/>
                <w:szCs w:val="22"/>
              </w:rPr>
            </w:pPr>
          </w:p>
        </w:tc>
        <w:tc>
          <w:tcPr>
            <w:tcW w:w="406" w:type="dxa"/>
          </w:tcPr>
          <w:p w14:paraId="53C138C7" w14:textId="77777777" w:rsidR="00212781" w:rsidRPr="002B1DCB" w:rsidRDefault="00212781" w:rsidP="00212781">
            <w:pPr>
              <w:rPr>
                <w:rFonts w:ascii="Arial Narrow" w:hAnsi="Arial Narrow" w:cs="Arial"/>
                <w:color w:val="000000" w:themeColor="text1"/>
                <w:szCs w:val="22"/>
              </w:rPr>
            </w:pPr>
          </w:p>
        </w:tc>
        <w:tc>
          <w:tcPr>
            <w:tcW w:w="407" w:type="dxa"/>
          </w:tcPr>
          <w:p w14:paraId="53C138C8" w14:textId="77777777" w:rsidR="00212781" w:rsidRPr="002B1DCB" w:rsidRDefault="00212781" w:rsidP="00212781">
            <w:pPr>
              <w:rPr>
                <w:rFonts w:ascii="Arial Narrow" w:hAnsi="Arial Narrow" w:cs="Arial"/>
                <w:color w:val="000000" w:themeColor="text1"/>
                <w:szCs w:val="22"/>
              </w:rPr>
            </w:pPr>
          </w:p>
        </w:tc>
        <w:tc>
          <w:tcPr>
            <w:tcW w:w="406" w:type="dxa"/>
          </w:tcPr>
          <w:p w14:paraId="53C138C9" w14:textId="77777777" w:rsidR="00212781" w:rsidRPr="002B1DCB" w:rsidRDefault="00212781" w:rsidP="00212781">
            <w:pPr>
              <w:rPr>
                <w:rFonts w:ascii="Arial Narrow" w:hAnsi="Arial Narrow" w:cs="Arial"/>
                <w:color w:val="000000" w:themeColor="text1"/>
                <w:szCs w:val="22"/>
              </w:rPr>
            </w:pPr>
          </w:p>
        </w:tc>
        <w:tc>
          <w:tcPr>
            <w:tcW w:w="406" w:type="dxa"/>
          </w:tcPr>
          <w:p w14:paraId="53C138CA"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8CB"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CC" w14:textId="77777777" w:rsidR="00212781" w:rsidRPr="002B1DCB" w:rsidRDefault="00212781" w:rsidP="00212781">
            <w:pPr>
              <w:rPr>
                <w:rFonts w:ascii="Arial Narrow" w:hAnsi="Arial Narrow" w:cs="Arial"/>
                <w:b/>
                <w:color w:val="000000" w:themeColor="text1"/>
                <w:szCs w:val="22"/>
              </w:rPr>
            </w:pPr>
            <w:r w:rsidRPr="002B1DCB">
              <w:rPr>
                <w:rFonts w:ascii="Arial Narrow" w:hAnsi="Arial Narrow" w:cs="Arial"/>
                <w:color w:val="000000" w:themeColor="text1"/>
                <w:szCs w:val="22"/>
              </w:rPr>
              <w:t>●</w:t>
            </w:r>
          </w:p>
        </w:tc>
        <w:tc>
          <w:tcPr>
            <w:tcW w:w="406" w:type="dxa"/>
          </w:tcPr>
          <w:p w14:paraId="53C138CD" w14:textId="77777777" w:rsidR="00212781" w:rsidRPr="002B1DCB" w:rsidRDefault="00212781" w:rsidP="00212781">
            <w:pPr>
              <w:rPr>
                <w:rFonts w:ascii="Arial Narrow" w:hAnsi="Arial Narrow" w:cs="Arial"/>
                <w:b/>
                <w:color w:val="000000" w:themeColor="text1"/>
                <w:szCs w:val="22"/>
              </w:rPr>
            </w:pPr>
            <w:r w:rsidRPr="002B1DCB">
              <w:rPr>
                <w:rFonts w:ascii="Arial Narrow" w:hAnsi="Arial Narrow" w:cs="Arial"/>
                <w:b/>
                <w:color w:val="000000" w:themeColor="text1"/>
                <w:szCs w:val="22"/>
              </w:rPr>
              <w:t>●</w:t>
            </w:r>
          </w:p>
        </w:tc>
        <w:tc>
          <w:tcPr>
            <w:tcW w:w="407" w:type="dxa"/>
          </w:tcPr>
          <w:p w14:paraId="53C138CE" w14:textId="77777777" w:rsidR="00212781" w:rsidRPr="002B1DCB" w:rsidRDefault="00212781" w:rsidP="00212781">
            <w:pPr>
              <w:rPr>
                <w:rFonts w:ascii="Arial Narrow" w:hAnsi="Arial Narrow"/>
                <w:b/>
                <w:color w:val="000000" w:themeColor="text1"/>
              </w:rPr>
            </w:pPr>
            <w:r w:rsidRPr="002B1DCB">
              <w:rPr>
                <w:rFonts w:ascii="Arial Narrow" w:hAnsi="Arial Narrow" w:cs="Arial"/>
                <w:color w:val="000000" w:themeColor="text1"/>
                <w:szCs w:val="22"/>
              </w:rPr>
              <w:t>●</w:t>
            </w:r>
          </w:p>
        </w:tc>
      </w:tr>
      <w:tr w:rsidR="00212781" w:rsidRPr="002B1DCB" w14:paraId="53C138E2" w14:textId="77777777" w:rsidTr="00212781">
        <w:tc>
          <w:tcPr>
            <w:tcW w:w="1129" w:type="dxa"/>
            <w:vMerge w:val="restart"/>
            <w:vAlign w:val="center"/>
          </w:tcPr>
          <w:p w14:paraId="53C138D0" w14:textId="77777777" w:rsidR="00212781" w:rsidRPr="002B1DCB" w:rsidRDefault="00212781" w:rsidP="00212781">
            <w:pPr>
              <w:jc w:val="center"/>
              <w:rPr>
                <w:rFonts w:ascii="Arial Narrow" w:hAnsi="Arial Narrow"/>
                <w:bCs/>
                <w:color w:val="000000" w:themeColor="text1"/>
              </w:rPr>
            </w:pPr>
            <w:r w:rsidRPr="002B1DCB">
              <w:rPr>
                <w:rFonts w:ascii="Arial Narrow" w:hAnsi="Arial Narrow"/>
                <w:bCs/>
                <w:color w:val="000000" w:themeColor="text1"/>
              </w:rPr>
              <w:t>Burdekin</w:t>
            </w:r>
          </w:p>
        </w:tc>
        <w:tc>
          <w:tcPr>
            <w:tcW w:w="1843" w:type="dxa"/>
            <w:tcMar>
              <w:left w:w="28" w:type="dxa"/>
              <w:right w:w="28" w:type="dxa"/>
            </w:tcMar>
            <w:vAlign w:val="bottom"/>
          </w:tcPr>
          <w:p w14:paraId="53C138D1"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Palms West (WQ)</w:t>
            </w:r>
          </w:p>
        </w:tc>
        <w:tc>
          <w:tcPr>
            <w:tcW w:w="567" w:type="dxa"/>
            <w:tcMar>
              <w:left w:w="28" w:type="dxa"/>
              <w:right w:w="28" w:type="dxa"/>
            </w:tcMar>
          </w:tcPr>
          <w:p w14:paraId="53C138D2"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MMP</w:t>
            </w:r>
          </w:p>
        </w:tc>
        <w:tc>
          <w:tcPr>
            <w:tcW w:w="406" w:type="dxa"/>
          </w:tcPr>
          <w:p w14:paraId="53C138D3"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D4"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8D5"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D6"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D7"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8D8"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D9"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DA"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8DB"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DC"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DD"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8DE"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b/>
                <w:color w:val="000000" w:themeColor="text1"/>
                <w:szCs w:val="22"/>
              </w:rPr>
              <w:t>+</w:t>
            </w:r>
          </w:p>
        </w:tc>
        <w:tc>
          <w:tcPr>
            <w:tcW w:w="406" w:type="dxa"/>
          </w:tcPr>
          <w:p w14:paraId="53C138DF" w14:textId="77777777" w:rsidR="00212781" w:rsidRPr="002B1DCB" w:rsidRDefault="00212781" w:rsidP="00212781">
            <w:pPr>
              <w:rPr>
                <w:rFonts w:ascii="Arial Narrow" w:hAnsi="Arial Narrow" w:cs="Arial"/>
                <w:b/>
                <w:color w:val="000000" w:themeColor="text1"/>
                <w:szCs w:val="22"/>
              </w:rPr>
            </w:pPr>
            <w:r w:rsidRPr="002B1DCB">
              <w:rPr>
                <w:rFonts w:ascii="Arial Narrow" w:hAnsi="Arial Narrow" w:cs="Arial"/>
                <w:color w:val="000000" w:themeColor="text1"/>
                <w:szCs w:val="22"/>
              </w:rPr>
              <w:t>●</w:t>
            </w:r>
          </w:p>
        </w:tc>
        <w:tc>
          <w:tcPr>
            <w:tcW w:w="406" w:type="dxa"/>
          </w:tcPr>
          <w:p w14:paraId="53C138E0" w14:textId="77777777" w:rsidR="00212781" w:rsidRPr="002B1DCB" w:rsidRDefault="00212781" w:rsidP="00212781">
            <w:pPr>
              <w:rPr>
                <w:rFonts w:ascii="Arial Narrow" w:hAnsi="Arial Narrow" w:cs="Arial"/>
                <w:b/>
                <w:color w:val="000000" w:themeColor="text1"/>
                <w:szCs w:val="22"/>
              </w:rPr>
            </w:pPr>
            <w:r w:rsidRPr="002B1DCB">
              <w:rPr>
                <w:rFonts w:ascii="Arial Narrow" w:hAnsi="Arial Narrow" w:cs="Arial"/>
                <w:b/>
                <w:color w:val="000000" w:themeColor="text1"/>
                <w:szCs w:val="22"/>
              </w:rPr>
              <w:t>+</w:t>
            </w:r>
          </w:p>
        </w:tc>
        <w:tc>
          <w:tcPr>
            <w:tcW w:w="407" w:type="dxa"/>
          </w:tcPr>
          <w:p w14:paraId="53C138E1" w14:textId="77777777" w:rsidR="00212781" w:rsidRPr="002B1DCB" w:rsidRDefault="00212781" w:rsidP="00212781">
            <w:pPr>
              <w:rPr>
                <w:rFonts w:ascii="Arial Narrow" w:hAnsi="Arial Narrow"/>
                <w:b/>
                <w:color w:val="000000" w:themeColor="text1"/>
              </w:rPr>
            </w:pPr>
            <w:r w:rsidRPr="002B1DCB">
              <w:rPr>
                <w:rFonts w:ascii="Arial Narrow" w:hAnsi="Arial Narrow" w:cs="Arial"/>
                <w:color w:val="000000" w:themeColor="text1"/>
                <w:szCs w:val="22"/>
              </w:rPr>
              <w:t>●</w:t>
            </w:r>
          </w:p>
        </w:tc>
      </w:tr>
      <w:tr w:rsidR="00212781" w:rsidRPr="002B1DCB" w14:paraId="53C138F5" w14:textId="77777777" w:rsidTr="00212781">
        <w:tc>
          <w:tcPr>
            <w:tcW w:w="1129" w:type="dxa"/>
            <w:vMerge/>
            <w:vAlign w:val="center"/>
          </w:tcPr>
          <w:p w14:paraId="53C138E3" w14:textId="77777777" w:rsidR="00212781" w:rsidRPr="002B1DCB" w:rsidRDefault="00212781" w:rsidP="00212781">
            <w:pPr>
              <w:jc w:val="center"/>
              <w:rPr>
                <w:rFonts w:ascii="Arial Narrow" w:hAnsi="Arial Narrow"/>
                <w:bCs/>
                <w:color w:val="000000" w:themeColor="text1"/>
              </w:rPr>
            </w:pPr>
          </w:p>
        </w:tc>
        <w:tc>
          <w:tcPr>
            <w:tcW w:w="1843" w:type="dxa"/>
            <w:tcMar>
              <w:left w:w="28" w:type="dxa"/>
              <w:right w:w="28" w:type="dxa"/>
            </w:tcMar>
            <w:vAlign w:val="bottom"/>
          </w:tcPr>
          <w:p w14:paraId="53C138E4"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Palms East</w:t>
            </w:r>
          </w:p>
        </w:tc>
        <w:tc>
          <w:tcPr>
            <w:tcW w:w="567" w:type="dxa"/>
            <w:tcMar>
              <w:left w:w="28" w:type="dxa"/>
              <w:right w:w="28" w:type="dxa"/>
            </w:tcMar>
          </w:tcPr>
          <w:p w14:paraId="53C138E5"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MMP</w:t>
            </w:r>
          </w:p>
        </w:tc>
        <w:tc>
          <w:tcPr>
            <w:tcW w:w="406" w:type="dxa"/>
          </w:tcPr>
          <w:p w14:paraId="53C138E6"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E7"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8E8" w14:textId="77777777" w:rsidR="00212781" w:rsidRPr="002B1DCB" w:rsidRDefault="00212781" w:rsidP="00212781">
            <w:pPr>
              <w:rPr>
                <w:rFonts w:ascii="Arial Narrow" w:hAnsi="Arial Narrow" w:cs="Arial"/>
                <w:color w:val="000000" w:themeColor="text1"/>
                <w:szCs w:val="22"/>
              </w:rPr>
            </w:pPr>
          </w:p>
        </w:tc>
        <w:tc>
          <w:tcPr>
            <w:tcW w:w="406" w:type="dxa"/>
          </w:tcPr>
          <w:p w14:paraId="53C138E9"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EA" w14:textId="77777777" w:rsidR="00212781" w:rsidRPr="002B1DCB" w:rsidRDefault="00212781" w:rsidP="00212781">
            <w:pPr>
              <w:rPr>
                <w:rFonts w:ascii="Arial Narrow" w:hAnsi="Arial Narrow" w:cs="Arial"/>
                <w:color w:val="000000" w:themeColor="text1"/>
                <w:szCs w:val="22"/>
              </w:rPr>
            </w:pPr>
          </w:p>
        </w:tc>
        <w:tc>
          <w:tcPr>
            <w:tcW w:w="407" w:type="dxa"/>
          </w:tcPr>
          <w:p w14:paraId="53C138EB"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EC"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b/>
                <w:color w:val="000000" w:themeColor="text1"/>
                <w:szCs w:val="22"/>
              </w:rPr>
              <w:t>+</w:t>
            </w:r>
          </w:p>
        </w:tc>
        <w:tc>
          <w:tcPr>
            <w:tcW w:w="406" w:type="dxa"/>
          </w:tcPr>
          <w:p w14:paraId="53C138ED"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8EE" w14:textId="77777777" w:rsidR="00212781" w:rsidRPr="002B1DCB" w:rsidRDefault="00212781" w:rsidP="00212781">
            <w:pPr>
              <w:rPr>
                <w:rFonts w:ascii="Arial Narrow" w:hAnsi="Arial Narrow" w:cs="Arial"/>
                <w:color w:val="000000" w:themeColor="text1"/>
                <w:szCs w:val="22"/>
              </w:rPr>
            </w:pPr>
          </w:p>
        </w:tc>
        <w:tc>
          <w:tcPr>
            <w:tcW w:w="406" w:type="dxa"/>
          </w:tcPr>
          <w:p w14:paraId="53C138EF"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F0" w14:textId="77777777" w:rsidR="00212781" w:rsidRPr="002B1DCB" w:rsidRDefault="00212781" w:rsidP="00212781">
            <w:pPr>
              <w:rPr>
                <w:rFonts w:ascii="Arial Narrow" w:hAnsi="Arial Narrow" w:cs="Arial"/>
                <w:color w:val="000000" w:themeColor="text1"/>
                <w:szCs w:val="22"/>
              </w:rPr>
            </w:pPr>
          </w:p>
        </w:tc>
        <w:tc>
          <w:tcPr>
            <w:tcW w:w="407" w:type="dxa"/>
          </w:tcPr>
          <w:p w14:paraId="53C138F1"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F2" w14:textId="77777777" w:rsidR="00212781" w:rsidRPr="002B1DCB" w:rsidRDefault="00212781" w:rsidP="00212781">
            <w:pPr>
              <w:rPr>
                <w:rFonts w:ascii="Arial Narrow" w:hAnsi="Arial Narrow" w:cs="Arial"/>
                <w:color w:val="000000" w:themeColor="text1"/>
                <w:szCs w:val="22"/>
              </w:rPr>
            </w:pPr>
          </w:p>
        </w:tc>
        <w:tc>
          <w:tcPr>
            <w:tcW w:w="406" w:type="dxa"/>
          </w:tcPr>
          <w:p w14:paraId="53C138F3" w14:textId="77777777" w:rsidR="00212781" w:rsidRPr="002B1DCB" w:rsidRDefault="00212781" w:rsidP="00212781">
            <w:pPr>
              <w:rPr>
                <w:rFonts w:ascii="Arial Narrow" w:hAnsi="Arial Narrow" w:cs="Arial"/>
                <w:b/>
                <w:color w:val="000000" w:themeColor="text1"/>
                <w:szCs w:val="22"/>
              </w:rPr>
            </w:pPr>
            <w:r w:rsidRPr="002B1DCB">
              <w:rPr>
                <w:rFonts w:ascii="Arial Narrow" w:hAnsi="Arial Narrow" w:cs="Arial"/>
                <w:b/>
                <w:color w:val="000000" w:themeColor="text1"/>
                <w:szCs w:val="22"/>
              </w:rPr>
              <w:t>●</w:t>
            </w:r>
          </w:p>
        </w:tc>
        <w:tc>
          <w:tcPr>
            <w:tcW w:w="407" w:type="dxa"/>
          </w:tcPr>
          <w:p w14:paraId="53C138F4" w14:textId="77777777" w:rsidR="00212781" w:rsidRPr="002B1DCB" w:rsidRDefault="00212781" w:rsidP="00212781">
            <w:pPr>
              <w:rPr>
                <w:rFonts w:ascii="Arial Narrow" w:hAnsi="Arial Narrow"/>
                <w:b/>
                <w:color w:val="000000" w:themeColor="text1"/>
              </w:rPr>
            </w:pPr>
            <w:r w:rsidRPr="002B1DCB">
              <w:rPr>
                <w:rFonts w:ascii="Arial Narrow" w:hAnsi="Arial Narrow" w:cs="Arial"/>
                <w:b/>
                <w:color w:val="000000" w:themeColor="text1"/>
                <w:szCs w:val="22"/>
              </w:rPr>
              <w:t>+</w:t>
            </w:r>
          </w:p>
        </w:tc>
      </w:tr>
      <w:tr w:rsidR="00212781" w:rsidRPr="002B1DCB" w14:paraId="53C13908" w14:textId="77777777" w:rsidTr="00212781">
        <w:tc>
          <w:tcPr>
            <w:tcW w:w="1129" w:type="dxa"/>
            <w:vMerge/>
            <w:vAlign w:val="center"/>
          </w:tcPr>
          <w:p w14:paraId="53C138F6" w14:textId="77777777" w:rsidR="00212781" w:rsidRPr="002B1DCB" w:rsidRDefault="00212781" w:rsidP="00212781">
            <w:pPr>
              <w:jc w:val="center"/>
              <w:rPr>
                <w:rFonts w:ascii="Arial Narrow" w:hAnsi="Arial Narrow"/>
                <w:bCs/>
                <w:color w:val="000000" w:themeColor="text1"/>
              </w:rPr>
            </w:pPr>
          </w:p>
        </w:tc>
        <w:tc>
          <w:tcPr>
            <w:tcW w:w="1843" w:type="dxa"/>
            <w:tcMar>
              <w:left w:w="28" w:type="dxa"/>
              <w:right w:w="28" w:type="dxa"/>
            </w:tcMar>
            <w:vAlign w:val="bottom"/>
          </w:tcPr>
          <w:p w14:paraId="53C138F7"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Lady Elliot</w:t>
            </w:r>
          </w:p>
        </w:tc>
        <w:tc>
          <w:tcPr>
            <w:tcW w:w="567" w:type="dxa"/>
            <w:tcMar>
              <w:left w:w="28" w:type="dxa"/>
              <w:right w:w="28" w:type="dxa"/>
            </w:tcMar>
          </w:tcPr>
          <w:p w14:paraId="53C138F8"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MMP</w:t>
            </w:r>
          </w:p>
        </w:tc>
        <w:tc>
          <w:tcPr>
            <w:tcW w:w="406" w:type="dxa"/>
          </w:tcPr>
          <w:p w14:paraId="53C138F9"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FA"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8FB" w14:textId="77777777" w:rsidR="00212781" w:rsidRPr="002B1DCB" w:rsidRDefault="00212781" w:rsidP="00212781">
            <w:pPr>
              <w:rPr>
                <w:rFonts w:ascii="Arial Narrow" w:hAnsi="Arial Narrow" w:cs="Arial"/>
                <w:color w:val="000000" w:themeColor="text1"/>
                <w:szCs w:val="22"/>
              </w:rPr>
            </w:pPr>
          </w:p>
        </w:tc>
        <w:tc>
          <w:tcPr>
            <w:tcW w:w="406" w:type="dxa"/>
          </w:tcPr>
          <w:p w14:paraId="53C138FC"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FD" w14:textId="77777777" w:rsidR="00212781" w:rsidRPr="002B1DCB" w:rsidRDefault="00212781" w:rsidP="00212781">
            <w:pPr>
              <w:rPr>
                <w:rFonts w:ascii="Arial Narrow" w:hAnsi="Arial Narrow" w:cs="Arial"/>
                <w:color w:val="000000" w:themeColor="text1"/>
                <w:szCs w:val="22"/>
              </w:rPr>
            </w:pPr>
          </w:p>
        </w:tc>
        <w:tc>
          <w:tcPr>
            <w:tcW w:w="407" w:type="dxa"/>
          </w:tcPr>
          <w:p w14:paraId="53C138FE"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8FF" w14:textId="77777777" w:rsidR="00212781" w:rsidRPr="002B1DCB" w:rsidRDefault="00212781" w:rsidP="00212781">
            <w:pPr>
              <w:rPr>
                <w:rFonts w:ascii="Arial Narrow" w:hAnsi="Arial Narrow" w:cs="Arial"/>
                <w:color w:val="000000" w:themeColor="text1"/>
                <w:szCs w:val="22"/>
              </w:rPr>
            </w:pPr>
          </w:p>
        </w:tc>
        <w:tc>
          <w:tcPr>
            <w:tcW w:w="406" w:type="dxa"/>
          </w:tcPr>
          <w:p w14:paraId="53C13900"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901" w14:textId="77777777" w:rsidR="00212781" w:rsidRPr="002B1DCB" w:rsidRDefault="00212781" w:rsidP="00212781">
            <w:pPr>
              <w:rPr>
                <w:rFonts w:ascii="Arial Narrow" w:hAnsi="Arial Narrow" w:cs="Arial"/>
                <w:color w:val="000000" w:themeColor="text1"/>
                <w:szCs w:val="22"/>
              </w:rPr>
            </w:pPr>
          </w:p>
        </w:tc>
        <w:tc>
          <w:tcPr>
            <w:tcW w:w="406" w:type="dxa"/>
          </w:tcPr>
          <w:p w14:paraId="53C13902"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03" w14:textId="77777777" w:rsidR="00212781" w:rsidRPr="002B1DCB" w:rsidRDefault="00212781" w:rsidP="00212781">
            <w:pPr>
              <w:rPr>
                <w:rFonts w:ascii="Arial Narrow" w:hAnsi="Arial Narrow" w:cs="Arial"/>
                <w:color w:val="000000" w:themeColor="text1"/>
                <w:szCs w:val="22"/>
              </w:rPr>
            </w:pPr>
          </w:p>
        </w:tc>
        <w:tc>
          <w:tcPr>
            <w:tcW w:w="407" w:type="dxa"/>
          </w:tcPr>
          <w:p w14:paraId="53C13904"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05" w14:textId="77777777" w:rsidR="00212781" w:rsidRPr="002B1DCB" w:rsidRDefault="00212781" w:rsidP="00212781">
            <w:pPr>
              <w:rPr>
                <w:rFonts w:ascii="Arial Narrow" w:hAnsi="Arial Narrow" w:cs="Arial"/>
                <w:color w:val="000000" w:themeColor="text1"/>
                <w:szCs w:val="22"/>
              </w:rPr>
            </w:pPr>
          </w:p>
        </w:tc>
        <w:tc>
          <w:tcPr>
            <w:tcW w:w="406" w:type="dxa"/>
          </w:tcPr>
          <w:p w14:paraId="53C13906" w14:textId="77777777" w:rsidR="00212781" w:rsidRPr="002B1DCB" w:rsidRDefault="00212781" w:rsidP="00212781">
            <w:pPr>
              <w:rPr>
                <w:rFonts w:ascii="Arial Narrow" w:hAnsi="Arial Narrow" w:cs="Arial"/>
                <w:b/>
                <w:color w:val="000000" w:themeColor="text1"/>
                <w:szCs w:val="22"/>
              </w:rPr>
            </w:pPr>
            <w:r w:rsidRPr="002B1DCB">
              <w:rPr>
                <w:rFonts w:ascii="Arial Narrow" w:hAnsi="Arial Narrow" w:cs="Arial"/>
                <w:b/>
                <w:color w:val="000000" w:themeColor="text1"/>
                <w:szCs w:val="22"/>
              </w:rPr>
              <w:t>●</w:t>
            </w:r>
          </w:p>
        </w:tc>
        <w:tc>
          <w:tcPr>
            <w:tcW w:w="407" w:type="dxa"/>
          </w:tcPr>
          <w:p w14:paraId="53C13907" w14:textId="77777777" w:rsidR="00212781" w:rsidRPr="002B1DCB" w:rsidRDefault="00212781" w:rsidP="00212781">
            <w:pPr>
              <w:rPr>
                <w:rFonts w:ascii="Arial Narrow" w:hAnsi="Arial Narrow"/>
                <w:b/>
                <w:color w:val="000000" w:themeColor="text1"/>
              </w:rPr>
            </w:pPr>
          </w:p>
        </w:tc>
      </w:tr>
      <w:tr w:rsidR="00212781" w:rsidRPr="002B1DCB" w14:paraId="53C1391B" w14:textId="77777777" w:rsidTr="00212781">
        <w:tc>
          <w:tcPr>
            <w:tcW w:w="1129" w:type="dxa"/>
            <w:vMerge/>
            <w:vAlign w:val="center"/>
          </w:tcPr>
          <w:p w14:paraId="53C13909" w14:textId="77777777" w:rsidR="00212781" w:rsidRPr="002B1DCB" w:rsidRDefault="00212781" w:rsidP="00212781">
            <w:pPr>
              <w:jc w:val="center"/>
              <w:rPr>
                <w:rFonts w:ascii="Arial Narrow" w:hAnsi="Arial Narrow"/>
                <w:bCs/>
                <w:color w:val="000000" w:themeColor="text1"/>
              </w:rPr>
            </w:pPr>
          </w:p>
        </w:tc>
        <w:tc>
          <w:tcPr>
            <w:tcW w:w="1843" w:type="dxa"/>
            <w:tcMar>
              <w:left w:w="28" w:type="dxa"/>
              <w:right w:w="28" w:type="dxa"/>
            </w:tcMar>
            <w:vAlign w:val="bottom"/>
          </w:tcPr>
          <w:p w14:paraId="53C1390A"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Pandora North</w:t>
            </w:r>
          </w:p>
        </w:tc>
        <w:tc>
          <w:tcPr>
            <w:tcW w:w="567" w:type="dxa"/>
            <w:tcMar>
              <w:left w:w="28" w:type="dxa"/>
              <w:right w:w="28" w:type="dxa"/>
            </w:tcMar>
          </w:tcPr>
          <w:p w14:paraId="53C1390B"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LTMP</w:t>
            </w:r>
          </w:p>
        </w:tc>
        <w:tc>
          <w:tcPr>
            <w:tcW w:w="406" w:type="dxa"/>
          </w:tcPr>
          <w:p w14:paraId="53C1390C"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0D" w14:textId="77777777" w:rsidR="00212781" w:rsidRPr="002B1DCB" w:rsidRDefault="00212781" w:rsidP="00212781">
            <w:pPr>
              <w:rPr>
                <w:rFonts w:ascii="Arial Narrow" w:hAnsi="Arial Narrow" w:cs="Arial"/>
                <w:color w:val="000000" w:themeColor="text1"/>
                <w:szCs w:val="22"/>
              </w:rPr>
            </w:pPr>
          </w:p>
        </w:tc>
        <w:tc>
          <w:tcPr>
            <w:tcW w:w="407" w:type="dxa"/>
          </w:tcPr>
          <w:p w14:paraId="53C1390E"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0F" w14:textId="77777777" w:rsidR="00212781" w:rsidRPr="002B1DCB" w:rsidRDefault="00212781" w:rsidP="00212781">
            <w:pPr>
              <w:rPr>
                <w:rFonts w:ascii="Arial Narrow" w:hAnsi="Arial Narrow" w:cs="Arial"/>
                <w:color w:val="000000" w:themeColor="text1"/>
                <w:szCs w:val="22"/>
              </w:rPr>
            </w:pPr>
          </w:p>
        </w:tc>
        <w:tc>
          <w:tcPr>
            <w:tcW w:w="406" w:type="dxa"/>
          </w:tcPr>
          <w:p w14:paraId="53C13910"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911" w14:textId="77777777" w:rsidR="00212781" w:rsidRPr="002B1DCB" w:rsidRDefault="00212781" w:rsidP="00212781">
            <w:pPr>
              <w:rPr>
                <w:rFonts w:ascii="Arial Narrow" w:hAnsi="Arial Narrow" w:cs="Arial"/>
                <w:color w:val="000000" w:themeColor="text1"/>
                <w:szCs w:val="22"/>
              </w:rPr>
            </w:pPr>
          </w:p>
        </w:tc>
        <w:tc>
          <w:tcPr>
            <w:tcW w:w="406" w:type="dxa"/>
          </w:tcPr>
          <w:p w14:paraId="53C13912"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13" w14:textId="77777777" w:rsidR="00212781" w:rsidRPr="002B1DCB" w:rsidRDefault="00212781" w:rsidP="00212781">
            <w:pPr>
              <w:rPr>
                <w:rFonts w:ascii="Arial Narrow" w:hAnsi="Arial Narrow" w:cs="Arial"/>
                <w:color w:val="000000" w:themeColor="text1"/>
                <w:szCs w:val="22"/>
              </w:rPr>
            </w:pPr>
          </w:p>
        </w:tc>
        <w:tc>
          <w:tcPr>
            <w:tcW w:w="407" w:type="dxa"/>
          </w:tcPr>
          <w:p w14:paraId="53C13914"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15" w14:textId="77777777" w:rsidR="00212781" w:rsidRPr="002B1DCB" w:rsidRDefault="00212781" w:rsidP="00212781">
            <w:pPr>
              <w:rPr>
                <w:rFonts w:ascii="Arial Narrow" w:hAnsi="Arial Narrow" w:cs="Arial"/>
                <w:color w:val="000000" w:themeColor="text1"/>
                <w:szCs w:val="22"/>
              </w:rPr>
            </w:pPr>
          </w:p>
        </w:tc>
        <w:tc>
          <w:tcPr>
            <w:tcW w:w="406" w:type="dxa"/>
          </w:tcPr>
          <w:p w14:paraId="53C13916"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917" w14:textId="77777777" w:rsidR="00212781" w:rsidRPr="002B1DCB" w:rsidRDefault="00212781" w:rsidP="00212781">
            <w:pPr>
              <w:rPr>
                <w:rFonts w:ascii="Arial Narrow" w:hAnsi="Arial Narrow" w:cs="Arial"/>
                <w:color w:val="000000" w:themeColor="text1"/>
                <w:szCs w:val="22"/>
              </w:rPr>
            </w:pPr>
          </w:p>
        </w:tc>
        <w:tc>
          <w:tcPr>
            <w:tcW w:w="406" w:type="dxa"/>
          </w:tcPr>
          <w:p w14:paraId="53C13918"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19" w14:textId="77777777" w:rsidR="00212781" w:rsidRPr="002B1DCB" w:rsidRDefault="00212781" w:rsidP="00212781">
            <w:pPr>
              <w:rPr>
                <w:rFonts w:ascii="Arial Narrow" w:hAnsi="Arial Narrow" w:cs="Arial"/>
                <w:b/>
                <w:color w:val="000000" w:themeColor="text1"/>
                <w:szCs w:val="22"/>
              </w:rPr>
            </w:pPr>
          </w:p>
        </w:tc>
        <w:tc>
          <w:tcPr>
            <w:tcW w:w="407" w:type="dxa"/>
          </w:tcPr>
          <w:p w14:paraId="53C1391A" w14:textId="77777777" w:rsidR="00212781" w:rsidRPr="002B1DCB" w:rsidRDefault="00212781" w:rsidP="00212781">
            <w:pPr>
              <w:rPr>
                <w:rFonts w:ascii="Arial Narrow" w:hAnsi="Arial Narrow"/>
                <w:b/>
                <w:color w:val="000000" w:themeColor="text1"/>
              </w:rPr>
            </w:pPr>
            <w:r w:rsidRPr="002B1DCB">
              <w:rPr>
                <w:rFonts w:ascii="Arial Narrow" w:hAnsi="Arial Narrow" w:cs="Arial"/>
                <w:color w:val="000000" w:themeColor="text1"/>
                <w:szCs w:val="22"/>
              </w:rPr>
              <w:t>●</w:t>
            </w:r>
          </w:p>
        </w:tc>
      </w:tr>
      <w:tr w:rsidR="00212781" w:rsidRPr="002B1DCB" w14:paraId="53C1392E" w14:textId="77777777" w:rsidTr="00212781">
        <w:tc>
          <w:tcPr>
            <w:tcW w:w="1129" w:type="dxa"/>
            <w:vMerge/>
            <w:vAlign w:val="center"/>
          </w:tcPr>
          <w:p w14:paraId="53C1391C" w14:textId="77777777" w:rsidR="00212781" w:rsidRPr="002B1DCB" w:rsidRDefault="00212781" w:rsidP="00212781">
            <w:pPr>
              <w:jc w:val="center"/>
              <w:rPr>
                <w:rFonts w:ascii="Arial Narrow" w:hAnsi="Arial Narrow"/>
                <w:bCs/>
                <w:color w:val="000000" w:themeColor="text1"/>
              </w:rPr>
            </w:pPr>
          </w:p>
        </w:tc>
        <w:tc>
          <w:tcPr>
            <w:tcW w:w="1843" w:type="dxa"/>
            <w:tcMar>
              <w:left w:w="28" w:type="dxa"/>
              <w:right w:w="28" w:type="dxa"/>
            </w:tcMar>
            <w:vAlign w:val="bottom"/>
          </w:tcPr>
          <w:p w14:paraId="53C1391D"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Pandora (WQ)</w:t>
            </w:r>
          </w:p>
        </w:tc>
        <w:tc>
          <w:tcPr>
            <w:tcW w:w="567" w:type="dxa"/>
            <w:tcMar>
              <w:left w:w="28" w:type="dxa"/>
              <w:right w:w="28" w:type="dxa"/>
            </w:tcMar>
          </w:tcPr>
          <w:p w14:paraId="53C1391E"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MMP</w:t>
            </w:r>
          </w:p>
        </w:tc>
        <w:tc>
          <w:tcPr>
            <w:tcW w:w="406" w:type="dxa"/>
          </w:tcPr>
          <w:p w14:paraId="53C1391F"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20"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921"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22"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23"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924"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25"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26"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927"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28"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29" w14:textId="77777777" w:rsidR="00212781" w:rsidRPr="002B1DCB" w:rsidRDefault="00212781" w:rsidP="00212781">
            <w:pPr>
              <w:rPr>
                <w:rFonts w:ascii="Arial Narrow" w:hAnsi="Arial Narrow" w:cs="Arial"/>
                <w:color w:val="000000" w:themeColor="text1"/>
                <w:szCs w:val="22"/>
              </w:rPr>
            </w:pPr>
          </w:p>
        </w:tc>
        <w:tc>
          <w:tcPr>
            <w:tcW w:w="407" w:type="dxa"/>
          </w:tcPr>
          <w:p w14:paraId="53C1392A"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2B" w14:textId="77777777" w:rsidR="00212781" w:rsidRPr="002B1DCB" w:rsidRDefault="00212781" w:rsidP="00212781">
            <w:pPr>
              <w:rPr>
                <w:rFonts w:ascii="Arial Narrow" w:hAnsi="Arial Narrow" w:cs="Arial"/>
                <w:b/>
                <w:color w:val="000000" w:themeColor="text1"/>
                <w:szCs w:val="22"/>
              </w:rPr>
            </w:pPr>
            <w:r w:rsidRPr="002B1DCB">
              <w:rPr>
                <w:rFonts w:ascii="Arial Narrow" w:hAnsi="Arial Narrow" w:cs="Arial"/>
                <w:b/>
                <w:color w:val="000000" w:themeColor="text1"/>
                <w:szCs w:val="22"/>
              </w:rPr>
              <w:t>+</w:t>
            </w:r>
          </w:p>
        </w:tc>
        <w:tc>
          <w:tcPr>
            <w:tcW w:w="406" w:type="dxa"/>
          </w:tcPr>
          <w:p w14:paraId="53C1392C" w14:textId="77777777" w:rsidR="00212781" w:rsidRPr="002B1DCB" w:rsidRDefault="00212781" w:rsidP="00212781">
            <w:pPr>
              <w:rPr>
                <w:rFonts w:ascii="Arial Narrow" w:hAnsi="Arial Narrow" w:cs="Arial"/>
                <w:b/>
                <w:color w:val="000000" w:themeColor="text1"/>
                <w:szCs w:val="22"/>
              </w:rPr>
            </w:pPr>
            <w:r w:rsidRPr="002B1DCB">
              <w:rPr>
                <w:rFonts w:ascii="Arial Narrow" w:hAnsi="Arial Narrow" w:cs="Arial"/>
                <w:b/>
                <w:color w:val="000000" w:themeColor="text1"/>
                <w:szCs w:val="22"/>
              </w:rPr>
              <w:t>●</w:t>
            </w:r>
          </w:p>
        </w:tc>
        <w:tc>
          <w:tcPr>
            <w:tcW w:w="407" w:type="dxa"/>
          </w:tcPr>
          <w:p w14:paraId="53C1392D" w14:textId="77777777" w:rsidR="00212781" w:rsidRPr="002B1DCB" w:rsidRDefault="00212781" w:rsidP="00212781">
            <w:pPr>
              <w:rPr>
                <w:rFonts w:ascii="Arial Narrow" w:hAnsi="Arial Narrow"/>
                <w:b/>
                <w:color w:val="000000" w:themeColor="text1"/>
              </w:rPr>
            </w:pPr>
          </w:p>
        </w:tc>
      </w:tr>
      <w:tr w:rsidR="00212781" w:rsidRPr="002B1DCB" w14:paraId="53C13941" w14:textId="77777777" w:rsidTr="00212781">
        <w:tc>
          <w:tcPr>
            <w:tcW w:w="1129" w:type="dxa"/>
            <w:vMerge/>
            <w:vAlign w:val="center"/>
          </w:tcPr>
          <w:p w14:paraId="53C1392F" w14:textId="77777777" w:rsidR="00212781" w:rsidRPr="002B1DCB" w:rsidRDefault="00212781" w:rsidP="00212781">
            <w:pPr>
              <w:jc w:val="center"/>
              <w:rPr>
                <w:rFonts w:ascii="Arial Narrow" w:hAnsi="Arial Narrow"/>
                <w:bCs/>
                <w:color w:val="000000" w:themeColor="text1"/>
              </w:rPr>
            </w:pPr>
          </w:p>
        </w:tc>
        <w:tc>
          <w:tcPr>
            <w:tcW w:w="1843" w:type="dxa"/>
            <w:tcMar>
              <w:left w:w="28" w:type="dxa"/>
              <w:right w:w="28" w:type="dxa"/>
            </w:tcMar>
            <w:vAlign w:val="bottom"/>
          </w:tcPr>
          <w:p w14:paraId="53C13930"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Havannah North</w:t>
            </w:r>
          </w:p>
        </w:tc>
        <w:tc>
          <w:tcPr>
            <w:tcW w:w="567" w:type="dxa"/>
            <w:tcMar>
              <w:left w:w="28" w:type="dxa"/>
              <w:right w:w="28" w:type="dxa"/>
            </w:tcMar>
          </w:tcPr>
          <w:p w14:paraId="53C13931"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LTMP</w:t>
            </w:r>
          </w:p>
        </w:tc>
        <w:tc>
          <w:tcPr>
            <w:tcW w:w="406" w:type="dxa"/>
          </w:tcPr>
          <w:p w14:paraId="53C13932"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33" w14:textId="77777777" w:rsidR="00212781" w:rsidRPr="002B1DCB" w:rsidRDefault="00212781" w:rsidP="00212781">
            <w:pPr>
              <w:rPr>
                <w:rFonts w:ascii="Arial Narrow" w:hAnsi="Arial Narrow" w:cs="Arial"/>
                <w:color w:val="000000" w:themeColor="text1"/>
                <w:szCs w:val="22"/>
              </w:rPr>
            </w:pPr>
          </w:p>
        </w:tc>
        <w:tc>
          <w:tcPr>
            <w:tcW w:w="407" w:type="dxa"/>
          </w:tcPr>
          <w:p w14:paraId="53C13934"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35" w14:textId="77777777" w:rsidR="00212781" w:rsidRPr="002B1DCB" w:rsidRDefault="00212781" w:rsidP="00212781">
            <w:pPr>
              <w:rPr>
                <w:rFonts w:ascii="Arial Narrow" w:hAnsi="Arial Narrow" w:cs="Arial"/>
                <w:color w:val="000000" w:themeColor="text1"/>
                <w:szCs w:val="22"/>
              </w:rPr>
            </w:pPr>
          </w:p>
        </w:tc>
        <w:tc>
          <w:tcPr>
            <w:tcW w:w="406" w:type="dxa"/>
          </w:tcPr>
          <w:p w14:paraId="53C13936"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937" w14:textId="77777777" w:rsidR="00212781" w:rsidRPr="002B1DCB" w:rsidRDefault="00212781" w:rsidP="00212781">
            <w:pPr>
              <w:rPr>
                <w:rFonts w:ascii="Arial Narrow" w:hAnsi="Arial Narrow" w:cs="Arial"/>
                <w:color w:val="000000" w:themeColor="text1"/>
                <w:szCs w:val="22"/>
              </w:rPr>
            </w:pPr>
          </w:p>
        </w:tc>
        <w:tc>
          <w:tcPr>
            <w:tcW w:w="406" w:type="dxa"/>
          </w:tcPr>
          <w:p w14:paraId="53C13938"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39" w14:textId="77777777" w:rsidR="00212781" w:rsidRPr="002B1DCB" w:rsidRDefault="00212781" w:rsidP="00212781">
            <w:pPr>
              <w:rPr>
                <w:rFonts w:ascii="Arial Narrow" w:hAnsi="Arial Narrow" w:cs="Arial"/>
                <w:color w:val="000000" w:themeColor="text1"/>
                <w:szCs w:val="22"/>
              </w:rPr>
            </w:pPr>
          </w:p>
        </w:tc>
        <w:tc>
          <w:tcPr>
            <w:tcW w:w="407" w:type="dxa"/>
          </w:tcPr>
          <w:p w14:paraId="53C1393A"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3B" w14:textId="77777777" w:rsidR="00212781" w:rsidRPr="002B1DCB" w:rsidRDefault="00212781" w:rsidP="00212781">
            <w:pPr>
              <w:rPr>
                <w:rFonts w:ascii="Arial Narrow" w:hAnsi="Arial Narrow" w:cs="Arial"/>
                <w:color w:val="000000" w:themeColor="text1"/>
                <w:szCs w:val="22"/>
              </w:rPr>
            </w:pPr>
          </w:p>
        </w:tc>
        <w:tc>
          <w:tcPr>
            <w:tcW w:w="406" w:type="dxa"/>
          </w:tcPr>
          <w:p w14:paraId="53C1393C"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93D" w14:textId="77777777" w:rsidR="00212781" w:rsidRPr="002B1DCB" w:rsidRDefault="00212781" w:rsidP="00212781">
            <w:pPr>
              <w:rPr>
                <w:rFonts w:ascii="Arial Narrow" w:hAnsi="Arial Narrow" w:cs="Arial"/>
                <w:color w:val="000000" w:themeColor="text1"/>
                <w:szCs w:val="22"/>
              </w:rPr>
            </w:pPr>
          </w:p>
        </w:tc>
        <w:tc>
          <w:tcPr>
            <w:tcW w:w="406" w:type="dxa"/>
          </w:tcPr>
          <w:p w14:paraId="53C1393E"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3F" w14:textId="77777777" w:rsidR="00212781" w:rsidRPr="002B1DCB" w:rsidRDefault="00212781" w:rsidP="00212781">
            <w:pPr>
              <w:rPr>
                <w:rFonts w:ascii="Arial Narrow" w:hAnsi="Arial Narrow" w:cs="Arial"/>
                <w:b/>
                <w:color w:val="000000" w:themeColor="text1"/>
                <w:szCs w:val="22"/>
              </w:rPr>
            </w:pPr>
          </w:p>
        </w:tc>
        <w:tc>
          <w:tcPr>
            <w:tcW w:w="407" w:type="dxa"/>
          </w:tcPr>
          <w:p w14:paraId="53C13940" w14:textId="77777777" w:rsidR="00212781" w:rsidRPr="002B1DCB" w:rsidRDefault="00212781" w:rsidP="00212781">
            <w:pPr>
              <w:rPr>
                <w:rFonts w:ascii="Arial Narrow" w:hAnsi="Arial Narrow"/>
                <w:b/>
                <w:color w:val="000000" w:themeColor="text1"/>
              </w:rPr>
            </w:pPr>
            <w:r w:rsidRPr="002B1DCB">
              <w:rPr>
                <w:rFonts w:ascii="Arial Narrow" w:hAnsi="Arial Narrow" w:cs="Arial"/>
                <w:color w:val="000000" w:themeColor="text1"/>
                <w:szCs w:val="22"/>
              </w:rPr>
              <w:t>●</w:t>
            </w:r>
          </w:p>
        </w:tc>
      </w:tr>
      <w:tr w:rsidR="00212781" w:rsidRPr="002B1DCB" w14:paraId="53C13954" w14:textId="77777777" w:rsidTr="00212781">
        <w:tc>
          <w:tcPr>
            <w:tcW w:w="1129" w:type="dxa"/>
            <w:vMerge/>
            <w:vAlign w:val="center"/>
          </w:tcPr>
          <w:p w14:paraId="53C13942" w14:textId="77777777" w:rsidR="00212781" w:rsidRPr="002B1DCB" w:rsidRDefault="00212781" w:rsidP="00212781">
            <w:pPr>
              <w:jc w:val="center"/>
              <w:rPr>
                <w:rFonts w:ascii="Arial Narrow" w:hAnsi="Arial Narrow"/>
                <w:bCs/>
                <w:color w:val="000000" w:themeColor="text1"/>
              </w:rPr>
            </w:pPr>
          </w:p>
        </w:tc>
        <w:tc>
          <w:tcPr>
            <w:tcW w:w="1843" w:type="dxa"/>
            <w:tcMar>
              <w:left w:w="28" w:type="dxa"/>
              <w:right w:w="28" w:type="dxa"/>
            </w:tcMar>
            <w:vAlign w:val="bottom"/>
          </w:tcPr>
          <w:p w14:paraId="53C13943"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Havannah</w:t>
            </w:r>
          </w:p>
        </w:tc>
        <w:tc>
          <w:tcPr>
            <w:tcW w:w="567" w:type="dxa"/>
            <w:tcMar>
              <w:left w:w="28" w:type="dxa"/>
              <w:right w:w="28" w:type="dxa"/>
            </w:tcMar>
          </w:tcPr>
          <w:p w14:paraId="53C13944"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MMP</w:t>
            </w:r>
          </w:p>
        </w:tc>
        <w:tc>
          <w:tcPr>
            <w:tcW w:w="406" w:type="dxa"/>
          </w:tcPr>
          <w:p w14:paraId="53C13945"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46"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947"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48" w14:textId="77777777" w:rsidR="00212781" w:rsidRPr="002B1DCB" w:rsidRDefault="00212781" w:rsidP="00212781">
            <w:pPr>
              <w:rPr>
                <w:rFonts w:ascii="Arial Narrow" w:hAnsi="Arial Narrow" w:cs="Arial"/>
                <w:color w:val="000000" w:themeColor="text1"/>
                <w:szCs w:val="22"/>
              </w:rPr>
            </w:pPr>
          </w:p>
        </w:tc>
        <w:tc>
          <w:tcPr>
            <w:tcW w:w="406" w:type="dxa"/>
          </w:tcPr>
          <w:p w14:paraId="53C13949"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94A" w14:textId="77777777" w:rsidR="00212781" w:rsidRPr="002B1DCB" w:rsidRDefault="00212781" w:rsidP="00212781">
            <w:pPr>
              <w:rPr>
                <w:rFonts w:ascii="Arial Narrow" w:hAnsi="Arial Narrow" w:cs="Arial"/>
                <w:color w:val="000000" w:themeColor="text1"/>
                <w:szCs w:val="22"/>
              </w:rPr>
            </w:pPr>
          </w:p>
        </w:tc>
        <w:tc>
          <w:tcPr>
            <w:tcW w:w="406" w:type="dxa"/>
          </w:tcPr>
          <w:p w14:paraId="53C1394B"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4C" w14:textId="77777777" w:rsidR="00212781" w:rsidRPr="002B1DCB" w:rsidRDefault="00212781" w:rsidP="00212781">
            <w:pPr>
              <w:rPr>
                <w:rFonts w:ascii="Arial Narrow" w:hAnsi="Arial Narrow" w:cs="Arial"/>
                <w:color w:val="000000" w:themeColor="text1"/>
                <w:szCs w:val="22"/>
              </w:rPr>
            </w:pPr>
          </w:p>
        </w:tc>
        <w:tc>
          <w:tcPr>
            <w:tcW w:w="407" w:type="dxa"/>
          </w:tcPr>
          <w:p w14:paraId="53C1394D"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4E" w14:textId="77777777" w:rsidR="00212781" w:rsidRPr="002B1DCB" w:rsidRDefault="00212781" w:rsidP="00212781">
            <w:pPr>
              <w:rPr>
                <w:rFonts w:ascii="Arial Narrow" w:hAnsi="Arial Narrow" w:cs="Arial"/>
                <w:color w:val="000000" w:themeColor="text1"/>
                <w:szCs w:val="22"/>
              </w:rPr>
            </w:pPr>
          </w:p>
        </w:tc>
        <w:tc>
          <w:tcPr>
            <w:tcW w:w="406" w:type="dxa"/>
          </w:tcPr>
          <w:p w14:paraId="53C1394F"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950"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b/>
                <w:color w:val="000000" w:themeColor="text1"/>
                <w:szCs w:val="22"/>
              </w:rPr>
              <w:t>+</w:t>
            </w:r>
          </w:p>
        </w:tc>
        <w:tc>
          <w:tcPr>
            <w:tcW w:w="406" w:type="dxa"/>
          </w:tcPr>
          <w:p w14:paraId="53C13951" w14:textId="77777777" w:rsidR="00212781" w:rsidRPr="002B1DCB" w:rsidRDefault="00212781" w:rsidP="00212781">
            <w:pPr>
              <w:rPr>
                <w:rFonts w:ascii="Arial Narrow" w:hAnsi="Arial Narrow" w:cs="Arial"/>
                <w:b/>
                <w:color w:val="000000" w:themeColor="text1"/>
                <w:szCs w:val="22"/>
              </w:rPr>
            </w:pPr>
            <w:r w:rsidRPr="002B1DCB">
              <w:rPr>
                <w:rFonts w:ascii="Arial Narrow" w:hAnsi="Arial Narrow" w:cs="Arial"/>
                <w:color w:val="000000" w:themeColor="text1"/>
                <w:szCs w:val="22"/>
              </w:rPr>
              <w:t>●</w:t>
            </w:r>
          </w:p>
        </w:tc>
        <w:tc>
          <w:tcPr>
            <w:tcW w:w="406" w:type="dxa"/>
          </w:tcPr>
          <w:p w14:paraId="53C13952" w14:textId="77777777" w:rsidR="00212781" w:rsidRPr="002B1DCB" w:rsidRDefault="00212781" w:rsidP="00212781">
            <w:pPr>
              <w:rPr>
                <w:rFonts w:ascii="Arial Narrow" w:hAnsi="Arial Narrow" w:cs="Arial"/>
                <w:b/>
                <w:color w:val="000000" w:themeColor="text1"/>
                <w:szCs w:val="22"/>
              </w:rPr>
            </w:pPr>
            <w:r w:rsidRPr="002B1DCB">
              <w:rPr>
                <w:rFonts w:ascii="Arial Narrow" w:hAnsi="Arial Narrow" w:cs="Arial"/>
                <w:b/>
                <w:color w:val="000000" w:themeColor="text1"/>
                <w:szCs w:val="22"/>
              </w:rPr>
              <w:t>+</w:t>
            </w:r>
          </w:p>
        </w:tc>
        <w:tc>
          <w:tcPr>
            <w:tcW w:w="407" w:type="dxa"/>
          </w:tcPr>
          <w:p w14:paraId="53C13953" w14:textId="77777777" w:rsidR="00212781" w:rsidRPr="002B1DCB" w:rsidRDefault="00212781" w:rsidP="00212781">
            <w:pPr>
              <w:rPr>
                <w:rFonts w:ascii="Arial Narrow" w:hAnsi="Arial Narrow"/>
                <w:b/>
                <w:color w:val="000000" w:themeColor="text1"/>
              </w:rPr>
            </w:pPr>
            <w:r w:rsidRPr="002B1DCB">
              <w:rPr>
                <w:rFonts w:ascii="Arial Narrow" w:hAnsi="Arial Narrow" w:cs="Arial"/>
                <w:color w:val="000000" w:themeColor="text1"/>
                <w:szCs w:val="22"/>
              </w:rPr>
              <w:t>●</w:t>
            </w:r>
          </w:p>
        </w:tc>
      </w:tr>
      <w:tr w:rsidR="00212781" w:rsidRPr="002B1DCB" w14:paraId="53C13967" w14:textId="77777777" w:rsidTr="00212781">
        <w:tc>
          <w:tcPr>
            <w:tcW w:w="1129" w:type="dxa"/>
            <w:vMerge/>
            <w:vAlign w:val="center"/>
          </w:tcPr>
          <w:p w14:paraId="53C13955" w14:textId="77777777" w:rsidR="00212781" w:rsidRPr="002B1DCB" w:rsidRDefault="00212781" w:rsidP="00212781">
            <w:pPr>
              <w:jc w:val="center"/>
              <w:rPr>
                <w:rFonts w:ascii="Arial Narrow" w:hAnsi="Arial Narrow"/>
                <w:bCs/>
                <w:color w:val="000000" w:themeColor="text1"/>
              </w:rPr>
            </w:pPr>
          </w:p>
        </w:tc>
        <w:tc>
          <w:tcPr>
            <w:tcW w:w="1843" w:type="dxa"/>
            <w:tcMar>
              <w:left w:w="28" w:type="dxa"/>
              <w:right w:w="28" w:type="dxa"/>
            </w:tcMar>
            <w:vAlign w:val="bottom"/>
          </w:tcPr>
          <w:p w14:paraId="53C13956"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Middle Reef</w:t>
            </w:r>
          </w:p>
        </w:tc>
        <w:tc>
          <w:tcPr>
            <w:tcW w:w="567" w:type="dxa"/>
            <w:tcMar>
              <w:left w:w="28" w:type="dxa"/>
              <w:right w:w="28" w:type="dxa"/>
            </w:tcMar>
          </w:tcPr>
          <w:p w14:paraId="53C13957"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LTMP</w:t>
            </w:r>
          </w:p>
        </w:tc>
        <w:tc>
          <w:tcPr>
            <w:tcW w:w="406" w:type="dxa"/>
          </w:tcPr>
          <w:p w14:paraId="53C13958"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59" w14:textId="77777777" w:rsidR="00212781" w:rsidRPr="002B1DCB" w:rsidRDefault="00212781" w:rsidP="00212781">
            <w:pPr>
              <w:rPr>
                <w:rFonts w:ascii="Arial Narrow" w:hAnsi="Arial Narrow" w:cs="Arial"/>
                <w:color w:val="000000" w:themeColor="text1"/>
                <w:szCs w:val="22"/>
              </w:rPr>
            </w:pPr>
          </w:p>
        </w:tc>
        <w:tc>
          <w:tcPr>
            <w:tcW w:w="407" w:type="dxa"/>
          </w:tcPr>
          <w:p w14:paraId="53C1395A"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5B" w14:textId="77777777" w:rsidR="00212781" w:rsidRPr="002B1DCB" w:rsidRDefault="00212781" w:rsidP="00212781">
            <w:pPr>
              <w:rPr>
                <w:rFonts w:ascii="Arial Narrow" w:hAnsi="Arial Narrow" w:cs="Arial"/>
                <w:color w:val="000000" w:themeColor="text1"/>
                <w:szCs w:val="22"/>
              </w:rPr>
            </w:pPr>
          </w:p>
        </w:tc>
        <w:tc>
          <w:tcPr>
            <w:tcW w:w="406" w:type="dxa"/>
          </w:tcPr>
          <w:p w14:paraId="53C1395C"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95D" w14:textId="77777777" w:rsidR="00212781" w:rsidRPr="002B1DCB" w:rsidRDefault="00212781" w:rsidP="00212781">
            <w:pPr>
              <w:rPr>
                <w:rFonts w:ascii="Arial Narrow" w:hAnsi="Arial Narrow" w:cs="Arial"/>
                <w:color w:val="000000" w:themeColor="text1"/>
                <w:szCs w:val="22"/>
              </w:rPr>
            </w:pPr>
          </w:p>
        </w:tc>
        <w:tc>
          <w:tcPr>
            <w:tcW w:w="406" w:type="dxa"/>
          </w:tcPr>
          <w:p w14:paraId="53C1395E"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5F" w14:textId="77777777" w:rsidR="00212781" w:rsidRPr="002B1DCB" w:rsidRDefault="00212781" w:rsidP="00212781">
            <w:pPr>
              <w:rPr>
                <w:rFonts w:ascii="Arial Narrow" w:hAnsi="Arial Narrow" w:cs="Arial"/>
                <w:color w:val="000000" w:themeColor="text1"/>
                <w:szCs w:val="22"/>
              </w:rPr>
            </w:pPr>
          </w:p>
        </w:tc>
        <w:tc>
          <w:tcPr>
            <w:tcW w:w="407" w:type="dxa"/>
          </w:tcPr>
          <w:p w14:paraId="53C13960"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61" w14:textId="77777777" w:rsidR="00212781" w:rsidRPr="002B1DCB" w:rsidRDefault="00212781" w:rsidP="00212781">
            <w:pPr>
              <w:rPr>
                <w:rFonts w:ascii="Arial Narrow" w:hAnsi="Arial Narrow" w:cs="Arial"/>
                <w:color w:val="000000" w:themeColor="text1"/>
                <w:szCs w:val="22"/>
              </w:rPr>
            </w:pPr>
          </w:p>
        </w:tc>
        <w:tc>
          <w:tcPr>
            <w:tcW w:w="406" w:type="dxa"/>
          </w:tcPr>
          <w:p w14:paraId="53C13962" w14:textId="77777777" w:rsidR="00212781" w:rsidRPr="002B1DCB" w:rsidRDefault="00212781" w:rsidP="00212781">
            <w:pPr>
              <w:rPr>
                <w:rFonts w:ascii="Arial Narrow" w:hAnsi="Arial Narrow" w:cs="Arial"/>
                <w:color w:val="000000" w:themeColor="text1"/>
                <w:szCs w:val="22"/>
              </w:rPr>
            </w:pPr>
          </w:p>
        </w:tc>
        <w:tc>
          <w:tcPr>
            <w:tcW w:w="407" w:type="dxa"/>
          </w:tcPr>
          <w:p w14:paraId="53C13963" w14:textId="77777777" w:rsidR="00212781" w:rsidRPr="002B1DCB" w:rsidRDefault="00212781" w:rsidP="00212781">
            <w:pPr>
              <w:rPr>
                <w:rFonts w:ascii="Arial Narrow" w:hAnsi="Arial Narrow" w:cs="Arial"/>
                <w:color w:val="000000" w:themeColor="text1"/>
                <w:szCs w:val="22"/>
              </w:rPr>
            </w:pPr>
          </w:p>
        </w:tc>
        <w:tc>
          <w:tcPr>
            <w:tcW w:w="406" w:type="dxa"/>
          </w:tcPr>
          <w:p w14:paraId="53C13964" w14:textId="77777777" w:rsidR="00212781" w:rsidRPr="002B1DCB" w:rsidRDefault="00212781" w:rsidP="00212781">
            <w:pPr>
              <w:rPr>
                <w:rFonts w:ascii="Arial Narrow" w:hAnsi="Arial Narrow" w:cs="Arial"/>
                <w:color w:val="000000" w:themeColor="text1"/>
                <w:szCs w:val="22"/>
              </w:rPr>
            </w:pPr>
          </w:p>
        </w:tc>
        <w:tc>
          <w:tcPr>
            <w:tcW w:w="406" w:type="dxa"/>
          </w:tcPr>
          <w:p w14:paraId="53C13965" w14:textId="77777777" w:rsidR="00212781" w:rsidRPr="002B1DCB" w:rsidRDefault="00212781" w:rsidP="00212781">
            <w:pPr>
              <w:rPr>
                <w:rFonts w:ascii="Arial Narrow" w:hAnsi="Arial Narrow" w:cs="Arial"/>
                <w:b/>
                <w:color w:val="000000" w:themeColor="text1"/>
                <w:szCs w:val="22"/>
              </w:rPr>
            </w:pPr>
          </w:p>
        </w:tc>
        <w:tc>
          <w:tcPr>
            <w:tcW w:w="407" w:type="dxa"/>
          </w:tcPr>
          <w:p w14:paraId="53C13966" w14:textId="77777777" w:rsidR="00212781" w:rsidRPr="002B1DCB" w:rsidRDefault="00212781" w:rsidP="00212781">
            <w:pPr>
              <w:rPr>
                <w:rFonts w:ascii="Arial Narrow" w:hAnsi="Arial Narrow"/>
                <w:b/>
                <w:color w:val="000000" w:themeColor="text1"/>
              </w:rPr>
            </w:pPr>
          </w:p>
        </w:tc>
      </w:tr>
      <w:tr w:rsidR="00212781" w:rsidRPr="002B1DCB" w14:paraId="53C1397A" w14:textId="77777777" w:rsidTr="00212781">
        <w:tc>
          <w:tcPr>
            <w:tcW w:w="1129" w:type="dxa"/>
            <w:vMerge/>
            <w:vAlign w:val="center"/>
          </w:tcPr>
          <w:p w14:paraId="53C13968" w14:textId="77777777" w:rsidR="00212781" w:rsidRPr="002B1DCB" w:rsidRDefault="00212781" w:rsidP="00212781">
            <w:pPr>
              <w:jc w:val="center"/>
              <w:rPr>
                <w:rFonts w:ascii="Arial Narrow" w:hAnsi="Arial Narrow"/>
                <w:bCs/>
                <w:color w:val="000000" w:themeColor="text1"/>
              </w:rPr>
            </w:pPr>
          </w:p>
        </w:tc>
        <w:tc>
          <w:tcPr>
            <w:tcW w:w="1843" w:type="dxa"/>
            <w:tcMar>
              <w:left w:w="28" w:type="dxa"/>
              <w:right w:w="28" w:type="dxa"/>
            </w:tcMar>
            <w:vAlign w:val="bottom"/>
          </w:tcPr>
          <w:p w14:paraId="53C13969"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Middle Reef</w:t>
            </w:r>
          </w:p>
        </w:tc>
        <w:tc>
          <w:tcPr>
            <w:tcW w:w="567" w:type="dxa"/>
            <w:tcMar>
              <w:left w:w="28" w:type="dxa"/>
              <w:right w:w="28" w:type="dxa"/>
            </w:tcMar>
          </w:tcPr>
          <w:p w14:paraId="53C1396A"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MMP</w:t>
            </w:r>
          </w:p>
        </w:tc>
        <w:tc>
          <w:tcPr>
            <w:tcW w:w="406" w:type="dxa"/>
          </w:tcPr>
          <w:p w14:paraId="53C1396B"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6C"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96D"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6E" w14:textId="77777777" w:rsidR="00212781" w:rsidRPr="002B1DCB" w:rsidRDefault="00212781" w:rsidP="00212781">
            <w:pPr>
              <w:rPr>
                <w:rFonts w:ascii="Arial Narrow" w:hAnsi="Arial Narrow" w:cs="Arial"/>
                <w:color w:val="000000" w:themeColor="text1"/>
                <w:szCs w:val="22"/>
              </w:rPr>
            </w:pPr>
          </w:p>
        </w:tc>
        <w:tc>
          <w:tcPr>
            <w:tcW w:w="406" w:type="dxa"/>
          </w:tcPr>
          <w:p w14:paraId="53C1396F"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970" w14:textId="77777777" w:rsidR="00212781" w:rsidRPr="002B1DCB" w:rsidRDefault="00212781" w:rsidP="00212781">
            <w:pPr>
              <w:rPr>
                <w:rFonts w:ascii="Arial Narrow" w:hAnsi="Arial Narrow" w:cs="Arial"/>
                <w:color w:val="000000" w:themeColor="text1"/>
                <w:szCs w:val="22"/>
              </w:rPr>
            </w:pPr>
          </w:p>
        </w:tc>
        <w:tc>
          <w:tcPr>
            <w:tcW w:w="406" w:type="dxa"/>
          </w:tcPr>
          <w:p w14:paraId="53C13971"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72" w14:textId="77777777" w:rsidR="00212781" w:rsidRPr="002B1DCB" w:rsidRDefault="00212781" w:rsidP="00212781">
            <w:pPr>
              <w:rPr>
                <w:rFonts w:ascii="Arial Narrow" w:hAnsi="Arial Narrow" w:cs="Arial"/>
                <w:color w:val="000000" w:themeColor="text1"/>
                <w:szCs w:val="22"/>
              </w:rPr>
            </w:pPr>
          </w:p>
        </w:tc>
        <w:tc>
          <w:tcPr>
            <w:tcW w:w="407" w:type="dxa"/>
          </w:tcPr>
          <w:p w14:paraId="53C13973"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shd w:val="clear" w:color="auto" w:fill="F2F2F2" w:themeFill="background1" w:themeFillShade="F2"/>
          </w:tcPr>
          <w:p w14:paraId="53C13974" w14:textId="77777777" w:rsidR="00212781" w:rsidRPr="002B1DCB" w:rsidRDefault="00212781" w:rsidP="00212781">
            <w:pPr>
              <w:rPr>
                <w:rFonts w:ascii="Arial Narrow" w:hAnsi="Arial Narrow" w:cs="Arial"/>
                <w:color w:val="000000" w:themeColor="text1"/>
                <w:szCs w:val="22"/>
              </w:rPr>
            </w:pPr>
          </w:p>
        </w:tc>
        <w:tc>
          <w:tcPr>
            <w:tcW w:w="406" w:type="dxa"/>
            <w:shd w:val="clear" w:color="auto" w:fill="F2F2F2" w:themeFill="background1" w:themeFillShade="F2"/>
          </w:tcPr>
          <w:p w14:paraId="53C13975" w14:textId="77777777" w:rsidR="00212781" w:rsidRPr="002B1DCB" w:rsidRDefault="00212781" w:rsidP="00212781">
            <w:pPr>
              <w:rPr>
                <w:rFonts w:ascii="Arial Narrow" w:hAnsi="Arial Narrow" w:cs="Arial"/>
                <w:color w:val="000000" w:themeColor="text1"/>
                <w:szCs w:val="22"/>
              </w:rPr>
            </w:pPr>
          </w:p>
        </w:tc>
        <w:tc>
          <w:tcPr>
            <w:tcW w:w="407" w:type="dxa"/>
            <w:shd w:val="clear" w:color="auto" w:fill="F2F2F2" w:themeFill="background1" w:themeFillShade="F2"/>
          </w:tcPr>
          <w:p w14:paraId="53C13976" w14:textId="77777777" w:rsidR="00212781" w:rsidRPr="002B1DCB" w:rsidRDefault="00212781" w:rsidP="00212781">
            <w:pPr>
              <w:rPr>
                <w:rFonts w:ascii="Arial Narrow" w:hAnsi="Arial Narrow" w:cs="Arial"/>
                <w:color w:val="000000" w:themeColor="text1"/>
                <w:szCs w:val="22"/>
              </w:rPr>
            </w:pPr>
          </w:p>
        </w:tc>
        <w:tc>
          <w:tcPr>
            <w:tcW w:w="406" w:type="dxa"/>
            <w:shd w:val="clear" w:color="auto" w:fill="F2F2F2" w:themeFill="background1" w:themeFillShade="F2"/>
          </w:tcPr>
          <w:p w14:paraId="53C13977" w14:textId="77777777" w:rsidR="00212781" w:rsidRPr="002B1DCB" w:rsidRDefault="00212781" w:rsidP="00212781">
            <w:pPr>
              <w:rPr>
                <w:rFonts w:ascii="Arial Narrow" w:hAnsi="Arial Narrow" w:cs="Arial"/>
                <w:color w:val="000000" w:themeColor="text1"/>
                <w:szCs w:val="22"/>
              </w:rPr>
            </w:pPr>
          </w:p>
        </w:tc>
        <w:tc>
          <w:tcPr>
            <w:tcW w:w="406" w:type="dxa"/>
            <w:shd w:val="clear" w:color="auto" w:fill="F2F2F2" w:themeFill="background1" w:themeFillShade="F2"/>
          </w:tcPr>
          <w:p w14:paraId="53C13978" w14:textId="77777777" w:rsidR="00212781" w:rsidRPr="002B1DCB" w:rsidRDefault="00212781" w:rsidP="00212781">
            <w:pPr>
              <w:rPr>
                <w:rFonts w:ascii="Arial Narrow" w:hAnsi="Arial Narrow" w:cs="Arial"/>
                <w:b/>
                <w:color w:val="000000" w:themeColor="text1"/>
                <w:szCs w:val="22"/>
              </w:rPr>
            </w:pPr>
          </w:p>
        </w:tc>
        <w:tc>
          <w:tcPr>
            <w:tcW w:w="407" w:type="dxa"/>
            <w:shd w:val="clear" w:color="auto" w:fill="F2F2F2" w:themeFill="background1" w:themeFillShade="F2"/>
          </w:tcPr>
          <w:p w14:paraId="53C13979" w14:textId="77777777" w:rsidR="00212781" w:rsidRPr="002B1DCB" w:rsidRDefault="00212781" w:rsidP="00212781">
            <w:pPr>
              <w:rPr>
                <w:rFonts w:ascii="Arial Narrow" w:hAnsi="Arial Narrow"/>
                <w:b/>
                <w:color w:val="000000" w:themeColor="text1"/>
              </w:rPr>
            </w:pPr>
          </w:p>
        </w:tc>
      </w:tr>
      <w:tr w:rsidR="00212781" w:rsidRPr="002B1DCB" w14:paraId="53C1398D" w14:textId="77777777" w:rsidTr="00212781">
        <w:tc>
          <w:tcPr>
            <w:tcW w:w="1129" w:type="dxa"/>
            <w:vMerge/>
            <w:vAlign w:val="center"/>
          </w:tcPr>
          <w:p w14:paraId="53C1397B" w14:textId="77777777" w:rsidR="00212781" w:rsidRPr="002B1DCB" w:rsidRDefault="00212781" w:rsidP="00212781">
            <w:pPr>
              <w:jc w:val="center"/>
              <w:rPr>
                <w:rFonts w:ascii="Arial Narrow" w:hAnsi="Arial Narrow"/>
                <w:bCs/>
                <w:color w:val="000000" w:themeColor="text1"/>
              </w:rPr>
            </w:pPr>
          </w:p>
        </w:tc>
        <w:tc>
          <w:tcPr>
            <w:tcW w:w="1843" w:type="dxa"/>
            <w:tcMar>
              <w:left w:w="28" w:type="dxa"/>
              <w:right w:w="28" w:type="dxa"/>
            </w:tcMar>
            <w:vAlign w:val="bottom"/>
          </w:tcPr>
          <w:p w14:paraId="53C1397C"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Magnetic (WQ)</w:t>
            </w:r>
          </w:p>
        </w:tc>
        <w:tc>
          <w:tcPr>
            <w:tcW w:w="567" w:type="dxa"/>
            <w:tcMar>
              <w:left w:w="28" w:type="dxa"/>
              <w:right w:w="28" w:type="dxa"/>
            </w:tcMar>
          </w:tcPr>
          <w:p w14:paraId="53C1397D"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MMP</w:t>
            </w:r>
          </w:p>
        </w:tc>
        <w:tc>
          <w:tcPr>
            <w:tcW w:w="406" w:type="dxa"/>
          </w:tcPr>
          <w:p w14:paraId="53C1397E"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7F"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980"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81"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82"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983"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84"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85"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986"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87"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88"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989"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b/>
                <w:color w:val="000000" w:themeColor="text1"/>
                <w:szCs w:val="22"/>
              </w:rPr>
              <w:t>+</w:t>
            </w:r>
          </w:p>
        </w:tc>
        <w:tc>
          <w:tcPr>
            <w:tcW w:w="406" w:type="dxa"/>
          </w:tcPr>
          <w:p w14:paraId="53C1398A" w14:textId="77777777" w:rsidR="00212781" w:rsidRPr="002B1DCB" w:rsidRDefault="00212781" w:rsidP="00212781">
            <w:pPr>
              <w:rPr>
                <w:rFonts w:ascii="Arial Narrow" w:hAnsi="Arial Narrow" w:cs="Arial"/>
                <w:b/>
                <w:color w:val="000000" w:themeColor="text1"/>
                <w:szCs w:val="22"/>
              </w:rPr>
            </w:pPr>
            <w:r w:rsidRPr="002B1DCB">
              <w:rPr>
                <w:rFonts w:ascii="Arial Narrow" w:hAnsi="Arial Narrow" w:cs="Arial"/>
                <w:color w:val="000000" w:themeColor="text1"/>
                <w:szCs w:val="22"/>
              </w:rPr>
              <w:t>●</w:t>
            </w:r>
          </w:p>
        </w:tc>
        <w:tc>
          <w:tcPr>
            <w:tcW w:w="406" w:type="dxa"/>
          </w:tcPr>
          <w:p w14:paraId="53C1398B" w14:textId="77777777" w:rsidR="00212781" w:rsidRPr="002B1DCB" w:rsidRDefault="00212781" w:rsidP="00212781">
            <w:pPr>
              <w:rPr>
                <w:rFonts w:ascii="Arial Narrow" w:hAnsi="Arial Narrow" w:cs="Arial"/>
                <w:b/>
                <w:color w:val="000000" w:themeColor="text1"/>
                <w:szCs w:val="22"/>
              </w:rPr>
            </w:pPr>
            <w:r w:rsidRPr="002B1DCB">
              <w:rPr>
                <w:rFonts w:ascii="Arial Narrow" w:hAnsi="Arial Narrow" w:cs="Arial"/>
                <w:b/>
                <w:color w:val="000000" w:themeColor="text1"/>
                <w:szCs w:val="22"/>
              </w:rPr>
              <w:t>+</w:t>
            </w:r>
          </w:p>
        </w:tc>
        <w:tc>
          <w:tcPr>
            <w:tcW w:w="407" w:type="dxa"/>
          </w:tcPr>
          <w:p w14:paraId="53C1398C" w14:textId="77777777" w:rsidR="00212781" w:rsidRPr="002B1DCB" w:rsidRDefault="00212781" w:rsidP="00212781">
            <w:pPr>
              <w:rPr>
                <w:rFonts w:ascii="Arial Narrow" w:hAnsi="Arial Narrow"/>
                <w:b/>
                <w:color w:val="000000" w:themeColor="text1"/>
              </w:rPr>
            </w:pPr>
            <w:r w:rsidRPr="002B1DCB">
              <w:rPr>
                <w:rFonts w:ascii="Arial Narrow" w:hAnsi="Arial Narrow" w:cs="Arial"/>
                <w:color w:val="000000" w:themeColor="text1"/>
                <w:szCs w:val="22"/>
              </w:rPr>
              <w:t>●</w:t>
            </w:r>
          </w:p>
        </w:tc>
      </w:tr>
      <w:tr w:rsidR="00212781" w:rsidRPr="002B1DCB" w14:paraId="53C139A0" w14:textId="77777777" w:rsidTr="00212781">
        <w:tc>
          <w:tcPr>
            <w:tcW w:w="1129" w:type="dxa"/>
            <w:vMerge w:val="restart"/>
            <w:vAlign w:val="center"/>
          </w:tcPr>
          <w:p w14:paraId="53C1398E" w14:textId="77777777" w:rsidR="00212781" w:rsidRPr="002B1DCB" w:rsidRDefault="00212781" w:rsidP="00212781">
            <w:pPr>
              <w:jc w:val="center"/>
              <w:rPr>
                <w:rFonts w:ascii="Arial Narrow" w:hAnsi="Arial Narrow"/>
                <w:bCs/>
                <w:color w:val="000000" w:themeColor="text1"/>
              </w:rPr>
            </w:pPr>
            <w:r>
              <w:rPr>
                <w:rFonts w:ascii="Arial Narrow" w:hAnsi="Arial Narrow"/>
                <w:bCs/>
                <w:color w:val="000000" w:themeColor="text1"/>
              </w:rPr>
              <w:t>Mackay-Whitsunday</w:t>
            </w:r>
          </w:p>
        </w:tc>
        <w:tc>
          <w:tcPr>
            <w:tcW w:w="1843" w:type="dxa"/>
            <w:tcMar>
              <w:left w:w="28" w:type="dxa"/>
              <w:right w:w="28" w:type="dxa"/>
            </w:tcMar>
            <w:vAlign w:val="bottom"/>
          </w:tcPr>
          <w:p w14:paraId="53C1398F"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Langford</w:t>
            </w:r>
          </w:p>
        </w:tc>
        <w:tc>
          <w:tcPr>
            <w:tcW w:w="567" w:type="dxa"/>
            <w:tcMar>
              <w:left w:w="28" w:type="dxa"/>
              <w:right w:w="28" w:type="dxa"/>
            </w:tcMar>
          </w:tcPr>
          <w:p w14:paraId="53C13990"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LTMP</w:t>
            </w:r>
          </w:p>
        </w:tc>
        <w:tc>
          <w:tcPr>
            <w:tcW w:w="406" w:type="dxa"/>
          </w:tcPr>
          <w:p w14:paraId="53C13991"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92" w14:textId="77777777" w:rsidR="00212781" w:rsidRPr="002B1DCB" w:rsidRDefault="00212781" w:rsidP="00212781">
            <w:pPr>
              <w:rPr>
                <w:rFonts w:ascii="Arial Narrow" w:hAnsi="Arial Narrow" w:cs="Arial"/>
                <w:color w:val="000000" w:themeColor="text1"/>
                <w:szCs w:val="22"/>
              </w:rPr>
            </w:pPr>
          </w:p>
        </w:tc>
        <w:tc>
          <w:tcPr>
            <w:tcW w:w="407" w:type="dxa"/>
          </w:tcPr>
          <w:p w14:paraId="53C13993"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94" w14:textId="77777777" w:rsidR="00212781" w:rsidRPr="002B1DCB" w:rsidRDefault="00212781" w:rsidP="00212781">
            <w:pPr>
              <w:rPr>
                <w:rFonts w:ascii="Arial Narrow" w:hAnsi="Arial Narrow" w:cs="Arial"/>
                <w:color w:val="000000" w:themeColor="text1"/>
                <w:szCs w:val="22"/>
              </w:rPr>
            </w:pPr>
          </w:p>
        </w:tc>
        <w:tc>
          <w:tcPr>
            <w:tcW w:w="406" w:type="dxa"/>
          </w:tcPr>
          <w:p w14:paraId="53C13995"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996" w14:textId="77777777" w:rsidR="00212781" w:rsidRPr="002B1DCB" w:rsidRDefault="00212781" w:rsidP="00212781">
            <w:pPr>
              <w:rPr>
                <w:rFonts w:ascii="Arial Narrow" w:hAnsi="Arial Narrow" w:cs="Arial"/>
                <w:color w:val="000000" w:themeColor="text1"/>
                <w:szCs w:val="22"/>
              </w:rPr>
            </w:pPr>
          </w:p>
        </w:tc>
        <w:tc>
          <w:tcPr>
            <w:tcW w:w="406" w:type="dxa"/>
          </w:tcPr>
          <w:p w14:paraId="53C13997"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98" w14:textId="77777777" w:rsidR="00212781" w:rsidRPr="002B1DCB" w:rsidRDefault="00212781" w:rsidP="00212781">
            <w:pPr>
              <w:rPr>
                <w:rFonts w:ascii="Arial Narrow" w:hAnsi="Arial Narrow" w:cs="Arial"/>
                <w:color w:val="000000" w:themeColor="text1"/>
                <w:szCs w:val="22"/>
              </w:rPr>
            </w:pPr>
          </w:p>
        </w:tc>
        <w:tc>
          <w:tcPr>
            <w:tcW w:w="407" w:type="dxa"/>
          </w:tcPr>
          <w:p w14:paraId="53C13999"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9A" w14:textId="77777777" w:rsidR="00212781" w:rsidRPr="002B1DCB" w:rsidRDefault="00212781" w:rsidP="00212781">
            <w:pPr>
              <w:rPr>
                <w:rFonts w:ascii="Arial Narrow" w:hAnsi="Arial Narrow" w:cs="Arial"/>
                <w:color w:val="000000" w:themeColor="text1"/>
                <w:szCs w:val="22"/>
              </w:rPr>
            </w:pPr>
          </w:p>
        </w:tc>
        <w:tc>
          <w:tcPr>
            <w:tcW w:w="406" w:type="dxa"/>
          </w:tcPr>
          <w:p w14:paraId="53C1399B"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99C" w14:textId="77777777" w:rsidR="00212781" w:rsidRPr="002B1DCB" w:rsidRDefault="00212781" w:rsidP="00212781">
            <w:pPr>
              <w:rPr>
                <w:rFonts w:ascii="Arial Narrow" w:hAnsi="Arial Narrow" w:cs="Arial"/>
                <w:color w:val="000000" w:themeColor="text1"/>
                <w:szCs w:val="22"/>
              </w:rPr>
            </w:pPr>
          </w:p>
        </w:tc>
        <w:tc>
          <w:tcPr>
            <w:tcW w:w="406" w:type="dxa"/>
          </w:tcPr>
          <w:p w14:paraId="53C1399D"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9E" w14:textId="77777777" w:rsidR="00212781" w:rsidRPr="002B1DCB" w:rsidRDefault="00212781" w:rsidP="00212781">
            <w:pPr>
              <w:rPr>
                <w:rFonts w:ascii="Arial Narrow" w:hAnsi="Arial Narrow" w:cs="Arial"/>
                <w:b/>
                <w:color w:val="000000" w:themeColor="text1"/>
                <w:szCs w:val="22"/>
              </w:rPr>
            </w:pPr>
          </w:p>
        </w:tc>
        <w:tc>
          <w:tcPr>
            <w:tcW w:w="407" w:type="dxa"/>
          </w:tcPr>
          <w:p w14:paraId="53C1399F" w14:textId="77777777" w:rsidR="00212781" w:rsidRPr="002B1DCB" w:rsidRDefault="00212781" w:rsidP="00212781">
            <w:pPr>
              <w:rPr>
                <w:rFonts w:ascii="Arial Narrow" w:hAnsi="Arial Narrow"/>
                <w:b/>
                <w:color w:val="000000" w:themeColor="text1"/>
              </w:rPr>
            </w:pPr>
            <w:r w:rsidRPr="002B1DCB">
              <w:rPr>
                <w:rFonts w:ascii="Arial Narrow" w:hAnsi="Arial Narrow" w:cs="Arial"/>
                <w:color w:val="000000" w:themeColor="text1"/>
                <w:szCs w:val="22"/>
              </w:rPr>
              <w:t>●</w:t>
            </w:r>
          </w:p>
        </w:tc>
      </w:tr>
      <w:tr w:rsidR="00212781" w:rsidRPr="002B1DCB" w14:paraId="53C139B3" w14:textId="77777777" w:rsidTr="00212781">
        <w:tc>
          <w:tcPr>
            <w:tcW w:w="1129" w:type="dxa"/>
            <w:vMerge/>
            <w:vAlign w:val="center"/>
          </w:tcPr>
          <w:p w14:paraId="53C139A1" w14:textId="77777777" w:rsidR="00212781" w:rsidRPr="002B1DCB" w:rsidRDefault="00212781" w:rsidP="00212781">
            <w:pPr>
              <w:jc w:val="center"/>
              <w:rPr>
                <w:rFonts w:ascii="Arial Narrow" w:hAnsi="Arial Narrow"/>
                <w:bCs/>
                <w:color w:val="000000" w:themeColor="text1"/>
              </w:rPr>
            </w:pPr>
          </w:p>
        </w:tc>
        <w:tc>
          <w:tcPr>
            <w:tcW w:w="1843" w:type="dxa"/>
            <w:tcMar>
              <w:left w:w="28" w:type="dxa"/>
              <w:right w:w="28" w:type="dxa"/>
            </w:tcMar>
            <w:vAlign w:val="bottom"/>
          </w:tcPr>
          <w:p w14:paraId="53C139A2"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Hayman</w:t>
            </w:r>
          </w:p>
        </w:tc>
        <w:tc>
          <w:tcPr>
            <w:tcW w:w="567" w:type="dxa"/>
            <w:tcMar>
              <w:left w:w="28" w:type="dxa"/>
              <w:right w:w="28" w:type="dxa"/>
            </w:tcMar>
          </w:tcPr>
          <w:p w14:paraId="53C139A3"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LTMP</w:t>
            </w:r>
          </w:p>
        </w:tc>
        <w:tc>
          <w:tcPr>
            <w:tcW w:w="406" w:type="dxa"/>
          </w:tcPr>
          <w:p w14:paraId="53C139A4"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A5" w14:textId="77777777" w:rsidR="00212781" w:rsidRPr="002B1DCB" w:rsidRDefault="00212781" w:rsidP="00212781">
            <w:pPr>
              <w:rPr>
                <w:rFonts w:ascii="Arial Narrow" w:hAnsi="Arial Narrow" w:cs="Arial"/>
                <w:color w:val="000000" w:themeColor="text1"/>
                <w:szCs w:val="22"/>
              </w:rPr>
            </w:pPr>
          </w:p>
        </w:tc>
        <w:tc>
          <w:tcPr>
            <w:tcW w:w="407" w:type="dxa"/>
          </w:tcPr>
          <w:p w14:paraId="53C139A6"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A7" w14:textId="77777777" w:rsidR="00212781" w:rsidRPr="002B1DCB" w:rsidRDefault="00212781" w:rsidP="00212781">
            <w:pPr>
              <w:rPr>
                <w:rFonts w:ascii="Arial Narrow" w:hAnsi="Arial Narrow" w:cs="Arial"/>
                <w:color w:val="000000" w:themeColor="text1"/>
                <w:szCs w:val="22"/>
              </w:rPr>
            </w:pPr>
          </w:p>
        </w:tc>
        <w:tc>
          <w:tcPr>
            <w:tcW w:w="406" w:type="dxa"/>
          </w:tcPr>
          <w:p w14:paraId="53C139A8"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9A9" w14:textId="77777777" w:rsidR="00212781" w:rsidRPr="002B1DCB" w:rsidRDefault="00212781" w:rsidP="00212781">
            <w:pPr>
              <w:rPr>
                <w:rFonts w:ascii="Arial Narrow" w:hAnsi="Arial Narrow" w:cs="Arial"/>
                <w:color w:val="000000" w:themeColor="text1"/>
                <w:szCs w:val="22"/>
              </w:rPr>
            </w:pPr>
          </w:p>
        </w:tc>
        <w:tc>
          <w:tcPr>
            <w:tcW w:w="406" w:type="dxa"/>
          </w:tcPr>
          <w:p w14:paraId="53C139AA"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AB" w14:textId="77777777" w:rsidR="00212781" w:rsidRPr="002B1DCB" w:rsidRDefault="00212781" w:rsidP="00212781">
            <w:pPr>
              <w:rPr>
                <w:rFonts w:ascii="Arial Narrow" w:hAnsi="Arial Narrow" w:cs="Arial"/>
                <w:color w:val="000000" w:themeColor="text1"/>
                <w:szCs w:val="22"/>
              </w:rPr>
            </w:pPr>
          </w:p>
        </w:tc>
        <w:tc>
          <w:tcPr>
            <w:tcW w:w="407" w:type="dxa"/>
          </w:tcPr>
          <w:p w14:paraId="53C139AC"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AD" w14:textId="77777777" w:rsidR="00212781" w:rsidRPr="002B1DCB" w:rsidRDefault="00212781" w:rsidP="00212781">
            <w:pPr>
              <w:rPr>
                <w:rFonts w:ascii="Arial Narrow" w:hAnsi="Arial Narrow" w:cs="Arial"/>
                <w:color w:val="000000" w:themeColor="text1"/>
                <w:szCs w:val="22"/>
              </w:rPr>
            </w:pPr>
          </w:p>
        </w:tc>
        <w:tc>
          <w:tcPr>
            <w:tcW w:w="406" w:type="dxa"/>
          </w:tcPr>
          <w:p w14:paraId="53C139AE"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9AF" w14:textId="77777777" w:rsidR="00212781" w:rsidRPr="002B1DCB" w:rsidRDefault="00212781" w:rsidP="00212781">
            <w:pPr>
              <w:rPr>
                <w:rFonts w:ascii="Arial Narrow" w:hAnsi="Arial Narrow" w:cs="Arial"/>
                <w:color w:val="000000" w:themeColor="text1"/>
                <w:szCs w:val="22"/>
              </w:rPr>
            </w:pPr>
          </w:p>
        </w:tc>
        <w:tc>
          <w:tcPr>
            <w:tcW w:w="406" w:type="dxa"/>
          </w:tcPr>
          <w:p w14:paraId="53C139B0"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B1" w14:textId="77777777" w:rsidR="00212781" w:rsidRPr="002B1DCB" w:rsidRDefault="00212781" w:rsidP="00212781">
            <w:pPr>
              <w:rPr>
                <w:rFonts w:ascii="Arial Narrow" w:hAnsi="Arial Narrow" w:cs="Arial"/>
                <w:b/>
                <w:color w:val="000000" w:themeColor="text1"/>
                <w:szCs w:val="22"/>
              </w:rPr>
            </w:pPr>
          </w:p>
        </w:tc>
        <w:tc>
          <w:tcPr>
            <w:tcW w:w="407" w:type="dxa"/>
          </w:tcPr>
          <w:p w14:paraId="53C139B2" w14:textId="77777777" w:rsidR="00212781" w:rsidRPr="002B1DCB" w:rsidRDefault="00212781" w:rsidP="00212781">
            <w:pPr>
              <w:rPr>
                <w:rFonts w:ascii="Arial Narrow" w:hAnsi="Arial Narrow"/>
                <w:b/>
                <w:color w:val="000000" w:themeColor="text1"/>
              </w:rPr>
            </w:pPr>
            <w:r w:rsidRPr="002B1DCB">
              <w:rPr>
                <w:rFonts w:ascii="Arial Narrow" w:hAnsi="Arial Narrow" w:cs="Arial"/>
                <w:color w:val="000000" w:themeColor="text1"/>
                <w:szCs w:val="22"/>
              </w:rPr>
              <w:t>●</w:t>
            </w:r>
          </w:p>
        </w:tc>
      </w:tr>
      <w:tr w:rsidR="00212781" w:rsidRPr="002B1DCB" w14:paraId="53C139C6" w14:textId="77777777" w:rsidTr="00212781">
        <w:tc>
          <w:tcPr>
            <w:tcW w:w="1129" w:type="dxa"/>
            <w:vMerge/>
            <w:vAlign w:val="center"/>
          </w:tcPr>
          <w:p w14:paraId="53C139B4" w14:textId="77777777" w:rsidR="00212781" w:rsidRPr="002B1DCB" w:rsidRDefault="00212781" w:rsidP="00212781">
            <w:pPr>
              <w:jc w:val="center"/>
              <w:rPr>
                <w:rFonts w:ascii="Arial Narrow" w:hAnsi="Arial Narrow"/>
                <w:bCs/>
                <w:color w:val="000000" w:themeColor="text1"/>
              </w:rPr>
            </w:pPr>
          </w:p>
        </w:tc>
        <w:tc>
          <w:tcPr>
            <w:tcW w:w="1843" w:type="dxa"/>
            <w:tcMar>
              <w:left w:w="28" w:type="dxa"/>
              <w:right w:w="28" w:type="dxa"/>
            </w:tcMar>
            <w:vAlign w:val="bottom"/>
          </w:tcPr>
          <w:p w14:paraId="53C139B5"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Border</w:t>
            </w:r>
          </w:p>
        </w:tc>
        <w:tc>
          <w:tcPr>
            <w:tcW w:w="567" w:type="dxa"/>
            <w:tcMar>
              <w:left w:w="28" w:type="dxa"/>
              <w:right w:w="28" w:type="dxa"/>
            </w:tcMar>
          </w:tcPr>
          <w:p w14:paraId="53C139B6"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LTMP</w:t>
            </w:r>
          </w:p>
        </w:tc>
        <w:tc>
          <w:tcPr>
            <w:tcW w:w="406" w:type="dxa"/>
          </w:tcPr>
          <w:p w14:paraId="53C139B7"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B8" w14:textId="77777777" w:rsidR="00212781" w:rsidRPr="002B1DCB" w:rsidRDefault="00212781" w:rsidP="00212781">
            <w:pPr>
              <w:rPr>
                <w:rFonts w:ascii="Arial Narrow" w:hAnsi="Arial Narrow" w:cs="Arial"/>
                <w:color w:val="000000" w:themeColor="text1"/>
                <w:szCs w:val="22"/>
              </w:rPr>
            </w:pPr>
          </w:p>
        </w:tc>
        <w:tc>
          <w:tcPr>
            <w:tcW w:w="407" w:type="dxa"/>
          </w:tcPr>
          <w:p w14:paraId="53C139B9"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BA" w14:textId="77777777" w:rsidR="00212781" w:rsidRPr="002B1DCB" w:rsidRDefault="00212781" w:rsidP="00212781">
            <w:pPr>
              <w:rPr>
                <w:rFonts w:ascii="Arial Narrow" w:hAnsi="Arial Narrow" w:cs="Arial"/>
                <w:color w:val="000000" w:themeColor="text1"/>
                <w:szCs w:val="22"/>
              </w:rPr>
            </w:pPr>
          </w:p>
        </w:tc>
        <w:tc>
          <w:tcPr>
            <w:tcW w:w="406" w:type="dxa"/>
          </w:tcPr>
          <w:p w14:paraId="53C139BB"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9BC" w14:textId="77777777" w:rsidR="00212781" w:rsidRPr="002B1DCB" w:rsidRDefault="00212781" w:rsidP="00212781">
            <w:pPr>
              <w:rPr>
                <w:rFonts w:ascii="Arial Narrow" w:hAnsi="Arial Narrow" w:cs="Arial"/>
                <w:color w:val="000000" w:themeColor="text1"/>
                <w:szCs w:val="22"/>
              </w:rPr>
            </w:pPr>
          </w:p>
        </w:tc>
        <w:tc>
          <w:tcPr>
            <w:tcW w:w="406" w:type="dxa"/>
          </w:tcPr>
          <w:p w14:paraId="53C139BD"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BE" w14:textId="77777777" w:rsidR="00212781" w:rsidRPr="002B1DCB" w:rsidRDefault="00212781" w:rsidP="00212781">
            <w:pPr>
              <w:rPr>
                <w:rFonts w:ascii="Arial Narrow" w:hAnsi="Arial Narrow" w:cs="Arial"/>
                <w:color w:val="000000" w:themeColor="text1"/>
                <w:szCs w:val="22"/>
              </w:rPr>
            </w:pPr>
          </w:p>
        </w:tc>
        <w:tc>
          <w:tcPr>
            <w:tcW w:w="407" w:type="dxa"/>
          </w:tcPr>
          <w:p w14:paraId="53C139BF"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C0" w14:textId="77777777" w:rsidR="00212781" w:rsidRPr="002B1DCB" w:rsidRDefault="00212781" w:rsidP="00212781">
            <w:pPr>
              <w:rPr>
                <w:rFonts w:ascii="Arial Narrow" w:hAnsi="Arial Narrow" w:cs="Arial"/>
                <w:color w:val="000000" w:themeColor="text1"/>
                <w:szCs w:val="22"/>
              </w:rPr>
            </w:pPr>
          </w:p>
        </w:tc>
        <w:tc>
          <w:tcPr>
            <w:tcW w:w="406" w:type="dxa"/>
          </w:tcPr>
          <w:p w14:paraId="53C139C1"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9C2" w14:textId="77777777" w:rsidR="00212781" w:rsidRPr="002B1DCB" w:rsidRDefault="00212781" w:rsidP="00212781">
            <w:pPr>
              <w:rPr>
                <w:rFonts w:ascii="Arial Narrow" w:hAnsi="Arial Narrow" w:cs="Arial"/>
                <w:color w:val="000000" w:themeColor="text1"/>
                <w:szCs w:val="22"/>
              </w:rPr>
            </w:pPr>
          </w:p>
        </w:tc>
        <w:tc>
          <w:tcPr>
            <w:tcW w:w="406" w:type="dxa"/>
          </w:tcPr>
          <w:p w14:paraId="53C139C3"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C4" w14:textId="77777777" w:rsidR="00212781" w:rsidRPr="002B1DCB" w:rsidRDefault="00212781" w:rsidP="00212781">
            <w:pPr>
              <w:rPr>
                <w:rFonts w:ascii="Arial Narrow" w:hAnsi="Arial Narrow" w:cs="Arial"/>
                <w:b/>
                <w:color w:val="000000" w:themeColor="text1"/>
                <w:szCs w:val="22"/>
              </w:rPr>
            </w:pPr>
          </w:p>
        </w:tc>
        <w:tc>
          <w:tcPr>
            <w:tcW w:w="407" w:type="dxa"/>
          </w:tcPr>
          <w:p w14:paraId="53C139C5" w14:textId="77777777" w:rsidR="00212781" w:rsidRPr="002B1DCB" w:rsidRDefault="00212781" w:rsidP="00212781">
            <w:pPr>
              <w:rPr>
                <w:rFonts w:ascii="Arial Narrow" w:hAnsi="Arial Narrow"/>
                <w:b/>
                <w:color w:val="000000" w:themeColor="text1"/>
              </w:rPr>
            </w:pPr>
            <w:r w:rsidRPr="002B1DCB">
              <w:rPr>
                <w:rFonts w:ascii="Arial Narrow" w:hAnsi="Arial Narrow" w:cs="Arial"/>
                <w:color w:val="000000" w:themeColor="text1"/>
                <w:szCs w:val="22"/>
              </w:rPr>
              <w:t>●</w:t>
            </w:r>
          </w:p>
        </w:tc>
      </w:tr>
      <w:tr w:rsidR="00212781" w:rsidRPr="002B1DCB" w14:paraId="53C139D9" w14:textId="77777777" w:rsidTr="00212781">
        <w:tc>
          <w:tcPr>
            <w:tcW w:w="1129" w:type="dxa"/>
            <w:vMerge/>
            <w:vAlign w:val="center"/>
          </w:tcPr>
          <w:p w14:paraId="53C139C7" w14:textId="77777777" w:rsidR="00212781" w:rsidRPr="002B1DCB" w:rsidRDefault="00212781" w:rsidP="00212781">
            <w:pPr>
              <w:jc w:val="center"/>
              <w:rPr>
                <w:rFonts w:ascii="Arial Narrow" w:hAnsi="Arial Narrow"/>
                <w:bCs/>
                <w:color w:val="000000" w:themeColor="text1"/>
              </w:rPr>
            </w:pPr>
          </w:p>
        </w:tc>
        <w:tc>
          <w:tcPr>
            <w:tcW w:w="1843" w:type="dxa"/>
            <w:tcMar>
              <w:left w:w="28" w:type="dxa"/>
              <w:right w:w="28" w:type="dxa"/>
            </w:tcMar>
            <w:vAlign w:val="bottom"/>
          </w:tcPr>
          <w:p w14:paraId="53C139C8"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Double Cone (WQ)</w:t>
            </w:r>
          </w:p>
        </w:tc>
        <w:tc>
          <w:tcPr>
            <w:tcW w:w="567" w:type="dxa"/>
            <w:tcMar>
              <w:left w:w="28" w:type="dxa"/>
              <w:right w:w="28" w:type="dxa"/>
            </w:tcMar>
          </w:tcPr>
          <w:p w14:paraId="53C139C9"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MMP</w:t>
            </w:r>
          </w:p>
        </w:tc>
        <w:tc>
          <w:tcPr>
            <w:tcW w:w="406" w:type="dxa"/>
          </w:tcPr>
          <w:p w14:paraId="53C139CA"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CB"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9CC"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CD"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CE"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9CF"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D0"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D1"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9D2"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D3"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D4" w14:textId="77777777" w:rsidR="00212781" w:rsidRPr="002B1DCB" w:rsidRDefault="00212781" w:rsidP="00212781">
            <w:pPr>
              <w:rPr>
                <w:rFonts w:ascii="Arial Narrow" w:hAnsi="Arial Narrow" w:cs="Arial"/>
                <w:color w:val="000000" w:themeColor="text1"/>
                <w:szCs w:val="22"/>
              </w:rPr>
            </w:pPr>
          </w:p>
        </w:tc>
        <w:tc>
          <w:tcPr>
            <w:tcW w:w="407" w:type="dxa"/>
          </w:tcPr>
          <w:p w14:paraId="53C139D5"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D6" w14:textId="77777777" w:rsidR="00212781" w:rsidRPr="002B1DCB" w:rsidRDefault="00212781" w:rsidP="00212781">
            <w:pPr>
              <w:rPr>
                <w:rFonts w:ascii="Arial Narrow" w:hAnsi="Arial Narrow" w:cs="Arial"/>
                <w:b/>
                <w:color w:val="000000" w:themeColor="text1"/>
                <w:szCs w:val="22"/>
              </w:rPr>
            </w:pPr>
            <w:r w:rsidRPr="002B1DCB">
              <w:rPr>
                <w:rFonts w:ascii="Arial Narrow" w:hAnsi="Arial Narrow" w:cs="Arial"/>
                <w:b/>
                <w:color w:val="000000" w:themeColor="text1"/>
                <w:szCs w:val="22"/>
              </w:rPr>
              <w:t>+</w:t>
            </w:r>
          </w:p>
        </w:tc>
        <w:tc>
          <w:tcPr>
            <w:tcW w:w="406" w:type="dxa"/>
          </w:tcPr>
          <w:p w14:paraId="53C139D7" w14:textId="77777777" w:rsidR="00212781" w:rsidRPr="002B1DCB" w:rsidRDefault="00212781" w:rsidP="00212781">
            <w:pPr>
              <w:rPr>
                <w:rFonts w:ascii="Arial Narrow" w:hAnsi="Arial Narrow" w:cs="Arial"/>
                <w:b/>
                <w:color w:val="000000" w:themeColor="text1"/>
                <w:szCs w:val="22"/>
              </w:rPr>
            </w:pPr>
            <w:r w:rsidRPr="002B1DCB">
              <w:rPr>
                <w:rFonts w:ascii="Arial Narrow" w:hAnsi="Arial Narrow" w:cs="Arial"/>
                <w:b/>
                <w:color w:val="000000" w:themeColor="text1"/>
                <w:szCs w:val="22"/>
              </w:rPr>
              <w:t>●</w:t>
            </w:r>
          </w:p>
        </w:tc>
        <w:tc>
          <w:tcPr>
            <w:tcW w:w="407" w:type="dxa"/>
          </w:tcPr>
          <w:p w14:paraId="53C139D8" w14:textId="77777777" w:rsidR="00212781" w:rsidRPr="002B1DCB" w:rsidRDefault="00212781" w:rsidP="00212781">
            <w:pPr>
              <w:rPr>
                <w:rFonts w:ascii="Arial Narrow" w:hAnsi="Arial Narrow"/>
                <w:b/>
                <w:color w:val="000000" w:themeColor="text1"/>
              </w:rPr>
            </w:pPr>
            <w:r w:rsidRPr="002B1DCB">
              <w:rPr>
                <w:rFonts w:ascii="Arial Narrow" w:hAnsi="Arial Narrow" w:cs="Arial"/>
                <w:b/>
                <w:color w:val="000000" w:themeColor="text1"/>
                <w:szCs w:val="22"/>
              </w:rPr>
              <w:t>+</w:t>
            </w:r>
          </w:p>
        </w:tc>
      </w:tr>
      <w:tr w:rsidR="00212781" w:rsidRPr="002B1DCB" w14:paraId="53C139EC" w14:textId="77777777" w:rsidTr="00212781">
        <w:tc>
          <w:tcPr>
            <w:tcW w:w="1129" w:type="dxa"/>
            <w:vMerge/>
            <w:vAlign w:val="center"/>
          </w:tcPr>
          <w:p w14:paraId="53C139DA" w14:textId="77777777" w:rsidR="00212781" w:rsidRPr="002B1DCB" w:rsidRDefault="00212781" w:rsidP="00212781">
            <w:pPr>
              <w:jc w:val="center"/>
              <w:rPr>
                <w:rFonts w:ascii="Arial Narrow" w:hAnsi="Arial Narrow"/>
                <w:bCs/>
                <w:color w:val="000000" w:themeColor="text1"/>
              </w:rPr>
            </w:pPr>
          </w:p>
        </w:tc>
        <w:tc>
          <w:tcPr>
            <w:tcW w:w="1843" w:type="dxa"/>
            <w:tcMar>
              <w:left w:w="28" w:type="dxa"/>
              <w:right w:w="28" w:type="dxa"/>
            </w:tcMar>
            <w:vAlign w:val="bottom"/>
          </w:tcPr>
          <w:p w14:paraId="53C139DB"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Hook</w:t>
            </w:r>
          </w:p>
        </w:tc>
        <w:tc>
          <w:tcPr>
            <w:tcW w:w="567" w:type="dxa"/>
            <w:tcMar>
              <w:left w:w="28" w:type="dxa"/>
              <w:right w:w="28" w:type="dxa"/>
            </w:tcMar>
          </w:tcPr>
          <w:p w14:paraId="53C139DC"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MMP</w:t>
            </w:r>
          </w:p>
        </w:tc>
        <w:tc>
          <w:tcPr>
            <w:tcW w:w="406" w:type="dxa"/>
          </w:tcPr>
          <w:p w14:paraId="53C139DD"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DE"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9DF" w14:textId="77777777" w:rsidR="00212781" w:rsidRPr="002B1DCB" w:rsidRDefault="00212781" w:rsidP="00212781">
            <w:pPr>
              <w:rPr>
                <w:rFonts w:ascii="Arial Narrow" w:hAnsi="Arial Narrow" w:cs="Arial"/>
                <w:color w:val="000000" w:themeColor="text1"/>
                <w:szCs w:val="22"/>
              </w:rPr>
            </w:pPr>
          </w:p>
        </w:tc>
        <w:tc>
          <w:tcPr>
            <w:tcW w:w="406" w:type="dxa"/>
          </w:tcPr>
          <w:p w14:paraId="53C139E0"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E1" w14:textId="77777777" w:rsidR="00212781" w:rsidRPr="002B1DCB" w:rsidRDefault="00212781" w:rsidP="00212781">
            <w:pPr>
              <w:rPr>
                <w:rFonts w:ascii="Arial Narrow" w:hAnsi="Arial Narrow" w:cs="Arial"/>
                <w:color w:val="000000" w:themeColor="text1"/>
                <w:szCs w:val="22"/>
              </w:rPr>
            </w:pPr>
          </w:p>
        </w:tc>
        <w:tc>
          <w:tcPr>
            <w:tcW w:w="407" w:type="dxa"/>
          </w:tcPr>
          <w:p w14:paraId="53C139E2"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E3" w14:textId="77777777" w:rsidR="00212781" w:rsidRPr="002B1DCB" w:rsidRDefault="00212781" w:rsidP="00212781">
            <w:pPr>
              <w:rPr>
                <w:rFonts w:ascii="Arial Narrow" w:hAnsi="Arial Narrow" w:cs="Arial"/>
                <w:color w:val="000000" w:themeColor="text1"/>
                <w:szCs w:val="22"/>
              </w:rPr>
            </w:pPr>
          </w:p>
        </w:tc>
        <w:tc>
          <w:tcPr>
            <w:tcW w:w="406" w:type="dxa"/>
          </w:tcPr>
          <w:p w14:paraId="53C139E4"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9E5" w14:textId="77777777" w:rsidR="00212781" w:rsidRPr="002B1DCB" w:rsidRDefault="00212781" w:rsidP="00212781">
            <w:pPr>
              <w:rPr>
                <w:rFonts w:ascii="Arial Narrow" w:hAnsi="Arial Narrow" w:cs="Arial"/>
                <w:color w:val="000000" w:themeColor="text1"/>
                <w:szCs w:val="22"/>
              </w:rPr>
            </w:pPr>
          </w:p>
        </w:tc>
        <w:tc>
          <w:tcPr>
            <w:tcW w:w="406" w:type="dxa"/>
          </w:tcPr>
          <w:p w14:paraId="53C139E6"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E7" w14:textId="77777777" w:rsidR="00212781" w:rsidRPr="002B1DCB" w:rsidRDefault="00212781" w:rsidP="00212781">
            <w:pPr>
              <w:rPr>
                <w:rFonts w:ascii="Arial Narrow" w:hAnsi="Arial Narrow" w:cs="Arial"/>
                <w:color w:val="000000" w:themeColor="text1"/>
                <w:szCs w:val="22"/>
              </w:rPr>
            </w:pPr>
          </w:p>
        </w:tc>
        <w:tc>
          <w:tcPr>
            <w:tcW w:w="407" w:type="dxa"/>
          </w:tcPr>
          <w:p w14:paraId="53C139E8"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E9" w14:textId="77777777" w:rsidR="00212781" w:rsidRPr="002B1DCB" w:rsidRDefault="00212781" w:rsidP="00212781">
            <w:pPr>
              <w:rPr>
                <w:rFonts w:ascii="Arial Narrow" w:hAnsi="Arial Narrow" w:cs="Arial"/>
                <w:color w:val="000000" w:themeColor="text1"/>
                <w:szCs w:val="22"/>
              </w:rPr>
            </w:pPr>
          </w:p>
        </w:tc>
        <w:tc>
          <w:tcPr>
            <w:tcW w:w="406" w:type="dxa"/>
          </w:tcPr>
          <w:p w14:paraId="53C139EA" w14:textId="77777777" w:rsidR="00212781" w:rsidRPr="002B1DCB" w:rsidRDefault="00212781" w:rsidP="00212781">
            <w:pPr>
              <w:rPr>
                <w:rFonts w:ascii="Arial Narrow" w:hAnsi="Arial Narrow" w:cs="Arial"/>
                <w:b/>
                <w:color w:val="000000" w:themeColor="text1"/>
                <w:szCs w:val="22"/>
              </w:rPr>
            </w:pPr>
            <w:r w:rsidRPr="002B1DCB">
              <w:rPr>
                <w:rFonts w:ascii="Arial Narrow" w:hAnsi="Arial Narrow" w:cs="Arial"/>
                <w:b/>
                <w:color w:val="000000" w:themeColor="text1"/>
                <w:szCs w:val="22"/>
              </w:rPr>
              <w:t>●</w:t>
            </w:r>
          </w:p>
        </w:tc>
        <w:tc>
          <w:tcPr>
            <w:tcW w:w="407" w:type="dxa"/>
          </w:tcPr>
          <w:p w14:paraId="53C139EB" w14:textId="77777777" w:rsidR="00212781" w:rsidRPr="002B1DCB" w:rsidRDefault="00212781" w:rsidP="00212781">
            <w:pPr>
              <w:rPr>
                <w:rFonts w:ascii="Arial Narrow" w:hAnsi="Arial Narrow"/>
                <w:b/>
                <w:color w:val="000000" w:themeColor="text1"/>
              </w:rPr>
            </w:pPr>
          </w:p>
        </w:tc>
      </w:tr>
      <w:tr w:rsidR="00212781" w:rsidRPr="002B1DCB" w14:paraId="53C139FF" w14:textId="77777777" w:rsidTr="00212781">
        <w:tc>
          <w:tcPr>
            <w:tcW w:w="1129" w:type="dxa"/>
            <w:vMerge/>
            <w:vAlign w:val="center"/>
          </w:tcPr>
          <w:p w14:paraId="53C139ED" w14:textId="77777777" w:rsidR="00212781" w:rsidRPr="002B1DCB" w:rsidRDefault="00212781" w:rsidP="00212781">
            <w:pPr>
              <w:jc w:val="center"/>
              <w:rPr>
                <w:rFonts w:ascii="Arial Narrow" w:hAnsi="Arial Narrow"/>
                <w:bCs/>
                <w:color w:val="000000" w:themeColor="text1"/>
              </w:rPr>
            </w:pPr>
          </w:p>
        </w:tc>
        <w:tc>
          <w:tcPr>
            <w:tcW w:w="1843" w:type="dxa"/>
            <w:tcMar>
              <w:left w:w="28" w:type="dxa"/>
              <w:right w:w="28" w:type="dxa"/>
            </w:tcMar>
            <w:vAlign w:val="bottom"/>
          </w:tcPr>
          <w:p w14:paraId="53C139EE"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Daydream (WQ*)</w:t>
            </w:r>
          </w:p>
        </w:tc>
        <w:tc>
          <w:tcPr>
            <w:tcW w:w="567" w:type="dxa"/>
            <w:tcMar>
              <w:left w:w="28" w:type="dxa"/>
              <w:right w:w="28" w:type="dxa"/>
            </w:tcMar>
          </w:tcPr>
          <w:p w14:paraId="53C139EF"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MMP</w:t>
            </w:r>
          </w:p>
        </w:tc>
        <w:tc>
          <w:tcPr>
            <w:tcW w:w="406" w:type="dxa"/>
          </w:tcPr>
          <w:p w14:paraId="53C139F0"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F1"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9F2"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F3"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F4"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9F5"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F6"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F7"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9F8"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F9"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FA" w14:textId="77777777" w:rsidR="00212781" w:rsidRPr="002B1DCB" w:rsidRDefault="00212781" w:rsidP="00212781">
            <w:pPr>
              <w:rPr>
                <w:rFonts w:ascii="Arial Narrow" w:hAnsi="Arial Narrow" w:cs="Arial"/>
                <w:color w:val="000000" w:themeColor="text1"/>
                <w:szCs w:val="22"/>
              </w:rPr>
            </w:pPr>
          </w:p>
        </w:tc>
        <w:tc>
          <w:tcPr>
            <w:tcW w:w="407" w:type="dxa"/>
          </w:tcPr>
          <w:p w14:paraId="53C139FB"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9FC" w14:textId="77777777" w:rsidR="00212781" w:rsidRPr="002B1DCB" w:rsidRDefault="00212781" w:rsidP="00212781">
            <w:pPr>
              <w:rPr>
                <w:rFonts w:ascii="Arial Narrow" w:hAnsi="Arial Narrow" w:cs="Arial"/>
                <w:b/>
                <w:color w:val="000000" w:themeColor="text1"/>
                <w:szCs w:val="22"/>
              </w:rPr>
            </w:pPr>
            <w:r w:rsidRPr="002B1DCB">
              <w:rPr>
                <w:rFonts w:ascii="Arial Narrow" w:hAnsi="Arial Narrow" w:cs="Arial"/>
                <w:b/>
                <w:color w:val="000000" w:themeColor="text1"/>
                <w:szCs w:val="22"/>
              </w:rPr>
              <w:t>+</w:t>
            </w:r>
          </w:p>
        </w:tc>
        <w:tc>
          <w:tcPr>
            <w:tcW w:w="406" w:type="dxa"/>
          </w:tcPr>
          <w:p w14:paraId="53C139FD" w14:textId="77777777" w:rsidR="00212781" w:rsidRPr="002B1DCB" w:rsidRDefault="00212781" w:rsidP="00212781">
            <w:pPr>
              <w:rPr>
                <w:rFonts w:ascii="Arial Narrow" w:hAnsi="Arial Narrow" w:cs="Arial"/>
                <w:b/>
                <w:color w:val="000000" w:themeColor="text1"/>
                <w:szCs w:val="22"/>
              </w:rPr>
            </w:pPr>
            <w:r w:rsidRPr="002B1DCB">
              <w:rPr>
                <w:rFonts w:ascii="Arial Narrow" w:hAnsi="Arial Narrow" w:cs="Arial"/>
                <w:b/>
                <w:color w:val="000000" w:themeColor="text1"/>
                <w:szCs w:val="22"/>
              </w:rPr>
              <w:t>●</w:t>
            </w:r>
          </w:p>
        </w:tc>
        <w:tc>
          <w:tcPr>
            <w:tcW w:w="407" w:type="dxa"/>
          </w:tcPr>
          <w:p w14:paraId="53C139FE" w14:textId="77777777" w:rsidR="00212781" w:rsidRPr="002B1DCB" w:rsidRDefault="00212781" w:rsidP="00212781">
            <w:pPr>
              <w:rPr>
                <w:rFonts w:ascii="Arial Narrow" w:hAnsi="Arial Narrow"/>
                <w:b/>
                <w:color w:val="000000" w:themeColor="text1"/>
              </w:rPr>
            </w:pPr>
          </w:p>
        </w:tc>
      </w:tr>
      <w:tr w:rsidR="00212781" w:rsidRPr="002B1DCB" w14:paraId="53C13A12" w14:textId="77777777" w:rsidTr="00212781">
        <w:tc>
          <w:tcPr>
            <w:tcW w:w="1129" w:type="dxa"/>
            <w:vMerge/>
            <w:vAlign w:val="center"/>
          </w:tcPr>
          <w:p w14:paraId="53C13A00" w14:textId="77777777" w:rsidR="00212781" w:rsidRPr="002B1DCB" w:rsidRDefault="00212781" w:rsidP="00212781">
            <w:pPr>
              <w:jc w:val="center"/>
              <w:rPr>
                <w:rFonts w:ascii="Arial Narrow" w:hAnsi="Arial Narrow"/>
                <w:bCs/>
                <w:color w:val="000000" w:themeColor="text1"/>
              </w:rPr>
            </w:pPr>
          </w:p>
        </w:tc>
        <w:tc>
          <w:tcPr>
            <w:tcW w:w="1843" w:type="dxa"/>
            <w:tcMar>
              <w:left w:w="28" w:type="dxa"/>
              <w:right w:w="28" w:type="dxa"/>
            </w:tcMar>
            <w:vAlign w:val="bottom"/>
          </w:tcPr>
          <w:p w14:paraId="53C13A01"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Shute Harbour</w:t>
            </w:r>
          </w:p>
        </w:tc>
        <w:tc>
          <w:tcPr>
            <w:tcW w:w="567" w:type="dxa"/>
            <w:tcMar>
              <w:left w:w="28" w:type="dxa"/>
              <w:right w:w="28" w:type="dxa"/>
            </w:tcMar>
          </w:tcPr>
          <w:p w14:paraId="53C13A02"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MMP</w:t>
            </w:r>
          </w:p>
        </w:tc>
        <w:tc>
          <w:tcPr>
            <w:tcW w:w="406" w:type="dxa"/>
          </w:tcPr>
          <w:p w14:paraId="53C13A03"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04"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A05" w14:textId="77777777" w:rsidR="00212781" w:rsidRPr="002B1DCB" w:rsidRDefault="00212781" w:rsidP="00212781">
            <w:pPr>
              <w:rPr>
                <w:rFonts w:ascii="Arial Narrow" w:hAnsi="Arial Narrow" w:cs="Arial"/>
                <w:color w:val="000000" w:themeColor="text1"/>
                <w:szCs w:val="22"/>
              </w:rPr>
            </w:pPr>
          </w:p>
        </w:tc>
        <w:tc>
          <w:tcPr>
            <w:tcW w:w="406" w:type="dxa"/>
          </w:tcPr>
          <w:p w14:paraId="53C13A06"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07" w14:textId="77777777" w:rsidR="00212781" w:rsidRPr="002B1DCB" w:rsidRDefault="00212781" w:rsidP="00212781">
            <w:pPr>
              <w:rPr>
                <w:rFonts w:ascii="Arial Narrow" w:hAnsi="Arial Narrow" w:cs="Arial"/>
                <w:color w:val="000000" w:themeColor="text1"/>
                <w:szCs w:val="22"/>
              </w:rPr>
            </w:pPr>
          </w:p>
        </w:tc>
        <w:tc>
          <w:tcPr>
            <w:tcW w:w="407" w:type="dxa"/>
          </w:tcPr>
          <w:p w14:paraId="53C13A08"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09" w14:textId="77777777" w:rsidR="00212781" w:rsidRPr="002B1DCB" w:rsidRDefault="00212781" w:rsidP="00212781">
            <w:pPr>
              <w:rPr>
                <w:rFonts w:ascii="Arial Narrow" w:hAnsi="Arial Narrow" w:cs="Arial"/>
                <w:color w:val="000000" w:themeColor="text1"/>
                <w:szCs w:val="22"/>
              </w:rPr>
            </w:pPr>
          </w:p>
        </w:tc>
        <w:tc>
          <w:tcPr>
            <w:tcW w:w="406" w:type="dxa"/>
          </w:tcPr>
          <w:p w14:paraId="53C13A0A"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A0B" w14:textId="77777777" w:rsidR="00212781" w:rsidRPr="002B1DCB" w:rsidRDefault="00212781" w:rsidP="00212781">
            <w:pPr>
              <w:rPr>
                <w:rFonts w:ascii="Arial Narrow" w:hAnsi="Arial Narrow" w:cs="Arial"/>
                <w:color w:val="000000" w:themeColor="text1"/>
                <w:szCs w:val="22"/>
              </w:rPr>
            </w:pPr>
          </w:p>
        </w:tc>
        <w:tc>
          <w:tcPr>
            <w:tcW w:w="406" w:type="dxa"/>
          </w:tcPr>
          <w:p w14:paraId="53C13A0C"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0D" w14:textId="77777777" w:rsidR="00212781" w:rsidRPr="002B1DCB" w:rsidRDefault="00212781" w:rsidP="00212781">
            <w:pPr>
              <w:rPr>
                <w:rFonts w:ascii="Arial Narrow" w:hAnsi="Arial Narrow" w:cs="Arial"/>
                <w:color w:val="000000" w:themeColor="text1"/>
                <w:szCs w:val="22"/>
              </w:rPr>
            </w:pPr>
          </w:p>
        </w:tc>
        <w:tc>
          <w:tcPr>
            <w:tcW w:w="407" w:type="dxa"/>
          </w:tcPr>
          <w:p w14:paraId="53C13A0E"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0F" w14:textId="77777777" w:rsidR="00212781" w:rsidRPr="002B1DCB" w:rsidRDefault="00212781" w:rsidP="00212781">
            <w:pPr>
              <w:rPr>
                <w:rFonts w:ascii="Arial Narrow" w:hAnsi="Arial Narrow" w:cs="Arial"/>
                <w:b/>
                <w:color w:val="000000" w:themeColor="text1"/>
                <w:szCs w:val="22"/>
              </w:rPr>
            </w:pPr>
            <w:r w:rsidRPr="002B1DCB">
              <w:rPr>
                <w:rFonts w:ascii="Arial Narrow" w:hAnsi="Arial Narrow" w:cs="Arial"/>
                <w:b/>
                <w:color w:val="000000" w:themeColor="text1"/>
                <w:szCs w:val="22"/>
              </w:rPr>
              <w:t>+</w:t>
            </w:r>
          </w:p>
        </w:tc>
        <w:tc>
          <w:tcPr>
            <w:tcW w:w="406" w:type="dxa"/>
          </w:tcPr>
          <w:p w14:paraId="53C13A10" w14:textId="77777777" w:rsidR="00212781" w:rsidRPr="002B1DCB" w:rsidRDefault="00212781" w:rsidP="00212781">
            <w:pPr>
              <w:rPr>
                <w:rFonts w:ascii="Arial Narrow" w:hAnsi="Arial Narrow" w:cs="Arial"/>
                <w:b/>
                <w:color w:val="000000" w:themeColor="text1"/>
                <w:szCs w:val="22"/>
              </w:rPr>
            </w:pPr>
            <w:r w:rsidRPr="002B1DCB">
              <w:rPr>
                <w:rFonts w:ascii="Arial Narrow" w:hAnsi="Arial Narrow" w:cs="Arial"/>
                <w:b/>
                <w:color w:val="000000" w:themeColor="text1"/>
                <w:szCs w:val="22"/>
              </w:rPr>
              <w:t>●</w:t>
            </w:r>
          </w:p>
        </w:tc>
        <w:tc>
          <w:tcPr>
            <w:tcW w:w="407" w:type="dxa"/>
          </w:tcPr>
          <w:p w14:paraId="53C13A11" w14:textId="77777777" w:rsidR="00212781" w:rsidRPr="002B1DCB" w:rsidRDefault="00212781" w:rsidP="00212781">
            <w:pPr>
              <w:rPr>
                <w:rFonts w:ascii="Arial Narrow" w:hAnsi="Arial Narrow"/>
                <w:b/>
                <w:color w:val="000000" w:themeColor="text1"/>
              </w:rPr>
            </w:pPr>
          </w:p>
        </w:tc>
      </w:tr>
      <w:tr w:rsidR="00212781" w:rsidRPr="002B1DCB" w14:paraId="53C13A25" w14:textId="77777777" w:rsidTr="00212781">
        <w:tc>
          <w:tcPr>
            <w:tcW w:w="1129" w:type="dxa"/>
            <w:vMerge/>
            <w:vAlign w:val="center"/>
          </w:tcPr>
          <w:p w14:paraId="53C13A13" w14:textId="77777777" w:rsidR="00212781" w:rsidRPr="002B1DCB" w:rsidRDefault="00212781" w:rsidP="00212781">
            <w:pPr>
              <w:jc w:val="center"/>
              <w:rPr>
                <w:rFonts w:ascii="Arial Narrow" w:hAnsi="Arial Narrow"/>
                <w:bCs/>
                <w:color w:val="000000" w:themeColor="text1"/>
              </w:rPr>
            </w:pPr>
          </w:p>
        </w:tc>
        <w:tc>
          <w:tcPr>
            <w:tcW w:w="1843" w:type="dxa"/>
            <w:tcMar>
              <w:left w:w="28" w:type="dxa"/>
              <w:right w:w="28" w:type="dxa"/>
            </w:tcMar>
            <w:vAlign w:val="bottom"/>
          </w:tcPr>
          <w:p w14:paraId="53C13A14"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Dent</w:t>
            </w:r>
          </w:p>
        </w:tc>
        <w:tc>
          <w:tcPr>
            <w:tcW w:w="567" w:type="dxa"/>
            <w:tcMar>
              <w:left w:w="28" w:type="dxa"/>
              <w:right w:w="28" w:type="dxa"/>
            </w:tcMar>
          </w:tcPr>
          <w:p w14:paraId="53C13A15"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MMP</w:t>
            </w:r>
          </w:p>
        </w:tc>
        <w:tc>
          <w:tcPr>
            <w:tcW w:w="406" w:type="dxa"/>
          </w:tcPr>
          <w:p w14:paraId="53C13A16"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17"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A18"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19" w14:textId="77777777" w:rsidR="00212781" w:rsidRPr="002B1DCB" w:rsidRDefault="00212781" w:rsidP="00212781">
            <w:pPr>
              <w:rPr>
                <w:rFonts w:ascii="Arial Narrow" w:hAnsi="Arial Narrow" w:cs="Arial"/>
                <w:color w:val="000000" w:themeColor="text1"/>
                <w:szCs w:val="22"/>
              </w:rPr>
            </w:pPr>
          </w:p>
        </w:tc>
        <w:tc>
          <w:tcPr>
            <w:tcW w:w="406" w:type="dxa"/>
          </w:tcPr>
          <w:p w14:paraId="53C13A1A"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A1B" w14:textId="77777777" w:rsidR="00212781" w:rsidRPr="002B1DCB" w:rsidRDefault="00212781" w:rsidP="00212781">
            <w:pPr>
              <w:rPr>
                <w:rFonts w:ascii="Arial Narrow" w:hAnsi="Arial Narrow" w:cs="Arial"/>
                <w:color w:val="000000" w:themeColor="text1"/>
                <w:szCs w:val="22"/>
              </w:rPr>
            </w:pPr>
          </w:p>
        </w:tc>
        <w:tc>
          <w:tcPr>
            <w:tcW w:w="406" w:type="dxa"/>
          </w:tcPr>
          <w:p w14:paraId="53C13A1C"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1D" w14:textId="77777777" w:rsidR="00212781" w:rsidRPr="002B1DCB" w:rsidRDefault="00212781" w:rsidP="00212781">
            <w:pPr>
              <w:rPr>
                <w:rFonts w:ascii="Arial Narrow" w:hAnsi="Arial Narrow" w:cs="Arial"/>
                <w:color w:val="000000" w:themeColor="text1"/>
                <w:szCs w:val="22"/>
              </w:rPr>
            </w:pPr>
          </w:p>
        </w:tc>
        <w:tc>
          <w:tcPr>
            <w:tcW w:w="407" w:type="dxa"/>
          </w:tcPr>
          <w:p w14:paraId="53C13A1E"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1F" w14:textId="77777777" w:rsidR="00212781" w:rsidRPr="002B1DCB" w:rsidRDefault="00212781" w:rsidP="00212781">
            <w:pPr>
              <w:rPr>
                <w:rFonts w:ascii="Arial Narrow" w:hAnsi="Arial Narrow" w:cs="Arial"/>
                <w:color w:val="000000" w:themeColor="text1"/>
                <w:szCs w:val="22"/>
              </w:rPr>
            </w:pPr>
          </w:p>
        </w:tc>
        <w:tc>
          <w:tcPr>
            <w:tcW w:w="406" w:type="dxa"/>
          </w:tcPr>
          <w:p w14:paraId="53C13A20"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A21" w14:textId="77777777" w:rsidR="00212781" w:rsidRPr="002B1DCB" w:rsidRDefault="00212781" w:rsidP="00212781">
            <w:pPr>
              <w:rPr>
                <w:rFonts w:ascii="Arial Narrow" w:hAnsi="Arial Narrow" w:cs="Arial"/>
                <w:color w:val="000000" w:themeColor="text1"/>
                <w:szCs w:val="22"/>
              </w:rPr>
            </w:pPr>
          </w:p>
        </w:tc>
        <w:tc>
          <w:tcPr>
            <w:tcW w:w="406" w:type="dxa"/>
          </w:tcPr>
          <w:p w14:paraId="53C13A22"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23" w14:textId="77777777" w:rsidR="00212781" w:rsidRPr="002B1DCB" w:rsidRDefault="00212781" w:rsidP="00212781">
            <w:pPr>
              <w:rPr>
                <w:rFonts w:ascii="Arial Narrow" w:hAnsi="Arial Narrow" w:cs="Arial"/>
                <w:b/>
                <w:color w:val="000000" w:themeColor="text1"/>
                <w:szCs w:val="22"/>
              </w:rPr>
            </w:pPr>
          </w:p>
        </w:tc>
        <w:tc>
          <w:tcPr>
            <w:tcW w:w="407" w:type="dxa"/>
          </w:tcPr>
          <w:p w14:paraId="53C13A24" w14:textId="77777777" w:rsidR="00212781" w:rsidRPr="002B1DCB" w:rsidRDefault="00212781" w:rsidP="00212781">
            <w:pPr>
              <w:rPr>
                <w:rFonts w:ascii="Arial Narrow" w:hAnsi="Arial Narrow"/>
                <w:b/>
                <w:color w:val="000000" w:themeColor="text1"/>
              </w:rPr>
            </w:pPr>
            <w:r w:rsidRPr="002B1DCB">
              <w:rPr>
                <w:rFonts w:ascii="Arial Narrow" w:hAnsi="Arial Narrow" w:cs="Arial"/>
                <w:color w:val="000000" w:themeColor="text1"/>
                <w:szCs w:val="22"/>
              </w:rPr>
              <w:t>●</w:t>
            </w:r>
          </w:p>
        </w:tc>
      </w:tr>
      <w:tr w:rsidR="00212781" w:rsidRPr="002B1DCB" w14:paraId="53C13A38" w14:textId="77777777" w:rsidTr="00212781">
        <w:tc>
          <w:tcPr>
            <w:tcW w:w="1129" w:type="dxa"/>
            <w:vMerge/>
            <w:vAlign w:val="center"/>
          </w:tcPr>
          <w:p w14:paraId="53C13A26" w14:textId="77777777" w:rsidR="00212781" w:rsidRPr="002B1DCB" w:rsidRDefault="00212781" w:rsidP="00212781">
            <w:pPr>
              <w:jc w:val="center"/>
              <w:rPr>
                <w:rFonts w:ascii="Arial Narrow" w:hAnsi="Arial Narrow"/>
                <w:bCs/>
                <w:color w:val="000000" w:themeColor="text1"/>
              </w:rPr>
            </w:pPr>
          </w:p>
        </w:tc>
        <w:tc>
          <w:tcPr>
            <w:tcW w:w="1843" w:type="dxa"/>
            <w:tcMar>
              <w:left w:w="28" w:type="dxa"/>
              <w:right w:w="28" w:type="dxa"/>
            </w:tcMar>
            <w:vAlign w:val="bottom"/>
          </w:tcPr>
          <w:p w14:paraId="53C13A27"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Pine (WQ)</w:t>
            </w:r>
          </w:p>
        </w:tc>
        <w:tc>
          <w:tcPr>
            <w:tcW w:w="567" w:type="dxa"/>
            <w:tcMar>
              <w:left w:w="28" w:type="dxa"/>
              <w:right w:w="28" w:type="dxa"/>
            </w:tcMar>
          </w:tcPr>
          <w:p w14:paraId="53C13A28"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MMP</w:t>
            </w:r>
          </w:p>
        </w:tc>
        <w:tc>
          <w:tcPr>
            <w:tcW w:w="406" w:type="dxa"/>
          </w:tcPr>
          <w:p w14:paraId="53C13A29"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2A"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A2B"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2C"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2D"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A2E"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2F"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30"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A31"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32"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33"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A34" w14:textId="77777777" w:rsidR="00212781" w:rsidRPr="002B1DCB" w:rsidRDefault="00212781" w:rsidP="00212781">
            <w:pPr>
              <w:rPr>
                <w:rFonts w:ascii="Arial Narrow" w:hAnsi="Arial Narrow" w:cs="Arial"/>
                <w:color w:val="000000" w:themeColor="text1"/>
                <w:szCs w:val="22"/>
              </w:rPr>
            </w:pPr>
          </w:p>
        </w:tc>
        <w:tc>
          <w:tcPr>
            <w:tcW w:w="406" w:type="dxa"/>
          </w:tcPr>
          <w:p w14:paraId="53C13A35"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36" w14:textId="77777777" w:rsidR="00212781" w:rsidRPr="002B1DCB" w:rsidRDefault="00212781" w:rsidP="00212781">
            <w:pPr>
              <w:rPr>
                <w:rFonts w:ascii="Arial Narrow" w:hAnsi="Arial Narrow" w:cs="Arial"/>
                <w:b/>
                <w:color w:val="000000" w:themeColor="text1"/>
                <w:szCs w:val="22"/>
              </w:rPr>
            </w:pPr>
            <w:r w:rsidRPr="002B1DCB">
              <w:rPr>
                <w:rFonts w:ascii="Arial Narrow" w:hAnsi="Arial Narrow" w:cs="Arial"/>
                <w:b/>
                <w:color w:val="000000" w:themeColor="text1"/>
                <w:szCs w:val="22"/>
              </w:rPr>
              <w:t>+</w:t>
            </w:r>
          </w:p>
        </w:tc>
        <w:tc>
          <w:tcPr>
            <w:tcW w:w="407" w:type="dxa"/>
          </w:tcPr>
          <w:p w14:paraId="53C13A37" w14:textId="77777777" w:rsidR="00212781" w:rsidRPr="002B1DCB" w:rsidRDefault="00212781" w:rsidP="00212781">
            <w:pPr>
              <w:rPr>
                <w:rFonts w:ascii="Arial Narrow" w:hAnsi="Arial Narrow"/>
                <w:b/>
                <w:color w:val="000000" w:themeColor="text1"/>
              </w:rPr>
            </w:pPr>
            <w:r w:rsidRPr="002B1DCB">
              <w:rPr>
                <w:rFonts w:ascii="Arial Narrow" w:hAnsi="Arial Narrow" w:cs="Arial"/>
                <w:color w:val="000000" w:themeColor="text1"/>
                <w:szCs w:val="22"/>
              </w:rPr>
              <w:t>●</w:t>
            </w:r>
          </w:p>
        </w:tc>
      </w:tr>
      <w:tr w:rsidR="00212781" w:rsidRPr="002B1DCB" w14:paraId="53C13A4B" w14:textId="77777777" w:rsidTr="00212781">
        <w:tc>
          <w:tcPr>
            <w:tcW w:w="1129" w:type="dxa"/>
            <w:vMerge/>
            <w:vAlign w:val="center"/>
          </w:tcPr>
          <w:p w14:paraId="53C13A39" w14:textId="77777777" w:rsidR="00212781" w:rsidRPr="002B1DCB" w:rsidRDefault="00212781" w:rsidP="00212781">
            <w:pPr>
              <w:jc w:val="center"/>
              <w:rPr>
                <w:rFonts w:ascii="Arial Narrow" w:hAnsi="Arial Narrow"/>
                <w:bCs/>
                <w:color w:val="000000" w:themeColor="text1"/>
              </w:rPr>
            </w:pPr>
          </w:p>
        </w:tc>
        <w:tc>
          <w:tcPr>
            <w:tcW w:w="1843" w:type="dxa"/>
            <w:tcMar>
              <w:left w:w="28" w:type="dxa"/>
              <w:right w:w="28" w:type="dxa"/>
            </w:tcMar>
            <w:vAlign w:val="bottom"/>
          </w:tcPr>
          <w:p w14:paraId="53C13A3A"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Seaforth (WQ**)</w:t>
            </w:r>
          </w:p>
        </w:tc>
        <w:tc>
          <w:tcPr>
            <w:tcW w:w="567" w:type="dxa"/>
            <w:tcMar>
              <w:left w:w="28" w:type="dxa"/>
              <w:right w:w="28" w:type="dxa"/>
            </w:tcMar>
          </w:tcPr>
          <w:p w14:paraId="53C13A3B"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MMP</w:t>
            </w:r>
          </w:p>
        </w:tc>
        <w:tc>
          <w:tcPr>
            <w:tcW w:w="406" w:type="dxa"/>
          </w:tcPr>
          <w:p w14:paraId="53C13A3C"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3D"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A3E"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3F" w14:textId="77777777" w:rsidR="00212781" w:rsidRPr="002B1DCB" w:rsidRDefault="00212781" w:rsidP="00212781">
            <w:pPr>
              <w:rPr>
                <w:rFonts w:ascii="Arial Narrow" w:hAnsi="Arial Narrow" w:cs="Arial"/>
                <w:color w:val="000000" w:themeColor="text1"/>
                <w:szCs w:val="22"/>
              </w:rPr>
            </w:pPr>
          </w:p>
        </w:tc>
        <w:tc>
          <w:tcPr>
            <w:tcW w:w="406" w:type="dxa"/>
          </w:tcPr>
          <w:p w14:paraId="53C13A40"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A41" w14:textId="77777777" w:rsidR="00212781" w:rsidRPr="002B1DCB" w:rsidRDefault="00212781" w:rsidP="00212781">
            <w:pPr>
              <w:rPr>
                <w:rFonts w:ascii="Arial Narrow" w:hAnsi="Arial Narrow" w:cs="Arial"/>
                <w:color w:val="000000" w:themeColor="text1"/>
                <w:szCs w:val="22"/>
              </w:rPr>
            </w:pPr>
          </w:p>
        </w:tc>
        <w:tc>
          <w:tcPr>
            <w:tcW w:w="406" w:type="dxa"/>
          </w:tcPr>
          <w:p w14:paraId="53C13A42"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43" w14:textId="77777777" w:rsidR="00212781" w:rsidRPr="002B1DCB" w:rsidRDefault="00212781" w:rsidP="00212781">
            <w:pPr>
              <w:rPr>
                <w:rFonts w:ascii="Arial Narrow" w:hAnsi="Arial Narrow" w:cs="Arial"/>
                <w:color w:val="000000" w:themeColor="text1"/>
                <w:szCs w:val="22"/>
              </w:rPr>
            </w:pPr>
          </w:p>
        </w:tc>
        <w:tc>
          <w:tcPr>
            <w:tcW w:w="407" w:type="dxa"/>
          </w:tcPr>
          <w:p w14:paraId="53C13A44"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45" w14:textId="77777777" w:rsidR="00212781" w:rsidRPr="002B1DCB" w:rsidRDefault="00212781" w:rsidP="00212781">
            <w:pPr>
              <w:rPr>
                <w:rFonts w:ascii="Arial Narrow" w:hAnsi="Arial Narrow" w:cs="Arial"/>
                <w:color w:val="000000" w:themeColor="text1"/>
                <w:szCs w:val="22"/>
              </w:rPr>
            </w:pPr>
          </w:p>
        </w:tc>
        <w:tc>
          <w:tcPr>
            <w:tcW w:w="406" w:type="dxa"/>
          </w:tcPr>
          <w:p w14:paraId="53C13A46"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A47" w14:textId="77777777" w:rsidR="00212781" w:rsidRPr="002B1DCB" w:rsidRDefault="00212781" w:rsidP="00212781">
            <w:pPr>
              <w:rPr>
                <w:rFonts w:ascii="Arial Narrow" w:hAnsi="Arial Narrow" w:cs="Arial"/>
                <w:color w:val="000000" w:themeColor="text1"/>
                <w:szCs w:val="22"/>
              </w:rPr>
            </w:pPr>
          </w:p>
        </w:tc>
        <w:tc>
          <w:tcPr>
            <w:tcW w:w="406" w:type="dxa"/>
          </w:tcPr>
          <w:p w14:paraId="53C13A48"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49" w14:textId="77777777" w:rsidR="00212781" w:rsidRPr="002B1DCB" w:rsidRDefault="00212781" w:rsidP="00212781">
            <w:pPr>
              <w:rPr>
                <w:rFonts w:ascii="Arial Narrow" w:hAnsi="Arial Narrow" w:cs="Arial"/>
                <w:b/>
                <w:color w:val="000000" w:themeColor="text1"/>
                <w:szCs w:val="22"/>
              </w:rPr>
            </w:pPr>
          </w:p>
        </w:tc>
        <w:tc>
          <w:tcPr>
            <w:tcW w:w="407" w:type="dxa"/>
          </w:tcPr>
          <w:p w14:paraId="53C13A4A" w14:textId="77777777" w:rsidR="00212781" w:rsidRPr="002B1DCB" w:rsidRDefault="00212781" w:rsidP="00212781">
            <w:pPr>
              <w:rPr>
                <w:rFonts w:ascii="Arial Narrow" w:hAnsi="Arial Narrow"/>
                <w:b/>
                <w:color w:val="000000" w:themeColor="text1"/>
              </w:rPr>
            </w:pPr>
            <w:r w:rsidRPr="002B1DCB">
              <w:rPr>
                <w:rFonts w:ascii="Arial Narrow" w:hAnsi="Arial Narrow" w:cs="Arial"/>
                <w:color w:val="000000" w:themeColor="text1"/>
                <w:szCs w:val="22"/>
              </w:rPr>
              <w:t>●</w:t>
            </w:r>
          </w:p>
        </w:tc>
      </w:tr>
      <w:tr w:rsidR="00212781" w:rsidRPr="002B1DCB" w14:paraId="53C13A60" w14:textId="77777777" w:rsidTr="00212781">
        <w:tc>
          <w:tcPr>
            <w:tcW w:w="1129" w:type="dxa"/>
            <w:vMerge w:val="restart"/>
            <w:tcMar>
              <w:left w:w="57" w:type="dxa"/>
              <w:right w:w="57" w:type="dxa"/>
            </w:tcMar>
            <w:vAlign w:val="center"/>
          </w:tcPr>
          <w:p w14:paraId="53C13A4C" w14:textId="77777777" w:rsidR="00212781" w:rsidRPr="002B1DCB" w:rsidRDefault="00212781" w:rsidP="00212781">
            <w:pPr>
              <w:jc w:val="center"/>
              <w:rPr>
                <w:rFonts w:ascii="Arial Narrow" w:hAnsi="Arial Narrow"/>
                <w:bCs/>
                <w:color w:val="000000" w:themeColor="text1"/>
              </w:rPr>
            </w:pPr>
            <w:r w:rsidRPr="002B1DCB">
              <w:rPr>
                <w:rFonts w:ascii="Arial Narrow" w:hAnsi="Arial Narrow"/>
                <w:bCs/>
                <w:color w:val="000000" w:themeColor="text1"/>
              </w:rPr>
              <w:t>Fitzroy</w:t>
            </w:r>
          </w:p>
          <w:p w14:paraId="53C13A4D" w14:textId="77777777" w:rsidR="00212781" w:rsidRPr="002B1DCB" w:rsidRDefault="00212781" w:rsidP="00212781">
            <w:pPr>
              <w:rPr>
                <w:rFonts w:ascii="Arial Narrow" w:hAnsi="Arial Narrow"/>
                <w:color w:val="000000" w:themeColor="text1"/>
              </w:rPr>
            </w:pPr>
          </w:p>
          <w:p w14:paraId="53C13A4E" w14:textId="77777777" w:rsidR="00212781" w:rsidRPr="002B1DCB" w:rsidRDefault="00212781" w:rsidP="00212781">
            <w:pPr>
              <w:rPr>
                <w:rFonts w:ascii="Arial Narrow" w:hAnsi="Arial Narrow"/>
                <w:color w:val="000000" w:themeColor="text1"/>
              </w:rPr>
            </w:pPr>
          </w:p>
        </w:tc>
        <w:tc>
          <w:tcPr>
            <w:tcW w:w="1843" w:type="dxa"/>
            <w:tcMar>
              <w:left w:w="28" w:type="dxa"/>
              <w:right w:w="28" w:type="dxa"/>
            </w:tcMar>
            <w:vAlign w:val="bottom"/>
          </w:tcPr>
          <w:p w14:paraId="53C13A4F"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lastRenderedPageBreak/>
              <w:t>North Keppel</w:t>
            </w:r>
          </w:p>
        </w:tc>
        <w:tc>
          <w:tcPr>
            <w:tcW w:w="567" w:type="dxa"/>
            <w:tcMar>
              <w:left w:w="28" w:type="dxa"/>
              <w:right w:w="28" w:type="dxa"/>
            </w:tcMar>
          </w:tcPr>
          <w:p w14:paraId="53C13A50"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MMP</w:t>
            </w:r>
          </w:p>
        </w:tc>
        <w:tc>
          <w:tcPr>
            <w:tcW w:w="406" w:type="dxa"/>
          </w:tcPr>
          <w:p w14:paraId="53C13A51"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52"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A53"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54" w14:textId="77777777" w:rsidR="00212781" w:rsidRPr="002B1DCB" w:rsidRDefault="00212781" w:rsidP="00212781">
            <w:pPr>
              <w:rPr>
                <w:rFonts w:ascii="Arial Narrow" w:hAnsi="Arial Narrow" w:cs="Arial"/>
                <w:color w:val="000000" w:themeColor="text1"/>
                <w:szCs w:val="22"/>
              </w:rPr>
            </w:pPr>
          </w:p>
        </w:tc>
        <w:tc>
          <w:tcPr>
            <w:tcW w:w="406" w:type="dxa"/>
          </w:tcPr>
          <w:p w14:paraId="53C13A55"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A56" w14:textId="77777777" w:rsidR="00212781" w:rsidRPr="002B1DCB" w:rsidRDefault="00212781" w:rsidP="00212781">
            <w:pPr>
              <w:rPr>
                <w:rFonts w:ascii="Arial Narrow" w:hAnsi="Arial Narrow" w:cs="Arial"/>
                <w:color w:val="000000" w:themeColor="text1"/>
                <w:szCs w:val="22"/>
              </w:rPr>
            </w:pPr>
          </w:p>
        </w:tc>
        <w:tc>
          <w:tcPr>
            <w:tcW w:w="406" w:type="dxa"/>
          </w:tcPr>
          <w:p w14:paraId="53C13A57"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58" w14:textId="77777777" w:rsidR="00212781" w:rsidRPr="002B1DCB" w:rsidRDefault="00212781" w:rsidP="00212781">
            <w:pPr>
              <w:rPr>
                <w:rFonts w:ascii="Arial Narrow" w:hAnsi="Arial Narrow" w:cs="Arial"/>
                <w:color w:val="000000" w:themeColor="text1"/>
                <w:szCs w:val="22"/>
              </w:rPr>
            </w:pPr>
          </w:p>
        </w:tc>
        <w:tc>
          <w:tcPr>
            <w:tcW w:w="407" w:type="dxa"/>
          </w:tcPr>
          <w:p w14:paraId="53C13A59"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5A"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b/>
                <w:color w:val="000000" w:themeColor="text1"/>
                <w:szCs w:val="22"/>
              </w:rPr>
              <w:t>+</w:t>
            </w:r>
          </w:p>
        </w:tc>
        <w:tc>
          <w:tcPr>
            <w:tcW w:w="406" w:type="dxa"/>
          </w:tcPr>
          <w:p w14:paraId="53C13A5B"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A5C" w14:textId="77777777" w:rsidR="00212781" w:rsidRPr="002B1DCB" w:rsidRDefault="00212781" w:rsidP="00212781">
            <w:pPr>
              <w:rPr>
                <w:rFonts w:ascii="Arial Narrow" w:hAnsi="Arial Narrow" w:cs="Arial"/>
                <w:color w:val="000000" w:themeColor="text1"/>
                <w:szCs w:val="22"/>
              </w:rPr>
            </w:pPr>
          </w:p>
        </w:tc>
        <w:tc>
          <w:tcPr>
            <w:tcW w:w="406" w:type="dxa"/>
          </w:tcPr>
          <w:p w14:paraId="53C13A5D"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5E" w14:textId="77777777" w:rsidR="00212781" w:rsidRPr="002B1DCB" w:rsidRDefault="00212781" w:rsidP="00212781">
            <w:pPr>
              <w:rPr>
                <w:rFonts w:ascii="Arial Narrow" w:hAnsi="Arial Narrow" w:cs="Arial"/>
                <w:b/>
                <w:color w:val="000000" w:themeColor="text1"/>
                <w:szCs w:val="22"/>
              </w:rPr>
            </w:pPr>
          </w:p>
        </w:tc>
        <w:tc>
          <w:tcPr>
            <w:tcW w:w="407" w:type="dxa"/>
          </w:tcPr>
          <w:p w14:paraId="53C13A5F" w14:textId="77777777" w:rsidR="00212781" w:rsidRPr="002B1DCB" w:rsidRDefault="00212781" w:rsidP="00212781">
            <w:pPr>
              <w:rPr>
                <w:rFonts w:ascii="Arial Narrow" w:hAnsi="Arial Narrow"/>
                <w:b/>
                <w:color w:val="000000" w:themeColor="text1"/>
              </w:rPr>
            </w:pPr>
            <w:r w:rsidRPr="002B1DCB">
              <w:rPr>
                <w:rFonts w:ascii="Arial Narrow" w:hAnsi="Arial Narrow" w:cs="Arial"/>
                <w:color w:val="000000" w:themeColor="text1"/>
                <w:szCs w:val="22"/>
              </w:rPr>
              <w:t>●</w:t>
            </w:r>
          </w:p>
        </w:tc>
      </w:tr>
      <w:tr w:rsidR="00212781" w:rsidRPr="002B1DCB" w14:paraId="53C13A73" w14:textId="77777777" w:rsidTr="00212781">
        <w:tc>
          <w:tcPr>
            <w:tcW w:w="1129" w:type="dxa"/>
            <w:vMerge/>
          </w:tcPr>
          <w:p w14:paraId="53C13A61" w14:textId="77777777" w:rsidR="00212781" w:rsidRPr="002B1DCB" w:rsidRDefault="00212781" w:rsidP="00212781">
            <w:pPr>
              <w:rPr>
                <w:rFonts w:ascii="Arial Narrow" w:hAnsi="Arial Narrow"/>
                <w:bCs/>
                <w:color w:val="000000" w:themeColor="text1"/>
              </w:rPr>
            </w:pPr>
          </w:p>
        </w:tc>
        <w:tc>
          <w:tcPr>
            <w:tcW w:w="1843" w:type="dxa"/>
            <w:tcMar>
              <w:left w:w="28" w:type="dxa"/>
              <w:right w:w="28" w:type="dxa"/>
            </w:tcMar>
            <w:vAlign w:val="bottom"/>
          </w:tcPr>
          <w:p w14:paraId="53C13A62"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Middle</w:t>
            </w:r>
          </w:p>
        </w:tc>
        <w:tc>
          <w:tcPr>
            <w:tcW w:w="567" w:type="dxa"/>
            <w:tcMar>
              <w:left w:w="28" w:type="dxa"/>
              <w:right w:w="28" w:type="dxa"/>
            </w:tcMar>
          </w:tcPr>
          <w:p w14:paraId="53C13A63"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MMP</w:t>
            </w:r>
          </w:p>
        </w:tc>
        <w:tc>
          <w:tcPr>
            <w:tcW w:w="406" w:type="dxa"/>
          </w:tcPr>
          <w:p w14:paraId="53C13A64"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65"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A66" w14:textId="77777777" w:rsidR="00212781" w:rsidRPr="002B1DCB" w:rsidRDefault="00212781" w:rsidP="00212781">
            <w:pPr>
              <w:rPr>
                <w:rFonts w:ascii="Arial Narrow" w:hAnsi="Arial Narrow" w:cs="Arial"/>
                <w:color w:val="000000" w:themeColor="text1"/>
                <w:szCs w:val="22"/>
              </w:rPr>
            </w:pPr>
          </w:p>
        </w:tc>
        <w:tc>
          <w:tcPr>
            <w:tcW w:w="406" w:type="dxa"/>
          </w:tcPr>
          <w:p w14:paraId="53C13A67"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68" w14:textId="77777777" w:rsidR="00212781" w:rsidRPr="002B1DCB" w:rsidRDefault="00212781" w:rsidP="00212781">
            <w:pPr>
              <w:rPr>
                <w:rFonts w:ascii="Arial Narrow" w:hAnsi="Arial Narrow" w:cs="Arial"/>
                <w:color w:val="000000" w:themeColor="text1"/>
                <w:szCs w:val="22"/>
              </w:rPr>
            </w:pPr>
          </w:p>
        </w:tc>
        <w:tc>
          <w:tcPr>
            <w:tcW w:w="407" w:type="dxa"/>
          </w:tcPr>
          <w:p w14:paraId="53C13A69"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6A" w14:textId="77777777" w:rsidR="00212781" w:rsidRPr="002B1DCB" w:rsidRDefault="00212781" w:rsidP="00212781">
            <w:pPr>
              <w:rPr>
                <w:rFonts w:ascii="Arial Narrow" w:hAnsi="Arial Narrow" w:cs="Arial"/>
                <w:color w:val="000000" w:themeColor="text1"/>
                <w:szCs w:val="22"/>
              </w:rPr>
            </w:pPr>
          </w:p>
        </w:tc>
        <w:tc>
          <w:tcPr>
            <w:tcW w:w="406" w:type="dxa"/>
          </w:tcPr>
          <w:p w14:paraId="53C13A6B"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A6C" w14:textId="77777777" w:rsidR="00212781" w:rsidRPr="002B1DCB" w:rsidRDefault="00212781" w:rsidP="00212781">
            <w:pPr>
              <w:rPr>
                <w:rFonts w:ascii="Arial Narrow" w:hAnsi="Arial Narrow" w:cs="Arial"/>
                <w:color w:val="000000" w:themeColor="text1"/>
                <w:szCs w:val="22"/>
              </w:rPr>
            </w:pPr>
          </w:p>
        </w:tc>
        <w:tc>
          <w:tcPr>
            <w:tcW w:w="406" w:type="dxa"/>
          </w:tcPr>
          <w:p w14:paraId="53C13A6D"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6E"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b/>
                <w:color w:val="000000" w:themeColor="text1"/>
                <w:szCs w:val="22"/>
              </w:rPr>
              <w:t>+</w:t>
            </w:r>
          </w:p>
        </w:tc>
        <w:tc>
          <w:tcPr>
            <w:tcW w:w="407" w:type="dxa"/>
          </w:tcPr>
          <w:p w14:paraId="53C13A6F"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70" w14:textId="77777777" w:rsidR="00212781" w:rsidRPr="002B1DCB" w:rsidRDefault="00212781" w:rsidP="00212781">
            <w:pPr>
              <w:rPr>
                <w:rFonts w:ascii="Arial Narrow" w:hAnsi="Arial Narrow" w:cs="Arial"/>
                <w:color w:val="000000" w:themeColor="text1"/>
                <w:szCs w:val="22"/>
              </w:rPr>
            </w:pPr>
          </w:p>
        </w:tc>
        <w:tc>
          <w:tcPr>
            <w:tcW w:w="406" w:type="dxa"/>
          </w:tcPr>
          <w:p w14:paraId="53C13A71" w14:textId="77777777" w:rsidR="00212781" w:rsidRPr="002B1DCB" w:rsidRDefault="00212781" w:rsidP="00212781">
            <w:pPr>
              <w:rPr>
                <w:rFonts w:ascii="Arial Narrow" w:hAnsi="Arial Narrow" w:cs="Arial"/>
                <w:b/>
                <w:color w:val="000000" w:themeColor="text1"/>
                <w:szCs w:val="22"/>
              </w:rPr>
            </w:pPr>
            <w:r w:rsidRPr="002B1DCB">
              <w:rPr>
                <w:rFonts w:ascii="Arial Narrow" w:hAnsi="Arial Narrow" w:cs="Arial"/>
                <w:b/>
                <w:color w:val="000000" w:themeColor="text1"/>
                <w:szCs w:val="22"/>
              </w:rPr>
              <w:t>●</w:t>
            </w:r>
          </w:p>
        </w:tc>
        <w:tc>
          <w:tcPr>
            <w:tcW w:w="407" w:type="dxa"/>
          </w:tcPr>
          <w:p w14:paraId="53C13A72" w14:textId="77777777" w:rsidR="00212781" w:rsidRPr="002B1DCB" w:rsidRDefault="00212781" w:rsidP="00212781">
            <w:pPr>
              <w:rPr>
                <w:rFonts w:ascii="Arial Narrow" w:hAnsi="Arial Narrow"/>
                <w:b/>
                <w:color w:val="000000" w:themeColor="text1"/>
              </w:rPr>
            </w:pPr>
            <w:r w:rsidRPr="002B1DCB">
              <w:rPr>
                <w:rFonts w:ascii="Arial Narrow" w:hAnsi="Arial Narrow" w:cs="Arial"/>
                <w:b/>
                <w:color w:val="000000" w:themeColor="text1"/>
                <w:szCs w:val="22"/>
              </w:rPr>
              <w:t>+</w:t>
            </w:r>
          </w:p>
        </w:tc>
      </w:tr>
      <w:tr w:rsidR="00212781" w:rsidRPr="002B1DCB" w14:paraId="53C13A86" w14:textId="77777777" w:rsidTr="00212781">
        <w:tc>
          <w:tcPr>
            <w:tcW w:w="1129" w:type="dxa"/>
            <w:vMerge/>
          </w:tcPr>
          <w:p w14:paraId="53C13A74" w14:textId="77777777" w:rsidR="00212781" w:rsidRPr="002B1DCB" w:rsidRDefault="00212781" w:rsidP="00212781">
            <w:pPr>
              <w:rPr>
                <w:rFonts w:ascii="Arial Narrow" w:hAnsi="Arial Narrow"/>
                <w:bCs/>
                <w:color w:val="000000" w:themeColor="text1"/>
              </w:rPr>
            </w:pPr>
          </w:p>
        </w:tc>
        <w:tc>
          <w:tcPr>
            <w:tcW w:w="1843" w:type="dxa"/>
            <w:tcMar>
              <w:left w:w="28" w:type="dxa"/>
              <w:right w:w="28" w:type="dxa"/>
            </w:tcMar>
            <w:vAlign w:val="bottom"/>
          </w:tcPr>
          <w:p w14:paraId="53C13A75"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Barren (WQ*)</w:t>
            </w:r>
          </w:p>
        </w:tc>
        <w:tc>
          <w:tcPr>
            <w:tcW w:w="567" w:type="dxa"/>
            <w:tcMar>
              <w:left w:w="28" w:type="dxa"/>
              <w:right w:w="28" w:type="dxa"/>
            </w:tcMar>
          </w:tcPr>
          <w:p w14:paraId="53C13A76"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MMP</w:t>
            </w:r>
          </w:p>
        </w:tc>
        <w:tc>
          <w:tcPr>
            <w:tcW w:w="406" w:type="dxa"/>
          </w:tcPr>
          <w:p w14:paraId="53C13A77"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78"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A79"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7A"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7B"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A7C"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7D"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7E"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A7F"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80"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81"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A82" w14:textId="77777777" w:rsidR="00212781" w:rsidRPr="002B1DCB" w:rsidRDefault="00212781" w:rsidP="00212781">
            <w:pPr>
              <w:rPr>
                <w:rFonts w:ascii="Arial Narrow" w:hAnsi="Arial Narrow" w:cs="Arial"/>
                <w:color w:val="000000" w:themeColor="text1"/>
                <w:szCs w:val="22"/>
              </w:rPr>
            </w:pPr>
          </w:p>
        </w:tc>
        <w:tc>
          <w:tcPr>
            <w:tcW w:w="406" w:type="dxa"/>
          </w:tcPr>
          <w:p w14:paraId="53C13A83"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84" w14:textId="77777777" w:rsidR="00212781" w:rsidRPr="002B1DCB" w:rsidRDefault="00212781" w:rsidP="00212781">
            <w:pPr>
              <w:rPr>
                <w:rFonts w:ascii="Arial Narrow" w:hAnsi="Arial Narrow" w:cs="Arial"/>
                <w:b/>
                <w:color w:val="000000" w:themeColor="text1"/>
                <w:szCs w:val="22"/>
              </w:rPr>
            </w:pPr>
          </w:p>
        </w:tc>
        <w:tc>
          <w:tcPr>
            <w:tcW w:w="407" w:type="dxa"/>
          </w:tcPr>
          <w:p w14:paraId="53C13A85" w14:textId="77777777" w:rsidR="00212781" w:rsidRPr="002B1DCB" w:rsidRDefault="00212781" w:rsidP="00212781">
            <w:pPr>
              <w:rPr>
                <w:rFonts w:ascii="Arial Narrow" w:hAnsi="Arial Narrow"/>
                <w:b/>
                <w:color w:val="000000" w:themeColor="text1"/>
              </w:rPr>
            </w:pPr>
            <w:r w:rsidRPr="002B1DCB">
              <w:rPr>
                <w:rFonts w:ascii="Arial Narrow" w:hAnsi="Arial Narrow" w:cs="Arial"/>
                <w:color w:val="000000" w:themeColor="text1"/>
                <w:szCs w:val="22"/>
              </w:rPr>
              <w:t>●</w:t>
            </w:r>
          </w:p>
        </w:tc>
      </w:tr>
      <w:tr w:rsidR="00212781" w:rsidRPr="002B1DCB" w14:paraId="53C13A99" w14:textId="77777777" w:rsidTr="00212781">
        <w:tc>
          <w:tcPr>
            <w:tcW w:w="1129" w:type="dxa"/>
            <w:vMerge/>
          </w:tcPr>
          <w:p w14:paraId="53C13A87" w14:textId="77777777" w:rsidR="00212781" w:rsidRPr="002B1DCB" w:rsidRDefault="00212781" w:rsidP="00212781">
            <w:pPr>
              <w:rPr>
                <w:rFonts w:ascii="Arial Narrow" w:hAnsi="Arial Narrow"/>
                <w:bCs/>
                <w:color w:val="000000" w:themeColor="text1"/>
              </w:rPr>
            </w:pPr>
          </w:p>
        </w:tc>
        <w:tc>
          <w:tcPr>
            <w:tcW w:w="1843" w:type="dxa"/>
            <w:tcMar>
              <w:left w:w="28" w:type="dxa"/>
              <w:right w:w="28" w:type="dxa"/>
            </w:tcMar>
            <w:vAlign w:val="bottom"/>
          </w:tcPr>
          <w:p w14:paraId="53C13A88"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Keppels South (WQ*)</w:t>
            </w:r>
          </w:p>
        </w:tc>
        <w:tc>
          <w:tcPr>
            <w:tcW w:w="567" w:type="dxa"/>
            <w:tcMar>
              <w:left w:w="28" w:type="dxa"/>
              <w:right w:w="28" w:type="dxa"/>
            </w:tcMar>
          </w:tcPr>
          <w:p w14:paraId="53C13A89"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MMP</w:t>
            </w:r>
          </w:p>
        </w:tc>
        <w:tc>
          <w:tcPr>
            <w:tcW w:w="406" w:type="dxa"/>
          </w:tcPr>
          <w:p w14:paraId="53C13A8A"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8B"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A8C"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8D"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8E"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A8F"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90"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91"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A92"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93"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94"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A95"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96" w14:textId="77777777" w:rsidR="00212781" w:rsidRPr="002B1DCB" w:rsidRDefault="00212781" w:rsidP="00212781">
            <w:pPr>
              <w:rPr>
                <w:rFonts w:ascii="Arial Narrow" w:hAnsi="Arial Narrow" w:cs="Arial"/>
                <w:b/>
                <w:color w:val="000000" w:themeColor="text1"/>
                <w:szCs w:val="22"/>
              </w:rPr>
            </w:pPr>
            <w:r w:rsidRPr="002B1DCB">
              <w:rPr>
                <w:rFonts w:ascii="Arial Narrow" w:hAnsi="Arial Narrow" w:cs="Arial"/>
                <w:b/>
                <w:color w:val="000000" w:themeColor="text1"/>
                <w:szCs w:val="22"/>
              </w:rPr>
              <w:t>+</w:t>
            </w:r>
          </w:p>
        </w:tc>
        <w:tc>
          <w:tcPr>
            <w:tcW w:w="406" w:type="dxa"/>
          </w:tcPr>
          <w:p w14:paraId="53C13A97" w14:textId="77777777" w:rsidR="00212781" w:rsidRPr="002B1DCB" w:rsidRDefault="00212781" w:rsidP="00212781">
            <w:pPr>
              <w:rPr>
                <w:rFonts w:ascii="Arial Narrow" w:hAnsi="Arial Narrow" w:cs="Arial"/>
                <w:b/>
                <w:color w:val="000000" w:themeColor="text1"/>
                <w:szCs w:val="22"/>
              </w:rPr>
            </w:pPr>
            <w:r w:rsidRPr="002B1DCB">
              <w:rPr>
                <w:rFonts w:ascii="Arial Narrow" w:hAnsi="Arial Narrow" w:cs="Arial"/>
                <w:b/>
                <w:color w:val="000000" w:themeColor="text1"/>
                <w:szCs w:val="22"/>
              </w:rPr>
              <w:t>●</w:t>
            </w:r>
          </w:p>
        </w:tc>
        <w:tc>
          <w:tcPr>
            <w:tcW w:w="407" w:type="dxa"/>
          </w:tcPr>
          <w:p w14:paraId="53C13A98" w14:textId="77777777" w:rsidR="00212781" w:rsidRPr="002B1DCB" w:rsidRDefault="00212781" w:rsidP="00212781">
            <w:pPr>
              <w:rPr>
                <w:rFonts w:ascii="Arial Narrow" w:hAnsi="Arial Narrow"/>
                <w:b/>
                <w:color w:val="000000" w:themeColor="text1"/>
              </w:rPr>
            </w:pPr>
          </w:p>
        </w:tc>
      </w:tr>
      <w:tr w:rsidR="00212781" w:rsidRPr="002B1DCB" w14:paraId="53C13AAC" w14:textId="77777777" w:rsidTr="00212781">
        <w:tc>
          <w:tcPr>
            <w:tcW w:w="1129" w:type="dxa"/>
            <w:vMerge/>
          </w:tcPr>
          <w:p w14:paraId="53C13A9A" w14:textId="77777777" w:rsidR="00212781" w:rsidRPr="002B1DCB" w:rsidRDefault="00212781" w:rsidP="00212781">
            <w:pPr>
              <w:rPr>
                <w:rFonts w:ascii="Arial Narrow" w:hAnsi="Arial Narrow"/>
                <w:bCs/>
                <w:color w:val="000000" w:themeColor="text1"/>
              </w:rPr>
            </w:pPr>
          </w:p>
        </w:tc>
        <w:tc>
          <w:tcPr>
            <w:tcW w:w="1843" w:type="dxa"/>
            <w:tcMar>
              <w:left w:w="28" w:type="dxa"/>
              <w:right w:w="28" w:type="dxa"/>
            </w:tcMar>
            <w:vAlign w:val="bottom"/>
          </w:tcPr>
          <w:p w14:paraId="53C13A9B"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Pelican (WQ*)</w:t>
            </w:r>
          </w:p>
        </w:tc>
        <w:tc>
          <w:tcPr>
            <w:tcW w:w="567" w:type="dxa"/>
            <w:tcMar>
              <w:left w:w="28" w:type="dxa"/>
              <w:right w:w="28" w:type="dxa"/>
            </w:tcMar>
          </w:tcPr>
          <w:p w14:paraId="53C13A9C"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MMP</w:t>
            </w:r>
          </w:p>
        </w:tc>
        <w:tc>
          <w:tcPr>
            <w:tcW w:w="406" w:type="dxa"/>
          </w:tcPr>
          <w:p w14:paraId="53C13A9D"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9E"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A9F"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A0"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A1"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AA2"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A3"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A4"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AA5"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A6"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A7"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AA8"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A9" w14:textId="77777777" w:rsidR="00212781" w:rsidRPr="002B1DCB" w:rsidRDefault="00212781" w:rsidP="00212781">
            <w:pPr>
              <w:rPr>
                <w:rFonts w:ascii="Arial Narrow" w:hAnsi="Arial Narrow" w:cs="Arial"/>
                <w:color w:val="000000" w:themeColor="text1"/>
                <w:szCs w:val="22"/>
              </w:rPr>
            </w:pPr>
          </w:p>
        </w:tc>
        <w:tc>
          <w:tcPr>
            <w:tcW w:w="406" w:type="dxa"/>
          </w:tcPr>
          <w:p w14:paraId="53C13AAA" w14:textId="77777777" w:rsidR="00212781" w:rsidRPr="002B1DCB" w:rsidRDefault="00212781" w:rsidP="00212781">
            <w:pPr>
              <w:rPr>
                <w:rFonts w:ascii="Arial Narrow" w:hAnsi="Arial Narrow" w:cs="Arial"/>
                <w:b/>
                <w:color w:val="000000" w:themeColor="text1"/>
                <w:szCs w:val="22"/>
              </w:rPr>
            </w:pPr>
            <w:r w:rsidRPr="002B1DCB">
              <w:rPr>
                <w:rFonts w:ascii="Arial Narrow" w:hAnsi="Arial Narrow" w:cs="Arial"/>
                <w:b/>
                <w:color w:val="000000" w:themeColor="text1"/>
                <w:szCs w:val="22"/>
              </w:rPr>
              <w:t>●</w:t>
            </w:r>
          </w:p>
        </w:tc>
        <w:tc>
          <w:tcPr>
            <w:tcW w:w="407" w:type="dxa"/>
          </w:tcPr>
          <w:p w14:paraId="53C13AAB" w14:textId="77777777" w:rsidR="00212781" w:rsidRPr="002B1DCB" w:rsidRDefault="00212781" w:rsidP="00212781">
            <w:pPr>
              <w:rPr>
                <w:rFonts w:ascii="Arial Narrow" w:hAnsi="Arial Narrow"/>
                <w:b/>
                <w:color w:val="000000" w:themeColor="text1"/>
              </w:rPr>
            </w:pPr>
          </w:p>
        </w:tc>
      </w:tr>
      <w:tr w:rsidR="00212781" w:rsidRPr="002B1DCB" w14:paraId="53C13ABF" w14:textId="77777777" w:rsidTr="00212781">
        <w:tc>
          <w:tcPr>
            <w:tcW w:w="1129" w:type="dxa"/>
            <w:vMerge/>
          </w:tcPr>
          <w:p w14:paraId="53C13AAD" w14:textId="77777777" w:rsidR="00212781" w:rsidRPr="002B1DCB" w:rsidRDefault="00212781" w:rsidP="00212781">
            <w:pPr>
              <w:rPr>
                <w:rFonts w:ascii="Arial Narrow" w:hAnsi="Arial Narrow"/>
                <w:bCs/>
                <w:color w:val="000000" w:themeColor="text1"/>
              </w:rPr>
            </w:pPr>
          </w:p>
        </w:tc>
        <w:tc>
          <w:tcPr>
            <w:tcW w:w="1843" w:type="dxa"/>
            <w:tcMar>
              <w:left w:w="28" w:type="dxa"/>
              <w:right w:w="28" w:type="dxa"/>
            </w:tcMar>
            <w:vAlign w:val="bottom"/>
          </w:tcPr>
          <w:p w14:paraId="53C13AAE"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Peak</w:t>
            </w:r>
          </w:p>
        </w:tc>
        <w:tc>
          <w:tcPr>
            <w:tcW w:w="567" w:type="dxa"/>
            <w:tcMar>
              <w:left w:w="28" w:type="dxa"/>
              <w:right w:w="28" w:type="dxa"/>
            </w:tcMar>
          </w:tcPr>
          <w:p w14:paraId="53C13AAF" w14:textId="77777777" w:rsidR="00212781" w:rsidRPr="002B1DCB" w:rsidRDefault="00212781" w:rsidP="00212781">
            <w:pPr>
              <w:rPr>
                <w:rFonts w:ascii="Arial Narrow" w:hAnsi="Arial Narrow"/>
                <w:bCs/>
                <w:color w:val="000000" w:themeColor="text1"/>
              </w:rPr>
            </w:pPr>
            <w:r w:rsidRPr="002B1DCB">
              <w:rPr>
                <w:rFonts w:ascii="Arial Narrow" w:hAnsi="Arial Narrow"/>
                <w:bCs/>
                <w:color w:val="000000" w:themeColor="text1"/>
              </w:rPr>
              <w:t>MMP</w:t>
            </w:r>
          </w:p>
        </w:tc>
        <w:tc>
          <w:tcPr>
            <w:tcW w:w="406" w:type="dxa"/>
          </w:tcPr>
          <w:p w14:paraId="53C13AB0"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B1"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AB2" w14:textId="77777777" w:rsidR="00212781" w:rsidRPr="002B1DCB" w:rsidRDefault="00212781" w:rsidP="00212781">
            <w:pPr>
              <w:rPr>
                <w:rFonts w:ascii="Arial Narrow" w:hAnsi="Arial Narrow" w:cs="Arial"/>
                <w:color w:val="000000" w:themeColor="text1"/>
                <w:szCs w:val="22"/>
              </w:rPr>
            </w:pPr>
          </w:p>
        </w:tc>
        <w:tc>
          <w:tcPr>
            <w:tcW w:w="406" w:type="dxa"/>
          </w:tcPr>
          <w:p w14:paraId="53C13AB3"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B4" w14:textId="77777777" w:rsidR="00212781" w:rsidRPr="002B1DCB" w:rsidRDefault="00212781" w:rsidP="00212781">
            <w:pPr>
              <w:rPr>
                <w:rFonts w:ascii="Arial Narrow" w:hAnsi="Arial Narrow" w:cs="Arial"/>
                <w:color w:val="000000" w:themeColor="text1"/>
                <w:szCs w:val="22"/>
              </w:rPr>
            </w:pPr>
          </w:p>
        </w:tc>
        <w:tc>
          <w:tcPr>
            <w:tcW w:w="407" w:type="dxa"/>
          </w:tcPr>
          <w:p w14:paraId="53C13AB5"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B6"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b/>
                <w:color w:val="000000" w:themeColor="text1"/>
                <w:szCs w:val="22"/>
              </w:rPr>
              <w:t>+</w:t>
            </w:r>
          </w:p>
        </w:tc>
        <w:tc>
          <w:tcPr>
            <w:tcW w:w="406" w:type="dxa"/>
          </w:tcPr>
          <w:p w14:paraId="53C13AB7"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7" w:type="dxa"/>
          </w:tcPr>
          <w:p w14:paraId="53C13AB8" w14:textId="77777777" w:rsidR="00212781" w:rsidRPr="002B1DCB" w:rsidRDefault="00212781" w:rsidP="00212781">
            <w:pPr>
              <w:rPr>
                <w:rFonts w:ascii="Arial Narrow" w:hAnsi="Arial Narrow" w:cs="Arial"/>
                <w:color w:val="000000" w:themeColor="text1"/>
                <w:szCs w:val="22"/>
              </w:rPr>
            </w:pPr>
          </w:p>
        </w:tc>
        <w:tc>
          <w:tcPr>
            <w:tcW w:w="406" w:type="dxa"/>
          </w:tcPr>
          <w:p w14:paraId="53C13AB9"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BA"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b/>
                <w:color w:val="000000" w:themeColor="text1"/>
                <w:szCs w:val="22"/>
              </w:rPr>
              <w:t>+</w:t>
            </w:r>
          </w:p>
        </w:tc>
        <w:tc>
          <w:tcPr>
            <w:tcW w:w="407" w:type="dxa"/>
          </w:tcPr>
          <w:p w14:paraId="53C13ABB" w14:textId="77777777" w:rsidR="00212781" w:rsidRPr="002B1DCB" w:rsidRDefault="00212781" w:rsidP="00212781">
            <w:pPr>
              <w:rPr>
                <w:rFonts w:ascii="Arial Narrow" w:hAnsi="Arial Narrow" w:cs="Arial"/>
                <w:color w:val="000000" w:themeColor="text1"/>
                <w:szCs w:val="22"/>
              </w:rPr>
            </w:pPr>
          </w:p>
        </w:tc>
        <w:tc>
          <w:tcPr>
            <w:tcW w:w="406" w:type="dxa"/>
          </w:tcPr>
          <w:p w14:paraId="53C13ABC" w14:textId="77777777" w:rsidR="00212781" w:rsidRPr="002B1DCB" w:rsidRDefault="00212781" w:rsidP="00212781">
            <w:pPr>
              <w:rPr>
                <w:rFonts w:ascii="Arial Narrow" w:hAnsi="Arial Narrow" w:cs="Arial"/>
                <w:color w:val="000000" w:themeColor="text1"/>
                <w:szCs w:val="22"/>
              </w:rPr>
            </w:pPr>
            <w:r w:rsidRPr="002B1DCB">
              <w:rPr>
                <w:rFonts w:ascii="Arial Narrow" w:hAnsi="Arial Narrow" w:cs="Arial"/>
                <w:color w:val="000000" w:themeColor="text1"/>
                <w:szCs w:val="22"/>
              </w:rPr>
              <w:t>●</w:t>
            </w:r>
          </w:p>
        </w:tc>
        <w:tc>
          <w:tcPr>
            <w:tcW w:w="406" w:type="dxa"/>
          </w:tcPr>
          <w:p w14:paraId="53C13ABD" w14:textId="77777777" w:rsidR="00212781" w:rsidRPr="002B1DCB" w:rsidRDefault="00212781" w:rsidP="00212781">
            <w:pPr>
              <w:rPr>
                <w:rFonts w:ascii="Arial Narrow" w:hAnsi="Arial Narrow" w:cs="Arial"/>
                <w:color w:val="000000" w:themeColor="text1"/>
                <w:szCs w:val="22"/>
              </w:rPr>
            </w:pPr>
          </w:p>
        </w:tc>
        <w:tc>
          <w:tcPr>
            <w:tcW w:w="407" w:type="dxa"/>
          </w:tcPr>
          <w:p w14:paraId="53C13ABE" w14:textId="77777777" w:rsidR="00212781" w:rsidRPr="002B1DCB" w:rsidRDefault="00212781" w:rsidP="00212781">
            <w:pPr>
              <w:rPr>
                <w:rFonts w:ascii="Arial Narrow" w:hAnsi="Arial Narrow"/>
                <w:color w:val="000000" w:themeColor="text1"/>
              </w:rPr>
            </w:pPr>
            <w:r w:rsidRPr="002B1DCB">
              <w:rPr>
                <w:rFonts w:ascii="Arial Narrow" w:hAnsi="Arial Narrow" w:cs="Arial"/>
                <w:color w:val="000000" w:themeColor="text1"/>
                <w:szCs w:val="22"/>
              </w:rPr>
              <w:t>●</w:t>
            </w:r>
          </w:p>
        </w:tc>
      </w:tr>
    </w:tbl>
    <w:p w14:paraId="53C13AC0" w14:textId="77777777" w:rsidR="00A84742" w:rsidRPr="00CE4E0F" w:rsidRDefault="00A10DB1" w:rsidP="005729CB">
      <w:pPr>
        <w:jc w:val="left"/>
        <w:rPr>
          <w:lang w:eastAsia="en-AU"/>
        </w:rPr>
      </w:pPr>
      <w:r>
        <w:br w:type="page"/>
      </w:r>
      <w:r w:rsidR="00A84742" w:rsidRPr="00CE4E0F">
        <w:rPr>
          <w:noProof/>
          <w:lang w:eastAsia="en-AU"/>
        </w:rPr>
        <w:lastRenderedPageBreak/>
        <w:drawing>
          <wp:inline distT="0" distB="0" distL="0" distR="0" wp14:anchorId="53C15F2E" wp14:editId="53C15F2F">
            <wp:extent cx="5046102" cy="6124575"/>
            <wp:effectExtent l="0" t="0" r="2540" b="0"/>
            <wp:docPr id="593790064" name="picture" descr="Location of sites monitored by the MMP and LTMP as listed in Table 1." title="Figure 2 Sampling locations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047610" cy="6126405"/>
                    </a:xfrm>
                    <a:prstGeom prst="rect">
                      <a:avLst/>
                    </a:prstGeom>
                  </pic:spPr>
                </pic:pic>
              </a:graphicData>
            </a:graphic>
          </wp:inline>
        </w:drawing>
      </w:r>
    </w:p>
    <w:p w14:paraId="53C13AC1" w14:textId="6FA69AC9" w:rsidR="00F115AB" w:rsidRPr="0062064A" w:rsidRDefault="00A84742" w:rsidP="002B5296">
      <w:pPr>
        <w:pStyle w:val="Caption"/>
        <w:rPr>
          <w:rStyle w:val="FigureChar"/>
          <w:rFonts w:eastAsia="SimSun"/>
          <w:vanish/>
          <w:specVanish/>
        </w:rPr>
      </w:pPr>
      <w:bookmarkStart w:id="150" w:name="_Ref491090953"/>
      <w:bookmarkStart w:id="151" w:name="_Toc35947152"/>
      <w:bookmarkStart w:id="152" w:name="_Ref469988513"/>
      <w:bookmarkStart w:id="153" w:name="_Toc530654901"/>
      <w:bookmarkStart w:id="154" w:name="_Toc534965109"/>
      <w:r w:rsidRPr="00CE4E0F">
        <w:t xml:space="preserve">Figure </w:t>
      </w:r>
      <w:r w:rsidR="005D7AC6" w:rsidRPr="00CE4E0F">
        <w:rPr>
          <w:noProof/>
        </w:rPr>
        <w:fldChar w:fldCharType="begin"/>
      </w:r>
      <w:r w:rsidR="005D7AC6" w:rsidRPr="00CE4E0F">
        <w:rPr>
          <w:noProof/>
        </w:rPr>
        <w:instrText xml:space="preserve"> SEQ Figure \* ARABIC </w:instrText>
      </w:r>
      <w:r w:rsidR="005D7AC6" w:rsidRPr="00CE4E0F">
        <w:rPr>
          <w:noProof/>
        </w:rPr>
        <w:fldChar w:fldCharType="separate"/>
      </w:r>
      <w:r w:rsidR="003053D1">
        <w:rPr>
          <w:noProof/>
        </w:rPr>
        <w:t>2</w:t>
      </w:r>
      <w:r w:rsidR="005D7AC6" w:rsidRPr="00CE4E0F">
        <w:rPr>
          <w:noProof/>
        </w:rPr>
        <w:fldChar w:fldCharType="end"/>
      </w:r>
      <w:bookmarkEnd w:id="150"/>
      <w:r w:rsidRPr="00CE4E0F">
        <w:t xml:space="preserve"> Sampling locations of the coral monitoring</w:t>
      </w:r>
      <w:bookmarkEnd w:id="151"/>
    </w:p>
    <w:bookmarkEnd w:id="152"/>
    <w:p w14:paraId="53C13AC2" w14:textId="77777777" w:rsidR="00A84742" w:rsidRPr="00CE4E0F" w:rsidRDefault="00A84742">
      <w:pPr>
        <w:pStyle w:val="Caption"/>
      </w:pPr>
      <w:r w:rsidRPr="00F115AB">
        <w:rPr>
          <w:rStyle w:val="IntenseReference"/>
        </w:rPr>
        <w:t>. Natural resource management region boundaries are represented by coloured catchment areas.</w:t>
      </w:r>
      <w:bookmarkEnd w:id="153"/>
      <w:bookmarkEnd w:id="154"/>
    </w:p>
    <w:p w14:paraId="53C13AC3" w14:textId="77777777" w:rsidR="00A84742" w:rsidRPr="00CE4E0F" w:rsidRDefault="0096490D" w:rsidP="00727D87">
      <w:pPr>
        <w:pStyle w:val="Heading3"/>
      </w:pPr>
      <w:bookmarkStart w:id="155" w:name="_Toc526246881"/>
      <w:bookmarkStart w:id="156" w:name="_Toc530654934"/>
      <w:bookmarkStart w:id="157" w:name="_Toc35947091"/>
      <w:r w:rsidRPr="00CE4E0F">
        <w:lastRenderedPageBreak/>
        <w:t>Depth s</w:t>
      </w:r>
      <w:r w:rsidR="00A84742" w:rsidRPr="00CE4E0F">
        <w:t>election</w:t>
      </w:r>
      <w:bookmarkEnd w:id="155"/>
      <w:bookmarkEnd w:id="156"/>
      <w:bookmarkEnd w:id="157"/>
    </w:p>
    <w:p w14:paraId="53C13AC4" w14:textId="77777777" w:rsidR="00A84742" w:rsidRPr="00CE4E0F" w:rsidRDefault="00A84742" w:rsidP="00A84742">
      <w:r w:rsidRPr="00CE4E0F">
        <w:t xml:space="preserve">Within the turbid inshore waters of the Reef the composition of coral communities varies strongly with depth due to differing exposure to pressures and disturbances (e.g. Sweatman </w:t>
      </w:r>
      <w:r w:rsidRPr="00CE4E0F">
        <w:rPr>
          <w:i/>
        </w:rPr>
        <w:t>et al.</w:t>
      </w:r>
      <w:r w:rsidRPr="00CE4E0F">
        <w:t xml:space="preserve"> 2007). For the MMP</w:t>
      </w:r>
      <w:r w:rsidR="001841EB" w:rsidRPr="00CE4E0F">
        <w:t>,</w:t>
      </w:r>
      <w:r w:rsidRPr="00CE4E0F">
        <w:t xml:space="preserve"> transects were selected at two depths. The lower limit for the inshore coral surveys was selected at </w:t>
      </w:r>
      <w:r w:rsidR="00736373" w:rsidRPr="00CE4E0F">
        <w:t xml:space="preserve">5 </w:t>
      </w:r>
      <w:r w:rsidRPr="00CE4E0F">
        <w:t xml:space="preserve">m below lowest astronomical tide datum (LAT). Below this depth, coral communities rapidly diminish at many inshore reefs. A shallower depth of </w:t>
      </w:r>
      <w:r w:rsidR="00736373" w:rsidRPr="00CE4E0F">
        <w:t xml:space="preserve">2 m </w:t>
      </w:r>
      <w:r w:rsidRPr="00CE4E0F">
        <w:t xml:space="preserve">below LAT was selected as a compromise between a desire to sample the reef crest and logistical reasons, including the inability to use the photo technique in very shallow water and the potential for site markers </w:t>
      </w:r>
      <w:r w:rsidR="00057E1E">
        <w:t xml:space="preserve">to </w:t>
      </w:r>
      <w:r w:rsidRPr="00CE4E0F">
        <w:t>creat</w:t>
      </w:r>
      <w:r w:rsidR="006A125F">
        <w:t>e</w:t>
      </w:r>
      <w:r w:rsidRPr="00CE4E0F">
        <w:t xml:space="preserve"> a danger to navigation. The AIMS LTMP sites are not as consistently depth defined as those of the MMP</w:t>
      </w:r>
      <w:r w:rsidR="007B2B2A">
        <w:t>,</w:t>
      </w:r>
      <w:r w:rsidRPr="00CE4E0F">
        <w:t xml:space="preserve"> with most sites set in the range of 5–7</w:t>
      </w:r>
      <w:r w:rsidR="00736373" w:rsidRPr="00CE4E0F">
        <w:t xml:space="preserve"> </w:t>
      </w:r>
      <w:r w:rsidRPr="00CE4E0F">
        <w:t>m below LAT. Middle Reef is the exception with sites there at approximately 3</w:t>
      </w:r>
      <w:r w:rsidR="00736373" w:rsidRPr="00CE4E0F">
        <w:t xml:space="preserve"> </w:t>
      </w:r>
      <w:r w:rsidRPr="00CE4E0F">
        <w:t>m below LAT.</w:t>
      </w:r>
    </w:p>
    <w:p w14:paraId="53C13AC5" w14:textId="77777777" w:rsidR="00A84742" w:rsidRPr="00CE4E0F" w:rsidRDefault="00A84742" w:rsidP="00727D87">
      <w:pPr>
        <w:pStyle w:val="Heading3"/>
      </w:pPr>
      <w:bookmarkStart w:id="158" w:name="_Toc526246882"/>
      <w:bookmarkStart w:id="159" w:name="_Toc530654935"/>
      <w:bookmarkStart w:id="160" w:name="_Toc35947092"/>
      <w:r w:rsidRPr="00CE4E0F">
        <w:t>Site marking</w:t>
      </w:r>
      <w:bookmarkEnd w:id="158"/>
      <w:bookmarkEnd w:id="159"/>
      <w:bookmarkEnd w:id="160"/>
    </w:p>
    <w:p w14:paraId="53C13AC6" w14:textId="77777777" w:rsidR="00A84742" w:rsidRPr="00CE4E0F" w:rsidRDefault="00A84742" w:rsidP="00A84742">
      <w:r w:rsidRPr="00CE4E0F">
        <w:t>At each reef, two sites separated by at least 250 m were selected along a similar aspect. These sites are permanently marked with steel fence posts at the beginning of each of five, 20</w:t>
      </w:r>
      <w:r w:rsidR="00736373" w:rsidRPr="00CE4E0F">
        <w:t xml:space="preserve"> m</w:t>
      </w:r>
      <w:r w:rsidRPr="00CE4E0F">
        <w:t>-long, transects and smaller steel rods (10</w:t>
      </w:r>
      <w:r w:rsidR="00736373" w:rsidRPr="00CE4E0F">
        <w:t xml:space="preserve"> mm</w:t>
      </w:r>
      <w:r w:rsidRPr="00CE4E0F">
        <w:t>-diameter) at the midpoint and the end of each transect. Compass bearings and measured distances record the transect path between these permanent markers. Transects were set initially by running two 60</w:t>
      </w:r>
      <w:r w:rsidR="00736373" w:rsidRPr="00CE4E0F">
        <w:t>-</w:t>
      </w:r>
      <w:r w:rsidRPr="00CE4E0F">
        <w:t>m fibreglass tape measures out along the desired depth contour. Digital depth gauges were used along with tide heights from the closest location included in ‘</w:t>
      </w:r>
      <w:r w:rsidRPr="00CE4E0F">
        <w:rPr>
          <w:i/>
        </w:rPr>
        <w:t xml:space="preserve">Seafarer Tides’ </w:t>
      </w:r>
      <w:r w:rsidRPr="00CE4E0F">
        <w:t>electronic tide charts produced by the Australian Hydrographic Service to set transects as close as possible to the desired depth. Consecutive transects were separated by five metres. The position of the first picket of each site was recorded by GPS. Site directions and waypoints are stored electronically in AIMS databases.</w:t>
      </w:r>
    </w:p>
    <w:p w14:paraId="53C13AC7" w14:textId="77777777" w:rsidR="00A84742" w:rsidRPr="00CE4E0F" w:rsidRDefault="00A84742" w:rsidP="00727D87">
      <w:pPr>
        <w:pStyle w:val="Heading3"/>
      </w:pPr>
      <w:bookmarkStart w:id="161" w:name="_Toc526246883"/>
      <w:bookmarkStart w:id="162" w:name="_Toc530654936"/>
      <w:bookmarkStart w:id="163" w:name="_Toc35947093"/>
      <w:r w:rsidRPr="00CE4E0F">
        <w:t>Sampling timing and frequency</w:t>
      </w:r>
      <w:bookmarkEnd w:id="161"/>
      <w:bookmarkEnd w:id="162"/>
      <w:bookmarkEnd w:id="163"/>
    </w:p>
    <w:p w14:paraId="53C13AC8" w14:textId="77777777" w:rsidR="00A84742" w:rsidRPr="00CE4E0F" w:rsidRDefault="00A84742" w:rsidP="00A84742">
      <w:r w:rsidRPr="00CE4E0F">
        <w:t>Coral reef surveys were undertaken predominantly over the months May-July as this allows most of the influences resulting from summer disturbances, such as cyclones and</w:t>
      </w:r>
      <w:r w:rsidR="00CF5AE0">
        <w:t xml:space="preserve"> thermal</w:t>
      </w:r>
      <w:r w:rsidRPr="00CE4E0F">
        <w:t xml:space="preserve"> bleaching events, to be realised. Although the acute </w:t>
      </w:r>
      <w:r w:rsidRPr="00CE4E0F">
        <w:lastRenderedPageBreak/>
        <w:t>events occur over summer, the stress incurred can cause ongoing mortality for several months. The winter sampling also protects observers from potential risk from marine stingers over the summer months. The exception was Snapper Island where sampling occurred typically in the months August – October.</w:t>
      </w:r>
    </w:p>
    <w:p w14:paraId="53C13AC9" w14:textId="77777777" w:rsidR="00A84742" w:rsidRPr="00CE4E0F" w:rsidRDefault="00A84742" w:rsidP="00A84742">
      <w:r w:rsidRPr="00CE4E0F">
        <w:t>The frequency of survey has changed gradually over time due to budgetary constraints. In 2005 and 2006 all MMP reefs were surveyed. From 2007 through to 2014 a subset of reefs at which there were co-located water sampling sites, were classified as “core” reefs, and sampled annually. The remaining reefs were classified as “cycle” and sampled only in alternate years with half sampled in odd-numbered years (i.e. 2009, 2011 and 2013) and the remainder in even-numbered years.</w:t>
      </w:r>
    </w:p>
    <w:p w14:paraId="53C13ACA" w14:textId="77777777" w:rsidR="00A10DB1" w:rsidRDefault="00A84742" w:rsidP="00A84742">
      <w:r w:rsidRPr="00CE4E0F">
        <w:t>When an acute disturbance was suspected to have impacted cycle reefs during the preceding summer they were resurveyed irrespective of their odd or even year classification to gain the best estimate of the impact of the acute event and book-end the start of the recovery period. Further funding reductions necessitated the adoption of a biennial sampling cycle for all reefs, although a contingency for the out-of-phase resampling of reefs impacted by acute disturbance was maintained</w:t>
      </w:r>
      <w:r w:rsidR="00A10DB1">
        <w:t xml:space="preserve">. </w:t>
      </w:r>
    </w:p>
    <w:p w14:paraId="53C13ACB" w14:textId="77777777" w:rsidR="00A10DB1" w:rsidRDefault="00A10DB1">
      <w:pPr>
        <w:jc w:val="left"/>
      </w:pPr>
      <w:r>
        <w:br w:type="page"/>
      </w:r>
    </w:p>
    <w:p w14:paraId="53C13ACC" w14:textId="77777777" w:rsidR="00A84742" w:rsidRPr="00CE4E0F" w:rsidRDefault="00A84742" w:rsidP="006F1D4F">
      <w:pPr>
        <w:pStyle w:val="Heading2"/>
      </w:pPr>
      <w:bookmarkStart w:id="164" w:name="_Toc491847361"/>
      <w:bookmarkStart w:id="165" w:name="_Toc526246891"/>
      <w:bookmarkStart w:id="166" w:name="_Toc530654944"/>
      <w:bookmarkStart w:id="167" w:name="_Toc35947094"/>
      <w:r w:rsidRPr="00CE4E0F">
        <w:lastRenderedPageBreak/>
        <w:t xml:space="preserve">Coral </w:t>
      </w:r>
      <w:r w:rsidRPr="006931BE">
        <w:t>community</w:t>
      </w:r>
      <w:r w:rsidRPr="00CE4E0F">
        <w:t xml:space="preserve"> sampling</w:t>
      </w:r>
      <w:bookmarkEnd w:id="164"/>
      <w:bookmarkEnd w:id="165"/>
      <w:bookmarkEnd w:id="166"/>
      <w:r w:rsidR="007E0691">
        <w:t xml:space="preserve"> methods</w:t>
      </w:r>
      <w:bookmarkEnd w:id="167"/>
    </w:p>
    <w:p w14:paraId="53C13ACD" w14:textId="2F2D06C0" w:rsidR="006902D1" w:rsidRPr="00CE4E0F" w:rsidRDefault="00A84742" w:rsidP="00A84742">
      <w:r w:rsidRPr="00CE4E0F">
        <w:t>Two sampling methodologies were used to describe the benthic communities of inshore coral reefs (</w:t>
      </w:r>
      <w:r w:rsidRPr="00CE4E0F">
        <w:fldChar w:fldCharType="begin"/>
      </w:r>
      <w:r w:rsidRPr="00CE4E0F">
        <w:instrText xml:space="preserve"> REF _Ref491155053 \h </w:instrText>
      </w:r>
      <w:r w:rsidRPr="00CE4E0F">
        <w:fldChar w:fldCharType="separate"/>
      </w:r>
      <w:r w:rsidR="003053D1" w:rsidRPr="00CE4E0F">
        <w:t xml:space="preserve">Table </w:t>
      </w:r>
      <w:r w:rsidR="003053D1">
        <w:rPr>
          <w:noProof/>
        </w:rPr>
        <w:t>3</w:t>
      </w:r>
      <w:r w:rsidRPr="00CE4E0F">
        <w:fldChar w:fldCharType="end"/>
      </w:r>
      <w:r w:rsidRPr="00CE4E0F">
        <w:t>).</w:t>
      </w:r>
    </w:p>
    <w:p w14:paraId="53C13ACE" w14:textId="56B16046" w:rsidR="00A84742" w:rsidRPr="00CE4E0F" w:rsidRDefault="00A84742" w:rsidP="002B5296">
      <w:pPr>
        <w:pStyle w:val="Caption"/>
      </w:pPr>
      <w:bookmarkStart w:id="168" w:name="_Ref491155053"/>
      <w:bookmarkStart w:id="169" w:name="_Toc528333635"/>
      <w:bookmarkStart w:id="170" w:name="_Toc35947189"/>
      <w:r w:rsidRPr="00CE4E0F">
        <w:t xml:space="preserve">Table </w:t>
      </w:r>
      <w:r w:rsidRPr="00CE4E0F">
        <w:rPr>
          <w:noProof/>
        </w:rPr>
        <w:fldChar w:fldCharType="begin"/>
      </w:r>
      <w:r w:rsidRPr="00CE4E0F">
        <w:rPr>
          <w:noProof/>
        </w:rPr>
        <w:instrText xml:space="preserve"> SEQ Table \* ARABIC </w:instrText>
      </w:r>
      <w:r w:rsidRPr="00CE4E0F">
        <w:rPr>
          <w:noProof/>
        </w:rPr>
        <w:fldChar w:fldCharType="separate"/>
      </w:r>
      <w:r w:rsidR="003053D1">
        <w:rPr>
          <w:noProof/>
        </w:rPr>
        <w:t>3</w:t>
      </w:r>
      <w:r w:rsidRPr="00CE4E0F">
        <w:rPr>
          <w:noProof/>
        </w:rPr>
        <w:fldChar w:fldCharType="end"/>
      </w:r>
      <w:bookmarkEnd w:id="168"/>
      <w:r w:rsidRPr="00CE4E0F">
        <w:t xml:space="preserve"> Survey methods used by the MMP and LTMP to describe coral communities</w:t>
      </w:r>
      <w:bookmarkEnd w:id="169"/>
      <w:bookmarkEnd w:id="17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20" w:firstRow="1" w:lastRow="0" w:firstColumn="0" w:lastColumn="0" w:noHBand="1" w:noVBand="1"/>
        <w:tblCaption w:val="summary of survey methods"/>
        <w:tblDescription w:val="Notes diferences between the AIMS LTMP and MMP methods. LTMP uses three sites each with five 50 m long transects for cover estimates compared to the two sites and five 20 m transects used by MMP. "/>
      </w:tblPr>
      <w:tblGrid>
        <w:gridCol w:w="1314"/>
        <w:gridCol w:w="2948"/>
        <w:gridCol w:w="2769"/>
        <w:gridCol w:w="2598"/>
      </w:tblGrid>
      <w:tr w:rsidR="00CE4E0F" w:rsidRPr="00CE4E0F" w14:paraId="53C13AD2" w14:textId="77777777" w:rsidTr="00C348DB">
        <w:tc>
          <w:tcPr>
            <w:tcW w:w="682" w:type="pct"/>
            <w:vMerge w:val="restart"/>
            <w:shd w:val="clear" w:color="auto" w:fill="F2F2F2" w:themeFill="background1" w:themeFillShade="F2"/>
            <w:vAlign w:val="center"/>
          </w:tcPr>
          <w:p w14:paraId="53C13ACF" w14:textId="77777777" w:rsidR="00A84742" w:rsidRPr="00C348DB" w:rsidRDefault="00A84742" w:rsidP="00A84742">
            <w:pPr>
              <w:rPr>
                <w:rFonts w:ascii="Arial Narrow" w:hAnsi="Arial Narrow"/>
                <w:sz w:val="20"/>
              </w:rPr>
            </w:pPr>
            <w:r w:rsidRPr="00C348DB">
              <w:rPr>
                <w:rFonts w:ascii="Arial Narrow" w:hAnsi="Arial Narrow"/>
                <w:sz w:val="20"/>
              </w:rPr>
              <w:t>Survey Method</w:t>
            </w:r>
          </w:p>
        </w:tc>
        <w:tc>
          <w:tcPr>
            <w:tcW w:w="1531" w:type="pct"/>
            <w:vMerge w:val="restart"/>
            <w:shd w:val="clear" w:color="auto" w:fill="F2F2F2" w:themeFill="background1" w:themeFillShade="F2"/>
            <w:vAlign w:val="center"/>
          </w:tcPr>
          <w:p w14:paraId="53C13AD0" w14:textId="77777777" w:rsidR="00A84742" w:rsidRPr="00C348DB" w:rsidRDefault="00A84742" w:rsidP="00A84742">
            <w:pPr>
              <w:rPr>
                <w:rFonts w:ascii="Arial Narrow" w:hAnsi="Arial Narrow"/>
                <w:sz w:val="20"/>
              </w:rPr>
            </w:pPr>
            <w:r w:rsidRPr="00C348DB">
              <w:rPr>
                <w:rFonts w:ascii="Arial Narrow" w:hAnsi="Arial Narrow"/>
                <w:sz w:val="20"/>
              </w:rPr>
              <w:t>Information provided</w:t>
            </w:r>
          </w:p>
        </w:tc>
        <w:tc>
          <w:tcPr>
            <w:tcW w:w="2787" w:type="pct"/>
            <w:gridSpan w:val="2"/>
            <w:shd w:val="clear" w:color="auto" w:fill="F2F2F2" w:themeFill="background1" w:themeFillShade="F2"/>
            <w:vAlign w:val="center"/>
          </w:tcPr>
          <w:p w14:paraId="53C13AD1" w14:textId="77777777" w:rsidR="00A84742" w:rsidRPr="00C348DB" w:rsidRDefault="00A84742" w:rsidP="00A84742">
            <w:pPr>
              <w:jc w:val="center"/>
              <w:rPr>
                <w:rFonts w:ascii="Arial Narrow" w:hAnsi="Arial Narrow"/>
                <w:sz w:val="20"/>
              </w:rPr>
            </w:pPr>
            <w:r w:rsidRPr="00C348DB">
              <w:rPr>
                <w:rFonts w:ascii="Arial Narrow" w:hAnsi="Arial Narrow"/>
                <w:sz w:val="20"/>
              </w:rPr>
              <w:t>Transect dimension</w:t>
            </w:r>
          </w:p>
        </w:tc>
      </w:tr>
      <w:tr w:rsidR="00CE4E0F" w:rsidRPr="00CE4E0F" w14:paraId="53C13AD7" w14:textId="77777777" w:rsidTr="00C348DB">
        <w:tc>
          <w:tcPr>
            <w:tcW w:w="682" w:type="pct"/>
            <w:vMerge/>
            <w:shd w:val="clear" w:color="auto" w:fill="F2F2F2" w:themeFill="background1" w:themeFillShade="F2"/>
            <w:vAlign w:val="center"/>
          </w:tcPr>
          <w:p w14:paraId="53C13AD3" w14:textId="77777777" w:rsidR="00A84742" w:rsidRPr="00C348DB" w:rsidRDefault="00A84742" w:rsidP="00A84742">
            <w:pPr>
              <w:rPr>
                <w:rFonts w:ascii="Arial Narrow" w:hAnsi="Arial Narrow"/>
                <w:sz w:val="20"/>
              </w:rPr>
            </w:pPr>
          </w:p>
        </w:tc>
        <w:tc>
          <w:tcPr>
            <w:tcW w:w="1531" w:type="pct"/>
            <w:vMerge/>
            <w:shd w:val="clear" w:color="auto" w:fill="F2F2F2" w:themeFill="background1" w:themeFillShade="F2"/>
            <w:vAlign w:val="center"/>
          </w:tcPr>
          <w:p w14:paraId="53C13AD4" w14:textId="77777777" w:rsidR="00A84742" w:rsidRPr="00C348DB" w:rsidRDefault="00A84742" w:rsidP="00A84742">
            <w:pPr>
              <w:rPr>
                <w:rFonts w:ascii="Arial Narrow" w:hAnsi="Arial Narrow"/>
                <w:sz w:val="20"/>
              </w:rPr>
            </w:pPr>
          </w:p>
        </w:tc>
        <w:tc>
          <w:tcPr>
            <w:tcW w:w="1438" w:type="pct"/>
            <w:shd w:val="clear" w:color="auto" w:fill="F2F2F2" w:themeFill="background1" w:themeFillShade="F2"/>
            <w:vAlign w:val="center"/>
          </w:tcPr>
          <w:p w14:paraId="53C13AD5" w14:textId="77777777" w:rsidR="00A84742" w:rsidRPr="00C348DB" w:rsidRDefault="00A84742" w:rsidP="00A84742">
            <w:pPr>
              <w:rPr>
                <w:rFonts w:ascii="Arial Narrow" w:hAnsi="Arial Narrow"/>
                <w:sz w:val="20"/>
              </w:rPr>
            </w:pPr>
            <w:r w:rsidRPr="00C348DB">
              <w:rPr>
                <w:rFonts w:ascii="Arial Narrow" w:hAnsi="Arial Narrow"/>
                <w:sz w:val="20"/>
              </w:rPr>
              <w:t>MMP (20 m long transects)</w:t>
            </w:r>
          </w:p>
        </w:tc>
        <w:tc>
          <w:tcPr>
            <w:tcW w:w="1349" w:type="pct"/>
            <w:shd w:val="clear" w:color="auto" w:fill="F2F2F2" w:themeFill="background1" w:themeFillShade="F2"/>
            <w:vAlign w:val="center"/>
          </w:tcPr>
          <w:p w14:paraId="53C13AD6" w14:textId="77777777" w:rsidR="00A84742" w:rsidRPr="00C348DB" w:rsidRDefault="00A84742" w:rsidP="00A84742">
            <w:pPr>
              <w:rPr>
                <w:rFonts w:ascii="Arial Narrow" w:hAnsi="Arial Narrow"/>
                <w:sz w:val="20"/>
              </w:rPr>
            </w:pPr>
            <w:r w:rsidRPr="00C348DB">
              <w:rPr>
                <w:rFonts w:ascii="Arial Narrow" w:hAnsi="Arial Narrow"/>
                <w:sz w:val="20"/>
              </w:rPr>
              <w:t>LTMP (50 m long transects)</w:t>
            </w:r>
          </w:p>
        </w:tc>
      </w:tr>
      <w:tr w:rsidR="00CE4E0F" w:rsidRPr="00CE4E0F" w14:paraId="53C13ADE" w14:textId="77777777" w:rsidTr="004F16D3">
        <w:trPr>
          <w:trHeight w:val="997"/>
        </w:trPr>
        <w:tc>
          <w:tcPr>
            <w:tcW w:w="682" w:type="pct"/>
            <w:vAlign w:val="center"/>
          </w:tcPr>
          <w:p w14:paraId="53C13AD8" w14:textId="77777777" w:rsidR="00A84742" w:rsidRPr="00CE4E0F" w:rsidRDefault="00A84742" w:rsidP="00A84742">
            <w:pPr>
              <w:jc w:val="center"/>
              <w:rPr>
                <w:rFonts w:ascii="Arial Narrow" w:hAnsi="Arial Narrow"/>
                <w:sz w:val="20"/>
              </w:rPr>
            </w:pPr>
            <w:r w:rsidRPr="00CE4E0F">
              <w:rPr>
                <w:rFonts w:ascii="Arial Narrow" w:hAnsi="Arial Narrow"/>
                <w:sz w:val="20"/>
              </w:rPr>
              <w:t>Photo point Intercept</w:t>
            </w:r>
          </w:p>
        </w:tc>
        <w:tc>
          <w:tcPr>
            <w:tcW w:w="1531" w:type="pct"/>
            <w:vAlign w:val="center"/>
          </w:tcPr>
          <w:p w14:paraId="53C13AD9" w14:textId="77777777" w:rsidR="00A84742" w:rsidRPr="00CE4E0F" w:rsidRDefault="00A84742" w:rsidP="00A84742">
            <w:pPr>
              <w:rPr>
                <w:rFonts w:ascii="Arial Narrow" w:hAnsi="Arial Narrow"/>
                <w:sz w:val="20"/>
              </w:rPr>
            </w:pPr>
            <w:r w:rsidRPr="00CE4E0F">
              <w:rPr>
                <w:rFonts w:ascii="Arial Narrow" w:hAnsi="Arial Narrow"/>
                <w:sz w:val="20"/>
              </w:rPr>
              <w:t>Percentage covers of the substratum of major benthic habitat components.</w:t>
            </w:r>
          </w:p>
        </w:tc>
        <w:tc>
          <w:tcPr>
            <w:tcW w:w="1438" w:type="pct"/>
            <w:vAlign w:val="center"/>
          </w:tcPr>
          <w:p w14:paraId="53C13ADA" w14:textId="77777777" w:rsidR="00A84742" w:rsidRPr="00CE4E0F" w:rsidRDefault="00A84742" w:rsidP="00A84742">
            <w:pPr>
              <w:rPr>
                <w:rFonts w:ascii="Arial Narrow" w:hAnsi="Arial Narrow"/>
                <w:sz w:val="20"/>
              </w:rPr>
            </w:pPr>
            <w:r w:rsidRPr="00CE4E0F">
              <w:rPr>
                <w:rFonts w:ascii="Arial Narrow" w:hAnsi="Arial Narrow"/>
                <w:sz w:val="20"/>
              </w:rPr>
              <w:t xml:space="preserve">Approximately 34cm belt along upslope side of transect sampled at 50 cm intervals from which 32 frames are sampled. </w:t>
            </w:r>
          </w:p>
          <w:p w14:paraId="53C13ADB" w14:textId="77777777" w:rsidR="00A84742" w:rsidRPr="00CE4E0F" w:rsidRDefault="00A84742" w:rsidP="00A84742">
            <w:pPr>
              <w:rPr>
                <w:rFonts w:ascii="Arial Narrow" w:hAnsi="Arial Narrow"/>
                <w:sz w:val="20"/>
              </w:rPr>
            </w:pPr>
          </w:p>
        </w:tc>
        <w:tc>
          <w:tcPr>
            <w:tcW w:w="1349" w:type="pct"/>
            <w:vAlign w:val="center"/>
          </w:tcPr>
          <w:p w14:paraId="53C13ADC" w14:textId="77777777" w:rsidR="00A84742" w:rsidRPr="00CE4E0F" w:rsidRDefault="00A84742" w:rsidP="00A84742">
            <w:pPr>
              <w:rPr>
                <w:rFonts w:ascii="Arial Narrow" w:hAnsi="Arial Narrow"/>
                <w:sz w:val="20"/>
              </w:rPr>
            </w:pPr>
            <w:r w:rsidRPr="00CE4E0F">
              <w:rPr>
                <w:rFonts w:ascii="Arial Narrow" w:hAnsi="Arial Narrow"/>
                <w:sz w:val="20"/>
              </w:rPr>
              <w:t xml:space="preserve">Approximately 34cm belt along upslope side of transect sampled at 1m intervals from which 40 frames are sampled. </w:t>
            </w:r>
          </w:p>
          <w:p w14:paraId="53C13ADD" w14:textId="77777777" w:rsidR="00A84742" w:rsidRPr="00CE4E0F" w:rsidRDefault="00A84742" w:rsidP="00A84742">
            <w:pPr>
              <w:rPr>
                <w:rFonts w:ascii="Arial Narrow" w:hAnsi="Arial Narrow"/>
                <w:sz w:val="20"/>
              </w:rPr>
            </w:pPr>
          </w:p>
        </w:tc>
      </w:tr>
      <w:tr w:rsidR="00A84742" w:rsidRPr="00CE4E0F" w14:paraId="53C13AE5" w14:textId="77777777" w:rsidTr="004F16D3">
        <w:trPr>
          <w:trHeight w:val="842"/>
        </w:trPr>
        <w:tc>
          <w:tcPr>
            <w:tcW w:w="682" w:type="pct"/>
            <w:vAlign w:val="center"/>
          </w:tcPr>
          <w:p w14:paraId="53C13ADF" w14:textId="77777777" w:rsidR="00A84742" w:rsidRPr="00CE4E0F" w:rsidRDefault="00A84742" w:rsidP="00A84742">
            <w:pPr>
              <w:rPr>
                <w:rFonts w:ascii="Arial Narrow" w:hAnsi="Arial Narrow"/>
                <w:sz w:val="20"/>
              </w:rPr>
            </w:pPr>
            <w:r w:rsidRPr="00CE4E0F">
              <w:rPr>
                <w:rFonts w:ascii="Arial Narrow" w:hAnsi="Arial Narrow"/>
                <w:sz w:val="20"/>
              </w:rPr>
              <w:t>Demography</w:t>
            </w:r>
          </w:p>
        </w:tc>
        <w:tc>
          <w:tcPr>
            <w:tcW w:w="1531" w:type="pct"/>
            <w:vAlign w:val="center"/>
          </w:tcPr>
          <w:p w14:paraId="53C13AE0" w14:textId="77777777" w:rsidR="00A84742" w:rsidRPr="00CE4E0F" w:rsidRDefault="00A84742" w:rsidP="00A84742">
            <w:pPr>
              <w:rPr>
                <w:rFonts w:ascii="Arial Narrow" w:hAnsi="Arial Narrow"/>
                <w:sz w:val="20"/>
              </w:rPr>
            </w:pPr>
            <w:r w:rsidRPr="00CE4E0F">
              <w:rPr>
                <w:rFonts w:ascii="Arial Narrow" w:hAnsi="Arial Narrow"/>
                <w:sz w:val="20"/>
              </w:rPr>
              <w:t>Size structure and density of juvenile coral communities.</w:t>
            </w:r>
          </w:p>
        </w:tc>
        <w:tc>
          <w:tcPr>
            <w:tcW w:w="1438" w:type="pct"/>
            <w:vAlign w:val="center"/>
          </w:tcPr>
          <w:p w14:paraId="53C13AE1" w14:textId="77777777" w:rsidR="00A84742" w:rsidRPr="00CE4E0F" w:rsidRDefault="00A84742" w:rsidP="00A84742">
            <w:pPr>
              <w:rPr>
                <w:rFonts w:ascii="Arial Narrow" w:hAnsi="Arial Narrow"/>
                <w:sz w:val="20"/>
              </w:rPr>
            </w:pPr>
            <w:r w:rsidRPr="00CE4E0F">
              <w:rPr>
                <w:rFonts w:ascii="Arial Narrow" w:hAnsi="Arial Narrow"/>
                <w:sz w:val="20"/>
              </w:rPr>
              <w:t>34cm belt along the upslope side of transect. Size classes: 0–2 cm, 2–5 cm, 5–10 cm.</w:t>
            </w:r>
          </w:p>
          <w:p w14:paraId="53C13AE2" w14:textId="77777777" w:rsidR="00A84742" w:rsidRPr="00CE4E0F" w:rsidRDefault="00A84742" w:rsidP="00A84742">
            <w:pPr>
              <w:rPr>
                <w:rFonts w:ascii="Arial Narrow" w:hAnsi="Arial Narrow"/>
                <w:sz w:val="20"/>
              </w:rPr>
            </w:pPr>
          </w:p>
        </w:tc>
        <w:tc>
          <w:tcPr>
            <w:tcW w:w="1349" w:type="pct"/>
            <w:vAlign w:val="center"/>
          </w:tcPr>
          <w:p w14:paraId="53C13AE3" w14:textId="77777777" w:rsidR="00A84742" w:rsidRPr="00CE4E0F" w:rsidRDefault="00A84742" w:rsidP="00A84742">
            <w:pPr>
              <w:rPr>
                <w:rFonts w:ascii="Arial Narrow" w:hAnsi="Arial Narrow"/>
                <w:sz w:val="20"/>
              </w:rPr>
            </w:pPr>
            <w:r w:rsidRPr="00CE4E0F">
              <w:rPr>
                <w:rFonts w:ascii="Arial Narrow" w:hAnsi="Arial Narrow"/>
                <w:sz w:val="20"/>
              </w:rPr>
              <w:t>34cm belt along the upslope side of the first 5 m of transect. Size class: 0–5 cm.</w:t>
            </w:r>
          </w:p>
          <w:p w14:paraId="53C13AE4" w14:textId="77777777" w:rsidR="00A84742" w:rsidRPr="00CE4E0F" w:rsidRDefault="00A84742" w:rsidP="00A84742">
            <w:pPr>
              <w:rPr>
                <w:rFonts w:ascii="Arial Narrow" w:hAnsi="Arial Narrow"/>
                <w:sz w:val="20"/>
              </w:rPr>
            </w:pPr>
          </w:p>
        </w:tc>
      </w:tr>
    </w:tbl>
    <w:p w14:paraId="53C13AE6" w14:textId="77777777" w:rsidR="00A84742" w:rsidRPr="00CE4E0F" w:rsidRDefault="00A84742" w:rsidP="00A84742"/>
    <w:p w14:paraId="53C13AE7" w14:textId="77777777" w:rsidR="00A84742" w:rsidRPr="00CE4E0F" w:rsidRDefault="00A84742" w:rsidP="00727D87">
      <w:pPr>
        <w:pStyle w:val="Heading3"/>
      </w:pPr>
      <w:bookmarkStart w:id="171" w:name="_Toc526246892"/>
      <w:bookmarkStart w:id="172" w:name="_Toc530654945"/>
      <w:bookmarkStart w:id="173" w:name="_Toc35947095"/>
      <w:r w:rsidRPr="00CE4E0F">
        <w:t>Photo point intercept transects</w:t>
      </w:r>
      <w:bookmarkEnd w:id="171"/>
      <w:bookmarkEnd w:id="172"/>
      <w:bookmarkEnd w:id="173"/>
    </w:p>
    <w:p w14:paraId="53C13AE8" w14:textId="77777777" w:rsidR="00A84742" w:rsidRPr="00CE4E0F" w:rsidRDefault="00A84742" w:rsidP="00A84742">
      <w:r w:rsidRPr="00CE4E0F">
        <w:t xml:space="preserve">Estimates of the composition of benthic communities were derived from the identification of organisms on digital photographs taken along the permanently marked transects. The method followed closely the Standard Operation Procedure Number 10 of the AIMS LTMP (Jonker </w:t>
      </w:r>
      <w:r w:rsidRPr="00CE4E0F">
        <w:rPr>
          <w:i/>
        </w:rPr>
        <w:t>et al.</w:t>
      </w:r>
      <w:r w:rsidRPr="00CE4E0F">
        <w:t xml:space="preserve"> 2008). In short, digital photographs were taken at 50 cm intervals along each 20 m transect. Estimates of cover of benthic community components were derived from the identification of the benthos lying beneath five fixed points digitally overlaid onto these images. A total of 32 images were randomly selected and analysed from each transect. Poor quality images were excluded and replaced by an image from those not originally randomly selected. The AIMS LTMP utilised longer 50 m transects sampled at 1m intervals from which 40 images were selected.</w:t>
      </w:r>
    </w:p>
    <w:p w14:paraId="53C13AE9" w14:textId="77777777" w:rsidR="00A84742" w:rsidRPr="00CE4E0F" w:rsidRDefault="00A84742" w:rsidP="00A84742">
      <w:r w:rsidRPr="00CE4E0F">
        <w:t>For most of hard and soft corals, identification to at least genus level was achieved. Identifications for each point were entered directly into a data entry front end to an Oracle-database, developed by AIMS. This system allows the recall of images and checking of any identified points.</w:t>
      </w:r>
    </w:p>
    <w:p w14:paraId="53C13AEA" w14:textId="77777777" w:rsidR="00A84742" w:rsidRPr="00CE4E0F" w:rsidRDefault="00A84742" w:rsidP="00727D87">
      <w:pPr>
        <w:pStyle w:val="Heading3"/>
      </w:pPr>
      <w:bookmarkStart w:id="174" w:name="_Toc526246893"/>
      <w:bookmarkStart w:id="175" w:name="_Toc530654946"/>
      <w:bookmarkStart w:id="176" w:name="_Toc35947096"/>
      <w:r w:rsidRPr="00CE4E0F">
        <w:lastRenderedPageBreak/>
        <w:t>Juvenile coral surveys</w:t>
      </w:r>
      <w:bookmarkEnd w:id="174"/>
      <w:bookmarkEnd w:id="175"/>
      <w:bookmarkEnd w:id="176"/>
      <w:r w:rsidRPr="00CE4E0F">
        <w:t xml:space="preserve"> </w:t>
      </w:r>
    </w:p>
    <w:p w14:paraId="53C13AEB" w14:textId="77777777" w:rsidR="00A84742" w:rsidRDefault="00A84742" w:rsidP="00A84742">
      <w:r w:rsidRPr="00CE4E0F">
        <w:t xml:space="preserve">These surveys provide an estimate of the number of both hard and soft coral colonies that have successfully survived early life cycle stages culminating in settlement and growth through to visible juvenile corals. The number of juvenile coral colonies were counted along the permanently marked transects. In the first year of this program juvenile coral colonies were counted as part of a demographic survey that counted the number of all individuals falling into a broad range of size classes that intersected a 34-cm wide (data slate length) belt along the upslope side of the first 10 m of each </w:t>
      </w:r>
      <w:r w:rsidR="00736373" w:rsidRPr="00CE4E0F">
        <w:t>20-m</w:t>
      </w:r>
      <w:r w:rsidRPr="00CE4E0F">
        <w:t xml:space="preserve"> marked transect. As the focus narrowed to just juvenile colonies, the number of size classes was reduced allowing an increase in the spatial coverage of sampling. From 2006 coral colonies less than 10 cm in diameter were counted within a belt 34 cm wide along the full length of each 20 m transect. Each colony was identified to genus and assigned to a size class of either, 0–2 cm, &gt;2–5 cm, or &gt;5–10 cm. Importantly, this method aims to record only those small colonies assessed as juveniles, i.e. which result from the settlement and subsequent survival and growth of coral larvae, and so does not include small coral colonies considered as resulting from fragmentation or partial mortality of larger colonies. In 2006 the LTMP also introduced juvenile surveys along the first 5 m of each transect and focused on the single size-class of 0–5 cm. In practice corals &lt; 0.5 cm are unlikely to be recorded.</w:t>
      </w:r>
    </w:p>
    <w:p w14:paraId="53C13AEC" w14:textId="77777777" w:rsidR="006931BE" w:rsidRPr="00CE4E0F" w:rsidRDefault="006931BE" w:rsidP="00727D87">
      <w:pPr>
        <w:pStyle w:val="Heading3"/>
      </w:pPr>
      <w:bookmarkStart w:id="177" w:name="_Toc35947097"/>
      <w:r>
        <w:t>SCUBA search transects</w:t>
      </w:r>
      <w:bookmarkEnd w:id="177"/>
    </w:p>
    <w:p w14:paraId="53C13AED" w14:textId="77777777" w:rsidR="006931BE" w:rsidRPr="00CE4E0F" w:rsidRDefault="006931BE" w:rsidP="006931BE">
      <w:r w:rsidRPr="00CE4E0F">
        <w:t xml:space="preserve">SCUBA search transects document the incidence of disease and other agents of coral mortality and damage. Tracking of these agents of mortality is important as declines in coral condition due to these agents are potentially associated with increased exposure to nutrients or turbidity (Morrow </w:t>
      </w:r>
      <w:r w:rsidRPr="00CE4E0F">
        <w:rPr>
          <w:i/>
        </w:rPr>
        <w:t>et al</w:t>
      </w:r>
      <w:r w:rsidRPr="00CE4E0F">
        <w:t xml:space="preserve">. 2012, Vega Thurber </w:t>
      </w:r>
      <w:r w:rsidRPr="00CE4E0F">
        <w:rPr>
          <w:i/>
        </w:rPr>
        <w:t>et al.</w:t>
      </w:r>
      <w:r w:rsidRPr="00CE4E0F">
        <w:t xml:space="preserve"> 2013). The resulting data are used primarily for interpretive purposes and help to identify both acute events such as a high proportion of damaged corals following storms, high densities of coral predators, or periods of chronic stress as inferred from high levels of coral disease.</w:t>
      </w:r>
    </w:p>
    <w:p w14:paraId="53C13AEE" w14:textId="77777777" w:rsidR="006931BE" w:rsidRPr="00CE4E0F" w:rsidRDefault="006931BE" w:rsidP="006931BE">
      <w:r w:rsidRPr="00CE4E0F">
        <w:lastRenderedPageBreak/>
        <w:t xml:space="preserve">This method follows closely the Standard Operation Procedure Number 9 of the LTMP (Miller </w:t>
      </w:r>
      <w:r w:rsidRPr="00CE4E0F">
        <w:rPr>
          <w:i/>
        </w:rPr>
        <w:t>et al.</w:t>
      </w:r>
      <w:r w:rsidRPr="00CE4E0F">
        <w:t xml:space="preserve"> 2009). For each 20 m transect a search was conducted within a 2 m wide belt centred on the marked transect line. Within this belt any colony exhibiting a scar (bare white skeleton) was identified to genus and the cause of the scar categorised as either; brown band disease, black band disease, white syndrome (a catch</w:t>
      </w:r>
      <w:r>
        <w:t>-</w:t>
      </w:r>
      <w:r w:rsidRPr="00CE4E0F">
        <w:t xml:space="preserve">all for unspecified disease), </w:t>
      </w:r>
      <w:r w:rsidRPr="00CE4E0F">
        <w:rPr>
          <w:i/>
        </w:rPr>
        <w:t xml:space="preserve">Drupella </w:t>
      </w:r>
      <w:r w:rsidRPr="00CE4E0F">
        <w:t>spp</w:t>
      </w:r>
      <w:r w:rsidRPr="00CE4E0F">
        <w:rPr>
          <w:i/>
        </w:rPr>
        <w:t>.</w:t>
      </w:r>
      <w:r>
        <w:rPr>
          <w:i/>
        </w:rPr>
        <w:t xml:space="preserve"> </w:t>
      </w:r>
      <w:r>
        <w:rPr>
          <w:iCs/>
        </w:rPr>
        <w:t>(</w:t>
      </w:r>
      <w:r w:rsidRPr="00CE4E0F">
        <w:t xml:space="preserve">in which case the number of </w:t>
      </w:r>
      <w:r w:rsidRPr="00CE4E0F">
        <w:rPr>
          <w:i/>
        </w:rPr>
        <w:t>Drupella</w:t>
      </w:r>
      <w:r w:rsidRPr="00CE4E0F">
        <w:t xml:space="preserve"> spp. snails were recorded</w:t>
      </w:r>
      <w:r>
        <w:t>)</w:t>
      </w:r>
      <w:r w:rsidRPr="00CE4E0F">
        <w:t xml:space="preserve">, crown-of-thorns starfish feeding scar, bleaching </w:t>
      </w:r>
      <w:r>
        <w:t>(</w:t>
      </w:r>
      <w:r w:rsidRPr="00CE4E0F">
        <w:t>when the colony was bleached and partial mortality was occurring</w:t>
      </w:r>
      <w:r>
        <w:t>)</w:t>
      </w:r>
      <w:r w:rsidRPr="00CE4E0F">
        <w:t xml:space="preserve">, and unknown </w:t>
      </w:r>
      <w:r>
        <w:t>(</w:t>
      </w:r>
      <w:r w:rsidRPr="00CE4E0F">
        <w:t>when a cause could not be confidently assumed</w:t>
      </w:r>
      <w:r>
        <w:t>)</w:t>
      </w:r>
      <w:r w:rsidRPr="00CE4E0F">
        <w:t xml:space="preserve">. In addition, the number of crown-of-thorns starfish and their size-class were </w:t>
      </w:r>
      <w:r w:rsidR="002A01BB" w:rsidRPr="00CE4E0F">
        <w:t>counted,</w:t>
      </w:r>
      <w:r w:rsidRPr="00CE4E0F">
        <w:t xml:space="preserve"> and </w:t>
      </w:r>
      <w:r w:rsidR="002A01BB">
        <w:t xml:space="preserve">the number of coral </w:t>
      </w:r>
      <w:r w:rsidRPr="00CE4E0F">
        <w:t>colonies being overgrown by sponges were also recorded.</w:t>
      </w:r>
    </w:p>
    <w:p w14:paraId="53C13AEF" w14:textId="77777777" w:rsidR="006931BE" w:rsidRPr="00CE4E0F" w:rsidRDefault="006931BE" w:rsidP="00A84742">
      <w:r w:rsidRPr="00CE4E0F">
        <w:t xml:space="preserve">Finally, an 11-point scale was used to record the proportions of the coral community that were bleached or had been physically damaged as indicated by toppled or broken colonies. The scale ranges from 0+ when individual colonies were bleached or damaged through the categories 1 to 5 when 1–10%, 11–30%, 31–50%, 50–75% and 75–100% of colonies </w:t>
      </w:r>
      <w:r>
        <w:t xml:space="preserve">were </w:t>
      </w:r>
      <w:r w:rsidRPr="00CE4E0F">
        <w:t xml:space="preserve">affected. The categories 1 to 5 are further refined by inclusion of a </w:t>
      </w:r>
      <w:r>
        <w:t>–</w:t>
      </w:r>
      <w:r w:rsidRPr="00CE4E0F">
        <w:t>ve or +ve symbol when affected proportions are estimated as being in the lower or upper portion of the category. The physical damage category may include anchor as well as storm damage. The LTMP include these surveys over the full 50 m length of transects used in that program.</w:t>
      </w:r>
    </w:p>
    <w:p w14:paraId="53C13AF0" w14:textId="77777777" w:rsidR="00A84742" w:rsidRPr="00CE4E0F" w:rsidRDefault="0062500B" w:rsidP="006F1D4F">
      <w:pPr>
        <w:pStyle w:val="Heading2"/>
      </w:pPr>
      <w:bookmarkStart w:id="178" w:name="_Ref35856084"/>
      <w:bookmarkStart w:id="179" w:name="_Toc35947098"/>
      <w:r>
        <w:t>Calculating report card scores</w:t>
      </w:r>
      <w:bookmarkEnd w:id="178"/>
      <w:bookmarkEnd w:id="179"/>
    </w:p>
    <w:p w14:paraId="53C13AF1" w14:textId="77777777" w:rsidR="00A84742" w:rsidRPr="00CE4E0F" w:rsidRDefault="00A84742" w:rsidP="00A84742">
      <w:pPr>
        <w:rPr>
          <w:lang w:val="en-US"/>
        </w:rPr>
      </w:pPr>
      <w:r w:rsidRPr="00CE4E0F">
        <w:t>C</w:t>
      </w:r>
      <w:r w:rsidRPr="00CE4E0F" w:rsidDel="00AF7DFC">
        <w:t xml:space="preserve">oral </w:t>
      </w:r>
      <w:r w:rsidRPr="00CE4E0F">
        <w:t xml:space="preserve">community </w:t>
      </w:r>
      <w:r w:rsidRPr="00CE4E0F" w:rsidDel="00AF7DFC">
        <w:t xml:space="preserve">condition </w:t>
      </w:r>
      <w:r w:rsidRPr="00CE4E0F">
        <w:t xml:space="preserve">is summarised as an index score that aggregates scores for five indicators </w:t>
      </w:r>
      <w:r w:rsidRPr="00CE4E0F" w:rsidDel="00AF7DFC">
        <w:t>of reef ecosystem state</w:t>
      </w:r>
      <w:r w:rsidRPr="00CE4E0F">
        <w:t xml:space="preserve">. The resulting coral index score </w:t>
      </w:r>
      <w:r w:rsidRPr="00CE4E0F" w:rsidDel="00AF7DFC">
        <w:t>provide</w:t>
      </w:r>
      <w:r w:rsidRPr="00CE4E0F">
        <w:t>s</w:t>
      </w:r>
      <w:r w:rsidRPr="00CE4E0F" w:rsidDel="00AF7DFC">
        <w:t xml:space="preserve"> the coral component of the Reef report card. </w:t>
      </w:r>
      <w:r w:rsidRPr="00CE4E0F">
        <w:t xml:space="preserve">The coral index is formulated around the concept of community resilience. The underlying assumption is that a ‘resilient’ community should show clear signs of recovery after inevitable acute disturbances, such as cyclones and </w:t>
      </w:r>
      <w:r w:rsidR="00CF5AE0">
        <w:t>thermal</w:t>
      </w:r>
      <w:r w:rsidR="00CF5AE0" w:rsidRPr="00CE4E0F">
        <w:t xml:space="preserve"> </w:t>
      </w:r>
      <w:r w:rsidRPr="00CE4E0F">
        <w:t xml:space="preserve">bleaching events, or, in the absence of disturbance, maintain a high cover of corals and successful recruitment processes. Each of the </w:t>
      </w:r>
      <w:r w:rsidRPr="00CE4E0F">
        <w:rPr>
          <w:lang w:val="en-US"/>
        </w:rPr>
        <w:t xml:space="preserve">five </w:t>
      </w:r>
      <w:r w:rsidRPr="00CE4E0F">
        <w:t xml:space="preserve">indicators of coral communities represent </w:t>
      </w:r>
      <w:r w:rsidRPr="00CE4E0F">
        <w:lastRenderedPageBreak/>
        <w:t>different processes that contribute to coral community resilience that are potentially influenced by water quality:</w:t>
      </w:r>
    </w:p>
    <w:p w14:paraId="53C13AF2" w14:textId="77777777" w:rsidR="00A84742" w:rsidRPr="00CE4E0F" w:rsidDel="00AF7DFC" w:rsidRDefault="00A84742" w:rsidP="00A84742">
      <w:pPr>
        <w:numPr>
          <w:ilvl w:val="0"/>
          <w:numId w:val="12"/>
        </w:numPr>
        <w:contextualSpacing/>
        <w:rPr>
          <w:lang w:eastAsia="en-GB"/>
        </w:rPr>
      </w:pPr>
      <w:r w:rsidRPr="00CE4E0F" w:rsidDel="00AF7DFC">
        <w:rPr>
          <w:lang w:eastAsia="en-GB"/>
        </w:rPr>
        <w:t>coral cover as an indicator of corals</w:t>
      </w:r>
      <w:r w:rsidR="00B40C5A">
        <w:rPr>
          <w:lang w:eastAsia="en-GB"/>
        </w:rPr>
        <w:t>’</w:t>
      </w:r>
      <w:r w:rsidRPr="00CE4E0F" w:rsidDel="00AF7DFC">
        <w:rPr>
          <w:lang w:eastAsia="en-GB"/>
        </w:rPr>
        <w:t xml:space="preserve"> ability to resist the cumulative environmental pressures to which they have been exposed</w:t>
      </w:r>
      <w:r w:rsidRPr="00CE4E0F" w:rsidDel="00312553">
        <w:rPr>
          <w:lang w:eastAsia="en-GB"/>
        </w:rPr>
        <w:t>,</w:t>
      </w:r>
      <w:r w:rsidRPr="00CE4E0F" w:rsidDel="00AF7DFC">
        <w:rPr>
          <w:lang w:eastAsia="en-GB"/>
        </w:rPr>
        <w:t xml:space="preserve"> </w:t>
      </w:r>
    </w:p>
    <w:p w14:paraId="53C13AF3" w14:textId="77777777" w:rsidR="00A84742" w:rsidRPr="00CE4E0F" w:rsidDel="00AF7DFC" w:rsidRDefault="00A84742" w:rsidP="00A84742">
      <w:pPr>
        <w:numPr>
          <w:ilvl w:val="0"/>
          <w:numId w:val="12"/>
        </w:numPr>
        <w:contextualSpacing/>
        <w:rPr>
          <w:lang w:eastAsia="en-GB"/>
        </w:rPr>
      </w:pPr>
      <w:r w:rsidRPr="00CE4E0F">
        <w:rPr>
          <w:lang w:eastAsia="en-GB"/>
        </w:rPr>
        <w:t xml:space="preserve">proportion of </w:t>
      </w:r>
      <w:r w:rsidRPr="00CE4E0F" w:rsidDel="00AF7DFC">
        <w:rPr>
          <w:lang w:eastAsia="en-GB"/>
        </w:rPr>
        <w:t xml:space="preserve">macroalgae </w:t>
      </w:r>
      <w:r w:rsidRPr="00CE4E0F">
        <w:rPr>
          <w:lang w:eastAsia="en-GB"/>
        </w:rPr>
        <w:t xml:space="preserve">in algal </w:t>
      </w:r>
      <w:r w:rsidRPr="00CE4E0F" w:rsidDel="00AF7DFC">
        <w:rPr>
          <w:lang w:eastAsia="en-GB"/>
        </w:rPr>
        <w:t xml:space="preserve">cover as an indicator of competition </w:t>
      </w:r>
      <w:r w:rsidRPr="00CE4E0F">
        <w:rPr>
          <w:lang w:eastAsia="en-GB"/>
        </w:rPr>
        <w:t xml:space="preserve">with </w:t>
      </w:r>
      <w:r w:rsidRPr="00CE4E0F" w:rsidDel="00AF7DFC">
        <w:rPr>
          <w:lang w:eastAsia="en-GB"/>
        </w:rPr>
        <w:t>corals</w:t>
      </w:r>
      <w:r w:rsidRPr="00CE4E0F" w:rsidDel="00312553">
        <w:rPr>
          <w:lang w:eastAsia="en-GB"/>
        </w:rPr>
        <w:t>,</w:t>
      </w:r>
      <w:r w:rsidRPr="00CE4E0F" w:rsidDel="00AF7DFC">
        <w:rPr>
          <w:lang w:eastAsia="en-GB"/>
        </w:rPr>
        <w:t xml:space="preserve"> </w:t>
      </w:r>
    </w:p>
    <w:p w14:paraId="53C13AF4" w14:textId="77777777" w:rsidR="00A84742" w:rsidRPr="00CE4E0F" w:rsidDel="00AF7DFC" w:rsidRDefault="00A84742" w:rsidP="00A84742">
      <w:pPr>
        <w:numPr>
          <w:ilvl w:val="0"/>
          <w:numId w:val="12"/>
        </w:numPr>
        <w:contextualSpacing/>
        <w:rPr>
          <w:lang w:eastAsia="en-GB"/>
        </w:rPr>
      </w:pPr>
      <w:r w:rsidRPr="00CE4E0F" w:rsidDel="00AF7DFC">
        <w:rPr>
          <w:lang w:eastAsia="en-GB"/>
        </w:rPr>
        <w:t>juvenile coral density as an indicator of the success of early life history stages in the replenishment of coral populations</w:t>
      </w:r>
      <w:r w:rsidRPr="00CE4E0F" w:rsidDel="00312553">
        <w:rPr>
          <w:lang w:eastAsia="en-GB"/>
        </w:rPr>
        <w:t>,</w:t>
      </w:r>
    </w:p>
    <w:p w14:paraId="53C13AF5" w14:textId="77777777" w:rsidR="00A84742" w:rsidRPr="00CE4E0F" w:rsidDel="00AF7DFC" w:rsidRDefault="00A84742" w:rsidP="00A84742">
      <w:pPr>
        <w:numPr>
          <w:ilvl w:val="0"/>
          <w:numId w:val="12"/>
        </w:numPr>
        <w:contextualSpacing/>
        <w:rPr>
          <w:lang w:eastAsia="en-GB"/>
        </w:rPr>
      </w:pPr>
      <w:r w:rsidRPr="00CE4E0F" w:rsidDel="00AF7DFC">
        <w:rPr>
          <w:lang w:eastAsia="en-GB"/>
        </w:rPr>
        <w:t>rate at which coral cover increases as an indicator of the recovery potential of cora</w:t>
      </w:r>
      <w:r w:rsidRPr="00CE4E0F">
        <w:rPr>
          <w:lang w:eastAsia="en-GB"/>
        </w:rPr>
        <w:t>l communities due to growth</w:t>
      </w:r>
      <w:r w:rsidR="00992DAA">
        <w:rPr>
          <w:lang w:eastAsia="en-GB"/>
        </w:rPr>
        <w:t>,</w:t>
      </w:r>
      <w:r w:rsidRPr="00CE4E0F">
        <w:rPr>
          <w:lang w:eastAsia="en-GB"/>
        </w:rPr>
        <w:t xml:space="preserve"> </w:t>
      </w:r>
      <w:r w:rsidRPr="00CE4E0F" w:rsidDel="00312553">
        <w:rPr>
          <w:lang w:eastAsia="en-GB"/>
        </w:rPr>
        <w:t>and</w:t>
      </w:r>
    </w:p>
    <w:p w14:paraId="53C13AF6" w14:textId="77777777" w:rsidR="00A84742" w:rsidRPr="00CE4E0F" w:rsidDel="00AF7DFC" w:rsidRDefault="00A84742" w:rsidP="00A84742">
      <w:pPr>
        <w:numPr>
          <w:ilvl w:val="0"/>
          <w:numId w:val="12"/>
        </w:numPr>
        <w:contextualSpacing/>
        <w:rPr>
          <w:lang w:eastAsia="en-GB"/>
        </w:rPr>
      </w:pPr>
      <w:r w:rsidRPr="00CE4E0F" w:rsidDel="00AF7DFC">
        <w:rPr>
          <w:lang w:eastAsia="en-GB"/>
        </w:rPr>
        <w:t xml:space="preserve">community composition </w:t>
      </w:r>
      <w:r w:rsidR="005D2FEE">
        <w:rPr>
          <w:lang w:eastAsia="en-GB"/>
        </w:rPr>
        <w:t>a</w:t>
      </w:r>
      <w:r w:rsidRPr="00CE4E0F" w:rsidDel="00312553">
        <w:rPr>
          <w:lang w:eastAsia="en-GB"/>
        </w:rPr>
        <w:t xml:space="preserve">s </w:t>
      </w:r>
      <w:r w:rsidRPr="00CE4E0F" w:rsidDel="00AF7DFC">
        <w:rPr>
          <w:lang w:eastAsia="en-GB"/>
        </w:rPr>
        <w:t>an indicator of selective pressures</w:t>
      </w:r>
      <w:r w:rsidRPr="00CE4E0F">
        <w:rPr>
          <w:lang w:eastAsia="en-GB"/>
        </w:rPr>
        <w:t xml:space="preserve"> imposed by the environmental conditions at a reef.</w:t>
      </w:r>
    </w:p>
    <w:p w14:paraId="53C13AF7" w14:textId="77777777" w:rsidR="00A84742" w:rsidRPr="00CE4E0F" w:rsidRDefault="00A84742" w:rsidP="00A84742">
      <w:r w:rsidRPr="00CE4E0F">
        <w:t>For each of these indicators a metric has been developed to allow scoring of observed condition on a consistent scale (0–1). The aggregation of indicator scores provides the coral index score as a summary of coral community condition.</w:t>
      </w:r>
    </w:p>
    <w:p w14:paraId="53C13AF8" w14:textId="77777777" w:rsidR="00A84742" w:rsidRPr="00CE4E0F" w:rsidRDefault="005B2BEB" w:rsidP="00727D87">
      <w:pPr>
        <w:pStyle w:val="Heading3"/>
      </w:pPr>
      <w:bookmarkStart w:id="180" w:name="_Toc526246895"/>
      <w:bookmarkStart w:id="181" w:name="_Toc530654948"/>
      <w:bookmarkStart w:id="182" w:name="_Toc35947099"/>
      <w:r w:rsidRPr="00CE4E0F">
        <w:t>Coral c</w:t>
      </w:r>
      <w:r w:rsidR="00A84742" w:rsidRPr="00CE4E0F">
        <w:t>over metric</w:t>
      </w:r>
      <w:bookmarkEnd w:id="180"/>
      <w:bookmarkEnd w:id="181"/>
      <w:bookmarkEnd w:id="182"/>
    </w:p>
    <w:p w14:paraId="53C13AF9" w14:textId="77777777" w:rsidR="00A84742" w:rsidRPr="00CE4E0F" w:rsidRDefault="00A84742" w:rsidP="00A84742">
      <w:pPr>
        <w:autoSpaceDE w:val="0"/>
        <w:autoSpaceDN w:val="0"/>
        <w:adjustRightInd w:val="0"/>
      </w:pPr>
      <w:r w:rsidRPr="00CE4E0F">
        <w:rPr>
          <w:lang w:val="en-US"/>
        </w:rPr>
        <w:t xml:space="preserve">High coral cover is a highly desirable state for coral reefs both in providing essential ecological goods and services related to habitat complexity but also from a purely aesthetic perspective with clear socio-economic advantages. In terms of reef resilience, although low cover may be expected following severe disturbance events, high cover implies a degree of resistance to any chronic pressures influencing a reef. </w:t>
      </w:r>
      <w:r w:rsidR="00067849" w:rsidRPr="00CE4E0F">
        <w:rPr>
          <w:lang w:val="en-US"/>
        </w:rPr>
        <w:t>Of note, this resistance may have selected for high cover of a relatively few, particularly tolerant</w:t>
      </w:r>
      <w:r w:rsidR="00096BB7" w:rsidRPr="00CE4E0F">
        <w:rPr>
          <w:lang w:val="en-US"/>
        </w:rPr>
        <w:t>,</w:t>
      </w:r>
      <w:r w:rsidR="00067849" w:rsidRPr="00CE4E0F">
        <w:rPr>
          <w:lang w:val="en-US"/>
        </w:rPr>
        <w:t xml:space="preserve"> species necessitating some consideration of community composition when assessing high coral cover. </w:t>
      </w:r>
      <w:r w:rsidR="00067849" w:rsidRPr="00CE4E0F">
        <w:t>Finally</w:t>
      </w:r>
      <w:r w:rsidRPr="00CE4E0F">
        <w:t>, high cover equates to a large brood-stock: a necessary link to recruitment and an indication of the potential for recovery of communities in the local area.</w:t>
      </w:r>
    </w:p>
    <w:p w14:paraId="53C13AFA" w14:textId="77777777" w:rsidR="00A84742" w:rsidRPr="00CE4E0F" w:rsidRDefault="00A84742" w:rsidP="00A84742">
      <w:r w:rsidRPr="00CE4E0F">
        <w:rPr>
          <w:lang w:val="en-US"/>
        </w:rPr>
        <w:t xml:space="preserve">This metric scores reefs based on the level of coral cover derived from point intercept transects. For each reef the proportional cover </w:t>
      </w:r>
      <w:r w:rsidRPr="00CE4E0F">
        <w:t xml:space="preserve">of all hard (order Scleractinia) and soft (subclass Octocorallia) corals are </w:t>
      </w:r>
      <w:r w:rsidR="005B6A1C">
        <w:t>defined</w:t>
      </w:r>
      <w:r w:rsidR="00B92D67">
        <w:t xml:space="preserve"> as two </w:t>
      </w:r>
      <w:r w:rsidR="002A01BB">
        <w:t>groups:</w:t>
      </w:r>
      <w:r w:rsidRPr="00CE4E0F">
        <w:t xml:space="preserve"> “HC” and “SC” respectively. The coral cover indicator is then calculated as:</w:t>
      </w:r>
    </w:p>
    <w:p w14:paraId="53C13AFB" w14:textId="77777777" w:rsidR="00A84742" w:rsidRPr="00CE4E0F" w:rsidRDefault="003053D1" w:rsidP="00A84742">
      <w:pPr>
        <w:jc w:val="center"/>
      </w:pPr>
      <m:oMath>
        <m:sSub>
          <m:sSubPr>
            <m:ctrlPr>
              <w:rPr>
                <w:rFonts w:ascii="Cambria Math" w:hAnsi="Cambria Math"/>
                <w:i/>
              </w:rPr>
            </m:ctrlPr>
          </m:sSubPr>
          <m:e>
            <m:r>
              <w:rPr>
                <w:rFonts w:ascii="Cambria Math" w:hAnsi="Cambria Math"/>
              </w:rPr>
              <m:t>Coral cover</m:t>
            </m:r>
          </m:e>
          <m:sub>
            <m:r>
              <w:rPr>
                <w:rFonts w:ascii="Cambria Math" w:hAnsi="Cambria Math"/>
              </w:rPr>
              <m:t>ij</m:t>
            </m:r>
          </m:sub>
        </m:sSub>
      </m:oMath>
      <w:r w:rsidR="00A84742" w:rsidRPr="00CE4E0F">
        <w:t xml:space="preserve"> = </w:t>
      </w:r>
      <m:oMath>
        <m:sSub>
          <m:sSubPr>
            <m:ctrlPr>
              <w:rPr>
                <w:rFonts w:ascii="Cambria Math" w:hAnsi="Cambria Math"/>
                <w:i/>
              </w:rPr>
            </m:ctrlPr>
          </m:sSubPr>
          <m:e>
            <m:r>
              <w:rPr>
                <w:rFonts w:ascii="Cambria Math" w:hAnsi="Cambria Math"/>
              </w:rPr>
              <m:t>HC</m:t>
            </m:r>
          </m:e>
          <m:sub>
            <m:r>
              <w:rPr>
                <w:rFonts w:ascii="Cambria Math" w:hAnsi="Cambria Math"/>
              </w:rPr>
              <m:t>ij</m:t>
            </m:r>
          </m:sub>
        </m:sSub>
      </m:oMath>
      <w:r w:rsidR="00A84742" w:rsidRPr="00CE4E0F">
        <w:t xml:space="preserve"> + </w:t>
      </w:r>
      <m:oMath>
        <m:sSub>
          <m:sSubPr>
            <m:ctrlPr>
              <w:rPr>
                <w:rFonts w:ascii="Cambria Math" w:hAnsi="Cambria Math"/>
                <w:i/>
              </w:rPr>
            </m:ctrlPr>
          </m:sSubPr>
          <m:e>
            <m:r>
              <w:rPr>
                <w:rFonts w:ascii="Cambria Math" w:hAnsi="Cambria Math"/>
              </w:rPr>
              <m:t>SC</m:t>
            </m:r>
          </m:e>
          <m:sub>
            <m:r>
              <w:rPr>
                <w:rFonts w:ascii="Cambria Math" w:hAnsi="Cambria Math"/>
              </w:rPr>
              <m:t>ij</m:t>
            </m:r>
          </m:sub>
        </m:sSub>
      </m:oMath>
    </w:p>
    <w:p w14:paraId="53C13AFC" w14:textId="77777777" w:rsidR="00A84742" w:rsidRPr="00CE4E0F" w:rsidRDefault="00A84742" w:rsidP="00A84742">
      <w:r w:rsidRPr="00CE4E0F">
        <w:t xml:space="preserve">Where </w:t>
      </w:r>
      <m:oMath>
        <m:r>
          <w:rPr>
            <w:rFonts w:ascii="Cambria Math" w:hAnsi="Cambria Math"/>
          </w:rPr>
          <m:t>i</m:t>
        </m:r>
      </m:oMath>
      <w:r w:rsidRPr="00CE4E0F">
        <w:t xml:space="preserve"> = reef and </w:t>
      </w:r>
      <m:oMath>
        <m:r>
          <w:rPr>
            <w:rFonts w:ascii="Cambria Math" w:hAnsi="Cambria Math"/>
          </w:rPr>
          <m:t>j</m:t>
        </m:r>
      </m:oMath>
      <w:r w:rsidRPr="00CE4E0F">
        <w:t xml:space="preserve"> = time.</w:t>
      </w:r>
    </w:p>
    <w:p w14:paraId="53C13AFD" w14:textId="5B2D51D4" w:rsidR="00A84742" w:rsidRPr="00CE4E0F" w:rsidRDefault="00A84742" w:rsidP="00A84742">
      <w:r w:rsidRPr="00CE4E0F">
        <w:t>The threshold values for scoring this metric were based on assessment of coral cover time-series observed at inshore reefs from LTMP (1992-2014), MMP data (2005-2014) and surveys from Cape Flattery to the Keppel’s by Sea Research prior to 1998 (Ayling 1997) which identified a mean of &gt;50% for combined coral cover on inshore reefs. Due to the low likelihood of coral cover reaching 100% the threshold for this indicator (where the score is a maximum of 1) has been set at 75%. This value is considered to capture the plausible level of coral cover achievable on reefs within the inshore Reef and allows a natural break point for the categorisation of coral cover into the 5 reporting bands of the report card. Thus, the scoring for the coral cover indicator is scaled linearly from zero when cover is 0% through to 1 when cover is at or above the threshold level of 75% (</w:t>
      </w:r>
      <w:r w:rsidRPr="00CE4E0F">
        <w:fldChar w:fldCharType="begin"/>
      </w:r>
      <w:r w:rsidRPr="00CE4E0F">
        <w:instrText xml:space="preserve"> REF _Ref514406085 \h </w:instrText>
      </w:r>
      <w:r w:rsidRPr="00CE4E0F">
        <w:fldChar w:fldCharType="separate"/>
      </w:r>
      <w:r w:rsidR="003053D1" w:rsidRPr="00CE4E0F">
        <w:t xml:space="preserve">Figure </w:t>
      </w:r>
      <w:r w:rsidR="003053D1">
        <w:rPr>
          <w:noProof/>
        </w:rPr>
        <w:t>3</w:t>
      </w:r>
      <w:r w:rsidRPr="00CE4E0F">
        <w:fldChar w:fldCharType="end"/>
      </w:r>
      <w:r w:rsidRPr="00CE4E0F">
        <w:t>).</w:t>
      </w:r>
    </w:p>
    <w:p w14:paraId="53C13AFE" w14:textId="77777777" w:rsidR="006931BE" w:rsidRPr="00CE4E0F" w:rsidRDefault="006931BE" w:rsidP="00A84742"/>
    <w:p w14:paraId="53C13AFF" w14:textId="77777777" w:rsidR="00A84742" w:rsidRPr="00CE4E0F" w:rsidRDefault="00A84742" w:rsidP="007E0691">
      <w:pPr>
        <w:spacing w:before="120" w:after="240"/>
      </w:pPr>
      <w:r w:rsidRPr="00CE4E0F">
        <w:rPr>
          <w:noProof/>
          <w:lang w:eastAsia="en-AU"/>
        </w:rPr>
        <w:drawing>
          <wp:inline distT="0" distB="0" distL="0" distR="0" wp14:anchorId="53C15F30" wp14:editId="53C15F31">
            <wp:extent cx="3600450" cy="2713382"/>
            <wp:effectExtent l="0" t="0" r="0" b="0"/>
            <wp:docPr id="861748359" name="picture" descr="Diagram that describes the scoring and categorisation of the Coral Cover Metric" title="Figure 3 Scoring diagram for Coral Cover metr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rotWithShape="1">
                    <a:blip r:embed="rId33" cstate="print">
                      <a:extLst>
                        <a:ext uri="{28A0092B-C50C-407E-A947-70E740481C1C}">
                          <a14:useLocalDpi xmlns:a14="http://schemas.microsoft.com/office/drawing/2010/main" val="0"/>
                        </a:ext>
                      </a:extLst>
                    </a:blip>
                    <a:srcRect b="5672"/>
                    <a:stretch/>
                  </pic:blipFill>
                  <pic:spPr bwMode="auto">
                    <a:xfrm>
                      <a:off x="0" y="0"/>
                      <a:ext cx="3600450" cy="2713382"/>
                    </a:xfrm>
                    <a:prstGeom prst="rect">
                      <a:avLst/>
                    </a:prstGeom>
                    <a:ln>
                      <a:noFill/>
                    </a:ln>
                    <a:extLst>
                      <a:ext uri="{53640926-AAD7-44D8-BBD7-CCE9431645EC}">
                        <a14:shadowObscured xmlns:a14="http://schemas.microsoft.com/office/drawing/2010/main"/>
                      </a:ext>
                    </a:extLst>
                  </pic:spPr>
                </pic:pic>
              </a:graphicData>
            </a:graphic>
          </wp:inline>
        </w:drawing>
      </w:r>
    </w:p>
    <w:p w14:paraId="53C13B00" w14:textId="751618C3" w:rsidR="00F115AB" w:rsidRPr="0062064A" w:rsidRDefault="00A84742" w:rsidP="002B5296">
      <w:pPr>
        <w:pStyle w:val="Caption"/>
        <w:rPr>
          <w:rStyle w:val="FigureChar"/>
          <w:rFonts w:eastAsia="SimSun"/>
          <w:vanish/>
          <w:specVanish/>
        </w:rPr>
      </w:pPr>
      <w:bookmarkStart w:id="183" w:name="_Ref514406085"/>
      <w:bookmarkStart w:id="184" w:name="_Toc35947153"/>
      <w:bookmarkStart w:id="185" w:name="_Toc530654902"/>
      <w:bookmarkStart w:id="186" w:name="_Toc534965110"/>
      <w:r w:rsidRPr="00CE4E0F">
        <w:t xml:space="preserve">Figure </w:t>
      </w:r>
      <w:r w:rsidR="005D7AC6" w:rsidRPr="00CE4E0F">
        <w:rPr>
          <w:noProof/>
        </w:rPr>
        <w:fldChar w:fldCharType="begin"/>
      </w:r>
      <w:r w:rsidR="005D7AC6" w:rsidRPr="00CE4E0F">
        <w:rPr>
          <w:noProof/>
        </w:rPr>
        <w:instrText xml:space="preserve"> SEQ Figure \* ARABIC </w:instrText>
      </w:r>
      <w:r w:rsidR="005D7AC6" w:rsidRPr="00CE4E0F">
        <w:rPr>
          <w:noProof/>
        </w:rPr>
        <w:fldChar w:fldCharType="separate"/>
      </w:r>
      <w:r w:rsidR="003053D1">
        <w:rPr>
          <w:noProof/>
        </w:rPr>
        <w:t>3</w:t>
      </w:r>
      <w:r w:rsidR="005D7AC6" w:rsidRPr="00CE4E0F">
        <w:rPr>
          <w:noProof/>
        </w:rPr>
        <w:fldChar w:fldCharType="end"/>
      </w:r>
      <w:bookmarkEnd w:id="183"/>
      <w:r w:rsidRPr="00CE4E0F">
        <w:t xml:space="preserve"> Scoring diagram for the coral cover metric</w:t>
      </w:r>
      <w:bookmarkEnd w:id="184"/>
    </w:p>
    <w:p w14:paraId="53C13B01" w14:textId="77777777" w:rsidR="00A84742" w:rsidRPr="00F115AB" w:rsidRDefault="00A84742">
      <w:pPr>
        <w:pStyle w:val="Caption"/>
        <w:rPr>
          <w:rStyle w:val="IntenseReference"/>
        </w:rPr>
      </w:pPr>
      <w:r w:rsidRPr="00CE4E0F">
        <w:t xml:space="preserve">. </w:t>
      </w:r>
      <w:r w:rsidRPr="00F115AB">
        <w:rPr>
          <w:rStyle w:val="IntenseReference"/>
        </w:rPr>
        <w:t>Numeric scores and associated condition classifications based on observed coral cover are presented.</w:t>
      </w:r>
      <w:bookmarkEnd w:id="185"/>
      <w:bookmarkEnd w:id="186"/>
    </w:p>
    <w:p w14:paraId="53C13B02" w14:textId="77777777" w:rsidR="00A84742" w:rsidRPr="00CE4E0F" w:rsidRDefault="00A84742" w:rsidP="00727D87">
      <w:pPr>
        <w:pStyle w:val="Heading3"/>
      </w:pPr>
      <w:bookmarkStart w:id="187" w:name="_Toc526246896"/>
      <w:bookmarkStart w:id="188" w:name="_Toc530654949"/>
      <w:bookmarkStart w:id="189" w:name="_Toc35947100"/>
      <w:r w:rsidRPr="00CE4E0F">
        <w:lastRenderedPageBreak/>
        <w:t>Macroalgae metric</w:t>
      </w:r>
      <w:bookmarkEnd w:id="187"/>
      <w:bookmarkEnd w:id="188"/>
      <w:bookmarkEnd w:id="189"/>
    </w:p>
    <w:p w14:paraId="53C13B03" w14:textId="77777777" w:rsidR="00A84742" w:rsidRPr="00CE4E0F" w:rsidRDefault="00A84742" w:rsidP="00A84742">
      <w:r w:rsidRPr="00CE4E0F">
        <w:t xml:space="preserve">In contrast to coral cover, high cover of macroalgae on coral reefs is widely accepted as representing a degraded state. As opportunistic colonisers, macroalgae generally out-compete corals, recovering more quickly following physical disturbances. Macroalgae have been documented to suppress coral fecundity (Foster </w:t>
      </w:r>
      <w:r w:rsidRPr="00CE4E0F">
        <w:rPr>
          <w:i/>
        </w:rPr>
        <w:t>et al</w:t>
      </w:r>
      <w:r w:rsidRPr="00CE4E0F">
        <w:t xml:space="preserve">. 2008), reduce recruitment of hard corals (Birrell </w:t>
      </w:r>
      <w:r w:rsidRPr="00CE4E0F">
        <w:rPr>
          <w:i/>
        </w:rPr>
        <w:t>et al</w:t>
      </w:r>
      <w:r w:rsidRPr="00CE4E0F">
        <w:t xml:space="preserve">. 2008a, b, Diaz-Pulido </w:t>
      </w:r>
      <w:r w:rsidRPr="00CE4E0F">
        <w:rPr>
          <w:i/>
        </w:rPr>
        <w:t>et al.</w:t>
      </w:r>
      <w:r w:rsidRPr="00CE4E0F">
        <w:t xml:space="preserve"> 2010) and diminish the capacity for growth among local coral communities (Fabricius 2005). The macroalgae metric considers the proportional representation of macroalgae in the algal community based on cover estimates derived from point intercept transects and is calculated as:</w:t>
      </w:r>
    </w:p>
    <w:p w14:paraId="53C13B04" w14:textId="77777777" w:rsidR="00A84742" w:rsidRPr="00CE4E0F" w:rsidRDefault="003053D1" w:rsidP="00A84742">
      <w:pPr>
        <w:jc w:val="center"/>
      </w:pPr>
      <m:oMath>
        <m:sSub>
          <m:sSubPr>
            <m:ctrlPr>
              <w:rPr>
                <w:rFonts w:ascii="Cambria Math" w:hAnsi="Cambria Math"/>
                <w:i/>
              </w:rPr>
            </m:ctrlPr>
          </m:sSubPr>
          <m:e>
            <m:r>
              <w:rPr>
                <w:rFonts w:ascii="Cambria Math" w:hAnsi="Cambria Math"/>
              </w:rPr>
              <m:t>MAproportion</m:t>
            </m:r>
          </m:e>
          <m:sub>
            <m:r>
              <w:rPr>
                <w:rFonts w:ascii="Cambria Math" w:hAnsi="Cambria Math"/>
              </w:rPr>
              <m:t>ij</m:t>
            </m:r>
          </m:sub>
        </m:sSub>
      </m:oMath>
      <w:r w:rsidR="00A84742" w:rsidRPr="00CE4E0F">
        <w:t xml:space="preserve"> = </w:t>
      </w:r>
      <m:oMath>
        <m:sSub>
          <m:sSubPr>
            <m:ctrlPr>
              <w:rPr>
                <w:rFonts w:ascii="Cambria Math" w:hAnsi="Cambria Math"/>
                <w:i/>
              </w:rPr>
            </m:ctrlPr>
          </m:sSubPr>
          <m:e>
            <m:r>
              <w:rPr>
                <w:rFonts w:ascii="Cambria Math" w:hAnsi="Cambria Math"/>
              </w:rPr>
              <m:t>MA</m:t>
            </m:r>
          </m:e>
          <m:sub>
            <m:r>
              <w:rPr>
                <w:rFonts w:ascii="Cambria Math" w:hAnsi="Cambria Math"/>
              </w:rPr>
              <m:t>ij</m:t>
            </m:r>
          </m:sub>
        </m:sSub>
      </m:oMath>
      <w:r w:rsidR="00A84742" w:rsidRPr="00CE4E0F">
        <w:t xml:space="preserve"> / </w:t>
      </w:r>
      <m:oMath>
        <m:sSub>
          <m:sSubPr>
            <m:ctrlPr>
              <w:rPr>
                <w:rFonts w:ascii="Cambria Math" w:hAnsi="Cambria Math"/>
                <w:i/>
              </w:rPr>
            </m:ctrlPr>
          </m:sSubPr>
          <m:e>
            <m:r>
              <w:rPr>
                <w:rFonts w:ascii="Cambria Math" w:hAnsi="Cambria Math"/>
              </w:rPr>
              <m:t>A</m:t>
            </m:r>
          </m:e>
          <m:sub>
            <m:r>
              <w:rPr>
                <w:rFonts w:ascii="Cambria Math" w:hAnsi="Cambria Math"/>
              </w:rPr>
              <m:t>ij</m:t>
            </m:r>
          </m:sub>
        </m:sSub>
      </m:oMath>
    </w:p>
    <w:p w14:paraId="53C13B05" w14:textId="77777777" w:rsidR="00A84742" w:rsidRPr="00CE4E0F" w:rsidRDefault="00A84742" w:rsidP="00A84742">
      <w:r w:rsidRPr="00CE4E0F">
        <w:t xml:space="preserve">Where, </w:t>
      </w:r>
      <m:oMath>
        <m:r>
          <w:rPr>
            <w:rFonts w:ascii="Cambria Math" w:hAnsi="Cambria Math"/>
          </w:rPr>
          <m:t>A</m:t>
        </m:r>
      </m:oMath>
      <w:r w:rsidRPr="00CE4E0F">
        <w:t xml:space="preserve">= percent cover of all algae, </w:t>
      </w:r>
      <m:oMath>
        <m:r>
          <w:rPr>
            <w:rFonts w:ascii="Cambria Math" w:hAnsi="Cambria Math"/>
          </w:rPr>
          <m:t>i</m:t>
        </m:r>
      </m:oMath>
      <w:r w:rsidRPr="00CE4E0F">
        <w:t xml:space="preserve"> = reef, </w:t>
      </w:r>
      <m:oMath>
        <m:r>
          <w:rPr>
            <w:rFonts w:ascii="Cambria Math" w:hAnsi="Cambria Math"/>
          </w:rPr>
          <m:t>j</m:t>
        </m:r>
      </m:oMath>
      <w:r w:rsidRPr="00CE4E0F">
        <w:t xml:space="preserve"> = time and </w:t>
      </w:r>
      <m:oMath>
        <m:r>
          <w:rPr>
            <w:rFonts w:ascii="Cambria Math" w:hAnsi="Cambria Math"/>
          </w:rPr>
          <m:t>MA</m:t>
        </m:r>
      </m:oMath>
      <w:r w:rsidRPr="00CE4E0F">
        <w:t xml:space="preserve"> = percent cover of macroalgae.</w:t>
      </w:r>
    </w:p>
    <w:p w14:paraId="53C13B06" w14:textId="65A31EAC" w:rsidR="00A84742" w:rsidRPr="00CE4E0F" w:rsidRDefault="00A84742" w:rsidP="00A84742">
      <w:r w:rsidRPr="00CE4E0F">
        <w:t xml:space="preserve">For the purpose of calculating this metric, the collective term macroalgae defines a broad functional grouping that combines species clearly visible to the naked eye although excluding crustose coralline and fine filamentous or “turf” forms. In addition, as macroalgae show marked differences in abundance across the naturally steep gradient of environmental conditions within the inshore Reef, separate upper and lower thresholds were estimated for each reef and depth </w:t>
      </w:r>
      <w:r w:rsidR="007E0691">
        <w:t>(</w:t>
      </w:r>
      <w:r w:rsidR="007E0691">
        <w:fldChar w:fldCharType="begin"/>
      </w:r>
      <w:r w:rsidR="007E0691">
        <w:instrText xml:space="preserve"> REF _Ref30600116 \h </w:instrText>
      </w:r>
      <w:r w:rsidR="007E0691">
        <w:fldChar w:fldCharType="separate"/>
      </w:r>
      <w:r w:rsidR="003053D1" w:rsidRPr="00681C29">
        <w:t xml:space="preserve">Table A </w:t>
      </w:r>
      <w:r w:rsidR="003053D1">
        <w:rPr>
          <w:noProof/>
        </w:rPr>
        <w:t>4</w:t>
      </w:r>
      <w:r w:rsidR="007E0691">
        <w:fldChar w:fldCharType="end"/>
      </w:r>
      <w:r w:rsidR="007E0691">
        <w:t xml:space="preserve">). </w:t>
      </w:r>
      <w:r w:rsidRPr="00CE4E0F">
        <w:t>The use of separate thresholds ensures the indicator is sensitive to changes likely to occur at a given reef.</w:t>
      </w:r>
    </w:p>
    <w:p w14:paraId="53C13B07" w14:textId="77777777" w:rsidR="00A84742" w:rsidRPr="00CE4E0F" w:rsidRDefault="00A84742" w:rsidP="00A84742">
      <w:r w:rsidRPr="00CE4E0F">
        <w:t xml:space="preserve">The thresholds for each reef were determined based on predicted </w:t>
      </w:r>
      <w:r w:rsidRPr="00CE4E0F">
        <w:rPr>
          <w:i/>
        </w:rPr>
        <w:t>MAproportion</w:t>
      </w:r>
      <w:r w:rsidRPr="00CE4E0F">
        <w:t xml:space="preserve"> from Generalised Boosted Models (Ridgeway 2007) that included mean </w:t>
      </w:r>
      <w:r w:rsidRPr="00CE4E0F">
        <w:rPr>
          <w:i/>
        </w:rPr>
        <w:t>MAproportion</w:t>
      </w:r>
      <w:r w:rsidRPr="00CE4E0F">
        <w:t xml:space="preserve"> over the period 2005–2014 as the response and long-term mean chlorophyll </w:t>
      </w:r>
      <w:r w:rsidRPr="00CE4E0F">
        <w:rPr>
          <w:i/>
        </w:rPr>
        <w:t>a</w:t>
      </w:r>
      <w:r w:rsidRPr="00CE4E0F">
        <w:t xml:space="preserve"> concentration, suspended sediment concentration, and proportion of clay and silt sized grains in reefal sediments as covariates (Thompson </w:t>
      </w:r>
      <w:r w:rsidRPr="00CE4E0F">
        <w:rPr>
          <w:i/>
        </w:rPr>
        <w:t>et al.</w:t>
      </w:r>
      <w:r w:rsidRPr="00CE4E0F">
        <w:t xml:space="preserve"> 2016). </w:t>
      </w:r>
      <w:r w:rsidR="00067849" w:rsidRPr="00CE4E0F">
        <w:t>Recognising the likelihood that the observed cover of macroalgae reflect a shifted baseline a</w:t>
      </w:r>
      <w:r w:rsidRPr="00CE4E0F">
        <w:t xml:space="preserve">n additional consideration in setting the upper threshold for </w:t>
      </w:r>
      <w:r w:rsidRPr="00CE4E0F">
        <w:rPr>
          <w:i/>
        </w:rPr>
        <w:t>MAproportion</w:t>
      </w:r>
      <w:r w:rsidRPr="00CE4E0F">
        <w:t xml:space="preserve"> was the ecological influence of macroalgae on other indicators of coral community condition. Regression tree analyses that included </w:t>
      </w:r>
      <w:r w:rsidRPr="00CE4E0F">
        <w:rPr>
          <w:i/>
        </w:rPr>
        <w:t>MAproportion</w:t>
      </w:r>
      <w:r w:rsidRPr="00CE4E0F">
        <w:t xml:space="preserve"> as the predictor variable indicated reduced scores for the juvenile density, </w:t>
      </w:r>
      <w:r w:rsidRPr="00CE4E0F">
        <w:lastRenderedPageBreak/>
        <w:t>coral cover</w:t>
      </w:r>
      <w:r w:rsidR="0034778C">
        <w:t>,</w:t>
      </w:r>
      <w:r w:rsidRPr="00CE4E0F">
        <w:t xml:space="preserve"> and cover change indicators at higher levels of </w:t>
      </w:r>
      <w:r w:rsidRPr="00CE4E0F">
        <w:rPr>
          <w:i/>
        </w:rPr>
        <w:t xml:space="preserve">MAproportion </w:t>
      </w:r>
      <w:r w:rsidRPr="00CE4E0F">
        <w:t xml:space="preserve">(Thompson </w:t>
      </w:r>
      <w:r w:rsidRPr="00CE4E0F">
        <w:rPr>
          <w:i/>
        </w:rPr>
        <w:t>et al</w:t>
      </w:r>
      <w:r w:rsidRPr="00CE4E0F">
        <w:t xml:space="preserve">. 2016). These thresholds for ecological impacts caps informed the setting of upper bounds of </w:t>
      </w:r>
      <w:r w:rsidRPr="00CE4E0F">
        <w:rPr>
          <w:i/>
        </w:rPr>
        <w:t>MAproportion</w:t>
      </w:r>
      <w:r w:rsidRPr="00CE4E0F">
        <w:t xml:space="preserve"> across all reefs at 23% at 2 m and a 25% at 5 m. The upper bounds for any reefs with predicted </w:t>
      </w:r>
      <w:r w:rsidRPr="00CE4E0F">
        <w:rPr>
          <w:i/>
        </w:rPr>
        <w:t>MAproportion</w:t>
      </w:r>
      <w:r w:rsidRPr="00CE4E0F">
        <w:t xml:space="preserve"> higher than these caps were reduced to the cap level.</w:t>
      </w:r>
    </w:p>
    <w:p w14:paraId="53C13B08" w14:textId="47F997CF" w:rsidR="00A84742" w:rsidRPr="00CE4E0F" w:rsidRDefault="00A84742" w:rsidP="00A84742">
      <w:r w:rsidRPr="00CE4E0F">
        <w:t xml:space="preserve">Scores for Macroalgae metric were scaled linearly from 0 when </w:t>
      </w:r>
      <w:r w:rsidRPr="00CE4E0F">
        <w:rPr>
          <w:i/>
        </w:rPr>
        <w:t>MAproportion</w:t>
      </w:r>
      <w:r w:rsidRPr="00CE4E0F">
        <w:t xml:space="preserve"> is at or above the upper threshold through to 1 when </w:t>
      </w:r>
      <w:r w:rsidRPr="00CE4E0F">
        <w:rPr>
          <w:i/>
        </w:rPr>
        <w:t>MAproportion</w:t>
      </w:r>
      <w:r w:rsidRPr="00CE4E0F">
        <w:t xml:space="preserve"> is at or below the lower threshold (</w:t>
      </w:r>
      <w:r w:rsidRPr="00CE4E0F">
        <w:fldChar w:fldCharType="begin"/>
      </w:r>
      <w:r w:rsidRPr="00CE4E0F">
        <w:instrText xml:space="preserve"> REF _Ref514406113 \h  \* MERGEFORMAT </w:instrText>
      </w:r>
      <w:r w:rsidRPr="00CE4E0F">
        <w:fldChar w:fldCharType="separate"/>
      </w:r>
      <w:r w:rsidR="003053D1" w:rsidRPr="00CE4E0F">
        <w:t xml:space="preserve">Figure </w:t>
      </w:r>
      <w:r w:rsidR="003053D1">
        <w:rPr>
          <w:noProof/>
        </w:rPr>
        <w:t>4</w:t>
      </w:r>
      <w:r w:rsidRPr="00CE4E0F">
        <w:fldChar w:fldCharType="end"/>
      </w:r>
      <w:r w:rsidRPr="00CE4E0F">
        <w:t>).</w:t>
      </w:r>
    </w:p>
    <w:p w14:paraId="53C13B09" w14:textId="77777777" w:rsidR="006902D1" w:rsidRPr="00CE4E0F" w:rsidRDefault="006902D1" w:rsidP="00A84742"/>
    <w:p w14:paraId="53C13B0A" w14:textId="77777777" w:rsidR="00A84742" w:rsidRPr="00CE4E0F" w:rsidRDefault="00A84742" w:rsidP="00A84742">
      <w:r w:rsidRPr="00CE4E0F">
        <w:rPr>
          <w:noProof/>
          <w:lang w:eastAsia="en-AU"/>
        </w:rPr>
        <w:drawing>
          <wp:inline distT="0" distB="0" distL="0" distR="0" wp14:anchorId="53C15F32" wp14:editId="53C15F33">
            <wp:extent cx="3600450" cy="2876550"/>
            <wp:effectExtent l="0" t="0" r="0" b="0"/>
            <wp:docPr id="1771854477" name="picture" descr="Diagram that describes the scoring and categorisation of the Macroalgae metric" title="Figure 4 Scoring diagram for Macroalgae metr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600450" cy="2876550"/>
                    </a:xfrm>
                    <a:prstGeom prst="rect">
                      <a:avLst/>
                    </a:prstGeom>
                  </pic:spPr>
                </pic:pic>
              </a:graphicData>
            </a:graphic>
          </wp:inline>
        </w:drawing>
      </w:r>
    </w:p>
    <w:p w14:paraId="53C13B0B" w14:textId="11864450" w:rsidR="00F115AB" w:rsidRPr="0062064A" w:rsidRDefault="00A84742" w:rsidP="002B5296">
      <w:pPr>
        <w:pStyle w:val="Caption"/>
        <w:rPr>
          <w:rStyle w:val="FigureChar"/>
          <w:rFonts w:eastAsia="SimSun"/>
          <w:vanish/>
          <w:specVanish/>
        </w:rPr>
      </w:pPr>
      <w:bookmarkStart w:id="190" w:name="_Ref514406113"/>
      <w:bookmarkStart w:id="191" w:name="_Toc35947154"/>
      <w:bookmarkStart w:id="192" w:name="_Toc530654903"/>
      <w:bookmarkStart w:id="193" w:name="_Toc534965111"/>
      <w:r w:rsidRPr="00CE4E0F">
        <w:t xml:space="preserve">Figure </w:t>
      </w:r>
      <w:r w:rsidR="005D7AC6" w:rsidRPr="00CE4E0F">
        <w:rPr>
          <w:noProof/>
        </w:rPr>
        <w:fldChar w:fldCharType="begin"/>
      </w:r>
      <w:r w:rsidR="005D7AC6" w:rsidRPr="00CE4E0F">
        <w:rPr>
          <w:noProof/>
        </w:rPr>
        <w:instrText xml:space="preserve"> SEQ Figure \* ARABIC </w:instrText>
      </w:r>
      <w:r w:rsidR="005D7AC6" w:rsidRPr="00CE4E0F">
        <w:rPr>
          <w:noProof/>
        </w:rPr>
        <w:fldChar w:fldCharType="separate"/>
      </w:r>
      <w:r w:rsidR="003053D1">
        <w:rPr>
          <w:noProof/>
        </w:rPr>
        <w:t>4</w:t>
      </w:r>
      <w:r w:rsidR="005D7AC6" w:rsidRPr="00CE4E0F">
        <w:rPr>
          <w:noProof/>
        </w:rPr>
        <w:fldChar w:fldCharType="end"/>
      </w:r>
      <w:bookmarkEnd w:id="190"/>
      <w:r w:rsidRPr="00CE4E0F">
        <w:t xml:space="preserve"> Scoring diagram for the Macroalgae metric</w:t>
      </w:r>
      <w:bookmarkEnd w:id="191"/>
    </w:p>
    <w:p w14:paraId="53C13B0C" w14:textId="77777777" w:rsidR="00A84742" w:rsidRPr="00F115AB" w:rsidRDefault="00A84742">
      <w:pPr>
        <w:pStyle w:val="Caption"/>
        <w:rPr>
          <w:rStyle w:val="IntenseReference"/>
        </w:rPr>
      </w:pPr>
      <w:r w:rsidRPr="00CE4E0F">
        <w:t xml:space="preserve">. </w:t>
      </w:r>
      <w:r w:rsidRPr="00F115AB">
        <w:rPr>
          <w:rStyle w:val="IntenseReference"/>
        </w:rPr>
        <w:t>Upper and lower threshold values are reef and depth specific. Numeric scores and associated condition classifications are presented</w:t>
      </w:r>
      <w:bookmarkEnd w:id="192"/>
      <w:r w:rsidRPr="00F115AB">
        <w:rPr>
          <w:rStyle w:val="IntenseReference"/>
        </w:rPr>
        <w:t>.</w:t>
      </w:r>
      <w:bookmarkEnd w:id="193"/>
      <w:r w:rsidR="00067849" w:rsidRPr="00F115AB">
        <w:rPr>
          <w:rStyle w:val="IntenseReference"/>
        </w:rPr>
        <w:t xml:space="preserve"> Note that for this metric the y-axis is inverted as high </w:t>
      </w:r>
      <w:r w:rsidR="00BC2391" w:rsidRPr="00F115AB">
        <w:rPr>
          <w:rStyle w:val="IntenseReference"/>
        </w:rPr>
        <w:t>values reflect poor condition.</w:t>
      </w:r>
    </w:p>
    <w:p w14:paraId="53C13B0D" w14:textId="77777777" w:rsidR="00A84742" w:rsidRPr="00CE4E0F" w:rsidRDefault="00A84742" w:rsidP="00727D87">
      <w:pPr>
        <w:pStyle w:val="Heading3"/>
      </w:pPr>
      <w:bookmarkStart w:id="194" w:name="_Toc526246897"/>
      <w:bookmarkStart w:id="195" w:name="_Toc530654950"/>
      <w:bookmarkStart w:id="196" w:name="_Toc35947101"/>
      <w:r w:rsidRPr="00CE4E0F">
        <w:t>Density of juvenile hard corals metric</w:t>
      </w:r>
      <w:bookmarkEnd w:id="194"/>
      <w:bookmarkEnd w:id="195"/>
      <w:bookmarkEnd w:id="196"/>
    </w:p>
    <w:p w14:paraId="53C13B0E" w14:textId="77777777" w:rsidR="00A84742" w:rsidRPr="00CE4E0F" w:rsidRDefault="00A84742" w:rsidP="00A84742">
      <w:r w:rsidRPr="00CE4E0F">
        <w:t xml:space="preserve">For coral communities to recover rapidly from disturbance events requires adequate recruitment of new corals into the population. This metric scores the important recruitment process by targeting corals that have survived the early life stages. With the inclusion of LTMP data into the coral index, juvenile count data were subset to only include colonies up to 5 cm in diameter as this size class is </w:t>
      </w:r>
      <w:r w:rsidRPr="00CE4E0F">
        <w:lastRenderedPageBreak/>
        <w:t>common to both MMP and LTMP sampling. Counts of juvenile hard corals were converted to density per m</w:t>
      </w:r>
      <w:r w:rsidRPr="00CE4E0F">
        <w:rPr>
          <w:vertAlign w:val="superscript"/>
        </w:rPr>
        <w:t>2</w:t>
      </w:r>
      <w:r w:rsidRPr="00CE4E0F">
        <w:t xml:space="preserve"> of space available to settlement as:</w:t>
      </w:r>
    </w:p>
    <w:p w14:paraId="53C13B0F" w14:textId="77777777" w:rsidR="00A84742" w:rsidRPr="00CE4E0F" w:rsidRDefault="003053D1" w:rsidP="00A84742">
      <w:pPr>
        <w:jc w:val="center"/>
      </w:pPr>
      <m:oMath>
        <m:sSub>
          <m:sSubPr>
            <m:ctrlPr>
              <w:rPr>
                <w:rFonts w:ascii="Cambria Math" w:hAnsi="Cambria Math"/>
                <w:i/>
              </w:rPr>
            </m:ctrlPr>
          </m:sSubPr>
          <m:e>
            <m:r>
              <w:rPr>
                <w:rFonts w:ascii="Cambria Math" w:hAnsi="Cambria Math"/>
              </w:rPr>
              <m:t>Juvenile density</m:t>
            </m:r>
          </m:e>
          <m:sub>
            <m:r>
              <w:rPr>
                <w:rFonts w:ascii="Cambria Math" w:hAnsi="Cambria Math"/>
              </w:rPr>
              <m:t>ij</m:t>
            </m:r>
          </m:sub>
        </m:sSub>
      </m:oMath>
      <w:r w:rsidR="00A84742" w:rsidRPr="00CE4E0F">
        <w:t xml:space="preserve"> = </w:t>
      </w:r>
      <m:oMath>
        <m:sSub>
          <m:sSubPr>
            <m:ctrlPr>
              <w:rPr>
                <w:rFonts w:ascii="Cambria Math" w:hAnsi="Cambria Math"/>
                <w:i/>
              </w:rPr>
            </m:ctrlPr>
          </m:sSubPr>
          <m:e>
            <m:r>
              <w:rPr>
                <w:rFonts w:ascii="Cambria Math" w:hAnsi="Cambria Math"/>
              </w:rPr>
              <m:t>J</m:t>
            </m:r>
          </m:e>
          <m:sub>
            <m:r>
              <w:rPr>
                <w:rFonts w:ascii="Cambria Math" w:hAnsi="Cambria Math"/>
              </w:rPr>
              <m:t>ij</m:t>
            </m:r>
          </m:sub>
        </m:sSub>
      </m:oMath>
      <w:r w:rsidR="00A84742" w:rsidRPr="00CE4E0F">
        <w:t xml:space="preserve"> / </w:t>
      </w:r>
      <m:oMath>
        <m:sSub>
          <m:sSubPr>
            <m:ctrlPr>
              <w:rPr>
                <w:rFonts w:ascii="Cambria Math" w:hAnsi="Cambria Math"/>
                <w:i/>
              </w:rPr>
            </m:ctrlPr>
          </m:sSubPr>
          <m:e>
            <m:r>
              <w:rPr>
                <w:rFonts w:ascii="Cambria Math" w:hAnsi="Cambria Math"/>
              </w:rPr>
              <m:t>AS</m:t>
            </m:r>
          </m:e>
          <m:sub>
            <m:r>
              <w:rPr>
                <w:rFonts w:ascii="Cambria Math" w:hAnsi="Cambria Math"/>
              </w:rPr>
              <m:t>ij</m:t>
            </m:r>
          </m:sub>
        </m:sSub>
      </m:oMath>
    </w:p>
    <w:p w14:paraId="53C13B10" w14:textId="77777777" w:rsidR="005978B9" w:rsidRPr="00CE4E0F" w:rsidRDefault="00A84742" w:rsidP="00A84742">
      <w:r w:rsidRPr="00CE4E0F">
        <w:t xml:space="preserve">Where, </w:t>
      </w:r>
      <m:oMath>
        <m:r>
          <w:rPr>
            <w:rFonts w:ascii="Cambria Math" w:hAnsi="Cambria Math"/>
          </w:rPr>
          <m:t>J</m:t>
        </m:r>
      </m:oMath>
      <w:r w:rsidRPr="00CE4E0F">
        <w:t xml:space="preserve">= count of juvenile colonies &lt; 5 cm in diameter, </w:t>
      </w:r>
      <m:oMath>
        <m:r>
          <w:rPr>
            <w:rFonts w:ascii="Cambria Math" w:hAnsi="Cambria Math"/>
          </w:rPr>
          <m:t>i</m:t>
        </m:r>
      </m:oMath>
      <w:r w:rsidRPr="00CE4E0F">
        <w:t xml:space="preserve"> = reef, </w:t>
      </w:r>
      <m:oMath>
        <m:r>
          <w:rPr>
            <w:rFonts w:ascii="Cambria Math" w:hAnsi="Cambria Math"/>
          </w:rPr>
          <m:t>j</m:t>
        </m:r>
      </m:oMath>
      <w:r w:rsidRPr="00CE4E0F">
        <w:t xml:space="preserve"> = time and </w:t>
      </w:r>
      <m:oMath>
        <m:r>
          <w:rPr>
            <w:rFonts w:ascii="Cambria Math" w:hAnsi="Cambria Math"/>
          </w:rPr>
          <m:t>AS</m:t>
        </m:r>
      </m:oMath>
      <w:r w:rsidRPr="00CE4E0F">
        <w:t xml:space="preserve"> = area of transect occupied by </w:t>
      </w:r>
      <w:r w:rsidR="00BC2391" w:rsidRPr="00CE4E0F">
        <w:t xml:space="preserve">any </w:t>
      </w:r>
      <w:r w:rsidRPr="00CE4E0F">
        <w:t>algae as estimated from the co-located photo point intercept transects.</w:t>
      </w:r>
    </w:p>
    <w:p w14:paraId="53C13B11" w14:textId="77777777" w:rsidR="00A84742" w:rsidRPr="00CE4E0F" w:rsidRDefault="00A84742" w:rsidP="00A84742">
      <w:r w:rsidRPr="00CE4E0F">
        <w:t xml:space="preserve">Selection of thresholds for the scoring of this metric was based on the analysis of recovery outcomes for MMP and LTMP reefs up to 2014 (Thompson </w:t>
      </w:r>
      <w:r w:rsidRPr="00CE4E0F">
        <w:rPr>
          <w:i/>
        </w:rPr>
        <w:t>et al</w:t>
      </w:r>
      <w:r w:rsidRPr="00CE4E0F">
        <w:t>. 2016). From these time series a binomial model was fit to juvenile densities observed at times when coral cover was below 10% and categorised based on recovery rate as being either below or above the predicted lower estimate of hard coral cover increase as estimated by the cover change indicator described below. This analysis identified a threshold of 4.6 juveniles per m</w:t>
      </w:r>
      <w:r w:rsidRPr="00CE4E0F">
        <w:rPr>
          <w:vertAlign w:val="superscript"/>
        </w:rPr>
        <w:t>2</w:t>
      </w:r>
      <w:r w:rsidRPr="00CE4E0F">
        <w:t xml:space="preserve"> beyond which the probability that coral cover would subsequently increase at predicted rates outweighed the probability of lower than predicted rates of recovery.</w:t>
      </w:r>
    </w:p>
    <w:p w14:paraId="53C13B12" w14:textId="23293CCF" w:rsidR="00A84742" w:rsidRPr="00CE4E0F" w:rsidRDefault="00A84742" w:rsidP="00A84742">
      <w:r w:rsidRPr="00CE4E0F">
        <w:t>Adding some weight to this result is that it was broadly consistent with the density of 6.3 juveniles per m</w:t>
      </w:r>
      <w:r w:rsidRPr="00CE4E0F">
        <w:rPr>
          <w:vertAlign w:val="superscript"/>
        </w:rPr>
        <w:t xml:space="preserve">2 </w:t>
      </w:r>
      <w:r w:rsidRPr="00CE4E0F">
        <w:t xml:space="preserve">in the wider size range &lt;10 cm, necessary for recovery in the Seychelles (Graham </w:t>
      </w:r>
      <w:r w:rsidRPr="00CE4E0F">
        <w:rPr>
          <w:i/>
        </w:rPr>
        <w:t>et al.</w:t>
      </w:r>
      <w:r w:rsidRPr="00CE4E0F">
        <w:t xml:space="preserve"> 2015). As the upper density of juvenile colonies is effectively unbounded, it was desirable to set an upper threshold for scoring purposes. The density at which the probability was &gt; 80% for coral cover to recover at predicted rates was 13 juveniles per m</w:t>
      </w:r>
      <w:r w:rsidRPr="00CE4E0F">
        <w:rPr>
          <w:vertAlign w:val="superscript"/>
        </w:rPr>
        <w:t>2</w:t>
      </w:r>
      <w:r w:rsidRPr="00CE4E0F">
        <w:t xml:space="preserve"> and this density was chosen as the upper threshold. Based on this analysis, this metric was scored as follows; juvenile density was scaled linearly from 0 at a density of 0 through to 0.4 at a density of 4.6 colonies per m</w:t>
      </w:r>
      <w:r w:rsidRPr="00CE4E0F">
        <w:rPr>
          <w:vertAlign w:val="superscript"/>
        </w:rPr>
        <w:t>2</w:t>
      </w:r>
      <w:r w:rsidRPr="00CE4E0F">
        <w:t xml:space="preserve"> then linearly through to a score of 1 when the density was 13 colonies per m</w:t>
      </w:r>
      <w:r w:rsidRPr="00CE4E0F">
        <w:rPr>
          <w:vertAlign w:val="superscript"/>
        </w:rPr>
        <w:t>2</w:t>
      </w:r>
      <w:r w:rsidRPr="00CE4E0F">
        <w:t xml:space="preserve"> or above (</w:t>
      </w:r>
      <w:r w:rsidRPr="00CE4E0F">
        <w:fldChar w:fldCharType="begin"/>
      </w:r>
      <w:r w:rsidRPr="00CE4E0F">
        <w:instrText xml:space="preserve"> REF _Ref514406158 \h </w:instrText>
      </w:r>
      <w:r w:rsidRPr="00CE4E0F">
        <w:fldChar w:fldCharType="separate"/>
      </w:r>
      <w:r w:rsidR="003053D1" w:rsidRPr="00CE4E0F">
        <w:t xml:space="preserve">Figure </w:t>
      </w:r>
      <w:r w:rsidR="003053D1">
        <w:rPr>
          <w:noProof/>
        </w:rPr>
        <w:t>5</w:t>
      </w:r>
      <w:r w:rsidRPr="00CE4E0F">
        <w:fldChar w:fldCharType="end"/>
      </w:r>
      <w:r w:rsidRPr="00CE4E0F">
        <w:t>).</w:t>
      </w:r>
    </w:p>
    <w:p w14:paraId="53C13B13" w14:textId="77777777" w:rsidR="006902D1" w:rsidRPr="00CE4E0F" w:rsidRDefault="006902D1" w:rsidP="00A84742">
      <w:pPr>
        <w:rPr>
          <w:noProof/>
          <w:lang w:eastAsia="en-AU"/>
        </w:rPr>
      </w:pPr>
    </w:p>
    <w:p w14:paraId="53C13B14" w14:textId="77777777" w:rsidR="00A84742" w:rsidRPr="00CE4E0F" w:rsidRDefault="00A84742" w:rsidP="00A84742">
      <w:pPr>
        <w:spacing w:after="0"/>
        <w:jc w:val="left"/>
      </w:pPr>
      <w:r w:rsidRPr="00CE4E0F">
        <w:rPr>
          <w:noProof/>
          <w:lang w:eastAsia="en-AU"/>
        </w:rPr>
        <w:lastRenderedPageBreak/>
        <w:drawing>
          <wp:inline distT="0" distB="0" distL="0" distR="0" wp14:anchorId="53C15F34" wp14:editId="53C15F35">
            <wp:extent cx="3596640" cy="2880360"/>
            <wp:effectExtent l="0" t="0" r="3810" b="0"/>
            <wp:docPr id="1842573730" name="picture" descr="Diagram that describes the scoring and categorisation of the Juvenile Metric" title="Figure 5 Scoring diagram for Juvenile metr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596640" cy="2880360"/>
                    </a:xfrm>
                    <a:prstGeom prst="rect">
                      <a:avLst/>
                    </a:prstGeom>
                  </pic:spPr>
                </pic:pic>
              </a:graphicData>
            </a:graphic>
          </wp:inline>
        </w:drawing>
      </w:r>
    </w:p>
    <w:p w14:paraId="53C13B15" w14:textId="34054078" w:rsidR="00F115AB" w:rsidRPr="0062064A" w:rsidRDefault="00A84742" w:rsidP="002B5296">
      <w:pPr>
        <w:pStyle w:val="Caption"/>
        <w:rPr>
          <w:rStyle w:val="FigureChar"/>
          <w:rFonts w:eastAsia="SimSun"/>
          <w:vanish/>
          <w:specVanish/>
        </w:rPr>
      </w:pPr>
      <w:bookmarkStart w:id="197" w:name="_Ref514406158"/>
      <w:bookmarkStart w:id="198" w:name="_Toc35947155"/>
      <w:bookmarkStart w:id="199" w:name="_Toc530654904"/>
      <w:bookmarkStart w:id="200" w:name="_Toc534965112"/>
      <w:r w:rsidRPr="00CE4E0F">
        <w:t xml:space="preserve">Figure </w:t>
      </w:r>
      <w:r w:rsidR="005D7AC6" w:rsidRPr="00CE4E0F">
        <w:rPr>
          <w:noProof/>
        </w:rPr>
        <w:fldChar w:fldCharType="begin"/>
      </w:r>
      <w:r w:rsidR="005D7AC6" w:rsidRPr="00CE4E0F">
        <w:rPr>
          <w:noProof/>
        </w:rPr>
        <w:instrText xml:space="preserve"> SEQ Figure \* ARABIC </w:instrText>
      </w:r>
      <w:r w:rsidR="005D7AC6" w:rsidRPr="00CE4E0F">
        <w:rPr>
          <w:noProof/>
        </w:rPr>
        <w:fldChar w:fldCharType="separate"/>
      </w:r>
      <w:r w:rsidR="003053D1">
        <w:rPr>
          <w:noProof/>
        </w:rPr>
        <w:t>5</w:t>
      </w:r>
      <w:r w:rsidR="005D7AC6" w:rsidRPr="00CE4E0F">
        <w:rPr>
          <w:noProof/>
        </w:rPr>
        <w:fldChar w:fldCharType="end"/>
      </w:r>
      <w:bookmarkEnd w:id="197"/>
      <w:r w:rsidRPr="00CE4E0F">
        <w:t xml:space="preserve"> Scoring diagram for the Juvenile metric</w:t>
      </w:r>
      <w:bookmarkEnd w:id="198"/>
    </w:p>
    <w:p w14:paraId="53C13B16" w14:textId="77777777" w:rsidR="00A84742" w:rsidRPr="00F115AB" w:rsidRDefault="00A84742">
      <w:pPr>
        <w:pStyle w:val="Caption"/>
        <w:rPr>
          <w:rStyle w:val="IntenseReference"/>
        </w:rPr>
      </w:pPr>
      <w:r w:rsidRPr="00F115AB">
        <w:rPr>
          <w:rStyle w:val="IntenseReference"/>
        </w:rPr>
        <w:t>. Numeric scores and associated condition classifications are presented.</w:t>
      </w:r>
      <w:bookmarkEnd w:id="199"/>
      <w:bookmarkEnd w:id="200"/>
    </w:p>
    <w:p w14:paraId="53C13B17" w14:textId="77777777" w:rsidR="00A84742" w:rsidRPr="00CE4E0F" w:rsidRDefault="00A84742" w:rsidP="00727D87">
      <w:pPr>
        <w:pStyle w:val="Heading3"/>
      </w:pPr>
      <w:bookmarkStart w:id="201" w:name="_Toc526246898"/>
      <w:bookmarkStart w:id="202" w:name="_Toc530654951"/>
      <w:bookmarkStart w:id="203" w:name="_Ref10809465"/>
      <w:bookmarkStart w:id="204" w:name="_Toc35947102"/>
      <w:r w:rsidRPr="00CE4E0F">
        <w:t>Cover change metric</w:t>
      </w:r>
      <w:bookmarkEnd w:id="201"/>
      <w:bookmarkEnd w:id="202"/>
      <w:bookmarkEnd w:id="203"/>
      <w:bookmarkEnd w:id="204"/>
    </w:p>
    <w:p w14:paraId="53C13B18" w14:textId="77777777" w:rsidR="00A84742" w:rsidRPr="00CE4E0F" w:rsidRDefault="00A84742" w:rsidP="00A84742">
      <w:pPr>
        <w:autoSpaceDE w:val="0"/>
        <w:autoSpaceDN w:val="0"/>
        <w:adjustRightInd w:val="0"/>
      </w:pPr>
      <w:r w:rsidRPr="00CE4E0F">
        <w:t>A second avenue for recovery of coral communities is the growth of corals during periods free from acute disturbance</w:t>
      </w:r>
      <w:r w:rsidR="00C43D2B" w:rsidRPr="00CE4E0F">
        <w:t xml:space="preserve"> (Gilmour </w:t>
      </w:r>
      <w:r w:rsidR="00C43D2B" w:rsidRPr="00CE4E0F">
        <w:rPr>
          <w:i/>
        </w:rPr>
        <w:t>et al</w:t>
      </w:r>
      <w:r w:rsidR="00C43D2B" w:rsidRPr="00CE4E0F">
        <w:t>. 2013)</w:t>
      </w:r>
      <w:r w:rsidRPr="00CE4E0F">
        <w:t>. Chronic pressures associated with water quality may suppress the rate that coral cover increases and indicate a lack of resilience. The change in coral cover indicator score is derived from the comparison of the observed change in coral cover between two visits and the change in cover predicted by Gompertz growth equations parameterised from time-series of coral cover available on inshore reefs up until 2007. Gompertz equations were parameterised separately for the fast-growing corals of the family Acroporidae and the slower growing combined grouping of all other hard corals at each of 2 m and 5 m depths.</w:t>
      </w:r>
      <w:r w:rsidR="00702EB1" w:rsidRPr="00CE4E0F">
        <w:t xml:space="preserve"> </w:t>
      </w:r>
      <w:bookmarkStart w:id="205" w:name="_Hlk1120190"/>
      <w:r w:rsidR="00702EB1" w:rsidRPr="00CE4E0F">
        <w:t xml:space="preserve">Initial exploratory analysis provided no justification for a more detailed parameterisation of the coral community, in part due to the inability to gain precise estimates of cover increase when cover is low </w:t>
      </w:r>
      <w:r w:rsidR="005E7765">
        <w:t>—</w:t>
      </w:r>
      <w:r w:rsidR="005E7765" w:rsidRPr="00CE4E0F">
        <w:t xml:space="preserve"> </w:t>
      </w:r>
      <w:r w:rsidR="00702EB1" w:rsidRPr="00CE4E0F">
        <w:t>as it is for most taxa at most reefs.</w:t>
      </w:r>
    </w:p>
    <w:bookmarkEnd w:id="205"/>
    <w:p w14:paraId="53C13B19" w14:textId="77777777" w:rsidR="00702EB1" w:rsidRPr="00CE4E0F" w:rsidRDefault="00A84742" w:rsidP="00A84742">
      <w:pPr>
        <w:autoSpaceDE w:val="0"/>
        <w:autoSpaceDN w:val="0"/>
        <w:adjustRightInd w:val="0"/>
      </w:pPr>
      <w:r w:rsidRPr="00CE4E0F">
        <w:t xml:space="preserve">Years in which disturbance events occurred at a reef preclude the estimation of this indicator as there is no expectation for increase in such situations. </w:t>
      </w:r>
      <w:r w:rsidR="00702EB1" w:rsidRPr="00CE4E0F">
        <w:t>As such</w:t>
      </w:r>
      <w:r w:rsidR="00507AAE">
        <w:t>,</w:t>
      </w:r>
      <w:r w:rsidR="00702EB1" w:rsidRPr="00CE4E0F">
        <w:t xml:space="preserve"> </w:t>
      </w:r>
      <w:r w:rsidR="00702EB1" w:rsidRPr="00CE4E0F">
        <w:lastRenderedPageBreak/>
        <w:t>estimates are only derived for annual or biennial periods during which no acute disturbances occurred.</w:t>
      </w:r>
    </w:p>
    <w:p w14:paraId="53C13B1A" w14:textId="77777777" w:rsidR="00A84742" w:rsidRPr="00CE4E0F" w:rsidRDefault="00A84742" w:rsidP="00A84742">
      <w:pPr>
        <w:autoSpaceDE w:val="0"/>
        <w:autoSpaceDN w:val="0"/>
        <w:adjustRightInd w:val="0"/>
      </w:pPr>
      <w:r w:rsidRPr="00CE4E0F">
        <w:rPr>
          <w:rFonts w:cs="LMSansQuot8-Regular"/>
        </w:rPr>
        <w:t>A Bayesian framework was used to permit propagation of uncertainty through the predictions of expected coral cover increase from the two separately predicted coral types.</w:t>
      </w:r>
    </w:p>
    <w:p w14:paraId="53C13B1B" w14:textId="77777777" w:rsidR="00A84742" w:rsidRPr="00CE4E0F" w:rsidRDefault="00A84742" w:rsidP="00A84742">
      <w:pPr>
        <w:autoSpaceDE w:val="0"/>
        <w:autoSpaceDN w:val="0"/>
        <w:adjustRightInd w:val="0"/>
      </w:pPr>
    </w:p>
    <w:p w14:paraId="53C13B1C" w14:textId="77777777" w:rsidR="00A84742" w:rsidRPr="00CE4E0F" w:rsidRDefault="00A84742" w:rsidP="00A84742">
      <w:pPr>
        <w:autoSpaceDE w:val="0"/>
        <w:autoSpaceDN w:val="0"/>
        <w:adjustRightInd w:val="0"/>
        <w:rPr>
          <w:rFonts w:eastAsiaTheme="minorEastAsia"/>
        </w:rPr>
      </w:pPr>
      <w:r w:rsidRPr="00CE4E0F">
        <w:tab/>
      </w:r>
      <m:oMath>
        <m:func>
          <m:funcPr>
            <m:ctrlPr>
              <w:rPr>
                <w:rFonts w:ascii="Cambria Math" w:hAnsi="Cambria Math"/>
                <w:i/>
              </w:rPr>
            </m:ctrlPr>
          </m:funcPr>
          <m:fName>
            <m:r>
              <m:rPr>
                <m:sty m:val="p"/>
              </m:rPr>
              <w:rPr>
                <w:rFonts w:ascii="Cambria Math" w:hAnsi="Cambria Math"/>
              </w:rPr>
              <m:t>ln</m:t>
            </m:r>
          </m:fName>
          <m:e>
            <m:d>
              <m:dPr>
                <m:ctrlPr>
                  <w:rPr>
                    <w:rFonts w:ascii="Cambria Math" w:hAnsi="Cambria Math"/>
                    <w:i/>
                  </w:rPr>
                </m:ctrlPr>
              </m:dPr>
              <m:e>
                <m:sSub>
                  <m:sSubPr>
                    <m:ctrlPr>
                      <w:rPr>
                        <w:rFonts w:ascii="Cambria Math" w:hAnsi="Cambria Math"/>
                        <w:i/>
                      </w:rPr>
                    </m:ctrlPr>
                  </m:sSubPr>
                  <m:e>
                    <m:r>
                      <w:rPr>
                        <w:rFonts w:ascii="Cambria Math" w:hAnsi="Cambria Math"/>
                      </w:rPr>
                      <m:t>Acr</m:t>
                    </m:r>
                  </m:e>
                  <m:sub>
                    <m:r>
                      <w:rPr>
                        <w:rFonts w:ascii="Cambria Math" w:hAnsi="Cambria Math"/>
                      </w:rPr>
                      <m:t>it</m:t>
                    </m:r>
                  </m:sub>
                </m:sSub>
              </m:e>
            </m:d>
          </m:e>
        </m:func>
        <m:r>
          <m:rPr>
            <m:scr m:val="script"/>
          </m:rPr>
          <w:rPr>
            <w:rFonts w:ascii="Cambria Math" w:hAnsi="Cambria Math"/>
          </w:rPr>
          <m:t xml:space="preserve"> ~ N(</m:t>
        </m:r>
        <m:sSub>
          <m:sSubPr>
            <m:ctrlPr>
              <w:rPr>
                <w:rFonts w:ascii="Cambria Math" w:hAnsi="Cambria Math"/>
                <w:i/>
              </w:rPr>
            </m:ctrlPr>
          </m:sSubPr>
          <m:e>
            <m:r>
              <w:rPr>
                <w:rFonts w:ascii="Cambria Math" w:hAnsi="Cambria Math"/>
              </w:rPr>
              <m:t>μ</m:t>
            </m:r>
          </m:e>
          <m:sub>
            <m:r>
              <w:rPr>
                <w:rFonts w:ascii="Cambria Math" w:hAnsi="Cambria Math"/>
              </w:rPr>
              <m:t>it</m:t>
            </m:r>
          </m:sub>
        </m:sSub>
        <m:r>
          <w:rPr>
            <w:rFonts w:ascii="Cambria Math" w:hAnsi="Cambria Math"/>
          </w:rPr>
          <m:t>,</m:t>
        </m:r>
        <m:sSup>
          <m:sSupPr>
            <m:ctrlPr>
              <w:rPr>
                <w:rFonts w:ascii="Cambria Math" w:hAnsi="Cambria Math"/>
                <w:i/>
              </w:rPr>
            </m:ctrlPr>
          </m:sSupPr>
          <m:e>
            <m:r>
              <w:rPr>
                <w:rFonts w:ascii="Cambria Math" w:hAnsi="Cambria Math"/>
              </w:rPr>
              <m:t>σ</m:t>
            </m:r>
          </m:e>
          <m:sup>
            <m:r>
              <w:rPr>
                <w:rFonts w:ascii="Cambria Math" w:hAnsi="Cambria Math"/>
              </w:rPr>
              <m:t>2</m:t>
            </m:r>
          </m:sup>
        </m:sSup>
        <m:r>
          <w:rPr>
            <w:rFonts w:ascii="Cambria Math" w:hAnsi="Cambria Math"/>
          </w:rPr>
          <m:t>)</m:t>
        </m:r>
      </m:oMath>
    </w:p>
    <w:p w14:paraId="53C13B1D" w14:textId="77777777" w:rsidR="00A84742" w:rsidRPr="00CE4E0F" w:rsidRDefault="00A84742" w:rsidP="00A84742">
      <w:pPr>
        <w:autoSpaceDE w:val="0"/>
        <w:autoSpaceDN w:val="0"/>
        <w:adjustRightInd w:val="0"/>
        <w:rPr>
          <w:rFonts w:eastAsiaTheme="minorEastAsia"/>
        </w:rPr>
      </w:pPr>
      <w:r w:rsidRPr="00CE4E0F">
        <w:rPr>
          <w:rFonts w:eastAsiaTheme="minorEastAsia"/>
        </w:rPr>
        <w:tab/>
      </w:r>
      <m:oMath>
        <m:sSub>
          <m:sSubPr>
            <m:ctrlPr>
              <w:rPr>
                <w:rFonts w:ascii="Cambria Math" w:eastAsiaTheme="minorEastAsia" w:hAnsi="Cambria Math"/>
                <w:i/>
              </w:rPr>
            </m:ctrlPr>
          </m:sSubPr>
          <m:e>
            <m:r>
              <w:rPr>
                <w:rFonts w:ascii="Cambria Math" w:eastAsiaTheme="minorEastAsia" w:hAnsi="Cambria Math"/>
              </w:rPr>
              <m:t>μ</m:t>
            </m:r>
          </m:e>
          <m:sub>
            <m:r>
              <w:rPr>
                <w:rFonts w:ascii="Cambria Math" w:eastAsiaTheme="minorEastAsia" w:hAnsi="Cambria Math"/>
              </w:rPr>
              <m:t>it</m:t>
            </m:r>
          </m:sub>
        </m:sSub>
        <m:r>
          <w:rPr>
            <w:rFonts w:ascii="Cambria Math" w:eastAsiaTheme="minorEastAsia" w:hAnsi="Cambria Math"/>
          </w:rPr>
          <m:t>=v</m:t>
        </m:r>
        <m:sSub>
          <m:sSubPr>
            <m:ctrlPr>
              <w:rPr>
                <w:rFonts w:ascii="Cambria Math" w:eastAsiaTheme="minorEastAsia" w:hAnsi="Cambria Math"/>
                <w:i/>
              </w:rPr>
            </m:ctrlPr>
          </m:sSubPr>
          <m:e>
            <m:r>
              <w:rPr>
                <w:rFonts w:ascii="Cambria Math" w:eastAsiaTheme="minorEastAsia" w:hAnsi="Cambria Math"/>
              </w:rPr>
              <m:t>Acr</m:t>
            </m:r>
          </m:e>
          <m:sub>
            <m:r>
              <w:rPr>
                <w:rFonts w:ascii="Cambria Math" w:eastAsiaTheme="minorEastAsia" w:hAnsi="Cambria Math"/>
              </w:rPr>
              <m:t>i</m:t>
            </m:r>
          </m:sub>
        </m:sSub>
        <m:r>
          <w:rPr>
            <w:rFonts w:ascii="Cambria Math" w:eastAsiaTheme="minorEastAsia" w:hAnsi="Cambria Math"/>
          </w:rPr>
          <m:t>+</m:t>
        </m:r>
        <m:func>
          <m:funcPr>
            <m:ctrlPr>
              <w:rPr>
                <w:rFonts w:ascii="Cambria Math" w:eastAsiaTheme="minorEastAsia" w:hAnsi="Cambria Math"/>
                <w:i/>
              </w:rPr>
            </m:ctrlPr>
          </m:funcPr>
          <m:fName>
            <m:r>
              <m:rPr>
                <m:sty m:val="p"/>
              </m:rPr>
              <w:rPr>
                <w:rFonts w:ascii="Cambria Math" w:eastAsiaTheme="minorEastAsia" w:hAnsi="Cambria Math"/>
              </w:rPr>
              <m:t>ln</m:t>
            </m:r>
          </m:fName>
          <m:e>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Acr</m:t>
                    </m:r>
                  </m:e>
                  <m:sub>
                    <m:r>
                      <w:rPr>
                        <w:rFonts w:ascii="Cambria Math" w:eastAsiaTheme="minorEastAsia" w:hAnsi="Cambria Math"/>
                      </w:rPr>
                      <m:t>it-1</m:t>
                    </m:r>
                  </m:sub>
                </m:sSub>
              </m:e>
            </m:d>
          </m:e>
        </m:func>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v</m:t>
                </m:r>
                <m:sSub>
                  <m:sSubPr>
                    <m:ctrlPr>
                      <w:rPr>
                        <w:rFonts w:ascii="Cambria Math" w:eastAsiaTheme="minorEastAsia" w:hAnsi="Cambria Math"/>
                        <w:i/>
                      </w:rPr>
                    </m:ctrlPr>
                  </m:sSubPr>
                  <m:e>
                    <m:r>
                      <w:rPr>
                        <w:rFonts w:ascii="Cambria Math" w:eastAsiaTheme="minorEastAsia" w:hAnsi="Cambria Math"/>
                      </w:rPr>
                      <m:t>Acr</m:t>
                    </m:r>
                  </m:e>
                  <m:sub>
                    <m:r>
                      <w:rPr>
                        <w:rFonts w:ascii="Cambria Math" w:eastAsiaTheme="minorEastAsia" w:hAnsi="Cambria Math"/>
                      </w:rPr>
                      <m:t>i</m:t>
                    </m:r>
                  </m:sub>
                </m:sSub>
              </m:num>
              <m:den>
                <m:func>
                  <m:funcPr>
                    <m:ctrlPr>
                      <w:rPr>
                        <w:rFonts w:ascii="Cambria Math" w:eastAsiaTheme="minorEastAsia" w:hAnsi="Cambria Math"/>
                      </w:rPr>
                    </m:ctrlPr>
                  </m:funcPr>
                  <m:fName>
                    <m:r>
                      <m:rPr>
                        <m:sty m:val="p"/>
                      </m:rPr>
                      <w:rPr>
                        <w:rFonts w:ascii="Cambria Math" w:eastAsiaTheme="minorEastAsia" w:hAnsi="Cambria Math"/>
                      </w:rPr>
                      <m:t>ln</m:t>
                    </m:r>
                    <m:ctrlPr>
                      <w:rPr>
                        <w:rFonts w:ascii="Cambria Math" w:eastAsiaTheme="minorEastAsia" w:hAnsi="Cambria Math"/>
                        <w:i/>
                      </w:rPr>
                    </m:ctrlPr>
                  </m:fName>
                  <m:e>
                    <m:d>
                      <m:dPr>
                        <m:ctrlPr>
                          <w:rPr>
                            <w:rFonts w:ascii="Cambria Math" w:eastAsiaTheme="minorEastAsia" w:hAnsi="Cambria Math"/>
                            <w:i/>
                          </w:rPr>
                        </m:ctrlPr>
                      </m:dPr>
                      <m:e>
                        <m:r>
                          <w:rPr>
                            <w:rFonts w:ascii="Cambria Math" w:eastAsiaTheme="minorEastAsia" w:hAnsi="Cambria Math"/>
                          </w:rPr>
                          <m:t>est</m:t>
                        </m:r>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i</m:t>
                            </m:r>
                          </m:sub>
                        </m:sSub>
                      </m:e>
                    </m:d>
                  </m:e>
                </m:func>
              </m:den>
            </m:f>
          </m:e>
        </m:d>
        <m:r>
          <w:rPr>
            <w:rFonts w:ascii="Cambria Math" w:eastAsiaTheme="minorEastAsia" w:hAnsi="Cambria Math"/>
          </w:rPr>
          <m:t>*</m:t>
        </m:r>
        <m:r>
          <m:rPr>
            <m:sty m:val="p"/>
          </m:rPr>
          <w:rPr>
            <w:rFonts w:ascii="Cambria Math" w:eastAsiaTheme="minorEastAsia" w:hAnsi="Cambria Math"/>
          </w:rPr>
          <m:t>ln⁡</m:t>
        </m:r>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Acr</m:t>
            </m:r>
          </m:e>
          <m:sub>
            <m:r>
              <w:rPr>
                <w:rFonts w:ascii="Cambria Math" w:eastAsiaTheme="minorEastAsia" w:hAnsi="Cambria Math"/>
              </w:rPr>
              <m:t>it-1</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OthC</m:t>
            </m:r>
          </m:e>
          <m:sub>
            <m:r>
              <w:rPr>
                <w:rFonts w:ascii="Cambria Math" w:eastAsiaTheme="minorEastAsia" w:hAnsi="Cambria Math"/>
              </w:rPr>
              <m:t>it-1</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Sc</m:t>
            </m:r>
          </m:e>
          <m:sub>
            <m:r>
              <w:rPr>
                <w:rFonts w:ascii="Cambria Math" w:eastAsiaTheme="minorEastAsia" w:hAnsi="Cambria Math"/>
              </w:rPr>
              <m:t>it-1</m:t>
            </m:r>
          </m:sub>
        </m:sSub>
        <m:r>
          <w:rPr>
            <w:rFonts w:ascii="Cambria Math" w:eastAsiaTheme="minorEastAsia" w:hAnsi="Cambria Math"/>
          </w:rPr>
          <m:t>)</m:t>
        </m:r>
      </m:oMath>
    </w:p>
    <w:p w14:paraId="53C13B1E" w14:textId="77777777" w:rsidR="00A84742" w:rsidRPr="00CE4E0F" w:rsidRDefault="00A84742" w:rsidP="00A84742">
      <w:pPr>
        <w:autoSpaceDE w:val="0"/>
        <w:autoSpaceDN w:val="0"/>
        <w:adjustRightInd w:val="0"/>
        <w:rPr>
          <w:rFonts w:eastAsiaTheme="minorEastAsia"/>
        </w:rPr>
      </w:pPr>
      <w:r w:rsidRPr="00CE4E0F">
        <w:rPr>
          <w:rFonts w:eastAsiaTheme="minorEastAsia"/>
        </w:rPr>
        <w:tab/>
      </w:r>
      <m:oMath>
        <m:r>
          <w:rPr>
            <w:rFonts w:ascii="Cambria Math" w:eastAsiaTheme="minorEastAsia" w:hAnsi="Cambria Math"/>
          </w:rPr>
          <m:t>v</m:t>
        </m:r>
        <m:sSub>
          <m:sSubPr>
            <m:ctrlPr>
              <w:rPr>
                <w:rFonts w:ascii="Cambria Math" w:eastAsiaTheme="minorEastAsia" w:hAnsi="Cambria Math"/>
                <w:i/>
              </w:rPr>
            </m:ctrlPr>
          </m:sSubPr>
          <m:e>
            <m:r>
              <w:rPr>
                <w:rFonts w:ascii="Cambria Math" w:eastAsiaTheme="minorEastAsia" w:hAnsi="Cambria Math"/>
              </w:rPr>
              <m:t>Acr</m:t>
            </m:r>
          </m:e>
          <m:sub>
            <m:r>
              <w:rPr>
                <w:rFonts w:ascii="Cambria Math" w:eastAsiaTheme="minorEastAsia" w:hAnsi="Cambria Math"/>
              </w:rPr>
              <m:t>i</m:t>
            </m:r>
          </m:sub>
        </m:sSub>
        <m:r>
          <w:rPr>
            <w:rFonts w:ascii="Cambria Math" w:eastAsiaTheme="minorEastAsia" w:hAnsi="Cambria Math"/>
          </w:rPr>
          <m:t xml:space="preserve">= α+ </m:t>
        </m:r>
        <m:nary>
          <m:naryPr>
            <m:chr m:val="∑"/>
            <m:limLoc m:val="undOvr"/>
            <m:ctrlPr>
              <w:rPr>
                <w:rFonts w:ascii="Cambria Math" w:eastAsiaTheme="minorEastAsia" w:hAnsi="Cambria Math"/>
                <w:i/>
              </w:rPr>
            </m:ctrlPr>
          </m:naryPr>
          <m:sub>
            <m:r>
              <w:rPr>
                <w:rFonts w:ascii="Cambria Math" w:eastAsiaTheme="minorEastAsia" w:hAnsi="Cambria Math"/>
              </w:rPr>
              <m:t>j=0</m:t>
            </m:r>
          </m:sub>
          <m:sup>
            <m:r>
              <w:rPr>
                <w:rFonts w:ascii="Cambria Math" w:eastAsiaTheme="minorEastAsia" w:hAnsi="Cambria Math"/>
              </w:rPr>
              <m:t>J</m:t>
            </m:r>
          </m:sup>
          <m:e>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j</m:t>
                </m:r>
              </m:sub>
            </m:sSub>
            <m:sSub>
              <m:sSubPr>
                <m:ctrlPr>
                  <w:rPr>
                    <w:rFonts w:ascii="Cambria Math" w:eastAsiaTheme="minorEastAsia" w:hAnsi="Cambria Math"/>
                    <w:i/>
                  </w:rPr>
                </m:ctrlPr>
              </m:sSubPr>
              <m:e>
                <m:r>
                  <w:rPr>
                    <w:rFonts w:ascii="Cambria Math" w:eastAsiaTheme="minorEastAsia" w:hAnsi="Cambria Math"/>
                  </w:rPr>
                  <m:t>Region</m:t>
                </m:r>
              </m:e>
              <m:sub>
                <m:r>
                  <w:rPr>
                    <w:rFonts w:ascii="Cambria Math" w:eastAsiaTheme="minorEastAsia" w:hAnsi="Cambria Math"/>
                  </w:rPr>
                  <m:t>i</m:t>
                </m:r>
              </m:sub>
            </m:sSub>
          </m:e>
        </m:nary>
        <m:nary>
          <m:naryPr>
            <m:chr m:val="∑"/>
            <m:limLoc m:val="undOvr"/>
            <m:ctrlPr>
              <w:rPr>
                <w:rFonts w:ascii="Cambria Math" w:eastAsiaTheme="minorEastAsia" w:hAnsi="Cambria Math"/>
                <w:i/>
              </w:rPr>
            </m:ctrlPr>
          </m:naryPr>
          <m:sub>
            <m:r>
              <w:rPr>
                <w:rFonts w:ascii="Cambria Math" w:eastAsiaTheme="minorEastAsia" w:hAnsi="Cambria Math"/>
              </w:rPr>
              <m:t>k=0</m:t>
            </m:r>
          </m:sub>
          <m:sup>
            <m:r>
              <w:rPr>
                <w:rFonts w:ascii="Cambria Math" w:eastAsiaTheme="minorEastAsia" w:hAnsi="Cambria Math"/>
              </w:rPr>
              <m:t>K</m:t>
            </m:r>
          </m:sup>
          <m:e>
            <m:sSub>
              <m:sSubPr>
                <m:ctrlPr>
                  <w:rPr>
                    <w:rFonts w:ascii="Cambria Math" w:eastAsiaTheme="minorEastAsia" w:hAnsi="Cambria Math"/>
                    <w:i/>
                  </w:rPr>
                </m:ctrlPr>
              </m:sSubPr>
              <m:e>
                <m:r>
                  <w:rPr>
                    <w:rFonts w:ascii="Cambria Math" w:eastAsiaTheme="minorEastAsia" w:hAnsi="Cambria Math"/>
                  </w:rPr>
                  <m:t>γ</m:t>
                </m:r>
              </m:e>
              <m:sub>
                <m:r>
                  <w:rPr>
                    <w:rFonts w:ascii="Cambria Math" w:eastAsiaTheme="minorEastAsia" w:hAnsi="Cambria Math"/>
                  </w:rPr>
                  <m:t>k</m:t>
                </m:r>
              </m:sub>
            </m:sSub>
            <m:sSub>
              <m:sSubPr>
                <m:ctrlPr>
                  <w:rPr>
                    <w:rFonts w:ascii="Cambria Math" w:eastAsiaTheme="minorEastAsia" w:hAnsi="Cambria Math"/>
                    <w:i/>
                  </w:rPr>
                </m:ctrlPr>
              </m:sSubPr>
              <m:e>
                <m:r>
                  <w:rPr>
                    <w:rFonts w:ascii="Cambria Math" w:eastAsiaTheme="minorEastAsia" w:hAnsi="Cambria Math"/>
                  </w:rPr>
                  <m:t>Reef</m:t>
                </m:r>
              </m:e>
              <m:sub>
                <m:r>
                  <w:rPr>
                    <w:rFonts w:ascii="Cambria Math" w:eastAsiaTheme="minorEastAsia" w:hAnsi="Cambria Math"/>
                  </w:rPr>
                  <m:t>i</m:t>
                </m:r>
              </m:sub>
            </m:sSub>
          </m:e>
        </m:nary>
      </m:oMath>
    </w:p>
    <w:p w14:paraId="53C13B1F" w14:textId="77777777" w:rsidR="00A84742" w:rsidRPr="00CE4E0F" w:rsidRDefault="00A84742" w:rsidP="00A84742">
      <w:pPr>
        <w:autoSpaceDE w:val="0"/>
        <w:autoSpaceDN w:val="0"/>
        <w:adjustRightInd w:val="0"/>
        <w:rPr>
          <w:rFonts w:eastAsiaTheme="minorEastAsia"/>
        </w:rPr>
      </w:pPr>
      <w:r w:rsidRPr="00CE4E0F">
        <w:rPr>
          <w:rFonts w:eastAsiaTheme="minorEastAsia"/>
        </w:rPr>
        <w:tab/>
      </w:r>
      <m:oMath>
        <m:r>
          <w:rPr>
            <w:rFonts w:ascii="Cambria Math" w:eastAsiaTheme="minorEastAsia" w:hAnsi="Cambria Math"/>
          </w:rPr>
          <m:t xml:space="preserve">α ~ </m:t>
        </m:r>
        <m:r>
          <m:rPr>
            <m:scr m:val="script"/>
          </m:rPr>
          <w:rPr>
            <w:rFonts w:ascii="Cambria Math" w:eastAsiaTheme="minorEastAsia" w:hAnsi="Cambria Math"/>
          </w:rPr>
          <m:t>N</m:t>
        </m:r>
        <m:r>
          <w:rPr>
            <w:rFonts w:ascii="Cambria Math" w:eastAsiaTheme="minorEastAsia" w:hAnsi="Cambria Math"/>
          </w:rPr>
          <m:t>(0,</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6</m:t>
            </m:r>
          </m:sup>
        </m:sSup>
        <m:r>
          <w:rPr>
            <w:rFonts w:ascii="Cambria Math" w:eastAsiaTheme="minorEastAsia" w:hAnsi="Cambria Math"/>
          </w:rPr>
          <m:t>)</m:t>
        </m:r>
      </m:oMath>
    </w:p>
    <w:p w14:paraId="53C13B20" w14:textId="77777777" w:rsidR="00A84742" w:rsidRPr="00CE4E0F" w:rsidRDefault="00A84742" w:rsidP="00A84742">
      <w:pPr>
        <w:autoSpaceDE w:val="0"/>
        <w:autoSpaceDN w:val="0"/>
        <w:adjustRightInd w:val="0"/>
        <w:rPr>
          <w:rFonts w:eastAsiaTheme="minorEastAsia"/>
        </w:rPr>
      </w:pPr>
      <w:r w:rsidRPr="00CE4E0F">
        <w:rPr>
          <w:rFonts w:eastAsiaTheme="minorEastAsia"/>
        </w:rPr>
        <w:tab/>
      </w:r>
      <m:oMath>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j</m:t>
            </m:r>
          </m:sub>
        </m:sSub>
        <m:r>
          <m:rPr>
            <m:scr m:val="script"/>
          </m:rPr>
          <w:rPr>
            <w:rFonts w:ascii="Cambria Math" w:eastAsiaTheme="minorEastAsia" w:hAnsi="Cambria Math"/>
          </w:rPr>
          <m:t xml:space="preserve"> ~ N</m:t>
        </m:r>
        <m:r>
          <w:rPr>
            <w:rFonts w:ascii="Cambria Math" w:eastAsiaTheme="minorEastAsia" w:hAnsi="Cambria Math"/>
          </w:rPr>
          <m:t xml:space="preserve">(0, </m:t>
        </m:r>
        <m:sSubSup>
          <m:sSubSupPr>
            <m:ctrlPr>
              <w:rPr>
                <w:rFonts w:ascii="Cambria Math" w:eastAsiaTheme="minorEastAsia" w:hAnsi="Cambria Math"/>
                <w:i/>
              </w:rPr>
            </m:ctrlPr>
          </m:sSubSupPr>
          <m:e>
            <m:r>
              <w:rPr>
                <w:rFonts w:ascii="Cambria Math" w:eastAsiaTheme="minorEastAsia" w:hAnsi="Cambria Math"/>
              </w:rPr>
              <m:t>σ</m:t>
            </m:r>
          </m:e>
          <m:sub>
            <m:r>
              <w:rPr>
                <w:rFonts w:ascii="Cambria Math" w:eastAsiaTheme="minorEastAsia" w:hAnsi="Cambria Math"/>
              </w:rPr>
              <m:t>Region</m:t>
            </m:r>
          </m:sub>
          <m:sup>
            <m:r>
              <w:rPr>
                <w:rFonts w:ascii="Cambria Math" w:eastAsiaTheme="minorEastAsia" w:hAnsi="Cambria Math"/>
              </w:rPr>
              <m:t>2</m:t>
            </m:r>
          </m:sup>
        </m:sSubSup>
        <m:r>
          <w:rPr>
            <w:rFonts w:ascii="Cambria Math" w:eastAsiaTheme="minorEastAsia" w:hAnsi="Cambria Math"/>
          </w:rPr>
          <m:t>)</m:t>
        </m:r>
      </m:oMath>
    </w:p>
    <w:p w14:paraId="53C13B21" w14:textId="77777777" w:rsidR="00A84742" w:rsidRPr="00CE4E0F" w:rsidRDefault="00A84742" w:rsidP="00A84742">
      <w:pPr>
        <w:autoSpaceDE w:val="0"/>
        <w:autoSpaceDN w:val="0"/>
        <w:adjustRightInd w:val="0"/>
        <w:rPr>
          <w:rFonts w:eastAsiaTheme="minorEastAsia"/>
        </w:rPr>
      </w:pPr>
      <w:r w:rsidRPr="00CE4E0F">
        <w:rPr>
          <w:rFonts w:eastAsiaTheme="minorEastAsia"/>
        </w:rPr>
        <w:tab/>
      </w:r>
      <m:oMath>
        <m:sSub>
          <m:sSubPr>
            <m:ctrlPr>
              <w:rPr>
                <w:rFonts w:ascii="Cambria Math" w:eastAsiaTheme="minorEastAsia" w:hAnsi="Cambria Math"/>
                <w:i/>
              </w:rPr>
            </m:ctrlPr>
          </m:sSubPr>
          <m:e>
            <m:r>
              <w:rPr>
                <w:rFonts w:ascii="Cambria Math" w:eastAsiaTheme="minorEastAsia" w:hAnsi="Cambria Math"/>
              </w:rPr>
              <m:t>γ</m:t>
            </m:r>
          </m:e>
          <m:sub>
            <m:r>
              <w:rPr>
                <w:rFonts w:ascii="Cambria Math" w:eastAsiaTheme="minorEastAsia" w:hAnsi="Cambria Math"/>
              </w:rPr>
              <m:t>k</m:t>
            </m:r>
          </m:sub>
        </m:sSub>
        <m:r>
          <m:rPr>
            <m:scr m:val="script"/>
          </m:rPr>
          <w:rPr>
            <w:rFonts w:ascii="Cambria Math" w:eastAsiaTheme="minorEastAsia" w:hAnsi="Cambria Math"/>
          </w:rPr>
          <m:t xml:space="preserve"> ~ N</m:t>
        </m:r>
        <m:r>
          <w:rPr>
            <w:rFonts w:ascii="Cambria Math" w:eastAsiaTheme="minorEastAsia" w:hAnsi="Cambria Math"/>
          </w:rPr>
          <m:t xml:space="preserve">(0, </m:t>
        </m:r>
        <m:sSubSup>
          <m:sSubSupPr>
            <m:ctrlPr>
              <w:rPr>
                <w:rFonts w:ascii="Cambria Math" w:eastAsiaTheme="minorEastAsia" w:hAnsi="Cambria Math"/>
                <w:i/>
              </w:rPr>
            </m:ctrlPr>
          </m:sSubSupPr>
          <m:e>
            <m:r>
              <w:rPr>
                <w:rFonts w:ascii="Cambria Math" w:eastAsiaTheme="minorEastAsia" w:hAnsi="Cambria Math"/>
              </w:rPr>
              <m:t>σ</m:t>
            </m:r>
          </m:e>
          <m:sub>
            <m:r>
              <w:rPr>
                <w:rFonts w:ascii="Cambria Math" w:eastAsiaTheme="minorEastAsia" w:hAnsi="Cambria Math"/>
              </w:rPr>
              <m:t>Reef</m:t>
            </m:r>
          </m:sub>
          <m:sup>
            <m:r>
              <w:rPr>
                <w:rFonts w:ascii="Cambria Math" w:eastAsiaTheme="minorEastAsia" w:hAnsi="Cambria Math"/>
              </w:rPr>
              <m:t>2</m:t>
            </m:r>
          </m:sup>
        </m:sSubSup>
        <m:r>
          <w:rPr>
            <w:rFonts w:ascii="Cambria Math" w:eastAsiaTheme="minorEastAsia" w:hAnsi="Cambria Math"/>
          </w:rPr>
          <m:t>)</m:t>
        </m:r>
      </m:oMath>
      <w:r w:rsidRPr="00CE4E0F">
        <w:rPr>
          <w:rFonts w:eastAsiaTheme="minorEastAsia"/>
        </w:rPr>
        <w:t xml:space="preserve"> </w:t>
      </w:r>
    </w:p>
    <w:p w14:paraId="53C13B22" w14:textId="77777777" w:rsidR="00A84742" w:rsidRPr="00CE4E0F" w:rsidRDefault="00A84742" w:rsidP="00A84742">
      <w:pPr>
        <w:autoSpaceDE w:val="0"/>
        <w:autoSpaceDN w:val="0"/>
        <w:adjustRightInd w:val="0"/>
        <w:rPr>
          <w:rFonts w:eastAsiaTheme="minorEastAsia"/>
        </w:rPr>
      </w:pPr>
      <w:r w:rsidRPr="00CE4E0F">
        <w:rPr>
          <w:rFonts w:eastAsiaTheme="minorEastAsia"/>
        </w:rPr>
        <w:tab/>
      </w:r>
      <m:oMath>
        <m:sSup>
          <m:sSupPr>
            <m:ctrlPr>
              <w:rPr>
                <w:rFonts w:ascii="Cambria Math" w:hAnsi="Cambria Math"/>
                <w:i/>
              </w:rPr>
            </m:ctrlPr>
          </m:sSupPr>
          <m:e>
            <m:r>
              <w:rPr>
                <w:rFonts w:ascii="Cambria Math" w:hAnsi="Cambria Math"/>
              </w:rPr>
              <m:t>σ</m:t>
            </m:r>
          </m:e>
          <m:sup>
            <m:r>
              <w:rPr>
                <w:rFonts w:ascii="Cambria Math" w:hAnsi="Cambria Math"/>
              </w:rPr>
              <m:t>2</m:t>
            </m:r>
          </m:sup>
        </m:sSup>
        <m:r>
          <w:rPr>
            <w:rFonts w:ascii="Cambria Math" w:hAnsi="Cambria Math"/>
          </w:rPr>
          <m:t>,</m:t>
        </m:r>
        <m:sSubSup>
          <m:sSubSupPr>
            <m:ctrlPr>
              <w:rPr>
                <w:rFonts w:ascii="Cambria Math" w:hAnsi="Cambria Math"/>
                <w:i/>
              </w:rPr>
            </m:ctrlPr>
          </m:sSubSupPr>
          <m:e>
            <m:r>
              <w:rPr>
                <w:rFonts w:ascii="Cambria Math" w:hAnsi="Cambria Math"/>
              </w:rPr>
              <m:t>σ</m:t>
            </m:r>
          </m:e>
          <m:sub>
            <m:r>
              <w:rPr>
                <w:rFonts w:ascii="Cambria Math" w:hAnsi="Cambria Math"/>
              </w:rPr>
              <m:t>Region</m:t>
            </m:r>
          </m:sub>
          <m:sup>
            <m:r>
              <w:rPr>
                <w:rFonts w:ascii="Cambria Math" w:hAnsi="Cambria Math"/>
              </w:rPr>
              <m:t>2</m:t>
            </m:r>
          </m:sup>
        </m:sSubSup>
        <m:r>
          <w:rPr>
            <w:rFonts w:ascii="Cambria Math" w:hAnsi="Cambria Math"/>
          </w:rPr>
          <m:t>,</m:t>
        </m:r>
        <m:sSubSup>
          <m:sSubSupPr>
            <m:ctrlPr>
              <w:rPr>
                <w:rFonts w:ascii="Cambria Math" w:hAnsi="Cambria Math"/>
                <w:i/>
              </w:rPr>
            </m:ctrlPr>
          </m:sSubSupPr>
          <m:e>
            <m:r>
              <w:rPr>
                <w:rFonts w:ascii="Cambria Math" w:hAnsi="Cambria Math"/>
              </w:rPr>
              <m:t>σ</m:t>
            </m:r>
          </m:e>
          <m:sub>
            <m:r>
              <w:rPr>
                <w:rFonts w:ascii="Cambria Math" w:hAnsi="Cambria Math"/>
              </w:rPr>
              <m:t>Reef</m:t>
            </m:r>
          </m:sub>
          <m:sup>
            <m:r>
              <w:rPr>
                <w:rFonts w:ascii="Cambria Math" w:hAnsi="Cambria Math"/>
              </w:rPr>
              <m:t>2</m:t>
            </m:r>
          </m:sup>
        </m:sSubSup>
        <m:r>
          <m:rPr>
            <m:scr m:val="script"/>
          </m:rPr>
          <w:rPr>
            <w:rFonts w:ascii="Cambria Math" w:hAnsi="Cambria Math"/>
          </w:rPr>
          <m:t>= U</m:t>
        </m:r>
        <m:r>
          <w:rPr>
            <w:rFonts w:ascii="Cambria Math" w:hAnsi="Cambria Math"/>
          </w:rPr>
          <m:t>(0,100)</m:t>
        </m:r>
      </m:oMath>
    </w:p>
    <w:p w14:paraId="53C13B23" w14:textId="77777777" w:rsidR="00A84742" w:rsidRPr="00CE4E0F" w:rsidRDefault="00A84742" w:rsidP="00A84742">
      <w:pPr>
        <w:autoSpaceDE w:val="0"/>
        <w:autoSpaceDN w:val="0"/>
        <w:adjustRightInd w:val="0"/>
        <w:rPr>
          <w:rFonts w:eastAsiaTheme="minorEastAsia"/>
        </w:rPr>
      </w:pPr>
      <w:r w:rsidRPr="00CE4E0F">
        <w:rPr>
          <w:rFonts w:eastAsiaTheme="minorEastAsia"/>
        </w:rPr>
        <w:tab/>
      </w:r>
      <m:oMath>
        <m:r>
          <w:rPr>
            <w:rFonts w:ascii="Cambria Math" w:eastAsiaTheme="minorEastAsia" w:hAnsi="Cambria Math"/>
          </w:rPr>
          <m:t>rAcr=v</m:t>
        </m:r>
        <m:sSub>
          <m:sSubPr>
            <m:ctrlPr>
              <w:rPr>
                <w:rFonts w:ascii="Cambria Math" w:eastAsiaTheme="minorEastAsia" w:hAnsi="Cambria Math"/>
                <w:i/>
              </w:rPr>
            </m:ctrlPr>
          </m:sSubPr>
          <m:e>
            <m:bar>
              <m:barPr>
                <m:pos m:val="top"/>
                <m:ctrlPr>
                  <w:rPr>
                    <w:rFonts w:ascii="Cambria Math" w:eastAsiaTheme="minorEastAsia" w:hAnsi="Cambria Math"/>
                    <w:i/>
                  </w:rPr>
                </m:ctrlPr>
              </m:barPr>
              <m:e>
                <m:r>
                  <w:rPr>
                    <w:rFonts w:ascii="Cambria Math" w:hAnsi="Cambria Math"/>
                  </w:rPr>
                  <m:t>A</m:t>
                </m:r>
              </m:e>
            </m:bar>
            <m:r>
              <w:rPr>
                <w:rFonts w:ascii="Cambria Math" w:eastAsiaTheme="minorEastAsia" w:hAnsi="Cambria Math"/>
              </w:rPr>
              <m:t>cr</m:t>
            </m:r>
          </m:e>
          <m:sub>
            <m:r>
              <w:rPr>
                <w:rFonts w:ascii="Cambria Math" w:eastAsiaTheme="minorEastAsia" w:hAnsi="Cambria Math"/>
              </w:rPr>
              <m:t>i</m:t>
            </m:r>
          </m:sub>
        </m:sSub>
      </m:oMath>
    </w:p>
    <w:p w14:paraId="53C13B24" w14:textId="77777777" w:rsidR="00A84742" w:rsidRPr="00CE4E0F" w:rsidRDefault="00A84742" w:rsidP="00A84742">
      <w:pPr>
        <w:autoSpaceDE w:val="0"/>
        <w:autoSpaceDN w:val="0"/>
        <w:adjustRightInd w:val="0"/>
        <w:rPr>
          <w:rFonts w:eastAsiaTheme="minorEastAsia"/>
        </w:rPr>
      </w:pPr>
    </w:p>
    <w:p w14:paraId="53C13B25" w14:textId="77777777" w:rsidR="00A84742" w:rsidRPr="00CE4E0F" w:rsidRDefault="00A84742" w:rsidP="00A84742">
      <w:pPr>
        <w:autoSpaceDE w:val="0"/>
        <w:autoSpaceDN w:val="0"/>
        <w:adjustRightInd w:val="0"/>
        <w:rPr>
          <w:rFonts w:eastAsiaTheme="minorEastAsia"/>
        </w:rPr>
      </w:pPr>
      <w:r w:rsidRPr="00CE4E0F">
        <w:rPr>
          <w:rFonts w:eastAsiaTheme="minorEastAsia"/>
        </w:rPr>
        <w:t xml:space="preserve">Where, </w:t>
      </w:r>
      <m:oMath>
        <m:sSub>
          <m:sSubPr>
            <m:ctrlPr>
              <w:rPr>
                <w:rFonts w:ascii="Cambria Math" w:eastAsiaTheme="minorEastAsia" w:hAnsi="Cambria Math"/>
                <w:i/>
              </w:rPr>
            </m:ctrlPr>
          </m:sSubPr>
          <m:e>
            <m:r>
              <w:rPr>
                <w:rFonts w:ascii="Cambria Math" w:eastAsiaTheme="minorEastAsia" w:hAnsi="Cambria Math"/>
              </w:rPr>
              <m:t>Acr</m:t>
            </m:r>
          </m:e>
          <m:sub>
            <m:r>
              <w:rPr>
                <w:rFonts w:ascii="Cambria Math" w:eastAsiaTheme="minorEastAsia" w:hAnsi="Cambria Math"/>
              </w:rPr>
              <m:t>it</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OthC</m:t>
            </m:r>
          </m:e>
          <m:sub>
            <m:r>
              <w:rPr>
                <w:rFonts w:ascii="Cambria Math" w:eastAsiaTheme="minorEastAsia" w:hAnsi="Cambria Math"/>
              </w:rPr>
              <m:t>it</m:t>
            </m:r>
          </m:sub>
        </m:sSub>
      </m:oMath>
      <w:r w:rsidRPr="00CE4E0F">
        <w:rPr>
          <w:rFonts w:eastAsiaTheme="minorEastAsia"/>
        </w:rPr>
        <w:t xml:space="preserve"> and </w:t>
      </w:r>
      <m:oMath>
        <m:sSub>
          <m:sSubPr>
            <m:ctrlPr>
              <w:rPr>
                <w:rFonts w:ascii="Cambria Math" w:eastAsiaTheme="minorEastAsia" w:hAnsi="Cambria Math"/>
                <w:i/>
              </w:rPr>
            </m:ctrlPr>
          </m:sSubPr>
          <m:e>
            <m:r>
              <w:rPr>
                <w:rFonts w:ascii="Cambria Math" w:eastAsiaTheme="minorEastAsia" w:hAnsi="Cambria Math"/>
              </w:rPr>
              <m:t>Sc</m:t>
            </m:r>
          </m:e>
          <m:sub>
            <m:r>
              <w:rPr>
                <w:rFonts w:ascii="Cambria Math" w:eastAsiaTheme="minorEastAsia" w:hAnsi="Cambria Math"/>
              </w:rPr>
              <m:t>it</m:t>
            </m:r>
          </m:sub>
        </m:sSub>
      </m:oMath>
      <w:r w:rsidRPr="00CE4E0F">
        <w:rPr>
          <w:rFonts w:eastAsiaTheme="minorEastAsia"/>
        </w:rPr>
        <w:t xml:space="preserve"> are the cover of Acroporidae coral, other hard coral</w:t>
      </w:r>
      <w:r w:rsidR="0008161A">
        <w:rPr>
          <w:rFonts w:eastAsiaTheme="minorEastAsia"/>
        </w:rPr>
        <w:t>,</w:t>
      </w:r>
      <w:r w:rsidRPr="00CE4E0F">
        <w:rPr>
          <w:rFonts w:eastAsiaTheme="minorEastAsia"/>
        </w:rPr>
        <w:t xml:space="preserve"> and soft coral respectively at a given reef at time (</w:t>
      </w:r>
      <m:oMath>
        <m:r>
          <w:rPr>
            <w:rFonts w:ascii="Cambria Math" w:eastAsiaTheme="minorEastAsia" w:hAnsi="Cambria Math"/>
          </w:rPr>
          <m:t>t</m:t>
        </m:r>
      </m:oMath>
      <w:r w:rsidRPr="00CE4E0F">
        <w:rPr>
          <w:rFonts w:eastAsiaTheme="minorEastAsia"/>
        </w:rPr>
        <w:t>)</w:t>
      </w:r>
      <w:r w:rsidRPr="00CE4E0F">
        <w:rPr>
          <w:rFonts w:eastAsiaTheme="minorEastAsia"/>
          <w:i/>
        </w:rPr>
        <w:t xml:space="preserve">. </w:t>
      </w:r>
      <m:oMath>
        <m:r>
          <w:rPr>
            <w:rFonts w:ascii="Cambria Math" w:eastAsiaTheme="minorEastAsia" w:hAnsi="Cambria Math"/>
          </w:rPr>
          <m:t>eskK</m:t>
        </m:r>
      </m:oMath>
      <w:r w:rsidRPr="00CE4E0F">
        <w:rPr>
          <w:rFonts w:eastAsiaTheme="minorEastAsia"/>
          <w:i/>
        </w:rPr>
        <w:t xml:space="preserve"> </w:t>
      </w:r>
      <w:r w:rsidRPr="00CE4E0F">
        <w:rPr>
          <w:rFonts w:eastAsiaTheme="minorEastAsia"/>
        </w:rPr>
        <w:t xml:space="preserve">is the community size at equilibrium (100) and </w:t>
      </w:r>
      <m:oMath>
        <m:r>
          <w:rPr>
            <w:rFonts w:ascii="Cambria Math" w:eastAsiaTheme="minorEastAsia" w:hAnsi="Cambria Math"/>
          </w:rPr>
          <m:t>rAcr</m:t>
        </m:r>
      </m:oMath>
      <w:r w:rsidRPr="00CE4E0F">
        <w:rPr>
          <w:rFonts w:eastAsiaTheme="minorEastAsia"/>
        </w:rPr>
        <w:t xml:space="preserve"> is the rate of increase (growth rate) in percent cover of Acroporidae coral. Varying effects of Region and Reef (</w:t>
      </w:r>
      <m:oMath>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j</m:t>
            </m:r>
          </m:sub>
        </m:sSub>
      </m:oMath>
      <w:r w:rsidRPr="00CE4E0F">
        <w:rPr>
          <w:rFonts w:eastAsiaTheme="minorEastAsia"/>
        </w:rPr>
        <w:t xml:space="preserve"> and </w:t>
      </w:r>
      <m:oMath>
        <m:sSub>
          <m:sSubPr>
            <m:ctrlPr>
              <w:rPr>
                <w:rFonts w:ascii="Cambria Math" w:eastAsiaTheme="minorEastAsia" w:hAnsi="Cambria Math"/>
                <w:i/>
              </w:rPr>
            </m:ctrlPr>
          </m:sSubPr>
          <m:e>
            <m:r>
              <w:rPr>
                <w:rFonts w:ascii="Cambria Math" w:eastAsiaTheme="minorEastAsia" w:hAnsi="Cambria Math"/>
              </w:rPr>
              <m:t>Υ</m:t>
            </m:r>
          </m:e>
          <m:sub>
            <m:r>
              <w:rPr>
                <w:rFonts w:ascii="Cambria Math" w:eastAsiaTheme="minorEastAsia" w:hAnsi="Cambria Math"/>
              </w:rPr>
              <m:t>k</m:t>
            </m:r>
          </m:sub>
        </m:sSub>
      </m:oMath>
      <w:r w:rsidRPr="00CE4E0F">
        <w:rPr>
          <w:rFonts w:eastAsiaTheme="minorEastAsia"/>
        </w:rPr>
        <w:t xml:space="preserve"> respectively) were also incorporated to account for spatial autocorrelation. Model coefficients associated with the intercept, Region and Reef (</w:t>
      </w:r>
      <m:oMath>
        <m:sSub>
          <m:sSubPr>
            <m:ctrlPr>
              <w:rPr>
                <w:rFonts w:ascii="Cambria Math" w:eastAsiaTheme="minorEastAsia" w:hAnsi="Cambria Math"/>
                <w:i/>
              </w:rPr>
            </m:ctrlPr>
          </m:sSubPr>
          <m:e>
            <m:r>
              <w:rPr>
                <w:rFonts w:ascii="Cambria Math" w:eastAsiaTheme="minorEastAsia" w:hAnsi="Cambria Math"/>
              </w:rPr>
              <m:t>α</m:t>
            </m:r>
          </m:e>
          <m:sub>
            <m:r>
              <w:rPr>
                <w:rFonts w:ascii="Cambria Math" w:eastAsiaTheme="minorEastAsia" w:hAnsi="Cambria Math"/>
              </w:rPr>
              <m:t>i</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j</m:t>
            </m:r>
          </m:sub>
        </m:sSub>
      </m:oMath>
      <w:r w:rsidRPr="00CE4E0F">
        <w:rPr>
          <w:rFonts w:eastAsiaTheme="minorEastAsia"/>
        </w:rPr>
        <w:t xml:space="preserve"> and </w:t>
      </w:r>
      <m:oMath>
        <m:sSub>
          <m:sSubPr>
            <m:ctrlPr>
              <w:rPr>
                <w:rFonts w:ascii="Cambria Math" w:eastAsiaTheme="minorEastAsia" w:hAnsi="Cambria Math"/>
                <w:i/>
              </w:rPr>
            </m:ctrlPr>
          </m:sSubPr>
          <m:e>
            <m:r>
              <w:rPr>
                <w:rFonts w:ascii="Cambria Math" w:eastAsiaTheme="minorEastAsia" w:hAnsi="Cambria Math"/>
              </w:rPr>
              <m:t>Υ</m:t>
            </m:r>
          </m:e>
          <m:sub>
            <m:r>
              <w:rPr>
                <w:rFonts w:ascii="Cambria Math" w:eastAsiaTheme="minorEastAsia" w:hAnsi="Cambria Math"/>
              </w:rPr>
              <m:t>k</m:t>
            </m:r>
          </m:sub>
        </m:sSub>
      </m:oMath>
      <w:r w:rsidRPr="00CE4E0F">
        <w:rPr>
          <w:rFonts w:eastAsiaTheme="minorEastAsia"/>
        </w:rPr>
        <w:t>) all had weakly informative Gaussian priors, the latter two with model standard deviation. The overall rate of coral growth</w:t>
      </w:r>
      <m:oMath>
        <m:r>
          <w:rPr>
            <w:rFonts w:ascii="Cambria Math" w:eastAsiaTheme="minorEastAsia" w:hAnsi="Cambria Math"/>
          </w:rPr>
          <m:t xml:space="preserve"> rAcr</m:t>
        </m:r>
      </m:oMath>
      <w:r w:rsidRPr="00CE4E0F">
        <w:rPr>
          <w:rFonts w:eastAsiaTheme="minorEastAsia"/>
        </w:rPr>
        <w:t xml:space="preserve">, constituted the mean of the individual posterior rates of increase for </w:t>
      </w:r>
      <m:oMath>
        <m:sSub>
          <m:sSubPr>
            <m:ctrlPr>
              <w:rPr>
                <w:rFonts w:ascii="Cambria Math" w:eastAsiaTheme="minorEastAsia" w:hAnsi="Cambria Math"/>
                <w:i/>
              </w:rPr>
            </m:ctrlPr>
          </m:sSubPr>
          <m:e>
            <m:r>
              <w:rPr>
                <w:rFonts w:ascii="Cambria Math" w:eastAsiaTheme="minorEastAsia" w:hAnsi="Cambria Math"/>
              </w:rPr>
              <m:t>vAcr</m:t>
            </m:r>
          </m:e>
          <m:sub>
            <m:r>
              <w:rPr>
                <w:rFonts w:ascii="Cambria Math" w:eastAsiaTheme="minorEastAsia" w:hAnsi="Cambria Math"/>
              </w:rPr>
              <m:t>i</m:t>
            </m:r>
          </m:sub>
        </m:sSub>
      </m:oMath>
      <w:r w:rsidRPr="00CE4E0F">
        <w:rPr>
          <w:rFonts w:eastAsiaTheme="minorEastAsia"/>
        </w:rPr>
        <w:t>.</w:t>
      </w:r>
    </w:p>
    <w:p w14:paraId="53C13B26" w14:textId="77777777" w:rsidR="00A84742" w:rsidRPr="00CE4E0F" w:rsidRDefault="00A84742" w:rsidP="00A84742">
      <w:pPr>
        <w:autoSpaceDE w:val="0"/>
        <w:autoSpaceDN w:val="0"/>
        <w:adjustRightInd w:val="0"/>
        <w:rPr>
          <w:rFonts w:eastAsiaTheme="minorEastAsia"/>
        </w:rPr>
      </w:pPr>
      <w:r w:rsidRPr="00CE4E0F">
        <w:rPr>
          <w:rFonts w:eastAsiaTheme="minorEastAsia"/>
        </w:rPr>
        <w:t xml:space="preserve">As model predictions relate to annual changes in coral cover, observed cover was adjusted to an estimated annual change since the previous observation </w:t>
      </w:r>
      <w:r w:rsidRPr="00CE4E0F">
        <w:rPr>
          <w:rFonts w:eastAsiaTheme="minorEastAsia"/>
        </w:rPr>
        <w:lastRenderedPageBreak/>
        <w:t>(</w:t>
      </w:r>
      <m:oMath>
        <m:sSub>
          <m:sSubPr>
            <m:ctrlPr>
              <w:rPr>
                <w:rFonts w:ascii="Cambria Math" w:eastAsiaTheme="minorEastAsia" w:hAnsi="Cambria Math"/>
                <w:i/>
              </w:rPr>
            </m:ctrlPr>
          </m:sSubPr>
          <m:e>
            <m:r>
              <w:rPr>
                <w:rFonts w:ascii="Cambria Math" w:eastAsiaTheme="minorEastAsia" w:hAnsi="Cambria Math"/>
              </w:rPr>
              <m:t>Acr</m:t>
            </m:r>
          </m:e>
          <m:sub>
            <m:r>
              <w:rPr>
                <w:rFonts w:ascii="Cambria Math" w:eastAsiaTheme="minorEastAsia" w:hAnsi="Cambria Math"/>
              </w:rPr>
              <m:t>adj</m:t>
            </m:r>
          </m:sub>
        </m:sSub>
      </m:oMath>
      <w:r w:rsidRPr="00CE4E0F">
        <w:rPr>
          <w:rFonts w:eastAsiaTheme="minorEastAsia"/>
        </w:rPr>
        <w:t xml:space="preserve">) prior to comparison to modelled estimates. Adjusted values, </w:t>
      </w:r>
      <m:oMath>
        <m:sSub>
          <m:sSubPr>
            <m:ctrlPr>
              <w:rPr>
                <w:rFonts w:ascii="Cambria Math" w:eastAsiaTheme="minorEastAsia" w:hAnsi="Cambria Math"/>
                <w:i/>
              </w:rPr>
            </m:ctrlPr>
          </m:sSubPr>
          <m:e>
            <m:r>
              <w:rPr>
                <w:rFonts w:ascii="Cambria Math" w:eastAsiaTheme="minorEastAsia" w:hAnsi="Cambria Math"/>
              </w:rPr>
              <m:t>Acr</m:t>
            </m:r>
          </m:e>
          <m:sub>
            <m:r>
              <w:rPr>
                <w:rFonts w:ascii="Cambria Math" w:eastAsiaTheme="minorEastAsia" w:hAnsi="Cambria Math"/>
              </w:rPr>
              <m:t>adj</m:t>
            </m:r>
          </m:sub>
        </m:sSub>
        <m:r>
          <w:rPr>
            <w:rFonts w:ascii="Cambria Math" w:eastAsiaTheme="minorEastAsia" w:hAnsi="Cambria Math"/>
          </w:rPr>
          <m:t>,</m:t>
        </m:r>
      </m:oMath>
      <w:r w:rsidRPr="00CE4E0F">
        <w:rPr>
          <w:rFonts w:eastAsiaTheme="minorEastAsia"/>
        </w:rPr>
        <w:t xml:space="preserve"> were estimated as per the following formula:</w:t>
      </w:r>
    </w:p>
    <w:p w14:paraId="53C13B27" w14:textId="77777777" w:rsidR="00A84742" w:rsidRPr="00CE4E0F" w:rsidRDefault="003053D1" w:rsidP="00A84742">
      <w:pPr>
        <w:autoSpaceDE w:val="0"/>
        <w:autoSpaceDN w:val="0"/>
        <w:adjustRightInd w:val="0"/>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Acr</m:t>
              </m:r>
            </m:e>
            <m:sub>
              <m:r>
                <w:rPr>
                  <w:rFonts w:ascii="Cambria Math" w:eastAsiaTheme="minorEastAsia" w:hAnsi="Cambria Math"/>
                </w:rPr>
                <m:t>adj</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Acr</m:t>
              </m:r>
            </m:e>
            <m:sub>
              <m:r>
                <w:rPr>
                  <w:rFonts w:ascii="Cambria Math" w:eastAsiaTheme="minorEastAsia" w:hAnsi="Cambria Math"/>
                </w:rPr>
                <m:t>i-1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Acr</m:t>
              </m:r>
            </m:e>
            <m:sub>
              <m:r>
                <w:rPr>
                  <w:rFonts w:ascii="Cambria Math" w:eastAsiaTheme="minorEastAsia" w:hAnsi="Cambria Math"/>
                </w:rPr>
                <m:t>i</m:t>
              </m:r>
            </m:sub>
          </m:sSub>
          <m:sSub>
            <m:sSubPr>
              <m:ctrlPr>
                <w:rPr>
                  <w:rFonts w:ascii="Cambria Math" w:eastAsiaTheme="minorEastAsia" w:hAnsi="Cambria Math"/>
                  <w:i/>
                </w:rPr>
              </m:ctrlPr>
            </m:sSubPr>
            <m:e>
              <m:r>
                <w:rPr>
                  <w:rFonts w:ascii="Cambria Math" w:eastAsiaTheme="minorEastAsia" w:hAnsi="Cambria Math"/>
                </w:rPr>
                <m:t>-Acr</m:t>
              </m:r>
            </m:e>
            <m:sub>
              <m:r>
                <w:rPr>
                  <w:rFonts w:ascii="Cambria Math" w:eastAsiaTheme="minorEastAsia" w:hAnsi="Cambria Math"/>
                </w:rPr>
                <m:t>i-1</m:t>
              </m:r>
            </m:sub>
          </m:sSub>
          <m:r>
            <w:rPr>
              <w:rFonts w:ascii="Cambria Math" w:eastAsiaTheme="minorEastAsia" w:hAnsi="Cambria Math"/>
            </w:rPr>
            <m:t>)*(365/(days between samples)</m:t>
          </m:r>
        </m:oMath>
      </m:oMathPara>
    </w:p>
    <w:p w14:paraId="53C13B28" w14:textId="77777777" w:rsidR="00A84742" w:rsidRPr="00CE4E0F" w:rsidRDefault="00A84742" w:rsidP="00A84742">
      <w:pPr>
        <w:autoSpaceDE w:val="0"/>
        <w:autoSpaceDN w:val="0"/>
        <w:adjustRightInd w:val="0"/>
        <w:rPr>
          <w:rFonts w:eastAsiaTheme="minorEastAsia"/>
        </w:rPr>
      </w:pPr>
      <w:r w:rsidRPr="00CE4E0F">
        <w:rPr>
          <w:rFonts w:eastAsiaTheme="minorEastAsia"/>
        </w:rPr>
        <w:t xml:space="preserve">Where cover declined no adjustment was made and </w:t>
      </w:r>
      <m:oMath>
        <m:sSub>
          <m:sSubPr>
            <m:ctrlPr>
              <w:rPr>
                <w:rFonts w:ascii="Cambria Math" w:eastAsiaTheme="minorEastAsia" w:hAnsi="Cambria Math"/>
                <w:i/>
              </w:rPr>
            </m:ctrlPr>
          </m:sSubPr>
          <m:e>
            <m:r>
              <w:rPr>
                <w:rFonts w:ascii="Cambria Math" w:eastAsiaTheme="minorEastAsia" w:hAnsi="Cambria Math"/>
              </w:rPr>
              <m:t>Acr</m:t>
            </m:r>
          </m:e>
          <m:sub>
            <m:r>
              <w:rPr>
                <w:rFonts w:ascii="Cambria Math" w:eastAsiaTheme="minorEastAsia" w:hAnsi="Cambria Math"/>
              </w:rPr>
              <m:t>adj</m:t>
            </m:r>
          </m:sub>
        </m:sSub>
      </m:oMath>
      <w:r w:rsidRPr="00CE4E0F">
        <w:rPr>
          <w:rFonts w:eastAsiaTheme="minorEastAsia"/>
        </w:rPr>
        <w:t xml:space="preserve"> assumed </w:t>
      </w:r>
      <m:oMath>
        <m:sSub>
          <m:sSubPr>
            <m:ctrlPr>
              <w:rPr>
                <w:rFonts w:ascii="Cambria Math" w:eastAsiaTheme="minorEastAsia" w:hAnsi="Cambria Math"/>
                <w:i/>
              </w:rPr>
            </m:ctrlPr>
          </m:sSubPr>
          <m:e>
            <m:r>
              <w:rPr>
                <w:rFonts w:ascii="Cambria Math" w:eastAsiaTheme="minorEastAsia" w:hAnsi="Cambria Math"/>
              </w:rPr>
              <m:t>Acr</m:t>
            </m:r>
          </m:e>
          <m:sub>
            <m:r>
              <w:rPr>
                <w:rFonts w:ascii="Cambria Math" w:eastAsiaTheme="minorEastAsia" w:hAnsi="Cambria Math"/>
              </w:rPr>
              <m:t>i</m:t>
            </m:r>
          </m:sub>
        </m:sSub>
      </m:oMath>
      <w:r w:rsidRPr="00CE4E0F">
        <w:rPr>
          <w:rFonts w:eastAsiaTheme="minorEastAsia"/>
        </w:rPr>
        <w:t xml:space="preserve">. </w:t>
      </w:r>
    </w:p>
    <w:p w14:paraId="53C13B29" w14:textId="77777777" w:rsidR="00A84742" w:rsidRPr="00CE4E0F" w:rsidRDefault="00A84742" w:rsidP="00A84742">
      <w:pPr>
        <w:autoSpaceDE w:val="0"/>
        <w:autoSpaceDN w:val="0"/>
        <w:adjustRightInd w:val="0"/>
      </w:pPr>
      <w:r w:rsidRPr="00CE4E0F">
        <w:rPr>
          <w:rFonts w:cs="LMSansQuot8-Regular"/>
        </w:rPr>
        <w:t>Note</w:t>
      </w:r>
      <w:r w:rsidRPr="00CE4E0F">
        <w:t>, the above formulae apply to the family Acroporidae (</w:t>
      </w:r>
      <w:r w:rsidRPr="00CE4E0F">
        <w:rPr>
          <w:i/>
        </w:rPr>
        <w:t>Acr</w:t>
      </w:r>
      <w:r w:rsidRPr="00CE4E0F">
        <w:t>) and have the same form as those applied for Other Corals (</w:t>
      </w:r>
      <w:r w:rsidRPr="00CE4E0F">
        <w:rPr>
          <w:i/>
        </w:rPr>
        <w:t>OthC</w:t>
      </w:r>
      <w:r w:rsidRPr="00CE4E0F">
        <w:t>) if these terms are exchanged where they appear in the equations.</w:t>
      </w:r>
    </w:p>
    <w:p w14:paraId="53C13B2A" w14:textId="77777777" w:rsidR="00A84742" w:rsidRPr="00CE4E0F" w:rsidRDefault="00A84742" w:rsidP="00A84742">
      <w:pPr>
        <w:rPr>
          <w:lang w:eastAsia="en-AU"/>
        </w:rPr>
      </w:pPr>
      <w:r w:rsidRPr="00CE4E0F">
        <w:rPr>
          <w:lang w:eastAsia="en-AU"/>
        </w:rPr>
        <w:t xml:space="preserve">Gompertz models were fitted in a Bayesian framework to facilitate combining growth rates and associated uncertainties across models. A total of 20,000 Markov-chain Monte Carlo (MCMC) sampling interactions across three chains with a warm up of 10,000 and thinned to every fifth observation resulted in well mixed samples from stable and converged posteriors </w:t>
      </w:r>
      <w:r w:rsidRPr="008C6C20">
        <w:rPr>
          <w:lang w:eastAsia="en-AU"/>
        </w:rPr>
        <w:t>(all rhat (potential scale reduction factor</w:t>
      </w:r>
      <w:r w:rsidRPr="008C6C20">
        <w:rPr>
          <w:sz w:val="23"/>
          <w:szCs w:val="23"/>
          <w:lang w:eastAsia="en-AU"/>
        </w:rPr>
        <w:t>)</w:t>
      </w:r>
      <w:r w:rsidRPr="008C6C20">
        <w:rPr>
          <w:lang w:eastAsia="en-AU"/>
        </w:rPr>
        <w:t xml:space="preserve"> values less than 1.02). </w:t>
      </w:r>
      <w:r w:rsidRPr="00CE4E0F">
        <w:rPr>
          <w:lang w:eastAsia="en-AU"/>
        </w:rPr>
        <w:t>Model validation did not reveal any pattern in the residuals. Bayesian models were run in JAGS (Plummer 2003) via the R2jags package (Su &amp; Yajima 2015)</w:t>
      </w:r>
      <w:r w:rsidRPr="00CE4E0F">
        <w:rPr>
          <w:rFonts w:ascii="Times New Roman" w:hAnsi="Times New Roman"/>
          <w:sz w:val="24"/>
          <w:lang w:eastAsia="en-AU"/>
        </w:rPr>
        <w:t xml:space="preserve"> </w:t>
      </w:r>
      <w:r w:rsidRPr="00CE4E0F">
        <w:rPr>
          <w:lang w:eastAsia="en-AU"/>
        </w:rPr>
        <w:t>for R.</w:t>
      </w:r>
    </w:p>
    <w:p w14:paraId="53C13B2B" w14:textId="77777777" w:rsidR="00A84742" w:rsidRPr="00CE4E0F" w:rsidRDefault="00A84742" w:rsidP="00A84742">
      <w:pPr>
        <w:rPr>
          <w:lang w:eastAsia="en-AU"/>
        </w:rPr>
      </w:pPr>
      <w:r w:rsidRPr="00CE4E0F">
        <w:rPr>
          <w:lang w:eastAsia="en-AU"/>
        </w:rPr>
        <w:t>The posteriors of Acroporidae predicted cover and Other Coral predicted cover were combined into posterior predictions of total coral cover from which the mean, median and 95% Highest Probability Density (HPD) intervals were calculated.</w:t>
      </w:r>
    </w:p>
    <w:p w14:paraId="53C13B2C" w14:textId="77777777" w:rsidR="00A84742" w:rsidRPr="00CE4E0F" w:rsidRDefault="00A84742" w:rsidP="00A84742">
      <w:pPr>
        <w:autoSpaceDE w:val="0"/>
        <w:autoSpaceDN w:val="0"/>
        <w:adjustRightInd w:val="0"/>
        <w:rPr>
          <w:rFonts w:eastAsiaTheme="minorEastAsia"/>
        </w:rPr>
      </w:pPr>
      <w:r w:rsidRPr="00CE4E0F">
        <w:rPr>
          <w:rFonts w:eastAsiaTheme="minorEastAsia"/>
        </w:rPr>
        <w:t xml:space="preserve">As changes in coral cover from one year to the next are relatively small, the indicator value is averaged over </w:t>
      </w:r>
      <w:r w:rsidR="00F3565B" w:rsidRPr="00CE4E0F">
        <w:rPr>
          <w:rFonts w:eastAsiaTheme="minorEastAsia"/>
        </w:rPr>
        <w:t xml:space="preserve">valid estimates </w:t>
      </w:r>
      <w:r w:rsidRPr="00CE4E0F">
        <w:rPr>
          <w:rFonts w:eastAsiaTheme="minorEastAsia"/>
        </w:rPr>
        <w:t>(</w:t>
      </w:r>
      <w:r w:rsidR="00F3565B" w:rsidRPr="00CE4E0F">
        <w:rPr>
          <w:rFonts w:eastAsiaTheme="minorEastAsia"/>
        </w:rPr>
        <w:t>inter-annual or biennial periods when cover was not</w:t>
      </w:r>
      <w:r w:rsidRPr="00CE4E0F">
        <w:rPr>
          <w:rFonts w:eastAsiaTheme="minorEastAsia"/>
        </w:rPr>
        <w:t xml:space="preserve"> impacted by </w:t>
      </w:r>
      <w:r w:rsidR="00F3565B" w:rsidRPr="00CE4E0F">
        <w:rPr>
          <w:rFonts w:eastAsiaTheme="minorEastAsia"/>
        </w:rPr>
        <w:t xml:space="preserve">an </w:t>
      </w:r>
      <w:r w:rsidRPr="00CE4E0F">
        <w:rPr>
          <w:rFonts w:eastAsiaTheme="minorEastAsia"/>
        </w:rPr>
        <w:t>acute disturbance) for a four-year period culminating in the reporting year.</w:t>
      </w:r>
      <w:r w:rsidR="00F3565B" w:rsidRPr="00CE4E0F">
        <w:rPr>
          <w:rFonts w:eastAsiaTheme="minorEastAsia"/>
        </w:rPr>
        <w:t xml:space="preserve"> If no valid observations were available in that four</w:t>
      </w:r>
      <w:r w:rsidR="005E08E7" w:rsidRPr="00CE4E0F">
        <w:rPr>
          <w:rFonts w:eastAsiaTheme="minorEastAsia"/>
        </w:rPr>
        <w:t>-</w:t>
      </w:r>
      <w:r w:rsidR="00F3565B" w:rsidRPr="00CE4E0F">
        <w:rPr>
          <w:rFonts w:eastAsiaTheme="minorEastAsia"/>
        </w:rPr>
        <w:t xml:space="preserve">year </w:t>
      </w:r>
      <w:r w:rsidR="002A01BB" w:rsidRPr="00CE4E0F">
        <w:rPr>
          <w:rFonts w:eastAsiaTheme="minorEastAsia"/>
        </w:rPr>
        <w:t>period,</w:t>
      </w:r>
      <w:r w:rsidR="00F3565B" w:rsidRPr="00CE4E0F">
        <w:rPr>
          <w:rFonts w:eastAsiaTheme="minorEastAsia"/>
        </w:rPr>
        <w:t xml:space="preserve"> the most recent valid estimate is rolled forward. </w:t>
      </w:r>
    </w:p>
    <w:p w14:paraId="53C13B2D" w14:textId="2C2C71BB" w:rsidR="00A84742" w:rsidRPr="00CE4E0F" w:rsidRDefault="00A84742" w:rsidP="00A84742">
      <w:r w:rsidRPr="00CE4E0F">
        <w:t>To convert this indicator to a metric the following process was applied (</w:t>
      </w:r>
      <w:r w:rsidRPr="00CE4E0F">
        <w:fldChar w:fldCharType="begin"/>
      </w:r>
      <w:r w:rsidRPr="00CE4E0F">
        <w:instrText xml:space="preserve"> REF _Ref514406189 \h </w:instrText>
      </w:r>
      <w:r w:rsidRPr="00CE4E0F">
        <w:fldChar w:fldCharType="separate"/>
      </w:r>
      <w:r w:rsidR="003053D1" w:rsidRPr="00CE4E0F">
        <w:t xml:space="preserve">Figure </w:t>
      </w:r>
      <w:r w:rsidR="003053D1">
        <w:rPr>
          <w:noProof/>
        </w:rPr>
        <w:t>6</w:t>
      </w:r>
      <w:r w:rsidRPr="00CE4E0F">
        <w:fldChar w:fldCharType="end"/>
      </w:r>
      <w:r w:rsidRPr="00CE4E0F">
        <w:t>):</w:t>
      </w:r>
    </w:p>
    <w:p w14:paraId="53C13B2E" w14:textId="77777777" w:rsidR="00A84742" w:rsidRPr="00CE4E0F" w:rsidRDefault="00A84742" w:rsidP="00A84742">
      <w:pPr>
        <w:numPr>
          <w:ilvl w:val="0"/>
          <w:numId w:val="13"/>
        </w:numPr>
        <w:autoSpaceDE w:val="0"/>
        <w:autoSpaceDN w:val="0"/>
        <w:adjustRightInd w:val="0"/>
        <w:ind w:left="714" w:hanging="357"/>
        <w:contextualSpacing/>
        <w:rPr>
          <w:lang w:eastAsia="en-GB"/>
        </w:rPr>
      </w:pPr>
      <w:r w:rsidRPr="00CE4E0F">
        <w:rPr>
          <w:lang w:eastAsia="en-GB"/>
        </w:rPr>
        <w:t>If coral cover declined between surveys, a score of 0 was applied.</w:t>
      </w:r>
    </w:p>
    <w:p w14:paraId="53C13B2F" w14:textId="77777777" w:rsidR="00A84742" w:rsidRPr="00CE4E0F" w:rsidRDefault="00A84742" w:rsidP="00A84742">
      <w:pPr>
        <w:numPr>
          <w:ilvl w:val="0"/>
          <w:numId w:val="13"/>
        </w:numPr>
        <w:autoSpaceDE w:val="0"/>
        <w:autoSpaceDN w:val="0"/>
        <w:adjustRightInd w:val="0"/>
        <w:ind w:left="714" w:hanging="357"/>
        <w:contextualSpacing/>
        <w:rPr>
          <w:lang w:eastAsia="en-GB"/>
        </w:rPr>
      </w:pPr>
      <w:r w:rsidRPr="00CE4E0F">
        <w:rPr>
          <w:lang w:eastAsia="en-GB"/>
        </w:rPr>
        <w:t xml:space="preserve">If cover change was between 0 and the lower HPD interval of predicted total cover change, scores were scaled to between 0.1 when no change </w:t>
      </w:r>
      <w:r w:rsidRPr="00CE4E0F">
        <w:rPr>
          <w:lang w:eastAsia="en-GB"/>
        </w:rPr>
        <w:lastRenderedPageBreak/>
        <w:t>was observed through to 0.4 when change was equal to the lower interval of the predicted change.</w:t>
      </w:r>
    </w:p>
    <w:p w14:paraId="53C13B30" w14:textId="77777777" w:rsidR="00A84742" w:rsidRPr="00CE4E0F" w:rsidRDefault="00A84742" w:rsidP="00A84742">
      <w:pPr>
        <w:numPr>
          <w:ilvl w:val="0"/>
          <w:numId w:val="13"/>
        </w:numPr>
        <w:autoSpaceDE w:val="0"/>
        <w:autoSpaceDN w:val="0"/>
        <w:adjustRightInd w:val="0"/>
        <w:ind w:left="714" w:hanging="357"/>
        <w:contextualSpacing/>
        <w:rPr>
          <w:lang w:eastAsia="en-GB"/>
        </w:rPr>
      </w:pPr>
      <w:r w:rsidRPr="00CE4E0F">
        <w:rPr>
          <w:lang w:eastAsia="en-GB"/>
        </w:rPr>
        <w:t>If cover change was within the upper and lower HPD intervals of the predicted change the score was scaled from 0.4 at the lower interval through to 0.6 at the upper interval.</w:t>
      </w:r>
    </w:p>
    <w:p w14:paraId="53C13B31" w14:textId="77777777" w:rsidR="00A84742" w:rsidRPr="00CE4E0F" w:rsidRDefault="00A84742" w:rsidP="00A84742">
      <w:pPr>
        <w:numPr>
          <w:ilvl w:val="0"/>
          <w:numId w:val="13"/>
        </w:numPr>
        <w:autoSpaceDE w:val="0"/>
        <w:autoSpaceDN w:val="0"/>
        <w:adjustRightInd w:val="0"/>
        <w:ind w:left="714" w:hanging="357"/>
        <w:contextualSpacing/>
        <w:rPr>
          <w:lang w:eastAsia="en-GB"/>
        </w:rPr>
      </w:pPr>
      <w:r w:rsidRPr="00CE4E0F">
        <w:rPr>
          <w:lang w:eastAsia="en-GB"/>
        </w:rPr>
        <w:t>If cover change was greater than the upper HPD interval of predicted change and less than double the upper interval, scores where scaled from 0.6 at the upper interval to 0.9 at double the upper interval.</w:t>
      </w:r>
    </w:p>
    <w:p w14:paraId="53C13B32" w14:textId="77777777" w:rsidR="00A84742" w:rsidRPr="00CE4E0F" w:rsidRDefault="00A84742" w:rsidP="00A84742">
      <w:pPr>
        <w:numPr>
          <w:ilvl w:val="0"/>
          <w:numId w:val="13"/>
        </w:numPr>
        <w:autoSpaceDE w:val="0"/>
        <w:autoSpaceDN w:val="0"/>
        <w:adjustRightInd w:val="0"/>
        <w:ind w:left="714" w:hanging="357"/>
        <w:contextualSpacing/>
        <w:rPr>
          <w:lang w:eastAsia="en-GB"/>
        </w:rPr>
      </w:pPr>
      <w:r w:rsidRPr="00CE4E0F">
        <w:rPr>
          <w:lang w:eastAsia="en-GB"/>
        </w:rPr>
        <w:t>If change was greater than double the upper HPD interval, a score of 1 was applied.</w:t>
      </w:r>
    </w:p>
    <w:p w14:paraId="53C13B33" w14:textId="77777777" w:rsidR="006902D1" w:rsidRPr="00CE4E0F" w:rsidRDefault="006902D1" w:rsidP="006902D1">
      <w:pPr>
        <w:autoSpaceDE w:val="0"/>
        <w:autoSpaceDN w:val="0"/>
        <w:adjustRightInd w:val="0"/>
        <w:ind w:left="714"/>
        <w:contextualSpacing/>
        <w:rPr>
          <w:lang w:eastAsia="en-GB"/>
        </w:rPr>
      </w:pPr>
    </w:p>
    <w:p w14:paraId="53C13B34" w14:textId="77777777" w:rsidR="00A84742" w:rsidRPr="00CE4E0F" w:rsidRDefault="00A84742" w:rsidP="00A84742">
      <w:pPr>
        <w:keepNext/>
        <w:autoSpaceDE w:val="0"/>
        <w:autoSpaceDN w:val="0"/>
        <w:adjustRightInd w:val="0"/>
      </w:pPr>
      <w:r w:rsidRPr="00CE4E0F">
        <w:rPr>
          <w:noProof/>
          <w:lang w:eastAsia="en-AU"/>
        </w:rPr>
        <w:drawing>
          <wp:inline distT="0" distB="0" distL="0" distR="0" wp14:anchorId="53C15F36" wp14:editId="53C15F37">
            <wp:extent cx="3600450" cy="3071192"/>
            <wp:effectExtent l="0" t="0" r="0" b="0"/>
            <wp:docPr id="665397776" name="picture" descr="Diagram that describes the scoring and categorisation of the Cover Change metric" title="Figure 6 Scoring diagram for the Cover Change metr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rotWithShape="1">
                    <a:blip r:embed="rId36" cstate="print">
                      <a:extLst>
                        <a:ext uri="{28A0092B-C50C-407E-A947-70E740481C1C}">
                          <a14:useLocalDpi xmlns:a14="http://schemas.microsoft.com/office/drawing/2010/main" val="0"/>
                        </a:ext>
                      </a:extLst>
                    </a:blip>
                    <a:srcRect b="5167"/>
                    <a:stretch/>
                  </pic:blipFill>
                  <pic:spPr bwMode="auto">
                    <a:xfrm>
                      <a:off x="0" y="0"/>
                      <a:ext cx="3600450" cy="3071192"/>
                    </a:xfrm>
                    <a:prstGeom prst="rect">
                      <a:avLst/>
                    </a:prstGeom>
                    <a:ln>
                      <a:noFill/>
                    </a:ln>
                    <a:extLst>
                      <a:ext uri="{53640926-AAD7-44D8-BBD7-CCE9431645EC}">
                        <a14:shadowObscured xmlns:a14="http://schemas.microsoft.com/office/drawing/2010/main"/>
                      </a:ext>
                    </a:extLst>
                  </pic:spPr>
                </pic:pic>
              </a:graphicData>
            </a:graphic>
          </wp:inline>
        </w:drawing>
      </w:r>
    </w:p>
    <w:p w14:paraId="53C13B35" w14:textId="3967E853" w:rsidR="00BA7F28" w:rsidRPr="00CE4E0F" w:rsidRDefault="00A84742" w:rsidP="002B5296">
      <w:pPr>
        <w:pStyle w:val="Caption"/>
      </w:pPr>
      <w:bookmarkStart w:id="206" w:name="_Ref514406189"/>
      <w:bookmarkStart w:id="207" w:name="_Toc530654905"/>
      <w:bookmarkStart w:id="208" w:name="_Toc534965113"/>
      <w:bookmarkStart w:id="209" w:name="_Toc35947156"/>
      <w:r w:rsidRPr="00CE4E0F">
        <w:t xml:space="preserve">Figure </w:t>
      </w:r>
      <w:r w:rsidR="005D7AC6" w:rsidRPr="00CE4E0F">
        <w:rPr>
          <w:noProof/>
        </w:rPr>
        <w:fldChar w:fldCharType="begin"/>
      </w:r>
      <w:r w:rsidR="005D7AC6" w:rsidRPr="00CE4E0F">
        <w:rPr>
          <w:noProof/>
        </w:rPr>
        <w:instrText xml:space="preserve"> SEQ Figure \* ARABIC </w:instrText>
      </w:r>
      <w:r w:rsidR="005D7AC6" w:rsidRPr="00CE4E0F">
        <w:rPr>
          <w:noProof/>
        </w:rPr>
        <w:fldChar w:fldCharType="separate"/>
      </w:r>
      <w:r w:rsidR="003053D1">
        <w:rPr>
          <w:noProof/>
        </w:rPr>
        <w:t>6</w:t>
      </w:r>
      <w:r w:rsidR="005D7AC6" w:rsidRPr="00CE4E0F">
        <w:rPr>
          <w:noProof/>
        </w:rPr>
        <w:fldChar w:fldCharType="end"/>
      </w:r>
      <w:bookmarkEnd w:id="206"/>
      <w:r w:rsidRPr="00CE4E0F">
        <w:t xml:space="preserve"> Scoring diagram for Cover Change metric</w:t>
      </w:r>
      <w:bookmarkEnd w:id="207"/>
      <w:r w:rsidRPr="00CE4E0F">
        <w:t>.</w:t>
      </w:r>
      <w:bookmarkEnd w:id="208"/>
      <w:bookmarkEnd w:id="209"/>
    </w:p>
    <w:p w14:paraId="53C13B36" w14:textId="77777777" w:rsidR="00A84742" w:rsidRPr="00727D87" w:rsidRDefault="00A84742" w:rsidP="00727D87">
      <w:pPr>
        <w:pStyle w:val="Heading3"/>
      </w:pPr>
      <w:bookmarkStart w:id="210" w:name="_Toc526246899"/>
      <w:bookmarkStart w:id="211" w:name="_Toc530654952"/>
      <w:bookmarkStart w:id="212" w:name="_Toc35947103"/>
      <w:r w:rsidRPr="00727D87">
        <w:t>Community composition metric</w:t>
      </w:r>
      <w:bookmarkEnd w:id="210"/>
      <w:bookmarkEnd w:id="211"/>
      <w:bookmarkEnd w:id="212"/>
    </w:p>
    <w:p w14:paraId="53C13B37" w14:textId="77777777" w:rsidR="00A84742" w:rsidRPr="00CE4E0F" w:rsidRDefault="00A84742" w:rsidP="00A84742">
      <w:r w:rsidRPr="00CE4E0F">
        <w:t xml:space="preserve">The coral communities monitored by the MMP vary considerably in the relative composition of coral species (Uthicke </w:t>
      </w:r>
      <w:r w:rsidRPr="00CE4E0F">
        <w:rPr>
          <w:i/>
        </w:rPr>
        <w:t>et al</w:t>
      </w:r>
      <w:r w:rsidRPr="00CE4E0F">
        <w:t xml:space="preserve">. 2010, Thompson </w:t>
      </w:r>
      <w:r w:rsidRPr="00CE4E0F">
        <w:rPr>
          <w:i/>
        </w:rPr>
        <w:t>et al.</w:t>
      </w:r>
      <w:r w:rsidRPr="00CE4E0F">
        <w:t xml:space="preserve"> 2014b). As demonstrated by Uthicke </w:t>
      </w:r>
      <w:r w:rsidRPr="00CE4E0F">
        <w:rPr>
          <w:i/>
        </w:rPr>
        <w:t>et al</w:t>
      </w:r>
      <w:r w:rsidRPr="00CE4E0F">
        <w:t xml:space="preserve">. (2010) and Fabricius </w:t>
      </w:r>
      <w:r w:rsidRPr="00CE4E0F">
        <w:rPr>
          <w:i/>
        </w:rPr>
        <w:t>et al.</w:t>
      </w:r>
      <w:r w:rsidRPr="00CE4E0F">
        <w:t xml:space="preserve"> (2012), some of this variability can be attributed to differences in environmental conditions between </w:t>
      </w:r>
      <w:r w:rsidRPr="00CE4E0F">
        <w:lastRenderedPageBreak/>
        <w:t xml:space="preserve">locations, which implies selection for certain species based on the environmental conditions experienced. Coral communities respond to environmental conditions in a variety of ways. Most noticeably they respond to acute shifts in conditions such as exposure to substantially reduced salinity (van Woesik 1991, Berkelmans </w:t>
      </w:r>
      <w:r w:rsidRPr="00CE4E0F">
        <w:rPr>
          <w:i/>
        </w:rPr>
        <w:t>et al</w:t>
      </w:r>
      <w:r w:rsidRPr="00CE4E0F">
        <w:t>. 2012), deviations from normal temperature (Hoegh-Guldberg 1999) or hydrodynamic conditions (cyclones); all of which result in reductions in coral cover as susceptible species are killed. In contrast, the increased loads of sediments and nutrients entering the Reef</w:t>
      </w:r>
      <w:r w:rsidR="00096BB7" w:rsidRPr="00CE4E0F">
        <w:t>,</w:t>
      </w:r>
      <w:r w:rsidRPr="00CE4E0F">
        <w:t xml:space="preserve"> as a result of land use practices in the adjacent catchments (Waters </w:t>
      </w:r>
      <w:r w:rsidRPr="00CE4E0F">
        <w:rPr>
          <w:i/>
        </w:rPr>
        <w:t>et al</w:t>
      </w:r>
      <w:r w:rsidRPr="00CE4E0F">
        <w:t>. 2014)</w:t>
      </w:r>
      <w:r w:rsidR="00096BB7" w:rsidRPr="00CE4E0F">
        <w:t>,</w:t>
      </w:r>
      <w:r w:rsidRPr="00CE4E0F">
        <w:t xml:space="preserve"> may include a combination of acute conditions associated with flood events and then chronic change in conditions as pollutants are cycled through the system. Chronic change in conditions, such as elevated turbidity or nutrient levels, could provide a longer period of selective pressures as environmental conditions disproportionately favour recruitment and survival of species tolerant to those conditions.</w:t>
      </w:r>
    </w:p>
    <w:p w14:paraId="53C13B38" w14:textId="792A9346" w:rsidR="00A84742" w:rsidRPr="00CE4E0F" w:rsidRDefault="00A84742" w:rsidP="00A84742">
      <w:r w:rsidRPr="00CE4E0F">
        <w:t xml:space="preserve">This metric compares the composition of hard coral communities at each reef to a baseline composition at that reef (see below) and interprets any observed change as being representative of communities expected under improved or worsened water quality. </w:t>
      </w:r>
      <w:r w:rsidR="00F71463" w:rsidRPr="00CE4E0F">
        <w:t xml:space="preserve">A full description of this indicator is provided in Thompson </w:t>
      </w:r>
      <w:r w:rsidR="00F71463" w:rsidRPr="00CE4E0F">
        <w:rPr>
          <w:i/>
        </w:rPr>
        <w:t>et al.</w:t>
      </w:r>
      <w:r w:rsidR="00F71463" w:rsidRPr="00CE4E0F">
        <w:t xml:space="preserve"> (2014b). </w:t>
      </w:r>
      <w:r w:rsidRPr="00CE4E0F">
        <w:t xml:space="preserve">The basis of the metric is the scaling of cover for constituent genera (subset to life-forms for the abundant genera </w:t>
      </w:r>
      <w:r w:rsidRPr="00CE4E0F">
        <w:rPr>
          <w:i/>
        </w:rPr>
        <w:t>Acropora</w:t>
      </w:r>
      <w:r w:rsidRPr="00CE4E0F">
        <w:t xml:space="preserve"> and </w:t>
      </w:r>
      <w:r w:rsidRPr="00CE4E0F">
        <w:rPr>
          <w:i/>
        </w:rPr>
        <w:t>Porites</w:t>
      </w:r>
      <w:r w:rsidRPr="00CE4E0F">
        <w:t xml:space="preserve">) by weightings that correspond to the distribution of each genus along a </w:t>
      </w:r>
      <w:r w:rsidR="00096BB7" w:rsidRPr="00CE4E0F">
        <w:t xml:space="preserve">water quality </w:t>
      </w:r>
      <w:r w:rsidRPr="00CE4E0F">
        <w:t>gradient</w:t>
      </w:r>
      <w:r w:rsidR="00F71463" w:rsidRPr="00CE4E0F">
        <w:t xml:space="preserve">. The location of each Reef along the water quality gradient was estimated as the reef’s score along the first axis of a principle component analysis applied to observed </w:t>
      </w:r>
      <w:r w:rsidRPr="00CE4E0F">
        <w:t xml:space="preserve">turbidity and Chl </w:t>
      </w:r>
      <w:r w:rsidRPr="00CE4E0F">
        <w:rPr>
          <w:i/>
        </w:rPr>
        <w:t>a</w:t>
      </w:r>
      <w:r w:rsidRPr="00CE4E0F">
        <w:t xml:space="preserve"> concentration</w:t>
      </w:r>
      <w:r w:rsidR="00096BB7" w:rsidRPr="00CE4E0F">
        <w:t>. Genus weightings were derived</w:t>
      </w:r>
      <w:r w:rsidR="00CE1FFD" w:rsidRPr="00CE4E0F">
        <w:t xml:space="preserve"> from the location</w:t>
      </w:r>
      <w:r w:rsidR="00D20E9E">
        <w:t>,</w:t>
      </w:r>
      <w:r w:rsidR="00CE1FFD" w:rsidRPr="00CE4E0F">
        <w:t xml:space="preserve"> each genus along </w:t>
      </w:r>
      <w:r w:rsidR="00F71463" w:rsidRPr="00CE4E0F">
        <w:t>the</w:t>
      </w:r>
      <w:r w:rsidR="00CE1FFD" w:rsidRPr="00CE4E0F">
        <w:t xml:space="preserve"> axis using the</w:t>
      </w:r>
      <w:r w:rsidR="00F71463" w:rsidRPr="00CE4E0F">
        <w:t xml:space="preserve">se reef level water quality </w:t>
      </w:r>
      <w:r w:rsidR="00096BB7" w:rsidRPr="00CE4E0F">
        <w:t>scores a</w:t>
      </w:r>
      <w:r w:rsidR="00F71463" w:rsidRPr="00CE4E0F">
        <w:t xml:space="preserve">s a constraining variable </w:t>
      </w:r>
      <w:r w:rsidR="00CE1FFD" w:rsidRPr="00CE4E0F">
        <w:t>in a</w:t>
      </w:r>
      <w:r w:rsidRPr="00CE4E0F">
        <w:t xml:space="preserve"> Canonical Analysis of Principal Coordinates (partial CAP; Anderson &amp; Willis 2003) applied to MMP data (Thompson </w:t>
      </w:r>
      <w:r w:rsidRPr="00CE4E0F">
        <w:rPr>
          <w:i/>
        </w:rPr>
        <w:t>et al.</w:t>
      </w:r>
      <w:r w:rsidRPr="00CE4E0F">
        <w:t xml:space="preserve"> 2014b</w:t>
      </w:r>
      <w:r w:rsidRPr="00CE4E0F">
        <w:fldChar w:fldCharType="begin"/>
      </w:r>
      <w:r w:rsidRPr="00CE4E0F">
        <w:instrText xml:space="preserve"> REF _Ref501104890 \h </w:instrText>
      </w:r>
      <w:r w:rsidRPr="00CE4E0F">
        <w:fldChar w:fldCharType="end"/>
      </w:r>
      <w:r w:rsidRPr="00CE4E0F">
        <w:t>) as:</w:t>
      </w:r>
    </w:p>
    <w:p w14:paraId="53C13B39" w14:textId="77777777" w:rsidR="00A84742" w:rsidRPr="00CE4E0F" w:rsidRDefault="003053D1" w:rsidP="00A84742">
      <m:oMathPara>
        <m:oMath>
          <m:sSub>
            <m:sSubPr>
              <m:ctrlPr>
                <w:rPr>
                  <w:rFonts w:ascii="Cambria Math" w:hAnsi="Cambria Math"/>
                  <w:i/>
                </w:rPr>
              </m:ctrlPr>
            </m:sSubPr>
            <m:e>
              <m:r>
                <w:rPr>
                  <w:rFonts w:ascii="Cambria Math" w:hAnsi="Cambria Math"/>
                </w:rPr>
                <m:t>C</m:t>
              </m:r>
            </m:e>
            <m:sub>
              <m:r>
                <w:rPr>
                  <w:rFonts w:ascii="Cambria Math" w:hAnsi="Cambria Math"/>
                </w:rPr>
                <m:t>t</m:t>
              </m:r>
            </m:sub>
          </m:sSub>
          <m:r>
            <w:rPr>
              <w:rFonts w:ascii="Cambria Math" w:hAnsi="Cambria Math"/>
            </w:rPr>
            <m:t xml:space="preserve">= </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H</m:t>
                  </m:r>
                </m:e>
                <m:sub>
                  <m:r>
                    <w:rPr>
                      <w:rFonts w:ascii="Cambria Math" w:hAnsi="Cambria Math"/>
                    </w:rPr>
                    <m:t>it</m:t>
                  </m:r>
                </m:sub>
              </m:sSub>
              <m:r>
                <w:rPr>
                  <w:rFonts w:ascii="Cambria Math" w:hAnsi="Cambria Math"/>
                </w:rPr>
                <m:t>*</m:t>
              </m:r>
              <m:sSub>
                <m:sSubPr>
                  <m:ctrlPr>
                    <w:rPr>
                      <w:rFonts w:ascii="Cambria Math" w:hAnsi="Cambria Math"/>
                      <w:i/>
                    </w:rPr>
                  </m:ctrlPr>
                </m:sSubPr>
                <m:e>
                  <m:r>
                    <w:rPr>
                      <w:rFonts w:ascii="Cambria Math" w:hAnsi="Cambria Math"/>
                    </w:rPr>
                    <m:t>G</m:t>
                  </m:r>
                </m:e>
                <m:sub>
                  <m:r>
                    <w:rPr>
                      <w:rFonts w:ascii="Cambria Math" w:hAnsi="Cambria Math"/>
                    </w:rPr>
                    <m:t>i</m:t>
                  </m:r>
                </m:sub>
              </m:sSub>
            </m:e>
          </m:nary>
        </m:oMath>
      </m:oMathPara>
    </w:p>
    <w:p w14:paraId="53C13B3A" w14:textId="77777777" w:rsidR="00A84742" w:rsidRPr="00CE4E0F" w:rsidRDefault="00A84742" w:rsidP="00A84742">
      <w:r w:rsidRPr="00CE4E0F">
        <w:t>Where,</w:t>
      </w:r>
      <w:r w:rsidRPr="00CE4E0F">
        <w:tab/>
        <w:t xml:space="preserve"> </w:t>
      </w:r>
      <m:oMath>
        <m:sSub>
          <m:sSubPr>
            <m:ctrlPr>
              <w:rPr>
                <w:rFonts w:ascii="Cambria Math" w:hAnsi="Cambria Math"/>
                <w:i/>
              </w:rPr>
            </m:ctrlPr>
          </m:sSubPr>
          <m:e>
            <m:r>
              <w:rPr>
                <w:rFonts w:ascii="Cambria Math" w:hAnsi="Cambria Math"/>
              </w:rPr>
              <m:t>C</m:t>
            </m:r>
          </m:e>
          <m:sub>
            <m:r>
              <w:rPr>
                <w:rFonts w:ascii="Cambria Math" w:hAnsi="Cambria Math"/>
              </w:rPr>
              <m:t>t</m:t>
            </m:r>
          </m:sub>
        </m:sSub>
      </m:oMath>
      <w:r w:rsidRPr="00CE4E0F">
        <w:t xml:space="preserve"> = the community composition location along the water quality gradient at time </w:t>
      </w:r>
      <m:oMath>
        <m:r>
          <w:rPr>
            <w:rFonts w:ascii="Cambria Math" w:hAnsi="Cambria Math"/>
          </w:rPr>
          <m:t>t</m:t>
        </m:r>
      </m:oMath>
      <w:r w:rsidRPr="00CE4E0F">
        <w:t xml:space="preserve">, </w:t>
      </w:r>
    </w:p>
    <w:p w14:paraId="53C13B3B" w14:textId="77777777" w:rsidR="00A84742" w:rsidRPr="00CE4E0F" w:rsidRDefault="00A84742" w:rsidP="00A84742">
      <w:r w:rsidRPr="00CE4E0F">
        <w:lastRenderedPageBreak/>
        <w:tab/>
      </w:r>
      <m:oMath>
        <m:sSub>
          <m:sSubPr>
            <m:ctrlPr>
              <w:rPr>
                <w:rFonts w:ascii="Cambria Math" w:hAnsi="Cambria Math"/>
                <w:i/>
              </w:rPr>
            </m:ctrlPr>
          </m:sSubPr>
          <m:e>
            <m:r>
              <w:rPr>
                <w:rFonts w:ascii="Cambria Math" w:hAnsi="Cambria Math"/>
              </w:rPr>
              <m:t>H</m:t>
            </m:r>
          </m:e>
          <m:sub>
            <m:r>
              <w:rPr>
                <w:rFonts w:ascii="Cambria Math" w:hAnsi="Cambria Math"/>
              </w:rPr>
              <m:t>it</m:t>
            </m:r>
          </m:sub>
        </m:sSub>
      </m:oMath>
      <w:r w:rsidRPr="00CE4E0F">
        <w:t xml:space="preserve"> = the Hellinger transformed (Legendre &amp; Gallagher 2001) cover of genus </w:t>
      </w:r>
      <m:oMath>
        <m:r>
          <w:rPr>
            <w:rFonts w:ascii="Cambria Math" w:hAnsi="Cambria Math"/>
          </w:rPr>
          <m:t>i</m:t>
        </m:r>
      </m:oMath>
      <w:r w:rsidRPr="00CE4E0F">
        <w:t xml:space="preserve"> at time </w:t>
      </w:r>
      <m:oMath>
        <m:r>
          <w:rPr>
            <w:rFonts w:ascii="Cambria Math" w:hAnsi="Cambria Math"/>
          </w:rPr>
          <m:t>t</m:t>
        </m:r>
      </m:oMath>
      <w:r w:rsidRPr="00CE4E0F">
        <w:t>, and</w:t>
      </w:r>
    </w:p>
    <w:p w14:paraId="53C13B3C" w14:textId="2CCE30FF" w:rsidR="00A84742" w:rsidRPr="00CE4E0F" w:rsidRDefault="00A84742" w:rsidP="00A84742">
      <w:r w:rsidRPr="00CE4E0F">
        <w:tab/>
      </w:r>
      <m:oMath>
        <m:sSub>
          <m:sSubPr>
            <m:ctrlPr>
              <w:rPr>
                <w:rFonts w:ascii="Cambria Math" w:hAnsi="Cambria Math"/>
                <w:i/>
              </w:rPr>
            </m:ctrlPr>
          </m:sSubPr>
          <m:e>
            <m:r>
              <w:rPr>
                <w:rFonts w:ascii="Cambria Math" w:hAnsi="Cambria Math"/>
              </w:rPr>
              <m:t>G</m:t>
            </m:r>
          </m:e>
          <m:sub>
            <m:r>
              <w:rPr>
                <w:rFonts w:ascii="Cambria Math" w:hAnsi="Cambria Math"/>
              </w:rPr>
              <m:t>i</m:t>
            </m:r>
          </m:sub>
        </m:sSub>
      </m:oMath>
      <w:r w:rsidRPr="00CE4E0F">
        <w:t xml:space="preserve"> = the score for genus </w:t>
      </w:r>
      <m:oMath>
        <m:r>
          <w:rPr>
            <w:rFonts w:ascii="Cambria Math" w:hAnsi="Cambria Math"/>
          </w:rPr>
          <m:t>i</m:t>
        </m:r>
      </m:oMath>
      <w:r w:rsidRPr="00CE4E0F">
        <w:t xml:space="preserve"> taken from the constrained axis of the partial CAP</w:t>
      </w:r>
      <w:r w:rsidRPr="00CE4E0F">
        <w:fldChar w:fldCharType="begin"/>
      </w:r>
      <w:r w:rsidRPr="00CE4E0F">
        <w:instrText xml:space="preserve"> REF _Ref501104907 \h </w:instrText>
      </w:r>
      <w:r w:rsidRPr="00CE4E0F">
        <w:fldChar w:fldCharType="end"/>
      </w:r>
      <w:r w:rsidRPr="00CE4E0F">
        <w:t>.</w:t>
      </w:r>
    </w:p>
    <w:p w14:paraId="53C13B3D" w14:textId="4E7C9117" w:rsidR="00A84742" w:rsidRPr="00CE4E0F" w:rsidRDefault="00A84742" w:rsidP="00A84742">
      <w:r w:rsidRPr="00CE4E0F">
        <w:t xml:space="preserve">Indicator scores are assigned based on the location of </w:t>
      </w:r>
      <m:oMath>
        <m:sSub>
          <m:sSubPr>
            <m:ctrlPr>
              <w:rPr>
                <w:rFonts w:ascii="Cambria Math" w:hAnsi="Cambria Math"/>
                <w:i/>
              </w:rPr>
            </m:ctrlPr>
          </m:sSubPr>
          <m:e>
            <m:r>
              <w:rPr>
                <w:rFonts w:ascii="Cambria Math" w:hAnsi="Cambria Math"/>
              </w:rPr>
              <m:t>C</m:t>
            </m:r>
          </m:e>
          <m:sub>
            <m:r>
              <w:rPr>
                <w:rFonts w:ascii="Cambria Math" w:hAnsi="Cambria Math"/>
              </w:rPr>
              <m:t>t</m:t>
            </m:r>
          </m:sub>
        </m:sSub>
      </m:oMath>
      <w:r w:rsidRPr="00CE4E0F">
        <w:t xml:space="preserve"> for the year of interest relative to a community specific baseline. The baseline for each community is bounded by the 95% confidence intervals about the mean </w:t>
      </w:r>
      <m:oMath>
        <m:sSub>
          <m:sSubPr>
            <m:ctrlPr>
              <w:rPr>
                <w:rFonts w:ascii="Cambria Math" w:hAnsi="Cambria Math"/>
                <w:i/>
              </w:rPr>
            </m:ctrlPr>
          </m:sSubPr>
          <m:e>
            <m:r>
              <w:rPr>
                <w:rFonts w:ascii="Cambria Math" w:hAnsi="Cambria Math"/>
              </w:rPr>
              <m:t>C</m:t>
            </m:r>
          </m:e>
          <m:sub>
            <m:r>
              <w:rPr>
                <w:rFonts w:ascii="Cambria Math" w:hAnsi="Cambria Math"/>
              </w:rPr>
              <m:t>t</m:t>
            </m:r>
          </m:sub>
        </m:sSub>
      </m:oMath>
      <w:r w:rsidRPr="00CE4E0F">
        <w:t xml:space="preserve"> from the first five years of observations of the community at each reef and depth. The scoring of the indicator is categorical being 0.5 when </w:t>
      </w:r>
      <m:oMath>
        <m:sSub>
          <m:sSubPr>
            <m:ctrlPr>
              <w:rPr>
                <w:rFonts w:ascii="Cambria Math" w:hAnsi="Cambria Math"/>
                <w:i/>
              </w:rPr>
            </m:ctrlPr>
          </m:sSubPr>
          <m:e>
            <m:r>
              <w:rPr>
                <w:rFonts w:ascii="Cambria Math" w:hAnsi="Cambria Math"/>
              </w:rPr>
              <m:t>C</m:t>
            </m:r>
          </m:e>
          <m:sub>
            <m:r>
              <w:rPr>
                <w:rFonts w:ascii="Cambria Math" w:hAnsi="Cambria Math"/>
              </w:rPr>
              <m:t>t</m:t>
            </m:r>
          </m:sub>
        </m:sSub>
      </m:oMath>
      <w:r w:rsidRPr="00CE4E0F">
        <w:t xml:space="preserve"> falls within the 95% confidence intervals for the location, 1 if beyond the confidence interval in a direction toward a community representative of lower turbidity and Chl </w:t>
      </w:r>
      <w:r w:rsidRPr="00CE4E0F">
        <w:rPr>
          <w:i/>
        </w:rPr>
        <w:t>a</w:t>
      </w:r>
      <w:r w:rsidRPr="00CE4E0F">
        <w:t xml:space="preserve"> concentration, and 0 if beyond the confidence interval in the direction of a community representative of higher turbidity and Chl </w:t>
      </w:r>
      <w:r w:rsidRPr="00CE4E0F">
        <w:rPr>
          <w:i/>
        </w:rPr>
        <w:t>a</w:t>
      </w:r>
      <w:r w:rsidRPr="00CE4E0F">
        <w:t xml:space="preserve"> concentration (</w:t>
      </w:r>
      <w:r w:rsidRPr="00CE4E0F">
        <w:fldChar w:fldCharType="begin"/>
      </w:r>
      <w:r w:rsidRPr="00CE4E0F">
        <w:instrText xml:space="preserve"> REF _Ref514406189 \h </w:instrText>
      </w:r>
      <w:r w:rsidRPr="00CE4E0F">
        <w:fldChar w:fldCharType="separate"/>
      </w:r>
      <w:r w:rsidR="003053D1" w:rsidRPr="00CE4E0F">
        <w:t xml:space="preserve">Figure </w:t>
      </w:r>
      <w:r w:rsidR="003053D1">
        <w:rPr>
          <w:noProof/>
        </w:rPr>
        <w:t>6</w:t>
      </w:r>
      <w:r w:rsidRPr="00CE4E0F">
        <w:fldChar w:fldCharType="end"/>
      </w:r>
      <w:r w:rsidRPr="00CE4E0F">
        <w:t>).</w:t>
      </w:r>
    </w:p>
    <w:p w14:paraId="53C13B3E" w14:textId="77777777" w:rsidR="006902D1" w:rsidRPr="00CE4E0F" w:rsidRDefault="006902D1" w:rsidP="00A84742"/>
    <w:p w14:paraId="53C13B3F" w14:textId="77777777" w:rsidR="00A84742" w:rsidRPr="00CE4E0F" w:rsidRDefault="00A84742" w:rsidP="00A84742">
      <w:pPr>
        <w:spacing w:after="0"/>
        <w:jc w:val="left"/>
      </w:pPr>
      <w:r w:rsidRPr="00CE4E0F">
        <w:rPr>
          <w:noProof/>
          <w:lang w:eastAsia="en-AU"/>
        </w:rPr>
        <w:drawing>
          <wp:inline distT="0" distB="0" distL="0" distR="0" wp14:anchorId="53C15F38" wp14:editId="53C15F39">
            <wp:extent cx="3599180" cy="2703443"/>
            <wp:effectExtent l="0" t="0" r="1270" b="1905"/>
            <wp:docPr id="453286109" name="picture" descr="Diagram that describes the scoring and categorisation of the composition metric" title="Figure 7 Scoring diagram for the Composition metr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rotWithShape="1">
                    <a:blip r:embed="rId37" cstate="print">
                      <a:extLst>
                        <a:ext uri="{28A0092B-C50C-407E-A947-70E740481C1C}">
                          <a14:useLocalDpi xmlns:a14="http://schemas.microsoft.com/office/drawing/2010/main" val="0"/>
                        </a:ext>
                      </a:extLst>
                    </a:blip>
                    <a:srcRect b="6029"/>
                    <a:stretch/>
                  </pic:blipFill>
                  <pic:spPr bwMode="auto">
                    <a:xfrm>
                      <a:off x="0" y="0"/>
                      <a:ext cx="3599695" cy="2703830"/>
                    </a:xfrm>
                    <a:prstGeom prst="rect">
                      <a:avLst/>
                    </a:prstGeom>
                    <a:ln>
                      <a:noFill/>
                    </a:ln>
                    <a:extLst>
                      <a:ext uri="{53640926-AAD7-44D8-BBD7-CCE9431645EC}">
                        <a14:shadowObscured xmlns:a14="http://schemas.microsoft.com/office/drawing/2010/main"/>
                      </a:ext>
                    </a:extLst>
                  </pic:spPr>
                </pic:pic>
              </a:graphicData>
            </a:graphic>
          </wp:inline>
        </w:drawing>
      </w:r>
    </w:p>
    <w:p w14:paraId="53C13B40" w14:textId="6F4A078C" w:rsidR="00A84742" w:rsidRPr="00CE4E0F" w:rsidRDefault="00A84742" w:rsidP="002B5296">
      <w:pPr>
        <w:pStyle w:val="Caption"/>
      </w:pPr>
      <w:bookmarkStart w:id="213" w:name="_Toc530654906"/>
      <w:bookmarkStart w:id="214" w:name="_Toc534965114"/>
      <w:bookmarkStart w:id="215" w:name="_Toc35947157"/>
      <w:r w:rsidRPr="00CE4E0F">
        <w:t xml:space="preserve">Figure </w:t>
      </w:r>
      <w:r w:rsidR="005D7AC6" w:rsidRPr="00CE4E0F">
        <w:rPr>
          <w:noProof/>
        </w:rPr>
        <w:fldChar w:fldCharType="begin"/>
      </w:r>
      <w:r w:rsidR="005D7AC6" w:rsidRPr="00CE4E0F">
        <w:rPr>
          <w:noProof/>
        </w:rPr>
        <w:instrText xml:space="preserve"> SEQ Figure \* ARABIC </w:instrText>
      </w:r>
      <w:r w:rsidR="005D7AC6" w:rsidRPr="00CE4E0F">
        <w:rPr>
          <w:noProof/>
        </w:rPr>
        <w:fldChar w:fldCharType="separate"/>
      </w:r>
      <w:r w:rsidR="003053D1">
        <w:rPr>
          <w:noProof/>
        </w:rPr>
        <w:t>7</w:t>
      </w:r>
      <w:r w:rsidR="005D7AC6" w:rsidRPr="00CE4E0F">
        <w:rPr>
          <w:noProof/>
        </w:rPr>
        <w:fldChar w:fldCharType="end"/>
      </w:r>
      <w:r w:rsidRPr="00CE4E0F">
        <w:t xml:space="preserve"> Scoring diagram for community composition metric</w:t>
      </w:r>
      <w:bookmarkEnd w:id="213"/>
      <w:bookmarkEnd w:id="214"/>
      <w:bookmarkEnd w:id="215"/>
    </w:p>
    <w:p w14:paraId="53C13B41" w14:textId="77777777" w:rsidR="005729CB" w:rsidRDefault="005729CB">
      <w:pPr>
        <w:jc w:val="left"/>
        <w:rPr>
          <w:rFonts w:eastAsia="SimSun"/>
          <w:b/>
          <w:color w:val="000000" w:themeColor="text1"/>
          <w:sz w:val="24"/>
          <w:lang w:val="en-US"/>
        </w:rPr>
      </w:pPr>
      <w:bookmarkStart w:id="216" w:name="_Toc526246900"/>
      <w:bookmarkStart w:id="217" w:name="_Toc530654953"/>
      <w:bookmarkStart w:id="218" w:name="_Ref10809553"/>
      <w:r>
        <w:br w:type="page"/>
      </w:r>
    </w:p>
    <w:p w14:paraId="53C13B42" w14:textId="77777777" w:rsidR="00A84742" w:rsidRPr="00CE4E0F" w:rsidRDefault="00A84742" w:rsidP="00727D87">
      <w:pPr>
        <w:pStyle w:val="Heading3"/>
      </w:pPr>
      <w:bookmarkStart w:id="219" w:name="_Toc35947104"/>
      <w:r w:rsidRPr="00CE4E0F">
        <w:lastRenderedPageBreak/>
        <w:t xml:space="preserve">Aggregating indicator scores to </w:t>
      </w:r>
      <w:r w:rsidR="005729CB">
        <w:t xml:space="preserve">Reef and </w:t>
      </w:r>
      <w:r w:rsidRPr="00CE4E0F">
        <w:t>regional scale assessments</w:t>
      </w:r>
      <w:bookmarkEnd w:id="216"/>
      <w:bookmarkEnd w:id="217"/>
      <w:bookmarkEnd w:id="218"/>
      <w:bookmarkEnd w:id="219"/>
      <w:r w:rsidRPr="00CE4E0F">
        <w:t xml:space="preserve"> </w:t>
      </w:r>
    </w:p>
    <w:p w14:paraId="53C13B43" w14:textId="77777777" w:rsidR="00A84742" w:rsidRPr="00CE4E0F" w:rsidRDefault="00A84742" w:rsidP="00A84742">
      <w:pPr>
        <w:tabs>
          <w:tab w:val="left" w:pos="6096"/>
        </w:tabs>
      </w:pPr>
      <w:r w:rsidRPr="00CE4E0F">
        <w:t>In aggregating scores for various indicators into a single index uncertainty should be considered. The degree of uncertainty in an index score derived for any spatial scale of interest will include uncertainty across multiple levels: from basic observational error, the relevance of thresholds, and then variation in scores for different indicators or communities being assessed.</w:t>
      </w:r>
    </w:p>
    <w:p w14:paraId="53C13B44" w14:textId="77777777" w:rsidR="00A84742" w:rsidRPr="00CE4E0F" w:rsidRDefault="00A84742" w:rsidP="00A84742">
      <w:pPr>
        <w:rPr>
          <w:rFonts w:cs="LMSansQuot8-Regular"/>
        </w:rPr>
      </w:pPr>
      <w:r w:rsidRPr="00CE4E0F">
        <w:t xml:space="preserve">To derive report card scores for regions that propagated uncertainty through the double hierarchical aggregation of indicators and then reefs, a bootstrapping method was adopted. Firstly, for each indicator a distribution of 10,000 observations was created by resampling (with replacement) from the observed scores for all reef and depth combinations within the Region or sub-region of interest. Secondly these 5 resulting distributions (one for each indicator) were added together and collectively resampled 10,000 times (with replacement) to derive a single distribution comprising 10,000 scores. </w:t>
      </w:r>
    </w:p>
    <w:p w14:paraId="53C13B45" w14:textId="77777777" w:rsidR="00A84742" w:rsidRPr="00CE4E0F" w:rsidRDefault="00A84742" w:rsidP="00A84742">
      <w:pPr>
        <w:autoSpaceDE w:val="0"/>
        <w:autoSpaceDN w:val="0"/>
        <w:adjustRightInd w:val="0"/>
        <w:rPr>
          <w:rFonts w:cs="LMSansQuot8-Regular"/>
        </w:rPr>
      </w:pPr>
      <w:r w:rsidRPr="00CE4E0F">
        <w:rPr>
          <w:rFonts w:cs="LMSansQuot8-Regular"/>
        </w:rPr>
        <w:t>To generate estimates of precision (and thus confidence intervals) appropriate for the scale of the sampling design, the bootstrapped distribution of 10,000 scores was resampled once for every original input indicator score. Confidence intervals were calculated as the 2.5% and 97.5% quantiles of repeated estimates of the mean.</w:t>
      </w:r>
    </w:p>
    <w:p w14:paraId="53C13B46" w14:textId="77777777" w:rsidR="00A84742" w:rsidRPr="00CE4E0F" w:rsidRDefault="00A84742" w:rsidP="00A84742">
      <w:pPr>
        <w:autoSpaceDE w:val="0"/>
        <w:autoSpaceDN w:val="0"/>
        <w:adjustRightInd w:val="0"/>
        <w:rPr>
          <w:lang w:eastAsia="en-GB"/>
        </w:rPr>
      </w:pPr>
      <w:r w:rsidRPr="00CE4E0F">
        <w:rPr>
          <w:rFonts w:cs="LMSansQuot8-Regular"/>
        </w:rPr>
        <w:t>Mean index scores for each (sub-)region were estimated as the mean of observed mean scores for each indicator from all reefs and depths within the (sub-)region.</w:t>
      </w:r>
      <w:r w:rsidR="005729CB">
        <w:rPr>
          <w:rFonts w:cs="LMSansQuot8-Regular"/>
        </w:rPr>
        <w:t xml:space="preserve"> Reef level scores as reported in the Reef report card were estimated as the weighted mean of regional scores. Weightings applied reflect the relative proportion of inshore coral reef area within the four regions as: Wet Tropics (</w:t>
      </w:r>
      <w:r w:rsidR="008D44FC">
        <w:rPr>
          <w:rFonts w:cs="LMSansQuot8-Regular"/>
        </w:rPr>
        <w:t>0.209</w:t>
      </w:r>
      <w:r w:rsidR="005729CB">
        <w:rPr>
          <w:rFonts w:cs="LMSansQuot8-Regular"/>
        </w:rPr>
        <w:t>), Burdekin (</w:t>
      </w:r>
      <w:r w:rsidR="008D44FC">
        <w:rPr>
          <w:rFonts w:cs="LMSansQuot8-Regular"/>
        </w:rPr>
        <w:t>0.092</w:t>
      </w:r>
      <w:r w:rsidR="005729CB">
        <w:rPr>
          <w:rFonts w:cs="LMSansQuot8-Regular"/>
        </w:rPr>
        <w:t>), Mackay-Whitsunday (</w:t>
      </w:r>
      <w:r w:rsidR="008D44FC">
        <w:rPr>
          <w:rFonts w:cs="LMSansQuot8-Regular"/>
        </w:rPr>
        <w:t>0.381</w:t>
      </w:r>
      <w:r w:rsidR="005729CB">
        <w:rPr>
          <w:rFonts w:cs="LMSansQuot8-Regular"/>
        </w:rPr>
        <w:t>) and Fitzroy (</w:t>
      </w:r>
      <w:r w:rsidR="008D44FC">
        <w:rPr>
          <w:rFonts w:cs="LMSansQuot8-Regular"/>
        </w:rPr>
        <w:t>0.318</w:t>
      </w:r>
      <w:r w:rsidR="005729CB">
        <w:rPr>
          <w:rFonts w:cs="LMSansQuot8-Regular"/>
        </w:rPr>
        <w:t>).</w:t>
      </w:r>
      <w:r w:rsidR="00BA7F28" w:rsidRPr="00CE4E0F">
        <w:rPr>
          <w:rFonts w:cs="LMSansQuot8-Regular"/>
        </w:rPr>
        <w:t xml:space="preserve"> </w:t>
      </w:r>
      <w:r w:rsidRPr="00CE4E0F">
        <w:rPr>
          <w:lang w:eastAsia="en-GB"/>
        </w:rPr>
        <w:t>Lastly index scores were converted to qualitative assessments by converting to a five-point rating and colour scheme with scores of:</w:t>
      </w:r>
    </w:p>
    <w:p w14:paraId="53C13B47" w14:textId="77777777" w:rsidR="00A84742" w:rsidRPr="00CE4E0F" w:rsidRDefault="00A84742" w:rsidP="00A84742">
      <w:pPr>
        <w:numPr>
          <w:ilvl w:val="0"/>
          <w:numId w:val="14"/>
        </w:numPr>
        <w:autoSpaceDE w:val="0"/>
        <w:autoSpaceDN w:val="0"/>
        <w:adjustRightInd w:val="0"/>
        <w:spacing w:after="0"/>
        <w:ind w:left="760" w:hanging="357"/>
        <w:rPr>
          <w:lang w:eastAsia="en-GB"/>
        </w:rPr>
      </w:pPr>
      <w:r w:rsidRPr="00CE4E0F">
        <w:rPr>
          <w:lang w:eastAsia="en-GB"/>
        </w:rPr>
        <w:t xml:space="preserve">0 to 0.2 were rated as ‘very poor’ and coloured red </w:t>
      </w:r>
    </w:p>
    <w:p w14:paraId="53C13B48" w14:textId="77777777" w:rsidR="00A84742" w:rsidRPr="00CE4E0F" w:rsidRDefault="00A84742" w:rsidP="00A84742">
      <w:pPr>
        <w:numPr>
          <w:ilvl w:val="0"/>
          <w:numId w:val="14"/>
        </w:numPr>
        <w:autoSpaceDE w:val="0"/>
        <w:autoSpaceDN w:val="0"/>
        <w:adjustRightInd w:val="0"/>
        <w:spacing w:after="0"/>
        <w:ind w:left="760" w:hanging="357"/>
        <w:rPr>
          <w:lang w:eastAsia="en-GB"/>
        </w:rPr>
      </w:pPr>
      <w:r w:rsidRPr="00CE4E0F">
        <w:rPr>
          <w:lang w:eastAsia="en-GB"/>
        </w:rPr>
        <w:t xml:space="preserve">0.21 to 0.4 were rated as ‘poor’ and coloured orange </w:t>
      </w:r>
    </w:p>
    <w:p w14:paraId="53C13B49" w14:textId="77777777" w:rsidR="00A84742" w:rsidRPr="00CE4E0F" w:rsidRDefault="00A84742" w:rsidP="00A84742">
      <w:pPr>
        <w:numPr>
          <w:ilvl w:val="0"/>
          <w:numId w:val="14"/>
        </w:numPr>
        <w:autoSpaceDE w:val="0"/>
        <w:autoSpaceDN w:val="0"/>
        <w:adjustRightInd w:val="0"/>
        <w:spacing w:after="0"/>
        <w:ind w:left="760" w:hanging="357"/>
        <w:rPr>
          <w:lang w:eastAsia="en-GB"/>
        </w:rPr>
      </w:pPr>
      <w:r w:rsidRPr="00CE4E0F">
        <w:rPr>
          <w:lang w:eastAsia="en-GB"/>
        </w:rPr>
        <w:t xml:space="preserve">0.41 to 0.6 were rated as ‘moderate’ and coloured yellow </w:t>
      </w:r>
    </w:p>
    <w:p w14:paraId="53C13B4A" w14:textId="77777777" w:rsidR="00A84742" w:rsidRPr="00CE4E0F" w:rsidRDefault="00A84742" w:rsidP="00A84742">
      <w:pPr>
        <w:numPr>
          <w:ilvl w:val="0"/>
          <w:numId w:val="14"/>
        </w:numPr>
        <w:autoSpaceDE w:val="0"/>
        <w:autoSpaceDN w:val="0"/>
        <w:adjustRightInd w:val="0"/>
        <w:spacing w:after="0"/>
        <w:ind w:left="760" w:hanging="357"/>
        <w:rPr>
          <w:lang w:eastAsia="en-GB"/>
        </w:rPr>
      </w:pPr>
      <w:r w:rsidRPr="00CE4E0F">
        <w:rPr>
          <w:lang w:eastAsia="en-GB"/>
        </w:rPr>
        <w:lastRenderedPageBreak/>
        <w:t xml:space="preserve">0.61 to 0.8 were rated as ‘good’, and coloured light green </w:t>
      </w:r>
    </w:p>
    <w:p w14:paraId="53C13B4B" w14:textId="77777777" w:rsidR="00A84742" w:rsidRPr="00CE4E0F" w:rsidRDefault="00A84742" w:rsidP="00A84742">
      <w:pPr>
        <w:numPr>
          <w:ilvl w:val="0"/>
          <w:numId w:val="14"/>
        </w:numPr>
        <w:autoSpaceDE w:val="0"/>
        <w:autoSpaceDN w:val="0"/>
        <w:adjustRightInd w:val="0"/>
        <w:spacing w:after="0"/>
        <w:ind w:left="760" w:hanging="357"/>
        <w:rPr>
          <w:lang w:eastAsia="en-GB"/>
        </w:rPr>
      </w:pPr>
      <w:r w:rsidRPr="00CE4E0F">
        <w:rPr>
          <w:lang w:eastAsia="en-GB"/>
        </w:rPr>
        <w:t>0.81 were rated as ‘very good’ and coloured dark green.</w:t>
      </w:r>
    </w:p>
    <w:p w14:paraId="53C13B4C" w14:textId="77777777" w:rsidR="00A84742" w:rsidRPr="00CE4E0F" w:rsidRDefault="00A84742" w:rsidP="00A84742">
      <w:pPr>
        <w:autoSpaceDE w:val="0"/>
        <w:autoSpaceDN w:val="0"/>
        <w:adjustRightInd w:val="0"/>
        <w:spacing w:after="0"/>
        <w:ind w:left="403"/>
        <w:rPr>
          <w:lang w:eastAsia="en-GB"/>
        </w:rPr>
      </w:pPr>
      <w:r w:rsidRPr="00CE4E0F">
        <w:rPr>
          <w:lang w:eastAsia="en-GB"/>
        </w:rPr>
        <w:t xml:space="preserve"> </w:t>
      </w:r>
    </w:p>
    <w:p w14:paraId="53C13B4D" w14:textId="437A56CD" w:rsidR="006902D1" w:rsidRPr="00CE4E0F" w:rsidRDefault="00A84742" w:rsidP="00A84742">
      <w:r w:rsidRPr="00CE4E0F">
        <w:t>The indicators</w:t>
      </w:r>
      <w:r w:rsidR="00B25266">
        <w:t>,</w:t>
      </w:r>
      <w:r w:rsidRPr="00CE4E0F">
        <w:t xml:space="preserve"> associated thresholds</w:t>
      </w:r>
      <w:r w:rsidR="00B25266">
        <w:t>,</w:t>
      </w:r>
      <w:r w:rsidR="002A38EF">
        <w:t xml:space="preserve"> </w:t>
      </w:r>
      <w:r w:rsidRPr="00CE4E0F">
        <w:t xml:space="preserve">and scoring system utilised is summarised in </w:t>
      </w:r>
      <w:r w:rsidRPr="00CE4E0F">
        <w:fldChar w:fldCharType="begin"/>
      </w:r>
      <w:r w:rsidRPr="00CE4E0F">
        <w:instrText xml:space="preserve"> REF _Ref514406383 \h </w:instrText>
      </w:r>
      <w:r w:rsidRPr="00CE4E0F">
        <w:fldChar w:fldCharType="separate"/>
      </w:r>
      <w:r w:rsidR="003053D1" w:rsidRPr="00CE4E0F">
        <w:t xml:space="preserve">Table </w:t>
      </w:r>
      <w:r w:rsidR="003053D1">
        <w:rPr>
          <w:noProof/>
        </w:rPr>
        <w:t>4</w:t>
      </w:r>
      <w:r w:rsidRPr="00CE4E0F">
        <w:fldChar w:fldCharType="end"/>
      </w:r>
      <w:r w:rsidRPr="00CE4E0F">
        <w:t>. We note that the community composition indicator is likely to respond over longer time frames than the other indicators due to the inertia in community composition imposed by long-lived coral species.</w:t>
      </w:r>
    </w:p>
    <w:p w14:paraId="53C13B4E" w14:textId="1ABB5593" w:rsidR="00A84742" w:rsidRPr="00CE4E0F" w:rsidRDefault="00A84742" w:rsidP="002B5296">
      <w:pPr>
        <w:pStyle w:val="Caption"/>
      </w:pPr>
      <w:bookmarkStart w:id="220" w:name="_Ref514406383"/>
      <w:bookmarkStart w:id="221" w:name="_Toc528333636"/>
      <w:bookmarkStart w:id="222" w:name="_Toc35947190"/>
      <w:r w:rsidRPr="00CE4E0F">
        <w:t xml:space="preserve">Table </w:t>
      </w:r>
      <w:r w:rsidRPr="00CE4E0F">
        <w:rPr>
          <w:noProof/>
        </w:rPr>
        <w:fldChar w:fldCharType="begin"/>
      </w:r>
      <w:r w:rsidRPr="00CE4E0F">
        <w:rPr>
          <w:noProof/>
        </w:rPr>
        <w:instrText xml:space="preserve"> SEQ Table \* ARABIC </w:instrText>
      </w:r>
      <w:r w:rsidRPr="00CE4E0F">
        <w:rPr>
          <w:noProof/>
        </w:rPr>
        <w:fldChar w:fldCharType="separate"/>
      </w:r>
      <w:r w:rsidR="003053D1">
        <w:rPr>
          <w:noProof/>
        </w:rPr>
        <w:t>4</w:t>
      </w:r>
      <w:r w:rsidRPr="00CE4E0F">
        <w:rPr>
          <w:noProof/>
        </w:rPr>
        <w:fldChar w:fldCharType="end"/>
      </w:r>
      <w:bookmarkEnd w:id="220"/>
      <w:r w:rsidRPr="00CE4E0F">
        <w:t xml:space="preserve"> Threshold values for the assessment of coral reef condition and resilience indicators.</w:t>
      </w:r>
      <w:bookmarkEnd w:id="221"/>
      <w:bookmarkEnd w:id="222"/>
    </w:p>
    <w:tbl>
      <w:tblPr>
        <w:tblW w:w="9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Caption w:val="Summary of thresholds and scoring for each indicator metric"/>
        <w:tblDescription w:val="Summary the thresholds and scoring described in text for each indicator metric"/>
      </w:tblPr>
      <w:tblGrid>
        <w:gridCol w:w="2405"/>
        <w:gridCol w:w="2614"/>
        <w:gridCol w:w="4110"/>
      </w:tblGrid>
      <w:tr w:rsidR="00CE4E0F" w:rsidRPr="00CE4E0F" w14:paraId="53C13B52" w14:textId="77777777" w:rsidTr="00DE3905">
        <w:trPr>
          <w:cantSplit/>
        </w:trPr>
        <w:tc>
          <w:tcPr>
            <w:tcW w:w="2405" w:type="dxa"/>
            <w:shd w:val="clear" w:color="auto" w:fill="E6E6E6"/>
            <w:noWrap/>
            <w:tcMar>
              <w:left w:w="57" w:type="dxa"/>
              <w:right w:w="57" w:type="dxa"/>
            </w:tcMar>
          </w:tcPr>
          <w:p w14:paraId="53C13B4F" w14:textId="77777777" w:rsidR="00A84742" w:rsidRPr="00CE4E0F" w:rsidRDefault="00A84742" w:rsidP="00A84742">
            <w:pPr>
              <w:tabs>
                <w:tab w:val="left" w:pos="1152"/>
                <w:tab w:val="right" w:leader="dot" w:pos="8640"/>
              </w:tabs>
              <w:spacing w:before="100" w:beforeAutospacing="1" w:after="100" w:afterAutospacing="1"/>
              <w:contextualSpacing/>
              <w:jc w:val="left"/>
              <w:rPr>
                <w:rFonts w:ascii="Arial Narrow" w:hAnsi="Arial Narrow"/>
                <w:b/>
                <w:sz w:val="20"/>
              </w:rPr>
            </w:pPr>
            <w:r w:rsidRPr="00CE4E0F">
              <w:rPr>
                <w:rFonts w:ascii="Arial Narrow" w:hAnsi="Arial Narrow"/>
                <w:b/>
                <w:sz w:val="20"/>
              </w:rPr>
              <w:t>Community attribute</w:t>
            </w:r>
          </w:p>
        </w:tc>
        <w:tc>
          <w:tcPr>
            <w:tcW w:w="2614" w:type="dxa"/>
            <w:shd w:val="clear" w:color="auto" w:fill="E6E6E6"/>
            <w:noWrap/>
            <w:tcMar>
              <w:left w:w="57" w:type="dxa"/>
              <w:right w:w="57" w:type="dxa"/>
            </w:tcMar>
          </w:tcPr>
          <w:p w14:paraId="53C13B50" w14:textId="77777777" w:rsidR="00A84742" w:rsidRPr="00CE4E0F" w:rsidRDefault="00A84742" w:rsidP="00A84742">
            <w:pPr>
              <w:tabs>
                <w:tab w:val="left" w:pos="1152"/>
                <w:tab w:val="right" w:leader="dot" w:pos="8640"/>
              </w:tabs>
              <w:spacing w:before="100" w:beforeAutospacing="1" w:after="100" w:afterAutospacing="1"/>
              <w:contextualSpacing/>
              <w:jc w:val="left"/>
              <w:rPr>
                <w:rFonts w:ascii="Arial Narrow" w:hAnsi="Arial Narrow"/>
                <w:b/>
                <w:sz w:val="20"/>
              </w:rPr>
            </w:pPr>
            <w:r w:rsidRPr="00CE4E0F">
              <w:rPr>
                <w:rFonts w:ascii="Arial Narrow" w:hAnsi="Arial Narrow"/>
                <w:b/>
                <w:sz w:val="20"/>
              </w:rPr>
              <w:t>Score</w:t>
            </w:r>
          </w:p>
        </w:tc>
        <w:tc>
          <w:tcPr>
            <w:tcW w:w="4110" w:type="dxa"/>
            <w:shd w:val="clear" w:color="auto" w:fill="E6E6E6"/>
            <w:tcMar>
              <w:left w:w="57" w:type="dxa"/>
              <w:right w:w="57" w:type="dxa"/>
            </w:tcMar>
          </w:tcPr>
          <w:p w14:paraId="53C13B51" w14:textId="77777777" w:rsidR="00A84742" w:rsidRPr="00CE4E0F" w:rsidRDefault="00A84742" w:rsidP="00A84742">
            <w:pPr>
              <w:tabs>
                <w:tab w:val="left" w:pos="1152"/>
                <w:tab w:val="right" w:leader="dot" w:pos="8640"/>
              </w:tabs>
              <w:spacing w:before="100" w:beforeAutospacing="1" w:after="100" w:afterAutospacing="1"/>
              <w:contextualSpacing/>
              <w:jc w:val="left"/>
              <w:rPr>
                <w:rFonts w:ascii="Arial Narrow" w:hAnsi="Arial Narrow"/>
                <w:b/>
                <w:sz w:val="20"/>
              </w:rPr>
            </w:pPr>
            <w:r w:rsidRPr="00CE4E0F">
              <w:rPr>
                <w:rFonts w:ascii="Arial Narrow" w:hAnsi="Arial Narrow"/>
                <w:b/>
                <w:sz w:val="20"/>
              </w:rPr>
              <w:t>Thresholds</w:t>
            </w:r>
          </w:p>
        </w:tc>
      </w:tr>
      <w:tr w:rsidR="00CE4E0F" w:rsidRPr="00CE4E0F" w14:paraId="53C13B56" w14:textId="77777777" w:rsidTr="00DE3905">
        <w:tc>
          <w:tcPr>
            <w:tcW w:w="2405" w:type="dxa"/>
            <w:vMerge w:val="restart"/>
            <w:shd w:val="clear" w:color="auto" w:fill="auto"/>
            <w:noWrap/>
            <w:tcMar>
              <w:left w:w="57" w:type="dxa"/>
              <w:right w:w="57" w:type="dxa"/>
            </w:tcMar>
          </w:tcPr>
          <w:p w14:paraId="53C13B53" w14:textId="77777777" w:rsidR="00A84742" w:rsidRPr="00CE4E0F" w:rsidRDefault="00A84742" w:rsidP="00A84742">
            <w:pPr>
              <w:tabs>
                <w:tab w:val="left" w:pos="1152"/>
                <w:tab w:val="right" w:leader="dot" w:pos="8640"/>
              </w:tabs>
              <w:spacing w:before="100" w:beforeAutospacing="1" w:after="100" w:afterAutospacing="1"/>
              <w:contextualSpacing/>
              <w:jc w:val="left"/>
              <w:rPr>
                <w:rFonts w:ascii="Arial Narrow" w:hAnsi="Arial Narrow"/>
                <w:b/>
                <w:sz w:val="20"/>
              </w:rPr>
            </w:pPr>
            <w:r w:rsidRPr="00CE4E0F">
              <w:rPr>
                <w:rFonts w:ascii="Arial Narrow" w:hAnsi="Arial Narrow"/>
                <w:sz w:val="20"/>
              </w:rPr>
              <w:t>Combined hard and soft coral cover</w:t>
            </w:r>
          </w:p>
        </w:tc>
        <w:tc>
          <w:tcPr>
            <w:tcW w:w="2614" w:type="dxa"/>
            <w:vMerge w:val="restart"/>
            <w:shd w:val="clear" w:color="auto" w:fill="auto"/>
            <w:noWrap/>
            <w:tcMar>
              <w:left w:w="57" w:type="dxa"/>
              <w:right w:w="57" w:type="dxa"/>
            </w:tcMar>
          </w:tcPr>
          <w:p w14:paraId="53C13B54" w14:textId="77777777" w:rsidR="00A84742" w:rsidRPr="00CE4E0F" w:rsidRDefault="00A84742" w:rsidP="00A84742">
            <w:pPr>
              <w:tabs>
                <w:tab w:val="left" w:pos="1152"/>
                <w:tab w:val="right" w:leader="dot" w:pos="8640"/>
              </w:tabs>
              <w:spacing w:before="100" w:beforeAutospacing="1" w:after="100" w:afterAutospacing="1"/>
              <w:contextualSpacing/>
              <w:jc w:val="left"/>
              <w:rPr>
                <w:rFonts w:ascii="Arial Narrow" w:hAnsi="Arial Narrow"/>
                <w:b/>
                <w:sz w:val="20"/>
              </w:rPr>
            </w:pPr>
            <w:r w:rsidRPr="00CE4E0F">
              <w:rPr>
                <w:rFonts w:ascii="Arial Narrow" w:hAnsi="Arial Narrow"/>
                <w:sz w:val="20"/>
              </w:rPr>
              <w:t>Continuous between 0–1</w:t>
            </w:r>
          </w:p>
        </w:tc>
        <w:tc>
          <w:tcPr>
            <w:tcW w:w="4110" w:type="dxa"/>
            <w:shd w:val="clear" w:color="auto" w:fill="auto"/>
            <w:tcMar>
              <w:left w:w="57" w:type="dxa"/>
              <w:right w:w="57" w:type="dxa"/>
            </w:tcMar>
          </w:tcPr>
          <w:p w14:paraId="53C13B55" w14:textId="77777777" w:rsidR="00A84742" w:rsidRPr="00CE4E0F" w:rsidRDefault="00A84742" w:rsidP="00A84742">
            <w:pPr>
              <w:tabs>
                <w:tab w:val="left" w:pos="1152"/>
                <w:tab w:val="right" w:leader="dot" w:pos="8640"/>
              </w:tabs>
              <w:spacing w:before="100" w:beforeAutospacing="1" w:after="100" w:afterAutospacing="1"/>
              <w:contextualSpacing/>
              <w:jc w:val="left"/>
              <w:rPr>
                <w:rFonts w:ascii="Arial Narrow" w:hAnsi="Arial Narrow"/>
                <w:b/>
                <w:sz w:val="20"/>
              </w:rPr>
            </w:pPr>
            <w:r w:rsidRPr="00CE4E0F">
              <w:rPr>
                <w:rFonts w:ascii="Arial Narrow" w:hAnsi="Arial Narrow"/>
                <w:sz w:val="20"/>
              </w:rPr>
              <w:t>1 at 75% cover or greater</w:t>
            </w:r>
          </w:p>
        </w:tc>
      </w:tr>
      <w:tr w:rsidR="00CE4E0F" w:rsidRPr="00CE4E0F" w14:paraId="53C13B5A" w14:textId="77777777" w:rsidTr="00DE3905">
        <w:tc>
          <w:tcPr>
            <w:tcW w:w="2405" w:type="dxa"/>
            <w:vMerge/>
            <w:shd w:val="clear" w:color="auto" w:fill="auto"/>
            <w:noWrap/>
            <w:tcMar>
              <w:left w:w="57" w:type="dxa"/>
              <w:right w:w="57" w:type="dxa"/>
            </w:tcMar>
          </w:tcPr>
          <w:p w14:paraId="53C13B57" w14:textId="77777777" w:rsidR="00A84742" w:rsidRPr="00CE4E0F" w:rsidRDefault="00A84742" w:rsidP="00A84742">
            <w:pPr>
              <w:tabs>
                <w:tab w:val="left" w:pos="1152"/>
                <w:tab w:val="right" w:leader="dot" w:pos="8640"/>
              </w:tabs>
              <w:spacing w:before="100" w:beforeAutospacing="1" w:after="100" w:afterAutospacing="1"/>
              <w:contextualSpacing/>
              <w:jc w:val="left"/>
              <w:rPr>
                <w:rFonts w:ascii="Arial Narrow" w:hAnsi="Arial Narrow"/>
                <w:b/>
                <w:sz w:val="20"/>
              </w:rPr>
            </w:pPr>
          </w:p>
        </w:tc>
        <w:tc>
          <w:tcPr>
            <w:tcW w:w="2614" w:type="dxa"/>
            <w:vMerge/>
            <w:shd w:val="clear" w:color="auto" w:fill="auto"/>
            <w:noWrap/>
            <w:tcMar>
              <w:left w:w="57" w:type="dxa"/>
              <w:right w:w="57" w:type="dxa"/>
            </w:tcMar>
          </w:tcPr>
          <w:p w14:paraId="53C13B58" w14:textId="77777777" w:rsidR="00A84742" w:rsidRPr="00CE4E0F" w:rsidRDefault="00A84742" w:rsidP="00A84742">
            <w:pPr>
              <w:tabs>
                <w:tab w:val="left" w:pos="1152"/>
                <w:tab w:val="right" w:leader="dot" w:pos="8640"/>
              </w:tabs>
              <w:spacing w:before="100" w:beforeAutospacing="1" w:after="100" w:afterAutospacing="1"/>
              <w:contextualSpacing/>
              <w:jc w:val="left"/>
              <w:rPr>
                <w:rFonts w:ascii="Arial Narrow" w:hAnsi="Arial Narrow"/>
                <w:b/>
                <w:sz w:val="20"/>
              </w:rPr>
            </w:pPr>
          </w:p>
        </w:tc>
        <w:tc>
          <w:tcPr>
            <w:tcW w:w="4110" w:type="dxa"/>
            <w:shd w:val="clear" w:color="auto" w:fill="auto"/>
            <w:tcMar>
              <w:left w:w="57" w:type="dxa"/>
              <w:right w:w="57" w:type="dxa"/>
            </w:tcMar>
          </w:tcPr>
          <w:p w14:paraId="53C13B59" w14:textId="77777777" w:rsidR="00A84742" w:rsidRPr="00CE4E0F" w:rsidRDefault="00A84742" w:rsidP="00A84742">
            <w:pPr>
              <w:tabs>
                <w:tab w:val="left" w:pos="1152"/>
                <w:tab w:val="right" w:leader="dot" w:pos="8640"/>
              </w:tabs>
              <w:spacing w:before="100" w:beforeAutospacing="1" w:after="100" w:afterAutospacing="1"/>
              <w:contextualSpacing/>
              <w:jc w:val="left"/>
              <w:rPr>
                <w:rFonts w:ascii="Arial Narrow" w:hAnsi="Arial Narrow"/>
                <w:b/>
                <w:sz w:val="20"/>
              </w:rPr>
            </w:pPr>
            <w:r w:rsidRPr="00CE4E0F">
              <w:rPr>
                <w:rFonts w:ascii="Arial Narrow" w:hAnsi="Arial Narrow"/>
                <w:sz w:val="20"/>
              </w:rPr>
              <w:t>0 at zero cover</w:t>
            </w:r>
          </w:p>
        </w:tc>
      </w:tr>
      <w:tr w:rsidR="00CE4E0F" w:rsidRPr="00CE4E0F" w14:paraId="53C13B5E" w14:textId="77777777" w:rsidTr="00DE3905">
        <w:trPr>
          <w:cantSplit/>
        </w:trPr>
        <w:tc>
          <w:tcPr>
            <w:tcW w:w="2405" w:type="dxa"/>
            <w:vMerge w:val="restart"/>
            <w:noWrap/>
            <w:tcMar>
              <w:left w:w="57" w:type="dxa"/>
              <w:right w:w="57" w:type="dxa"/>
            </w:tcMar>
          </w:tcPr>
          <w:p w14:paraId="53C13B5B" w14:textId="77777777" w:rsidR="00A84742" w:rsidRPr="00CE4E0F" w:rsidRDefault="00A84742" w:rsidP="00A84742">
            <w:pPr>
              <w:tabs>
                <w:tab w:val="left" w:pos="1152"/>
                <w:tab w:val="right" w:leader="dot" w:pos="8640"/>
              </w:tabs>
              <w:spacing w:before="100" w:beforeAutospacing="1" w:after="100" w:afterAutospacing="1"/>
              <w:contextualSpacing/>
              <w:jc w:val="left"/>
              <w:rPr>
                <w:rFonts w:ascii="Arial Narrow" w:hAnsi="Arial Narrow"/>
                <w:sz w:val="20"/>
              </w:rPr>
            </w:pPr>
            <w:r w:rsidRPr="00CE4E0F">
              <w:rPr>
                <w:rFonts w:ascii="Arial Narrow" w:hAnsi="Arial Narrow"/>
                <w:sz w:val="20"/>
              </w:rPr>
              <w:t>Rate of increase in hard coral cover (preceding 4 years)</w:t>
            </w:r>
          </w:p>
        </w:tc>
        <w:tc>
          <w:tcPr>
            <w:tcW w:w="2614" w:type="dxa"/>
            <w:noWrap/>
            <w:tcMar>
              <w:left w:w="57" w:type="dxa"/>
              <w:right w:w="57" w:type="dxa"/>
            </w:tcMar>
            <w:vAlign w:val="center"/>
          </w:tcPr>
          <w:p w14:paraId="53C13B5C" w14:textId="77777777" w:rsidR="00A84742" w:rsidRPr="00CE4E0F" w:rsidRDefault="00A84742" w:rsidP="00A84742">
            <w:pPr>
              <w:tabs>
                <w:tab w:val="left" w:pos="1152"/>
                <w:tab w:val="right" w:leader="dot" w:pos="8640"/>
              </w:tabs>
              <w:spacing w:before="100" w:beforeAutospacing="1" w:after="100" w:afterAutospacing="1"/>
              <w:contextualSpacing/>
              <w:jc w:val="center"/>
              <w:rPr>
                <w:rFonts w:ascii="Arial Narrow" w:hAnsi="Arial Narrow"/>
                <w:sz w:val="20"/>
              </w:rPr>
            </w:pPr>
            <w:r w:rsidRPr="00CE4E0F">
              <w:rPr>
                <w:rFonts w:ascii="Arial Narrow" w:hAnsi="Arial Narrow"/>
                <w:sz w:val="20"/>
              </w:rPr>
              <w:t>1</w:t>
            </w:r>
          </w:p>
        </w:tc>
        <w:tc>
          <w:tcPr>
            <w:tcW w:w="4110" w:type="dxa"/>
            <w:tcMar>
              <w:left w:w="57" w:type="dxa"/>
              <w:right w:w="57" w:type="dxa"/>
            </w:tcMar>
            <w:vAlign w:val="center"/>
          </w:tcPr>
          <w:p w14:paraId="53C13B5D" w14:textId="77777777" w:rsidR="00A84742" w:rsidRPr="00CE4E0F" w:rsidRDefault="00A84742" w:rsidP="00A84742">
            <w:pPr>
              <w:tabs>
                <w:tab w:val="left" w:pos="1152"/>
                <w:tab w:val="right" w:leader="dot" w:pos="8640"/>
              </w:tabs>
              <w:spacing w:before="100" w:beforeAutospacing="1" w:after="100" w:afterAutospacing="1"/>
              <w:contextualSpacing/>
              <w:jc w:val="center"/>
              <w:rPr>
                <w:rFonts w:ascii="Arial Narrow" w:hAnsi="Arial Narrow"/>
                <w:sz w:val="20"/>
              </w:rPr>
            </w:pPr>
            <w:r w:rsidRPr="00CE4E0F">
              <w:rPr>
                <w:rFonts w:ascii="Arial Narrow" w:hAnsi="Arial Narrow"/>
                <w:sz w:val="20"/>
              </w:rPr>
              <w:t>Change &gt; 2x upper 95% CI of predicted change</w:t>
            </w:r>
          </w:p>
        </w:tc>
      </w:tr>
      <w:tr w:rsidR="00CE4E0F" w:rsidRPr="00CE4E0F" w14:paraId="53C13B62" w14:textId="77777777" w:rsidTr="00DE3905">
        <w:trPr>
          <w:cantSplit/>
        </w:trPr>
        <w:tc>
          <w:tcPr>
            <w:tcW w:w="2405" w:type="dxa"/>
            <w:vMerge/>
            <w:noWrap/>
            <w:tcMar>
              <w:left w:w="57" w:type="dxa"/>
              <w:right w:w="57" w:type="dxa"/>
            </w:tcMar>
          </w:tcPr>
          <w:p w14:paraId="53C13B5F" w14:textId="77777777" w:rsidR="00A84742" w:rsidRPr="00CE4E0F" w:rsidRDefault="00A84742" w:rsidP="00A84742">
            <w:pPr>
              <w:tabs>
                <w:tab w:val="left" w:pos="1152"/>
                <w:tab w:val="right" w:leader="dot" w:pos="8640"/>
              </w:tabs>
              <w:spacing w:before="100" w:beforeAutospacing="1" w:after="100" w:afterAutospacing="1"/>
              <w:contextualSpacing/>
              <w:jc w:val="left"/>
              <w:rPr>
                <w:rFonts w:ascii="Arial Narrow" w:hAnsi="Arial Narrow"/>
                <w:sz w:val="20"/>
              </w:rPr>
            </w:pPr>
          </w:p>
        </w:tc>
        <w:tc>
          <w:tcPr>
            <w:tcW w:w="2614" w:type="dxa"/>
            <w:noWrap/>
            <w:tcMar>
              <w:left w:w="57" w:type="dxa"/>
              <w:right w:w="57" w:type="dxa"/>
            </w:tcMar>
            <w:vAlign w:val="center"/>
          </w:tcPr>
          <w:p w14:paraId="53C13B60" w14:textId="77777777" w:rsidR="00A84742" w:rsidRPr="00CE4E0F" w:rsidRDefault="00A84742" w:rsidP="00A84742">
            <w:pPr>
              <w:tabs>
                <w:tab w:val="left" w:pos="1152"/>
                <w:tab w:val="right" w:leader="dot" w:pos="8640"/>
              </w:tabs>
              <w:spacing w:before="100" w:beforeAutospacing="1" w:after="100" w:afterAutospacing="1"/>
              <w:contextualSpacing/>
              <w:jc w:val="center"/>
              <w:rPr>
                <w:rFonts w:ascii="Arial Narrow" w:hAnsi="Arial Narrow"/>
                <w:sz w:val="20"/>
              </w:rPr>
            </w:pPr>
            <w:r w:rsidRPr="00CE4E0F">
              <w:rPr>
                <w:rFonts w:ascii="Arial Narrow" w:hAnsi="Arial Narrow"/>
                <w:sz w:val="20"/>
              </w:rPr>
              <w:t>Continuous between 0.6 and 0.9</w:t>
            </w:r>
          </w:p>
        </w:tc>
        <w:tc>
          <w:tcPr>
            <w:tcW w:w="4110" w:type="dxa"/>
            <w:tcMar>
              <w:left w:w="57" w:type="dxa"/>
              <w:right w:w="57" w:type="dxa"/>
            </w:tcMar>
            <w:vAlign w:val="center"/>
          </w:tcPr>
          <w:p w14:paraId="53C13B61" w14:textId="77777777" w:rsidR="00A84742" w:rsidRPr="00CE4E0F" w:rsidRDefault="00A84742" w:rsidP="00A84742">
            <w:pPr>
              <w:tabs>
                <w:tab w:val="left" w:pos="1152"/>
                <w:tab w:val="right" w:leader="dot" w:pos="8640"/>
              </w:tabs>
              <w:spacing w:before="100" w:beforeAutospacing="1" w:after="100" w:afterAutospacing="1"/>
              <w:contextualSpacing/>
              <w:jc w:val="center"/>
              <w:rPr>
                <w:rFonts w:ascii="Arial Narrow" w:hAnsi="Arial Narrow"/>
                <w:sz w:val="20"/>
              </w:rPr>
            </w:pPr>
            <w:r w:rsidRPr="00CE4E0F">
              <w:rPr>
                <w:rFonts w:ascii="Arial Narrow" w:hAnsi="Arial Narrow"/>
                <w:sz w:val="20"/>
              </w:rPr>
              <w:t>Change between upper 95% CI and 2x upper 95% CI</w:t>
            </w:r>
          </w:p>
        </w:tc>
      </w:tr>
      <w:tr w:rsidR="00CE4E0F" w:rsidRPr="00CE4E0F" w14:paraId="53C13B66" w14:textId="77777777" w:rsidTr="00DE3905">
        <w:trPr>
          <w:cantSplit/>
        </w:trPr>
        <w:tc>
          <w:tcPr>
            <w:tcW w:w="2405" w:type="dxa"/>
            <w:vMerge/>
            <w:noWrap/>
            <w:tcMar>
              <w:left w:w="57" w:type="dxa"/>
              <w:right w:w="57" w:type="dxa"/>
            </w:tcMar>
          </w:tcPr>
          <w:p w14:paraId="53C13B63" w14:textId="77777777" w:rsidR="00A84742" w:rsidRPr="00CE4E0F" w:rsidRDefault="00A84742" w:rsidP="00A84742">
            <w:pPr>
              <w:tabs>
                <w:tab w:val="left" w:pos="1152"/>
                <w:tab w:val="right" w:leader="dot" w:pos="8640"/>
              </w:tabs>
              <w:spacing w:before="100" w:beforeAutospacing="1" w:after="100" w:afterAutospacing="1"/>
              <w:contextualSpacing/>
              <w:jc w:val="left"/>
              <w:rPr>
                <w:rFonts w:ascii="Arial Narrow" w:hAnsi="Arial Narrow"/>
                <w:sz w:val="20"/>
              </w:rPr>
            </w:pPr>
          </w:p>
        </w:tc>
        <w:tc>
          <w:tcPr>
            <w:tcW w:w="2614" w:type="dxa"/>
            <w:noWrap/>
            <w:tcMar>
              <w:left w:w="57" w:type="dxa"/>
              <w:right w:w="57" w:type="dxa"/>
            </w:tcMar>
            <w:vAlign w:val="center"/>
          </w:tcPr>
          <w:p w14:paraId="53C13B64" w14:textId="77777777" w:rsidR="00A84742" w:rsidRPr="00CE4E0F" w:rsidRDefault="00A84742" w:rsidP="00A84742">
            <w:pPr>
              <w:tabs>
                <w:tab w:val="left" w:pos="1152"/>
                <w:tab w:val="right" w:leader="dot" w:pos="8640"/>
              </w:tabs>
              <w:spacing w:before="100" w:beforeAutospacing="1" w:after="100" w:afterAutospacing="1"/>
              <w:contextualSpacing/>
              <w:jc w:val="center"/>
              <w:rPr>
                <w:rFonts w:ascii="Arial Narrow" w:hAnsi="Arial Narrow"/>
                <w:sz w:val="20"/>
              </w:rPr>
            </w:pPr>
            <w:r w:rsidRPr="00CE4E0F">
              <w:rPr>
                <w:rFonts w:ascii="Arial Narrow" w:hAnsi="Arial Narrow"/>
                <w:sz w:val="20"/>
              </w:rPr>
              <w:t>Continuous between 0.4 and 0.6</w:t>
            </w:r>
          </w:p>
        </w:tc>
        <w:tc>
          <w:tcPr>
            <w:tcW w:w="4110" w:type="dxa"/>
            <w:tcMar>
              <w:left w:w="57" w:type="dxa"/>
              <w:right w:w="57" w:type="dxa"/>
            </w:tcMar>
            <w:vAlign w:val="center"/>
          </w:tcPr>
          <w:p w14:paraId="53C13B65" w14:textId="77777777" w:rsidR="00A84742" w:rsidRPr="00CE4E0F" w:rsidRDefault="00A84742" w:rsidP="00A84742">
            <w:pPr>
              <w:tabs>
                <w:tab w:val="left" w:pos="1152"/>
                <w:tab w:val="right" w:leader="dot" w:pos="8640"/>
              </w:tabs>
              <w:spacing w:before="100" w:beforeAutospacing="1" w:after="100" w:afterAutospacing="1"/>
              <w:contextualSpacing/>
              <w:jc w:val="center"/>
              <w:rPr>
                <w:rFonts w:ascii="Arial Narrow" w:hAnsi="Arial Narrow"/>
                <w:sz w:val="20"/>
              </w:rPr>
            </w:pPr>
            <w:r w:rsidRPr="00CE4E0F">
              <w:rPr>
                <w:rFonts w:ascii="Arial Narrow" w:hAnsi="Arial Narrow"/>
                <w:sz w:val="20"/>
              </w:rPr>
              <w:t>Change within 95% CI of the predicted change</w:t>
            </w:r>
          </w:p>
        </w:tc>
      </w:tr>
      <w:tr w:rsidR="00CE4E0F" w:rsidRPr="00CE4E0F" w14:paraId="53C13B6A" w14:textId="77777777" w:rsidTr="00DE3905">
        <w:trPr>
          <w:cantSplit/>
        </w:trPr>
        <w:tc>
          <w:tcPr>
            <w:tcW w:w="2405" w:type="dxa"/>
            <w:vMerge/>
            <w:noWrap/>
            <w:tcMar>
              <w:left w:w="57" w:type="dxa"/>
              <w:right w:w="57" w:type="dxa"/>
            </w:tcMar>
          </w:tcPr>
          <w:p w14:paraId="53C13B67" w14:textId="77777777" w:rsidR="00A84742" w:rsidRPr="00CE4E0F" w:rsidRDefault="00A84742" w:rsidP="00A84742">
            <w:pPr>
              <w:tabs>
                <w:tab w:val="left" w:pos="1152"/>
                <w:tab w:val="right" w:leader="dot" w:pos="8640"/>
              </w:tabs>
              <w:spacing w:before="100" w:beforeAutospacing="1" w:after="100" w:afterAutospacing="1"/>
              <w:contextualSpacing/>
              <w:jc w:val="left"/>
              <w:rPr>
                <w:rFonts w:ascii="Arial Narrow" w:hAnsi="Arial Narrow"/>
                <w:sz w:val="20"/>
              </w:rPr>
            </w:pPr>
          </w:p>
        </w:tc>
        <w:tc>
          <w:tcPr>
            <w:tcW w:w="2614" w:type="dxa"/>
            <w:noWrap/>
            <w:tcMar>
              <w:left w:w="57" w:type="dxa"/>
              <w:right w:w="57" w:type="dxa"/>
            </w:tcMar>
            <w:vAlign w:val="center"/>
          </w:tcPr>
          <w:p w14:paraId="53C13B68" w14:textId="77777777" w:rsidR="00A84742" w:rsidRPr="00CE4E0F" w:rsidRDefault="00A84742" w:rsidP="00A84742">
            <w:pPr>
              <w:tabs>
                <w:tab w:val="left" w:pos="1152"/>
                <w:tab w:val="right" w:leader="dot" w:pos="8640"/>
              </w:tabs>
              <w:spacing w:before="100" w:beforeAutospacing="1" w:after="100" w:afterAutospacing="1"/>
              <w:contextualSpacing/>
              <w:jc w:val="center"/>
              <w:rPr>
                <w:rFonts w:ascii="Arial Narrow" w:hAnsi="Arial Narrow"/>
                <w:sz w:val="20"/>
              </w:rPr>
            </w:pPr>
            <w:r w:rsidRPr="00CE4E0F">
              <w:rPr>
                <w:rFonts w:ascii="Arial Narrow" w:hAnsi="Arial Narrow"/>
                <w:sz w:val="20"/>
              </w:rPr>
              <w:t>Continuous between 0.1 and 0.4</w:t>
            </w:r>
          </w:p>
        </w:tc>
        <w:tc>
          <w:tcPr>
            <w:tcW w:w="4110" w:type="dxa"/>
            <w:tcMar>
              <w:left w:w="57" w:type="dxa"/>
              <w:right w:w="57" w:type="dxa"/>
            </w:tcMar>
            <w:vAlign w:val="center"/>
          </w:tcPr>
          <w:p w14:paraId="53C13B69" w14:textId="77777777" w:rsidR="00A84742" w:rsidRPr="00CE4E0F" w:rsidRDefault="00A84742" w:rsidP="00A84742">
            <w:pPr>
              <w:tabs>
                <w:tab w:val="left" w:pos="1152"/>
                <w:tab w:val="right" w:leader="dot" w:pos="8640"/>
              </w:tabs>
              <w:spacing w:before="100" w:beforeAutospacing="1" w:after="100" w:afterAutospacing="1"/>
              <w:contextualSpacing/>
              <w:jc w:val="center"/>
              <w:rPr>
                <w:rFonts w:ascii="Arial Narrow" w:hAnsi="Arial Narrow"/>
                <w:sz w:val="20"/>
              </w:rPr>
            </w:pPr>
            <w:r w:rsidRPr="00CE4E0F">
              <w:rPr>
                <w:rFonts w:ascii="Arial Narrow" w:hAnsi="Arial Narrow"/>
                <w:sz w:val="20"/>
              </w:rPr>
              <w:t>Change between lower 95% CI and 2x lower 95% CI</w:t>
            </w:r>
          </w:p>
        </w:tc>
      </w:tr>
      <w:tr w:rsidR="00CE4E0F" w:rsidRPr="00CE4E0F" w14:paraId="53C13B6E" w14:textId="77777777" w:rsidTr="00DE3905">
        <w:tc>
          <w:tcPr>
            <w:tcW w:w="2405" w:type="dxa"/>
            <w:vMerge/>
            <w:noWrap/>
            <w:tcMar>
              <w:left w:w="57" w:type="dxa"/>
              <w:right w:w="57" w:type="dxa"/>
            </w:tcMar>
          </w:tcPr>
          <w:p w14:paraId="53C13B6B" w14:textId="77777777" w:rsidR="00A84742" w:rsidRPr="00CE4E0F" w:rsidRDefault="00A84742" w:rsidP="00A84742">
            <w:pPr>
              <w:tabs>
                <w:tab w:val="left" w:pos="1152"/>
                <w:tab w:val="right" w:leader="dot" w:pos="8640"/>
              </w:tabs>
              <w:spacing w:before="100" w:beforeAutospacing="1" w:after="100" w:afterAutospacing="1"/>
              <w:contextualSpacing/>
              <w:jc w:val="left"/>
              <w:rPr>
                <w:rFonts w:ascii="Arial Narrow" w:hAnsi="Arial Narrow"/>
                <w:sz w:val="20"/>
              </w:rPr>
            </w:pPr>
          </w:p>
        </w:tc>
        <w:tc>
          <w:tcPr>
            <w:tcW w:w="2614" w:type="dxa"/>
            <w:noWrap/>
            <w:tcMar>
              <w:left w:w="57" w:type="dxa"/>
              <w:right w:w="57" w:type="dxa"/>
            </w:tcMar>
            <w:vAlign w:val="center"/>
          </w:tcPr>
          <w:p w14:paraId="53C13B6C" w14:textId="77777777" w:rsidR="00A84742" w:rsidRPr="00CE4E0F" w:rsidRDefault="00A84742" w:rsidP="00A84742">
            <w:pPr>
              <w:tabs>
                <w:tab w:val="left" w:pos="1152"/>
                <w:tab w:val="right" w:leader="dot" w:pos="8640"/>
              </w:tabs>
              <w:spacing w:before="100" w:beforeAutospacing="1" w:after="100" w:afterAutospacing="1"/>
              <w:contextualSpacing/>
              <w:jc w:val="center"/>
              <w:rPr>
                <w:rFonts w:ascii="Arial Narrow" w:hAnsi="Arial Narrow"/>
                <w:sz w:val="20"/>
              </w:rPr>
            </w:pPr>
            <w:r w:rsidRPr="00CE4E0F">
              <w:rPr>
                <w:rFonts w:ascii="Arial Narrow" w:hAnsi="Arial Narrow"/>
                <w:sz w:val="20"/>
              </w:rPr>
              <w:t>0</w:t>
            </w:r>
          </w:p>
        </w:tc>
        <w:tc>
          <w:tcPr>
            <w:tcW w:w="4110" w:type="dxa"/>
            <w:tcMar>
              <w:left w:w="57" w:type="dxa"/>
              <w:right w:w="57" w:type="dxa"/>
            </w:tcMar>
            <w:vAlign w:val="center"/>
          </w:tcPr>
          <w:p w14:paraId="53C13B6D" w14:textId="77777777" w:rsidR="00A84742" w:rsidRPr="00CE4E0F" w:rsidRDefault="00A84742" w:rsidP="00A84742">
            <w:pPr>
              <w:tabs>
                <w:tab w:val="left" w:pos="1152"/>
                <w:tab w:val="right" w:leader="dot" w:pos="8640"/>
              </w:tabs>
              <w:spacing w:before="100" w:beforeAutospacing="1" w:after="100" w:afterAutospacing="1"/>
              <w:contextualSpacing/>
              <w:jc w:val="center"/>
              <w:rPr>
                <w:rFonts w:ascii="Arial Narrow" w:hAnsi="Arial Narrow"/>
                <w:sz w:val="20"/>
              </w:rPr>
            </w:pPr>
            <w:r w:rsidRPr="00CE4E0F">
              <w:rPr>
                <w:rFonts w:ascii="Arial Narrow" w:hAnsi="Arial Narrow"/>
                <w:sz w:val="20"/>
              </w:rPr>
              <w:t>change &lt; 2x lower 95% CI of predicted change</w:t>
            </w:r>
          </w:p>
        </w:tc>
      </w:tr>
      <w:tr w:rsidR="00CE4E0F" w:rsidRPr="00CE4E0F" w14:paraId="53C13B72" w14:textId="77777777" w:rsidTr="00DE3905">
        <w:tc>
          <w:tcPr>
            <w:tcW w:w="2405" w:type="dxa"/>
            <w:noWrap/>
            <w:tcMar>
              <w:left w:w="57" w:type="dxa"/>
              <w:right w:w="57" w:type="dxa"/>
            </w:tcMar>
          </w:tcPr>
          <w:p w14:paraId="53C13B6F" w14:textId="77777777" w:rsidR="00A84742" w:rsidRPr="00CE4E0F" w:rsidRDefault="00A84742" w:rsidP="00A84742">
            <w:pPr>
              <w:tabs>
                <w:tab w:val="left" w:pos="1152"/>
                <w:tab w:val="right" w:leader="dot" w:pos="8640"/>
              </w:tabs>
              <w:spacing w:before="100" w:beforeAutospacing="1" w:after="100" w:afterAutospacing="1"/>
              <w:contextualSpacing/>
              <w:jc w:val="left"/>
              <w:rPr>
                <w:rFonts w:ascii="Arial Narrow" w:hAnsi="Arial Narrow"/>
                <w:sz w:val="20"/>
              </w:rPr>
            </w:pPr>
            <w:r w:rsidRPr="00CE4E0F">
              <w:rPr>
                <w:rFonts w:ascii="Arial Narrow" w:hAnsi="Arial Narrow"/>
                <w:sz w:val="20"/>
              </w:rPr>
              <w:t>Proportion of algae cover classified as Macroalgae</w:t>
            </w:r>
          </w:p>
        </w:tc>
        <w:tc>
          <w:tcPr>
            <w:tcW w:w="2614" w:type="dxa"/>
            <w:noWrap/>
            <w:tcMar>
              <w:left w:w="57" w:type="dxa"/>
              <w:right w:w="57" w:type="dxa"/>
            </w:tcMar>
            <w:vAlign w:val="center"/>
          </w:tcPr>
          <w:p w14:paraId="53C13B70" w14:textId="77777777" w:rsidR="00A84742" w:rsidRPr="00CE4E0F" w:rsidRDefault="00A84742" w:rsidP="00A84742">
            <w:pPr>
              <w:tabs>
                <w:tab w:val="left" w:pos="1152"/>
                <w:tab w:val="right" w:leader="dot" w:pos="8640"/>
              </w:tabs>
              <w:spacing w:before="100" w:beforeAutospacing="1" w:after="100" w:afterAutospacing="1"/>
              <w:contextualSpacing/>
              <w:jc w:val="center"/>
              <w:rPr>
                <w:rFonts w:ascii="Arial Narrow" w:hAnsi="Arial Narrow"/>
                <w:sz w:val="20"/>
              </w:rPr>
            </w:pPr>
            <w:r w:rsidRPr="00CE4E0F">
              <w:rPr>
                <w:rFonts w:ascii="Arial Narrow" w:hAnsi="Arial Narrow"/>
                <w:sz w:val="20"/>
              </w:rPr>
              <w:t>Continuous between 0–1</w:t>
            </w:r>
          </w:p>
        </w:tc>
        <w:tc>
          <w:tcPr>
            <w:tcW w:w="4110" w:type="dxa"/>
            <w:tcMar>
              <w:left w:w="57" w:type="dxa"/>
              <w:right w:w="57" w:type="dxa"/>
            </w:tcMar>
            <w:vAlign w:val="center"/>
          </w:tcPr>
          <w:p w14:paraId="53C13B71" w14:textId="77777777" w:rsidR="00A84742" w:rsidRPr="00CE4E0F" w:rsidRDefault="00A84742" w:rsidP="00A84742">
            <w:pPr>
              <w:tabs>
                <w:tab w:val="left" w:pos="1152"/>
                <w:tab w:val="right" w:leader="dot" w:pos="8640"/>
              </w:tabs>
              <w:spacing w:before="100" w:beforeAutospacing="1" w:after="100" w:afterAutospacing="1"/>
              <w:contextualSpacing/>
              <w:jc w:val="center"/>
              <w:rPr>
                <w:rFonts w:ascii="Arial Narrow" w:hAnsi="Arial Narrow"/>
                <w:sz w:val="20"/>
              </w:rPr>
            </w:pPr>
            <w:r w:rsidRPr="00CE4E0F">
              <w:rPr>
                <w:rFonts w:ascii="Arial Narrow" w:hAnsi="Arial Narrow"/>
                <w:sz w:val="20"/>
              </w:rPr>
              <w:t>≤ reef specific lower bound and ≥ reef specific upper bound</w:t>
            </w:r>
          </w:p>
        </w:tc>
      </w:tr>
      <w:tr w:rsidR="00CE4E0F" w:rsidRPr="00CE4E0F" w14:paraId="53C13B76" w14:textId="77777777" w:rsidTr="00DE3905">
        <w:tc>
          <w:tcPr>
            <w:tcW w:w="2405" w:type="dxa"/>
            <w:vMerge w:val="restart"/>
            <w:noWrap/>
            <w:tcMar>
              <w:left w:w="57" w:type="dxa"/>
              <w:right w:w="57" w:type="dxa"/>
            </w:tcMar>
          </w:tcPr>
          <w:p w14:paraId="53C13B73" w14:textId="77777777" w:rsidR="00A84742" w:rsidRPr="00CE4E0F" w:rsidRDefault="00A84742" w:rsidP="00A84742">
            <w:pPr>
              <w:tabs>
                <w:tab w:val="left" w:pos="1152"/>
                <w:tab w:val="right" w:leader="dot" w:pos="8640"/>
              </w:tabs>
              <w:spacing w:before="100" w:beforeAutospacing="1" w:after="100" w:afterAutospacing="1"/>
              <w:contextualSpacing/>
              <w:jc w:val="left"/>
              <w:rPr>
                <w:rFonts w:ascii="Arial Narrow" w:hAnsi="Arial Narrow"/>
                <w:sz w:val="20"/>
              </w:rPr>
            </w:pPr>
            <w:r w:rsidRPr="00CE4E0F">
              <w:rPr>
                <w:rFonts w:ascii="Arial Narrow" w:hAnsi="Arial Narrow"/>
                <w:sz w:val="20"/>
              </w:rPr>
              <w:t>Density of hard coral juveniles (&lt;5 cm diameter)</w:t>
            </w:r>
          </w:p>
        </w:tc>
        <w:tc>
          <w:tcPr>
            <w:tcW w:w="2614" w:type="dxa"/>
            <w:noWrap/>
            <w:tcMar>
              <w:left w:w="57" w:type="dxa"/>
              <w:right w:w="57" w:type="dxa"/>
            </w:tcMar>
            <w:vAlign w:val="center"/>
          </w:tcPr>
          <w:p w14:paraId="53C13B74" w14:textId="77777777" w:rsidR="00A84742" w:rsidRPr="00CE4E0F" w:rsidRDefault="00A84742" w:rsidP="00A84742">
            <w:pPr>
              <w:tabs>
                <w:tab w:val="left" w:pos="1152"/>
                <w:tab w:val="right" w:leader="dot" w:pos="8640"/>
              </w:tabs>
              <w:spacing w:before="100" w:beforeAutospacing="1" w:after="100" w:afterAutospacing="1"/>
              <w:contextualSpacing/>
              <w:jc w:val="center"/>
              <w:rPr>
                <w:rFonts w:ascii="Arial Narrow" w:hAnsi="Arial Narrow"/>
                <w:sz w:val="20"/>
              </w:rPr>
            </w:pPr>
            <w:r w:rsidRPr="00CE4E0F">
              <w:rPr>
                <w:rFonts w:ascii="Arial Narrow" w:hAnsi="Arial Narrow"/>
                <w:sz w:val="20"/>
              </w:rPr>
              <w:t>1</w:t>
            </w:r>
          </w:p>
        </w:tc>
        <w:tc>
          <w:tcPr>
            <w:tcW w:w="4110" w:type="dxa"/>
            <w:tcMar>
              <w:left w:w="57" w:type="dxa"/>
              <w:right w:w="57" w:type="dxa"/>
            </w:tcMar>
            <w:vAlign w:val="center"/>
          </w:tcPr>
          <w:p w14:paraId="53C13B75" w14:textId="77777777" w:rsidR="00A84742" w:rsidRPr="00CE4E0F" w:rsidRDefault="00A84742" w:rsidP="00A84742">
            <w:pPr>
              <w:tabs>
                <w:tab w:val="left" w:pos="1152"/>
                <w:tab w:val="right" w:leader="dot" w:pos="8640"/>
              </w:tabs>
              <w:spacing w:before="100" w:beforeAutospacing="1" w:after="100" w:afterAutospacing="1"/>
              <w:contextualSpacing/>
              <w:jc w:val="center"/>
              <w:rPr>
                <w:rFonts w:ascii="Arial Narrow" w:hAnsi="Arial Narrow"/>
                <w:sz w:val="20"/>
              </w:rPr>
            </w:pPr>
            <w:r w:rsidRPr="00CE4E0F">
              <w:rPr>
                <w:rFonts w:ascii="Arial Narrow" w:hAnsi="Arial Narrow"/>
                <w:sz w:val="20"/>
              </w:rPr>
              <w:t>&gt; 13 juveniles per m2 of available substrate</w:t>
            </w:r>
          </w:p>
        </w:tc>
      </w:tr>
      <w:tr w:rsidR="00CE4E0F" w:rsidRPr="00CE4E0F" w14:paraId="53C13B7A" w14:textId="77777777" w:rsidTr="00DE3905">
        <w:tc>
          <w:tcPr>
            <w:tcW w:w="2405" w:type="dxa"/>
            <w:vMerge/>
            <w:noWrap/>
            <w:tcMar>
              <w:left w:w="57" w:type="dxa"/>
              <w:right w:w="57" w:type="dxa"/>
            </w:tcMar>
          </w:tcPr>
          <w:p w14:paraId="53C13B77" w14:textId="77777777" w:rsidR="00A84742" w:rsidRPr="00CE4E0F" w:rsidRDefault="00A84742" w:rsidP="00A84742">
            <w:pPr>
              <w:tabs>
                <w:tab w:val="left" w:pos="1152"/>
                <w:tab w:val="right" w:leader="dot" w:pos="8640"/>
              </w:tabs>
              <w:spacing w:before="100" w:beforeAutospacing="1" w:after="100" w:afterAutospacing="1"/>
              <w:contextualSpacing/>
              <w:jc w:val="left"/>
              <w:rPr>
                <w:rFonts w:ascii="Arial Narrow" w:hAnsi="Arial Narrow"/>
                <w:sz w:val="20"/>
              </w:rPr>
            </w:pPr>
          </w:p>
        </w:tc>
        <w:tc>
          <w:tcPr>
            <w:tcW w:w="2614" w:type="dxa"/>
            <w:noWrap/>
            <w:tcMar>
              <w:left w:w="57" w:type="dxa"/>
              <w:right w:w="57" w:type="dxa"/>
            </w:tcMar>
            <w:vAlign w:val="center"/>
          </w:tcPr>
          <w:p w14:paraId="53C13B78" w14:textId="77777777" w:rsidR="00A84742" w:rsidRPr="00CE4E0F" w:rsidRDefault="00A84742" w:rsidP="00A84742">
            <w:pPr>
              <w:tabs>
                <w:tab w:val="left" w:pos="1152"/>
                <w:tab w:val="right" w:leader="dot" w:pos="8640"/>
              </w:tabs>
              <w:spacing w:before="100" w:beforeAutospacing="1" w:after="100" w:afterAutospacing="1"/>
              <w:contextualSpacing/>
              <w:jc w:val="center"/>
              <w:rPr>
                <w:rFonts w:ascii="Arial Narrow" w:hAnsi="Arial Narrow"/>
                <w:sz w:val="20"/>
              </w:rPr>
            </w:pPr>
            <w:r w:rsidRPr="00CE4E0F">
              <w:rPr>
                <w:rFonts w:ascii="Arial Narrow" w:hAnsi="Arial Narrow"/>
                <w:sz w:val="20"/>
              </w:rPr>
              <w:t>Continuous between 0.4 and 1</w:t>
            </w:r>
          </w:p>
        </w:tc>
        <w:tc>
          <w:tcPr>
            <w:tcW w:w="4110" w:type="dxa"/>
            <w:tcMar>
              <w:left w:w="57" w:type="dxa"/>
              <w:right w:w="57" w:type="dxa"/>
            </w:tcMar>
            <w:vAlign w:val="center"/>
          </w:tcPr>
          <w:p w14:paraId="53C13B79" w14:textId="77777777" w:rsidR="00A84742" w:rsidRPr="00CE4E0F" w:rsidRDefault="00A84742" w:rsidP="00A84742">
            <w:pPr>
              <w:tabs>
                <w:tab w:val="left" w:pos="1152"/>
                <w:tab w:val="right" w:leader="dot" w:pos="8640"/>
              </w:tabs>
              <w:spacing w:before="100" w:beforeAutospacing="1" w:after="100" w:afterAutospacing="1"/>
              <w:contextualSpacing/>
              <w:jc w:val="center"/>
              <w:rPr>
                <w:rFonts w:ascii="Arial Narrow" w:hAnsi="Arial Narrow"/>
                <w:sz w:val="20"/>
              </w:rPr>
            </w:pPr>
            <w:r w:rsidRPr="00CE4E0F">
              <w:rPr>
                <w:rFonts w:ascii="Arial Narrow" w:hAnsi="Arial Narrow"/>
                <w:sz w:val="20"/>
              </w:rPr>
              <w:t>4.6 to 13 juveniles per m2 of available substrate</w:t>
            </w:r>
          </w:p>
        </w:tc>
      </w:tr>
      <w:tr w:rsidR="00CE4E0F" w:rsidRPr="00CE4E0F" w14:paraId="53C13B7E" w14:textId="77777777" w:rsidTr="00DE3905">
        <w:tc>
          <w:tcPr>
            <w:tcW w:w="2405" w:type="dxa"/>
            <w:vMerge/>
            <w:noWrap/>
            <w:tcMar>
              <w:left w:w="57" w:type="dxa"/>
              <w:right w:w="57" w:type="dxa"/>
            </w:tcMar>
          </w:tcPr>
          <w:p w14:paraId="53C13B7B" w14:textId="77777777" w:rsidR="00A84742" w:rsidRPr="00CE4E0F" w:rsidRDefault="00A84742" w:rsidP="00A84742">
            <w:pPr>
              <w:tabs>
                <w:tab w:val="left" w:pos="1152"/>
                <w:tab w:val="right" w:leader="dot" w:pos="8640"/>
              </w:tabs>
              <w:spacing w:before="100" w:beforeAutospacing="1" w:after="100" w:afterAutospacing="1"/>
              <w:contextualSpacing/>
              <w:jc w:val="left"/>
              <w:rPr>
                <w:rFonts w:ascii="Arial Narrow" w:hAnsi="Arial Narrow"/>
                <w:sz w:val="20"/>
              </w:rPr>
            </w:pPr>
          </w:p>
        </w:tc>
        <w:tc>
          <w:tcPr>
            <w:tcW w:w="2614" w:type="dxa"/>
            <w:noWrap/>
            <w:tcMar>
              <w:left w:w="57" w:type="dxa"/>
              <w:right w:w="57" w:type="dxa"/>
            </w:tcMar>
            <w:vAlign w:val="center"/>
          </w:tcPr>
          <w:p w14:paraId="53C13B7C" w14:textId="77777777" w:rsidR="00A84742" w:rsidRPr="00CE4E0F" w:rsidRDefault="00A84742" w:rsidP="00A84742">
            <w:pPr>
              <w:tabs>
                <w:tab w:val="left" w:pos="1152"/>
                <w:tab w:val="right" w:leader="dot" w:pos="8640"/>
              </w:tabs>
              <w:spacing w:before="100" w:beforeAutospacing="1" w:after="100" w:afterAutospacing="1"/>
              <w:contextualSpacing/>
              <w:jc w:val="center"/>
              <w:rPr>
                <w:rFonts w:ascii="Arial Narrow" w:hAnsi="Arial Narrow"/>
                <w:sz w:val="20"/>
              </w:rPr>
            </w:pPr>
            <w:r w:rsidRPr="00CE4E0F">
              <w:rPr>
                <w:rFonts w:ascii="Arial Narrow" w:hAnsi="Arial Narrow"/>
                <w:sz w:val="20"/>
              </w:rPr>
              <w:t>Continuous between 0 and 0.4</w:t>
            </w:r>
          </w:p>
        </w:tc>
        <w:tc>
          <w:tcPr>
            <w:tcW w:w="4110" w:type="dxa"/>
            <w:tcMar>
              <w:left w:w="57" w:type="dxa"/>
              <w:right w:w="57" w:type="dxa"/>
            </w:tcMar>
            <w:vAlign w:val="center"/>
          </w:tcPr>
          <w:p w14:paraId="53C13B7D" w14:textId="77777777" w:rsidR="00A84742" w:rsidRPr="00CE4E0F" w:rsidRDefault="00A84742" w:rsidP="00A84742">
            <w:pPr>
              <w:tabs>
                <w:tab w:val="left" w:pos="1152"/>
                <w:tab w:val="right" w:leader="dot" w:pos="8640"/>
              </w:tabs>
              <w:spacing w:before="100" w:beforeAutospacing="1" w:after="100" w:afterAutospacing="1"/>
              <w:contextualSpacing/>
              <w:jc w:val="center"/>
              <w:rPr>
                <w:rFonts w:ascii="Arial Narrow" w:hAnsi="Arial Narrow"/>
                <w:sz w:val="20"/>
              </w:rPr>
            </w:pPr>
            <w:r w:rsidRPr="00CE4E0F">
              <w:rPr>
                <w:rFonts w:ascii="Arial Narrow" w:hAnsi="Arial Narrow"/>
                <w:sz w:val="20"/>
              </w:rPr>
              <w:t>0 to 4.6 juveniles per m2 of available substrate</w:t>
            </w:r>
          </w:p>
        </w:tc>
      </w:tr>
      <w:tr w:rsidR="00CE4E0F" w:rsidRPr="00CE4E0F" w14:paraId="53C13B82" w14:textId="77777777" w:rsidTr="00DE3905">
        <w:tc>
          <w:tcPr>
            <w:tcW w:w="2405" w:type="dxa"/>
            <w:vMerge w:val="restart"/>
            <w:noWrap/>
            <w:tcMar>
              <w:left w:w="57" w:type="dxa"/>
              <w:right w:w="57" w:type="dxa"/>
            </w:tcMar>
          </w:tcPr>
          <w:p w14:paraId="53C13B7F" w14:textId="77777777" w:rsidR="00A84742" w:rsidRPr="00CE4E0F" w:rsidRDefault="00A84742" w:rsidP="00A84742">
            <w:pPr>
              <w:tabs>
                <w:tab w:val="left" w:pos="1152"/>
                <w:tab w:val="right" w:leader="dot" w:pos="8640"/>
              </w:tabs>
              <w:spacing w:before="100" w:beforeAutospacing="1" w:after="100" w:afterAutospacing="1"/>
              <w:contextualSpacing/>
              <w:jc w:val="left"/>
              <w:rPr>
                <w:rFonts w:ascii="Arial Narrow" w:hAnsi="Arial Narrow"/>
                <w:sz w:val="20"/>
              </w:rPr>
            </w:pPr>
            <w:r w:rsidRPr="00CE4E0F">
              <w:rPr>
                <w:rFonts w:ascii="Arial Narrow" w:hAnsi="Arial Narrow"/>
                <w:sz w:val="20"/>
              </w:rPr>
              <w:t>Composition of hard coral community</w:t>
            </w:r>
          </w:p>
        </w:tc>
        <w:tc>
          <w:tcPr>
            <w:tcW w:w="2614" w:type="dxa"/>
            <w:noWrap/>
            <w:tcMar>
              <w:left w:w="57" w:type="dxa"/>
              <w:right w:w="57" w:type="dxa"/>
            </w:tcMar>
            <w:vAlign w:val="center"/>
          </w:tcPr>
          <w:p w14:paraId="53C13B80" w14:textId="77777777" w:rsidR="00A84742" w:rsidRPr="00CE4E0F" w:rsidRDefault="00A84742" w:rsidP="00A84742">
            <w:pPr>
              <w:tabs>
                <w:tab w:val="left" w:pos="1152"/>
                <w:tab w:val="right" w:leader="dot" w:pos="8640"/>
              </w:tabs>
              <w:spacing w:before="100" w:beforeAutospacing="1" w:after="100" w:afterAutospacing="1"/>
              <w:contextualSpacing/>
              <w:jc w:val="center"/>
              <w:rPr>
                <w:rFonts w:ascii="Arial Narrow" w:hAnsi="Arial Narrow"/>
                <w:sz w:val="20"/>
              </w:rPr>
            </w:pPr>
            <w:r w:rsidRPr="00CE4E0F">
              <w:rPr>
                <w:rFonts w:ascii="Arial Narrow" w:hAnsi="Arial Narrow"/>
                <w:sz w:val="20"/>
              </w:rPr>
              <w:t>1</w:t>
            </w:r>
          </w:p>
        </w:tc>
        <w:tc>
          <w:tcPr>
            <w:tcW w:w="4110" w:type="dxa"/>
            <w:tcMar>
              <w:left w:w="57" w:type="dxa"/>
              <w:right w:w="57" w:type="dxa"/>
            </w:tcMar>
            <w:vAlign w:val="center"/>
          </w:tcPr>
          <w:p w14:paraId="53C13B81" w14:textId="77777777" w:rsidR="00A84742" w:rsidRPr="00CE4E0F" w:rsidRDefault="00A84742" w:rsidP="00A84742">
            <w:pPr>
              <w:tabs>
                <w:tab w:val="left" w:pos="1152"/>
                <w:tab w:val="right" w:leader="dot" w:pos="8640"/>
              </w:tabs>
              <w:spacing w:before="100" w:beforeAutospacing="1" w:after="100" w:afterAutospacing="1"/>
              <w:contextualSpacing/>
              <w:jc w:val="center"/>
              <w:rPr>
                <w:rFonts w:ascii="Arial Narrow" w:hAnsi="Arial Narrow"/>
                <w:sz w:val="20"/>
              </w:rPr>
            </w:pPr>
            <w:r w:rsidRPr="00CE4E0F">
              <w:rPr>
                <w:rFonts w:ascii="Arial Narrow" w:hAnsi="Arial Narrow"/>
                <w:sz w:val="20"/>
              </w:rPr>
              <w:t>Beyond 95% CI of baseline condition in the direction of improved water quality</w:t>
            </w:r>
          </w:p>
        </w:tc>
      </w:tr>
      <w:tr w:rsidR="00CE4E0F" w:rsidRPr="00CE4E0F" w14:paraId="53C13B86" w14:textId="77777777" w:rsidTr="00DE3905">
        <w:tc>
          <w:tcPr>
            <w:tcW w:w="2405" w:type="dxa"/>
            <w:vMerge/>
            <w:noWrap/>
            <w:tcMar>
              <w:left w:w="57" w:type="dxa"/>
              <w:right w:w="57" w:type="dxa"/>
            </w:tcMar>
          </w:tcPr>
          <w:p w14:paraId="53C13B83" w14:textId="77777777" w:rsidR="00A84742" w:rsidRPr="00CE4E0F" w:rsidRDefault="00A84742" w:rsidP="00A84742">
            <w:pPr>
              <w:tabs>
                <w:tab w:val="left" w:pos="1152"/>
                <w:tab w:val="right" w:leader="dot" w:pos="8640"/>
              </w:tabs>
              <w:spacing w:before="100" w:beforeAutospacing="1" w:after="100" w:afterAutospacing="1"/>
              <w:contextualSpacing/>
              <w:jc w:val="left"/>
              <w:rPr>
                <w:rFonts w:ascii="Arial Narrow" w:hAnsi="Arial Narrow"/>
                <w:sz w:val="20"/>
              </w:rPr>
            </w:pPr>
          </w:p>
        </w:tc>
        <w:tc>
          <w:tcPr>
            <w:tcW w:w="2614" w:type="dxa"/>
            <w:noWrap/>
            <w:tcMar>
              <w:left w:w="57" w:type="dxa"/>
              <w:right w:w="57" w:type="dxa"/>
            </w:tcMar>
            <w:vAlign w:val="center"/>
          </w:tcPr>
          <w:p w14:paraId="53C13B84" w14:textId="77777777" w:rsidR="00A84742" w:rsidRPr="00CE4E0F" w:rsidRDefault="00A84742" w:rsidP="00A84742">
            <w:pPr>
              <w:tabs>
                <w:tab w:val="left" w:pos="1152"/>
                <w:tab w:val="right" w:leader="dot" w:pos="8640"/>
              </w:tabs>
              <w:spacing w:before="100" w:beforeAutospacing="1" w:after="100" w:afterAutospacing="1"/>
              <w:contextualSpacing/>
              <w:jc w:val="center"/>
              <w:rPr>
                <w:rFonts w:ascii="Arial Narrow" w:hAnsi="Arial Narrow"/>
                <w:sz w:val="20"/>
              </w:rPr>
            </w:pPr>
            <w:r w:rsidRPr="00CE4E0F">
              <w:rPr>
                <w:rFonts w:ascii="Arial Narrow" w:hAnsi="Arial Narrow"/>
                <w:sz w:val="20"/>
              </w:rPr>
              <w:t>0.5</w:t>
            </w:r>
          </w:p>
        </w:tc>
        <w:tc>
          <w:tcPr>
            <w:tcW w:w="4110" w:type="dxa"/>
            <w:tcMar>
              <w:left w:w="57" w:type="dxa"/>
              <w:right w:w="57" w:type="dxa"/>
            </w:tcMar>
            <w:vAlign w:val="center"/>
          </w:tcPr>
          <w:p w14:paraId="53C13B85" w14:textId="77777777" w:rsidR="00A84742" w:rsidRPr="00CE4E0F" w:rsidRDefault="00A84742" w:rsidP="00A84742">
            <w:pPr>
              <w:tabs>
                <w:tab w:val="left" w:pos="1152"/>
                <w:tab w:val="right" w:leader="dot" w:pos="8640"/>
              </w:tabs>
              <w:spacing w:before="100" w:beforeAutospacing="1" w:after="100" w:afterAutospacing="1"/>
              <w:contextualSpacing/>
              <w:jc w:val="center"/>
              <w:rPr>
                <w:rFonts w:ascii="Arial Narrow" w:hAnsi="Arial Narrow"/>
                <w:sz w:val="20"/>
              </w:rPr>
            </w:pPr>
            <w:r w:rsidRPr="00CE4E0F">
              <w:rPr>
                <w:rFonts w:ascii="Arial Narrow" w:hAnsi="Arial Narrow"/>
                <w:sz w:val="20"/>
              </w:rPr>
              <w:t>Within 95% Confidence intervals of baseline composition</w:t>
            </w:r>
          </w:p>
        </w:tc>
      </w:tr>
      <w:tr w:rsidR="00A84742" w:rsidRPr="00CE4E0F" w14:paraId="53C13B8A" w14:textId="77777777" w:rsidTr="00DE3905">
        <w:tc>
          <w:tcPr>
            <w:tcW w:w="2405" w:type="dxa"/>
            <w:vMerge/>
            <w:noWrap/>
            <w:tcMar>
              <w:left w:w="57" w:type="dxa"/>
              <w:right w:w="57" w:type="dxa"/>
            </w:tcMar>
          </w:tcPr>
          <w:p w14:paraId="53C13B87" w14:textId="77777777" w:rsidR="00A84742" w:rsidRPr="00CE4E0F" w:rsidRDefault="00A84742" w:rsidP="00A84742">
            <w:pPr>
              <w:tabs>
                <w:tab w:val="left" w:pos="1152"/>
                <w:tab w:val="right" w:leader="dot" w:pos="8640"/>
              </w:tabs>
              <w:spacing w:before="100" w:beforeAutospacing="1" w:after="100" w:afterAutospacing="1"/>
              <w:contextualSpacing/>
              <w:jc w:val="left"/>
              <w:rPr>
                <w:rFonts w:ascii="Arial Narrow" w:hAnsi="Arial Narrow"/>
                <w:sz w:val="20"/>
              </w:rPr>
            </w:pPr>
          </w:p>
        </w:tc>
        <w:tc>
          <w:tcPr>
            <w:tcW w:w="2614" w:type="dxa"/>
            <w:noWrap/>
            <w:tcMar>
              <w:left w:w="57" w:type="dxa"/>
              <w:right w:w="57" w:type="dxa"/>
            </w:tcMar>
            <w:vAlign w:val="center"/>
          </w:tcPr>
          <w:p w14:paraId="53C13B88" w14:textId="77777777" w:rsidR="00A84742" w:rsidRPr="00CE4E0F" w:rsidRDefault="00A84742" w:rsidP="00A84742">
            <w:pPr>
              <w:tabs>
                <w:tab w:val="left" w:pos="1152"/>
                <w:tab w:val="right" w:leader="dot" w:pos="8640"/>
              </w:tabs>
              <w:spacing w:before="100" w:beforeAutospacing="1" w:after="100" w:afterAutospacing="1"/>
              <w:contextualSpacing/>
              <w:jc w:val="center"/>
              <w:rPr>
                <w:rFonts w:ascii="Arial Narrow" w:hAnsi="Arial Narrow"/>
                <w:sz w:val="20"/>
              </w:rPr>
            </w:pPr>
            <w:r w:rsidRPr="00CE4E0F">
              <w:rPr>
                <w:rFonts w:ascii="Arial Narrow" w:hAnsi="Arial Narrow"/>
                <w:sz w:val="20"/>
              </w:rPr>
              <w:t>0</w:t>
            </w:r>
          </w:p>
        </w:tc>
        <w:tc>
          <w:tcPr>
            <w:tcW w:w="4110" w:type="dxa"/>
            <w:tcMar>
              <w:left w:w="57" w:type="dxa"/>
              <w:right w:w="57" w:type="dxa"/>
            </w:tcMar>
            <w:vAlign w:val="center"/>
          </w:tcPr>
          <w:p w14:paraId="53C13B89" w14:textId="77777777" w:rsidR="00A84742" w:rsidRPr="00CE4E0F" w:rsidRDefault="00A84742" w:rsidP="00A84742">
            <w:pPr>
              <w:tabs>
                <w:tab w:val="left" w:pos="1152"/>
                <w:tab w:val="right" w:leader="dot" w:pos="8640"/>
              </w:tabs>
              <w:spacing w:before="100" w:beforeAutospacing="1" w:after="100" w:afterAutospacing="1"/>
              <w:contextualSpacing/>
              <w:jc w:val="center"/>
              <w:rPr>
                <w:rFonts w:ascii="Arial Narrow" w:hAnsi="Arial Narrow"/>
                <w:sz w:val="20"/>
              </w:rPr>
            </w:pPr>
            <w:r w:rsidRPr="00CE4E0F">
              <w:rPr>
                <w:rFonts w:ascii="Arial Narrow" w:hAnsi="Arial Narrow"/>
                <w:sz w:val="20"/>
              </w:rPr>
              <w:t>Beyond 95% CI of baseline condition in the direction of declined water quality</w:t>
            </w:r>
          </w:p>
        </w:tc>
      </w:tr>
    </w:tbl>
    <w:p w14:paraId="53C13B8B" w14:textId="77777777" w:rsidR="001A5F06" w:rsidRPr="00CE4E0F" w:rsidRDefault="005F549A" w:rsidP="006F1D4F">
      <w:pPr>
        <w:pStyle w:val="Heading2"/>
      </w:pPr>
      <w:bookmarkStart w:id="223" w:name="_Toc30596415"/>
      <w:bookmarkStart w:id="224" w:name="_Toc526246901"/>
      <w:bookmarkStart w:id="225" w:name="_Toc530654954"/>
      <w:bookmarkStart w:id="226" w:name="_Toc35947105"/>
      <w:bookmarkEnd w:id="223"/>
      <w:r>
        <w:t>D</w:t>
      </w:r>
      <w:r w:rsidR="001A5F06" w:rsidRPr="00CE4E0F">
        <w:t xml:space="preserve">ata </w:t>
      </w:r>
      <w:r w:rsidR="001A5F06" w:rsidRPr="007E0691">
        <w:t>analysis</w:t>
      </w:r>
      <w:r w:rsidR="001A5F06" w:rsidRPr="00CE4E0F">
        <w:t xml:space="preserve"> and presentation</w:t>
      </w:r>
      <w:bookmarkEnd w:id="224"/>
      <w:bookmarkEnd w:id="225"/>
      <w:bookmarkEnd w:id="226"/>
    </w:p>
    <w:p w14:paraId="53C13B8C" w14:textId="7B7BABF2" w:rsidR="00A84742" w:rsidRPr="00CE4E0F" w:rsidRDefault="005569E2" w:rsidP="00A84742">
      <w:r>
        <w:t xml:space="preserve">Observed coral community condition and relationships to variability in environmental conditions </w:t>
      </w:r>
      <w:r w:rsidR="00064142">
        <w:t xml:space="preserve">are presented </w:t>
      </w:r>
      <w:r>
        <w:t xml:space="preserve">at a range of spatial and temporal scales </w:t>
      </w:r>
      <w:r w:rsidR="001A5F06" w:rsidRPr="00CE4E0F">
        <w:t>(</w:t>
      </w:r>
      <w:r w:rsidR="001A5F06" w:rsidRPr="00CE4E0F">
        <w:fldChar w:fldCharType="begin"/>
      </w:r>
      <w:r w:rsidR="001A5F06" w:rsidRPr="00CE4E0F">
        <w:instrText xml:space="preserve"> REF _Ref514406445 \h </w:instrText>
      </w:r>
      <w:r w:rsidR="001A5F06" w:rsidRPr="00CE4E0F">
        <w:fldChar w:fldCharType="separate"/>
      </w:r>
      <w:r w:rsidR="003053D1" w:rsidRPr="00CE4E0F">
        <w:t xml:space="preserve">Table </w:t>
      </w:r>
      <w:r w:rsidR="003053D1">
        <w:rPr>
          <w:noProof/>
        </w:rPr>
        <w:t>5</w:t>
      </w:r>
      <w:r w:rsidR="001A5F06" w:rsidRPr="00CE4E0F">
        <w:fldChar w:fldCharType="end"/>
      </w:r>
      <w:r>
        <w:t>).</w:t>
      </w:r>
    </w:p>
    <w:p w14:paraId="53C13B8D" w14:textId="4565DD4F" w:rsidR="00A84742" w:rsidRPr="00CE4E0F" w:rsidRDefault="00A84742" w:rsidP="002B5296">
      <w:pPr>
        <w:pStyle w:val="Caption"/>
      </w:pPr>
      <w:bookmarkStart w:id="227" w:name="_Ref514406445"/>
      <w:bookmarkStart w:id="228" w:name="_Toc528333637"/>
      <w:bookmarkStart w:id="229" w:name="_Toc35947191"/>
      <w:r w:rsidRPr="00CE4E0F">
        <w:t xml:space="preserve">Table </w:t>
      </w:r>
      <w:r w:rsidRPr="00CE4E0F">
        <w:rPr>
          <w:noProof/>
        </w:rPr>
        <w:fldChar w:fldCharType="begin"/>
      </w:r>
      <w:r w:rsidRPr="00CE4E0F">
        <w:rPr>
          <w:noProof/>
        </w:rPr>
        <w:instrText xml:space="preserve"> SEQ Table \* ARABIC </w:instrText>
      </w:r>
      <w:r w:rsidRPr="00CE4E0F">
        <w:rPr>
          <w:noProof/>
        </w:rPr>
        <w:fldChar w:fldCharType="separate"/>
      </w:r>
      <w:r w:rsidR="003053D1">
        <w:rPr>
          <w:noProof/>
        </w:rPr>
        <w:t>5</w:t>
      </w:r>
      <w:r w:rsidRPr="00CE4E0F">
        <w:rPr>
          <w:noProof/>
        </w:rPr>
        <w:fldChar w:fldCharType="end"/>
      </w:r>
      <w:bookmarkEnd w:id="227"/>
      <w:r w:rsidRPr="00CE4E0F">
        <w:t xml:space="preserve"> </w:t>
      </w:r>
      <w:r w:rsidR="00BE0A11">
        <w:t>Format for p</w:t>
      </w:r>
      <w:r w:rsidRPr="00CE4E0F">
        <w:t>resentation of community condition</w:t>
      </w:r>
      <w:bookmarkEnd w:id="228"/>
      <w:r w:rsidRPr="00CE4E0F">
        <w:t>.</w:t>
      </w:r>
      <w:bookmarkEnd w:id="229"/>
    </w:p>
    <w:tbl>
      <w:tblPr>
        <w:tblStyle w:val="TableGrid"/>
        <w:tblW w:w="0" w:type="auto"/>
        <w:tblLook w:val="04A0" w:firstRow="1" w:lastRow="0" w:firstColumn="1" w:lastColumn="0" w:noHBand="0" w:noVBand="1"/>
        <w:tblCaption w:val="Presentation of community data"/>
        <w:tblDescription w:val="A table that summarises were various results can be located within the results and appendix. This information largely duplicates that gleened from the contents lists at the begining of the report."/>
      </w:tblPr>
      <w:tblGrid>
        <w:gridCol w:w="1277"/>
        <w:gridCol w:w="2262"/>
        <w:gridCol w:w="1418"/>
        <w:gridCol w:w="2227"/>
        <w:gridCol w:w="2445"/>
      </w:tblGrid>
      <w:tr w:rsidR="00631CC1" w:rsidRPr="00CE4E0F" w14:paraId="53C13B93" w14:textId="77777777" w:rsidTr="00D737CF">
        <w:trPr>
          <w:tblHeader/>
        </w:trPr>
        <w:tc>
          <w:tcPr>
            <w:tcW w:w="1277" w:type="dxa"/>
            <w:shd w:val="clear" w:color="auto" w:fill="auto"/>
          </w:tcPr>
          <w:p w14:paraId="53C13B8E" w14:textId="77777777" w:rsidR="00A84742" w:rsidRPr="00CE4E0F" w:rsidRDefault="00A84742" w:rsidP="00A84742">
            <w:pPr>
              <w:rPr>
                <w:rFonts w:ascii="Arial Narrow" w:hAnsi="Arial Narrow"/>
              </w:rPr>
            </w:pPr>
            <w:r w:rsidRPr="00CE4E0F">
              <w:rPr>
                <w:rFonts w:ascii="Arial Narrow" w:hAnsi="Arial Narrow"/>
              </w:rPr>
              <w:lastRenderedPageBreak/>
              <w:t>Section</w:t>
            </w:r>
          </w:p>
        </w:tc>
        <w:tc>
          <w:tcPr>
            <w:tcW w:w="2262" w:type="dxa"/>
            <w:shd w:val="clear" w:color="auto" w:fill="auto"/>
          </w:tcPr>
          <w:p w14:paraId="53C13B8F" w14:textId="77777777" w:rsidR="00A84742" w:rsidRPr="00CE4E0F" w:rsidRDefault="00A84742" w:rsidP="00A84742">
            <w:pPr>
              <w:rPr>
                <w:rFonts w:ascii="Arial Narrow" w:hAnsi="Arial Narrow"/>
              </w:rPr>
            </w:pPr>
            <w:r w:rsidRPr="00CE4E0F">
              <w:rPr>
                <w:rFonts w:ascii="Arial Narrow" w:hAnsi="Arial Narrow"/>
              </w:rPr>
              <w:t>Scope</w:t>
            </w:r>
          </w:p>
        </w:tc>
        <w:tc>
          <w:tcPr>
            <w:tcW w:w="1418" w:type="dxa"/>
            <w:shd w:val="clear" w:color="auto" w:fill="auto"/>
          </w:tcPr>
          <w:p w14:paraId="53C13B90" w14:textId="77777777" w:rsidR="00A84742" w:rsidRPr="00CE4E0F" w:rsidRDefault="00A84742" w:rsidP="00A84742">
            <w:pPr>
              <w:rPr>
                <w:rFonts w:ascii="Arial Narrow" w:hAnsi="Arial Narrow"/>
              </w:rPr>
            </w:pPr>
            <w:r w:rsidRPr="00CE4E0F">
              <w:rPr>
                <w:rFonts w:ascii="Arial Narrow" w:hAnsi="Arial Narrow"/>
              </w:rPr>
              <w:t>Scale</w:t>
            </w:r>
          </w:p>
        </w:tc>
        <w:tc>
          <w:tcPr>
            <w:tcW w:w="2227" w:type="dxa"/>
            <w:shd w:val="clear" w:color="auto" w:fill="auto"/>
          </w:tcPr>
          <w:p w14:paraId="53C13B91" w14:textId="77777777" w:rsidR="00A84742" w:rsidRPr="00CE4E0F" w:rsidRDefault="00A84742" w:rsidP="00A84742">
            <w:pPr>
              <w:rPr>
                <w:rFonts w:ascii="Arial Narrow" w:hAnsi="Arial Narrow"/>
              </w:rPr>
            </w:pPr>
            <w:r w:rsidRPr="00CE4E0F">
              <w:rPr>
                <w:rFonts w:ascii="Arial Narrow" w:hAnsi="Arial Narrow"/>
              </w:rPr>
              <w:t>Covariates</w:t>
            </w:r>
          </w:p>
        </w:tc>
        <w:tc>
          <w:tcPr>
            <w:tcW w:w="0" w:type="auto"/>
            <w:shd w:val="clear" w:color="auto" w:fill="auto"/>
          </w:tcPr>
          <w:p w14:paraId="53C13B92" w14:textId="77777777" w:rsidR="00A84742" w:rsidRPr="00CE4E0F" w:rsidRDefault="00A84742" w:rsidP="00A84742">
            <w:pPr>
              <w:rPr>
                <w:rFonts w:ascii="Arial Narrow" w:hAnsi="Arial Narrow"/>
              </w:rPr>
            </w:pPr>
            <w:r w:rsidRPr="00CE4E0F">
              <w:rPr>
                <w:rFonts w:ascii="Arial Narrow" w:hAnsi="Arial Narrow"/>
              </w:rPr>
              <w:t>Analyses/Presentation</w:t>
            </w:r>
          </w:p>
        </w:tc>
      </w:tr>
      <w:tr w:rsidR="00631CC1" w:rsidRPr="00CE4E0F" w14:paraId="53C13B99" w14:textId="77777777" w:rsidTr="00D737CF">
        <w:trPr>
          <w:tblHeader/>
        </w:trPr>
        <w:tc>
          <w:tcPr>
            <w:tcW w:w="1277" w:type="dxa"/>
            <w:shd w:val="clear" w:color="auto" w:fill="auto"/>
          </w:tcPr>
          <w:p w14:paraId="53C13B94" w14:textId="1F146DEE" w:rsidR="003D4F59" w:rsidRPr="00CE4E0F" w:rsidRDefault="000E1E75" w:rsidP="00A84742">
            <w:pPr>
              <w:jc w:val="left"/>
              <w:rPr>
                <w:rFonts w:ascii="Arial Narrow" w:hAnsi="Arial Narrow"/>
              </w:rPr>
            </w:pPr>
            <w:r>
              <w:rPr>
                <w:rFonts w:ascii="Arial Narrow" w:hAnsi="Arial Narrow"/>
              </w:rPr>
              <w:fldChar w:fldCharType="begin"/>
            </w:r>
            <w:r>
              <w:rPr>
                <w:rFonts w:ascii="Arial Narrow" w:hAnsi="Arial Narrow"/>
              </w:rPr>
              <w:instrText xml:space="preserve"> REF _Ref35860888 \r \h </w:instrText>
            </w:r>
            <w:r>
              <w:rPr>
                <w:rFonts w:ascii="Arial Narrow" w:hAnsi="Arial Narrow"/>
              </w:rPr>
            </w:r>
            <w:r>
              <w:rPr>
                <w:rFonts w:ascii="Arial Narrow" w:hAnsi="Arial Narrow"/>
              </w:rPr>
              <w:fldChar w:fldCharType="separate"/>
            </w:r>
            <w:r w:rsidR="003053D1">
              <w:rPr>
                <w:rFonts w:ascii="Arial Narrow" w:hAnsi="Arial Narrow"/>
              </w:rPr>
              <w:t>4.1</w:t>
            </w:r>
            <w:r>
              <w:rPr>
                <w:rFonts w:ascii="Arial Narrow" w:hAnsi="Arial Narrow"/>
              </w:rPr>
              <w:fldChar w:fldCharType="end"/>
            </w:r>
          </w:p>
        </w:tc>
        <w:tc>
          <w:tcPr>
            <w:tcW w:w="2262" w:type="dxa"/>
            <w:shd w:val="clear" w:color="auto" w:fill="auto"/>
          </w:tcPr>
          <w:p w14:paraId="53C13B95" w14:textId="77777777" w:rsidR="003D4F59" w:rsidRPr="00CE4E0F" w:rsidRDefault="003D4F59" w:rsidP="00A84742">
            <w:pPr>
              <w:jc w:val="left"/>
              <w:rPr>
                <w:rFonts w:ascii="Arial Narrow" w:hAnsi="Arial Narrow"/>
              </w:rPr>
            </w:pPr>
            <w:r>
              <w:rPr>
                <w:rFonts w:ascii="Arial Narrow" w:hAnsi="Arial Narrow"/>
              </w:rPr>
              <w:t>Temporal trend in coral condition</w:t>
            </w:r>
          </w:p>
        </w:tc>
        <w:tc>
          <w:tcPr>
            <w:tcW w:w="1418" w:type="dxa"/>
            <w:shd w:val="clear" w:color="auto" w:fill="auto"/>
          </w:tcPr>
          <w:p w14:paraId="53C13B96" w14:textId="77777777" w:rsidR="003D4F59" w:rsidRPr="00CE4E0F" w:rsidRDefault="006D1F1F" w:rsidP="00A84742">
            <w:pPr>
              <w:rPr>
                <w:rFonts w:ascii="Arial Narrow" w:hAnsi="Arial Narrow"/>
              </w:rPr>
            </w:pPr>
            <w:r>
              <w:rPr>
                <w:rFonts w:ascii="Arial Narrow" w:hAnsi="Arial Narrow"/>
              </w:rPr>
              <w:t>Reef</w:t>
            </w:r>
          </w:p>
        </w:tc>
        <w:tc>
          <w:tcPr>
            <w:tcW w:w="2227" w:type="dxa"/>
            <w:shd w:val="clear" w:color="auto" w:fill="auto"/>
          </w:tcPr>
          <w:p w14:paraId="53C13B97" w14:textId="77777777" w:rsidR="003D4F59" w:rsidRPr="00CE4E0F" w:rsidRDefault="006D1F1F" w:rsidP="00A84742">
            <w:pPr>
              <w:jc w:val="left"/>
              <w:rPr>
                <w:rFonts w:ascii="Arial Narrow" w:hAnsi="Arial Narrow"/>
              </w:rPr>
            </w:pPr>
            <w:r>
              <w:rPr>
                <w:rFonts w:ascii="Arial Narrow" w:hAnsi="Arial Narrow"/>
              </w:rPr>
              <w:t>Major disturbances</w:t>
            </w:r>
          </w:p>
        </w:tc>
        <w:tc>
          <w:tcPr>
            <w:tcW w:w="0" w:type="auto"/>
            <w:shd w:val="clear" w:color="auto" w:fill="auto"/>
          </w:tcPr>
          <w:p w14:paraId="53C13B98" w14:textId="77777777" w:rsidR="003D4F59" w:rsidRPr="00CE4E0F" w:rsidRDefault="006D1F1F" w:rsidP="00A84742">
            <w:pPr>
              <w:jc w:val="left"/>
              <w:rPr>
                <w:rFonts w:ascii="Arial Narrow" w:hAnsi="Arial Narrow"/>
              </w:rPr>
            </w:pPr>
            <w:r>
              <w:rPr>
                <w:rFonts w:ascii="Arial Narrow" w:hAnsi="Arial Narrow"/>
              </w:rPr>
              <w:t>Relative influence of major pressures over the time-series</w:t>
            </w:r>
          </w:p>
        </w:tc>
      </w:tr>
      <w:tr w:rsidR="004141D9" w:rsidRPr="00CE4E0F" w14:paraId="53C13B9F" w14:textId="77777777" w:rsidTr="00D737CF">
        <w:trPr>
          <w:tblHeader/>
        </w:trPr>
        <w:tc>
          <w:tcPr>
            <w:tcW w:w="1277" w:type="dxa"/>
            <w:shd w:val="clear" w:color="auto" w:fill="auto"/>
          </w:tcPr>
          <w:p w14:paraId="53C13B9A" w14:textId="77E2490E" w:rsidR="004141D9" w:rsidRPr="00CE4E0F" w:rsidRDefault="000E1E75" w:rsidP="004141D9">
            <w:pPr>
              <w:jc w:val="left"/>
              <w:rPr>
                <w:rFonts w:ascii="Arial Narrow" w:hAnsi="Arial Narrow"/>
              </w:rPr>
            </w:pPr>
            <w:r>
              <w:rPr>
                <w:rFonts w:ascii="Arial Narrow" w:hAnsi="Arial Narrow"/>
              </w:rPr>
              <w:fldChar w:fldCharType="begin"/>
            </w:r>
            <w:r>
              <w:rPr>
                <w:rFonts w:ascii="Arial Narrow" w:hAnsi="Arial Narrow"/>
              </w:rPr>
              <w:instrText xml:space="preserve"> REF _Ref35860900 \r \h </w:instrText>
            </w:r>
            <w:r>
              <w:rPr>
                <w:rFonts w:ascii="Arial Narrow" w:hAnsi="Arial Narrow"/>
              </w:rPr>
            </w:r>
            <w:r>
              <w:rPr>
                <w:rFonts w:ascii="Arial Narrow" w:hAnsi="Arial Narrow"/>
              </w:rPr>
              <w:fldChar w:fldCharType="separate"/>
            </w:r>
            <w:r w:rsidR="003053D1">
              <w:rPr>
                <w:rFonts w:ascii="Arial Narrow" w:hAnsi="Arial Narrow"/>
              </w:rPr>
              <w:t>4.3</w:t>
            </w:r>
            <w:r>
              <w:rPr>
                <w:rFonts w:ascii="Arial Narrow" w:hAnsi="Arial Narrow"/>
              </w:rPr>
              <w:fldChar w:fldCharType="end"/>
            </w:r>
          </w:p>
        </w:tc>
        <w:tc>
          <w:tcPr>
            <w:tcW w:w="2262" w:type="dxa"/>
            <w:shd w:val="clear" w:color="auto" w:fill="auto"/>
          </w:tcPr>
          <w:p w14:paraId="53C13B9B" w14:textId="77777777" w:rsidR="004141D9" w:rsidRPr="00CE4E0F" w:rsidRDefault="004141D9" w:rsidP="004141D9">
            <w:pPr>
              <w:jc w:val="left"/>
              <w:rPr>
                <w:rFonts w:ascii="Arial Narrow" w:hAnsi="Arial Narrow"/>
              </w:rPr>
            </w:pPr>
            <w:r>
              <w:rPr>
                <w:rFonts w:ascii="Arial Narrow" w:hAnsi="Arial Narrow"/>
              </w:rPr>
              <w:t>T</w:t>
            </w:r>
            <w:r w:rsidRPr="00CE4E0F">
              <w:rPr>
                <w:rFonts w:ascii="Arial Narrow" w:hAnsi="Arial Narrow"/>
              </w:rPr>
              <w:t>rends in Coral index and individual indicators</w:t>
            </w:r>
          </w:p>
        </w:tc>
        <w:tc>
          <w:tcPr>
            <w:tcW w:w="1418" w:type="dxa"/>
            <w:shd w:val="clear" w:color="auto" w:fill="auto"/>
          </w:tcPr>
          <w:p w14:paraId="53C13B9C" w14:textId="77777777" w:rsidR="004141D9" w:rsidRDefault="004141D9" w:rsidP="004141D9">
            <w:pPr>
              <w:rPr>
                <w:rFonts w:ascii="Arial Narrow" w:hAnsi="Arial Narrow"/>
              </w:rPr>
            </w:pPr>
            <w:r>
              <w:rPr>
                <w:rFonts w:ascii="Arial Narrow" w:hAnsi="Arial Narrow"/>
              </w:rPr>
              <w:t>(Sub-)r</w:t>
            </w:r>
            <w:r w:rsidRPr="00CE4E0F">
              <w:rPr>
                <w:rFonts w:ascii="Arial Narrow" w:hAnsi="Arial Narrow"/>
              </w:rPr>
              <w:t>egional</w:t>
            </w:r>
          </w:p>
        </w:tc>
        <w:tc>
          <w:tcPr>
            <w:tcW w:w="2227" w:type="dxa"/>
            <w:shd w:val="clear" w:color="auto" w:fill="auto"/>
          </w:tcPr>
          <w:p w14:paraId="53C13B9D" w14:textId="77777777" w:rsidR="004141D9" w:rsidRPr="00CE4E0F" w:rsidRDefault="004141D9" w:rsidP="004141D9">
            <w:pPr>
              <w:jc w:val="left"/>
              <w:rPr>
                <w:rFonts w:ascii="Arial Narrow" w:hAnsi="Arial Narrow"/>
              </w:rPr>
            </w:pPr>
          </w:p>
        </w:tc>
        <w:tc>
          <w:tcPr>
            <w:tcW w:w="0" w:type="auto"/>
            <w:shd w:val="clear" w:color="auto" w:fill="auto"/>
          </w:tcPr>
          <w:p w14:paraId="53C13B9E" w14:textId="77777777" w:rsidR="004141D9" w:rsidRPr="00CE4E0F" w:rsidRDefault="004141D9" w:rsidP="004141D9">
            <w:pPr>
              <w:jc w:val="left"/>
              <w:rPr>
                <w:rFonts w:ascii="Arial Narrow" w:hAnsi="Arial Narrow"/>
              </w:rPr>
            </w:pPr>
            <w:r w:rsidRPr="00CE4E0F">
              <w:rPr>
                <w:rFonts w:ascii="Arial Narrow" w:hAnsi="Arial Narrow"/>
              </w:rPr>
              <w:t xml:space="preserve">Generalised </w:t>
            </w:r>
            <w:r>
              <w:rPr>
                <w:rFonts w:ascii="Arial Narrow" w:hAnsi="Arial Narrow"/>
              </w:rPr>
              <w:t>linear mixed</w:t>
            </w:r>
            <w:r w:rsidRPr="00CE4E0F">
              <w:rPr>
                <w:rFonts w:ascii="Arial Narrow" w:hAnsi="Arial Narrow"/>
              </w:rPr>
              <w:t xml:space="preserve"> </w:t>
            </w:r>
            <w:r>
              <w:rPr>
                <w:rFonts w:ascii="Arial Narrow" w:hAnsi="Arial Narrow"/>
              </w:rPr>
              <w:t>m</w:t>
            </w:r>
            <w:r w:rsidRPr="00CE4E0F">
              <w:rPr>
                <w:rFonts w:ascii="Arial Narrow" w:hAnsi="Arial Narrow"/>
              </w:rPr>
              <w:t>odels</w:t>
            </w:r>
            <w:r>
              <w:rPr>
                <w:rFonts w:ascii="Arial Narrow" w:hAnsi="Arial Narrow"/>
              </w:rPr>
              <w:t>; pairwise comparisons</w:t>
            </w:r>
          </w:p>
        </w:tc>
      </w:tr>
      <w:tr w:rsidR="004141D9" w:rsidRPr="00CE4E0F" w14:paraId="53C13BA5" w14:textId="77777777" w:rsidTr="00D737CF">
        <w:trPr>
          <w:tblHeader/>
        </w:trPr>
        <w:tc>
          <w:tcPr>
            <w:tcW w:w="1277" w:type="dxa"/>
            <w:shd w:val="clear" w:color="auto" w:fill="auto"/>
          </w:tcPr>
          <w:p w14:paraId="53C13BA0" w14:textId="53CC1AC9" w:rsidR="004141D9" w:rsidRPr="00CE4E0F" w:rsidRDefault="00F4688B" w:rsidP="004141D9">
            <w:pPr>
              <w:jc w:val="left"/>
              <w:rPr>
                <w:rFonts w:ascii="Arial Narrow" w:hAnsi="Arial Narrow"/>
              </w:rPr>
            </w:pPr>
            <w:r>
              <w:rPr>
                <w:rFonts w:ascii="Arial Narrow" w:hAnsi="Arial Narrow"/>
              </w:rPr>
              <w:fldChar w:fldCharType="begin"/>
            </w:r>
            <w:r>
              <w:rPr>
                <w:rFonts w:ascii="Arial Narrow" w:hAnsi="Arial Narrow"/>
              </w:rPr>
              <w:instrText xml:space="preserve"> REF _Ref35860950 \r \h </w:instrText>
            </w:r>
            <w:r>
              <w:rPr>
                <w:rFonts w:ascii="Arial Narrow" w:hAnsi="Arial Narrow"/>
              </w:rPr>
            </w:r>
            <w:r>
              <w:rPr>
                <w:rFonts w:ascii="Arial Narrow" w:hAnsi="Arial Narrow"/>
              </w:rPr>
              <w:fldChar w:fldCharType="separate"/>
            </w:r>
            <w:r w:rsidR="003053D1">
              <w:rPr>
                <w:rFonts w:ascii="Arial Narrow" w:hAnsi="Arial Narrow"/>
              </w:rPr>
              <w:t>4.7.1</w:t>
            </w:r>
            <w:r>
              <w:rPr>
                <w:rFonts w:ascii="Arial Narrow" w:hAnsi="Arial Narrow"/>
              </w:rPr>
              <w:fldChar w:fldCharType="end"/>
            </w:r>
          </w:p>
        </w:tc>
        <w:tc>
          <w:tcPr>
            <w:tcW w:w="2262" w:type="dxa"/>
            <w:shd w:val="clear" w:color="auto" w:fill="auto"/>
          </w:tcPr>
          <w:p w14:paraId="53C13BA1" w14:textId="77777777" w:rsidR="004141D9" w:rsidRPr="00CE4E0F" w:rsidRDefault="004141D9" w:rsidP="004141D9">
            <w:pPr>
              <w:jc w:val="left"/>
              <w:rPr>
                <w:rFonts w:ascii="Arial Narrow" w:hAnsi="Arial Narrow"/>
              </w:rPr>
            </w:pPr>
            <w:r w:rsidRPr="00CE4E0F">
              <w:rPr>
                <w:rFonts w:ascii="Arial Narrow" w:hAnsi="Arial Narrow"/>
              </w:rPr>
              <w:t>Coral index and indicator scores in 201</w:t>
            </w:r>
            <w:r>
              <w:rPr>
                <w:rFonts w:ascii="Arial Narrow" w:hAnsi="Arial Narrow"/>
              </w:rPr>
              <w:t>9</w:t>
            </w:r>
          </w:p>
        </w:tc>
        <w:tc>
          <w:tcPr>
            <w:tcW w:w="1418" w:type="dxa"/>
            <w:shd w:val="clear" w:color="auto" w:fill="auto"/>
          </w:tcPr>
          <w:p w14:paraId="53C13BA2" w14:textId="77777777" w:rsidR="004141D9" w:rsidRPr="00CE4E0F" w:rsidRDefault="004141D9" w:rsidP="004141D9">
            <w:pPr>
              <w:rPr>
                <w:rFonts w:ascii="Arial Narrow" w:hAnsi="Arial Narrow"/>
              </w:rPr>
            </w:pPr>
            <w:r>
              <w:rPr>
                <w:rFonts w:ascii="Arial Narrow" w:hAnsi="Arial Narrow"/>
              </w:rPr>
              <w:t>Reef and Regional</w:t>
            </w:r>
          </w:p>
        </w:tc>
        <w:tc>
          <w:tcPr>
            <w:tcW w:w="2227" w:type="dxa"/>
            <w:shd w:val="clear" w:color="auto" w:fill="auto"/>
          </w:tcPr>
          <w:p w14:paraId="53C13BA3" w14:textId="77777777" w:rsidR="004141D9" w:rsidRPr="00CE4E0F" w:rsidRDefault="004141D9" w:rsidP="004141D9">
            <w:pPr>
              <w:jc w:val="left"/>
              <w:rPr>
                <w:rFonts w:ascii="Arial Narrow" w:hAnsi="Arial Narrow"/>
              </w:rPr>
            </w:pPr>
            <w:r w:rsidRPr="00CE4E0F">
              <w:rPr>
                <w:rFonts w:ascii="Arial Narrow" w:hAnsi="Arial Narrow"/>
              </w:rPr>
              <w:t xml:space="preserve">Chl </w:t>
            </w:r>
            <w:r w:rsidRPr="00CE4E0F">
              <w:rPr>
                <w:rFonts w:ascii="Arial Narrow" w:hAnsi="Arial Narrow"/>
                <w:i/>
              </w:rPr>
              <w:t>a</w:t>
            </w:r>
            <w:r w:rsidRPr="00CE4E0F">
              <w:rPr>
                <w:rFonts w:ascii="Arial Narrow" w:hAnsi="Arial Narrow"/>
              </w:rPr>
              <w:t xml:space="preserve">, Non-algal particulate concentration </w:t>
            </w:r>
          </w:p>
        </w:tc>
        <w:tc>
          <w:tcPr>
            <w:tcW w:w="0" w:type="auto"/>
            <w:shd w:val="clear" w:color="auto" w:fill="auto"/>
          </w:tcPr>
          <w:p w14:paraId="53C13BA4" w14:textId="77777777" w:rsidR="004141D9" w:rsidRPr="00CE4E0F" w:rsidRDefault="004141D9" w:rsidP="004141D9">
            <w:pPr>
              <w:jc w:val="left"/>
              <w:rPr>
                <w:rFonts w:ascii="Arial Narrow" w:hAnsi="Arial Narrow"/>
              </w:rPr>
            </w:pPr>
            <w:r w:rsidRPr="00CE4E0F">
              <w:rPr>
                <w:rFonts w:ascii="Arial Narrow" w:hAnsi="Arial Narrow"/>
              </w:rPr>
              <w:t xml:space="preserve">Generalised </w:t>
            </w:r>
            <w:r>
              <w:rPr>
                <w:rFonts w:ascii="Arial Narrow" w:hAnsi="Arial Narrow"/>
              </w:rPr>
              <w:t>linear mixed</w:t>
            </w:r>
            <w:r w:rsidRPr="00CE4E0F">
              <w:rPr>
                <w:rFonts w:ascii="Arial Narrow" w:hAnsi="Arial Narrow"/>
              </w:rPr>
              <w:t xml:space="preserve"> </w:t>
            </w:r>
            <w:r>
              <w:rPr>
                <w:rFonts w:ascii="Arial Narrow" w:hAnsi="Arial Narrow"/>
              </w:rPr>
              <w:t>m</w:t>
            </w:r>
            <w:r w:rsidRPr="00CE4E0F">
              <w:rPr>
                <w:rFonts w:ascii="Arial Narrow" w:hAnsi="Arial Narrow"/>
              </w:rPr>
              <w:t>odels</w:t>
            </w:r>
            <w:r>
              <w:rPr>
                <w:rFonts w:ascii="Arial Narrow" w:hAnsi="Arial Narrow"/>
              </w:rPr>
              <w:t>, predicted responses</w:t>
            </w:r>
          </w:p>
        </w:tc>
      </w:tr>
      <w:tr w:rsidR="004141D9" w:rsidRPr="00CE4E0F" w14:paraId="53C13BAC" w14:textId="77777777" w:rsidTr="00D737CF">
        <w:trPr>
          <w:tblHeader/>
        </w:trPr>
        <w:tc>
          <w:tcPr>
            <w:tcW w:w="1277" w:type="dxa"/>
            <w:shd w:val="clear" w:color="auto" w:fill="auto"/>
          </w:tcPr>
          <w:p w14:paraId="53C13BA6" w14:textId="3C9619E0" w:rsidR="004141D9" w:rsidRPr="00CE4E0F" w:rsidRDefault="000E1E75" w:rsidP="004141D9">
            <w:pPr>
              <w:jc w:val="left"/>
              <w:rPr>
                <w:rFonts w:ascii="Arial Narrow" w:hAnsi="Arial Narrow"/>
              </w:rPr>
            </w:pPr>
            <w:r>
              <w:rPr>
                <w:rFonts w:ascii="Arial Narrow" w:hAnsi="Arial Narrow"/>
              </w:rPr>
              <w:fldChar w:fldCharType="begin"/>
            </w:r>
            <w:r>
              <w:rPr>
                <w:rFonts w:ascii="Arial Narrow" w:hAnsi="Arial Narrow"/>
              </w:rPr>
              <w:instrText xml:space="preserve"> REF _Ref35860957 \r \h </w:instrText>
            </w:r>
            <w:r>
              <w:rPr>
                <w:rFonts w:ascii="Arial Narrow" w:hAnsi="Arial Narrow"/>
              </w:rPr>
            </w:r>
            <w:r>
              <w:rPr>
                <w:rFonts w:ascii="Arial Narrow" w:hAnsi="Arial Narrow"/>
              </w:rPr>
              <w:fldChar w:fldCharType="separate"/>
            </w:r>
            <w:r w:rsidR="003053D1">
              <w:rPr>
                <w:rFonts w:ascii="Arial Narrow" w:hAnsi="Arial Narrow"/>
              </w:rPr>
              <w:t>4.7.2</w:t>
            </w:r>
            <w:r>
              <w:rPr>
                <w:rFonts w:ascii="Arial Narrow" w:hAnsi="Arial Narrow"/>
              </w:rPr>
              <w:fldChar w:fldCharType="end"/>
            </w:r>
          </w:p>
        </w:tc>
        <w:tc>
          <w:tcPr>
            <w:tcW w:w="2262" w:type="dxa"/>
            <w:shd w:val="clear" w:color="auto" w:fill="auto"/>
          </w:tcPr>
          <w:p w14:paraId="53C13BA7" w14:textId="77777777" w:rsidR="004141D9" w:rsidRPr="00CE4E0F" w:rsidRDefault="004141D9" w:rsidP="004141D9">
            <w:pPr>
              <w:jc w:val="left"/>
              <w:rPr>
                <w:rFonts w:ascii="Arial Narrow" w:hAnsi="Arial Narrow"/>
              </w:rPr>
            </w:pPr>
            <w:r w:rsidRPr="00CE4E0F">
              <w:rPr>
                <w:rFonts w:ascii="Arial Narrow" w:hAnsi="Arial Narrow"/>
              </w:rPr>
              <w:t xml:space="preserve">Temporal variability in Coral index in relation to </w:t>
            </w:r>
            <w:r>
              <w:rPr>
                <w:rFonts w:ascii="Arial Narrow" w:hAnsi="Arial Narrow"/>
              </w:rPr>
              <w:t>water quality</w:t>
            </w:r>
          </w:p>
        </w:tc>
        <w:tc>
          <w:tcPr>
            <w:tcW w:w="1418" w:type="dxa"/>
            <w:shd w:val="clear" w:color="auto" w:fill="auto"/>
          </w:tcPr>
          <w:p w14:paraId="53C13BA8" w14:textId="77777777" w:rsidR="004141D9" w:rsidRPr="00CE4E0F" w:rsidRDefault="004141D9" w:rsidP="004141D9">
            <w:pPr>
              <w:rPr>
                <w:rFonts w:ascii="Arial Narrow" w:hAnsi="Arial Narrow"/>
              </w:rPr>
            </w:pPr>
            <w:r w:rsidRPr="00CE4E0F">
              <w:rPr>
                <w:rFonts w:ascii="Arial Narrow" w:hAnsi="Arial Narrow"/>
              </w:rPr>
              <w:t>Regional</w:t>
            </w:r>
          </w:p>
        </w:tc>
        <w:tc>
          <w:tcPr>
            <w:tcW w:w="2227" w:type="dxa"/>
            <w:shd w:val="clear" w:color="auto" w:fill="auto"/>
          </w:tcPr>
          <w:p w14:paraId="53C13BA9" w14:textId="77777777" w:rsidR="004141D9" w:rsidRDefault="004141D9" w:rsidP="004141D9">
            <w:pPr>
              <w:jc w:val="left"/>
              <w:rPr>
                <w:rFonts w:ascii="Arial Narrow" w:hAnsi="Arial Narrow"/>
              </w:rPr>
            </w:pPr>
            <w:r w:rsidRPr="00CE4E0F">
              <w:rPr>
                <w:rFonts w:ascii="Arial Narrow" w:hAnsi="Arial Narrow"/>
              </w:rPr>
              <w:t>Regional riverine</w:t>
            </w:r>
            <w:r>
              <w:rPr>
                <w:rFonts w:ascii="Arial Narrow" w:hAnsi="Arial Narrow"/>
              </w:rPr>
              <w:t>:</w:t>
            </w:r>
            <w:r w:rsidRPr="00CE4E0F">
              <w:rPr>
                <w:rFonts w:ascii="Arial Narrow" w:hAnsi="Arial Narrow"/>
              </w:rPr>
              <w:t xml:space="preserve"> discharge, Total N and Total P loads</w:t>
            </w:r>
            <w:r>
              <w:rPr>
                <w:rFonts w:ascii="Arial Narrow" w:hAnsi="Arial Narrow"/>
              </w:rPr>
              <w:t>.</w:t>
            </w:r>
          </w:p>
          <w:p w14:paraId="53C13BAA" w14:textId="77777777" w:rsidR="004141D9" w:rsidRPr="00CE4E0F" w:rsidRDefault="004141D9" w:rsidP="004141D9">
            <w:pPr>
              <w:jc w:val="left"/>
              <w:rPr>
                <w:rFonts w:ascii="Arial Narrow" w:hAnsi="Arial Narrow"/>
              </w:rPr>
            </w:pPr>
            <w:r w:rsidRPr="00CE4E0F">
              <w:rPr>
                <w:rFonts w:ascii="Arial Narrow" w:hAnsi="Arial Narrow"/>
              </w:rPr>
              <w:t xml:space="preserve"> Chl </w:t>
            </w:r>
            <w:r w:rsidRPr="00CE4E0F">
              <w:rPr>
                <w:rFonts w:ascii="Arial Narrow" w:hAnsi="Arial Narrow"/>
                <w:i/>
              </w:rPr>
              <w:t xml:space="preserve">a </w:t>
            </w:r>
            <w:r w:rsidRPr="00CE4E0F">
              <w:rPr>
                <w:rFonts w:ascii="Arial Narrow" w:hAnsi="Arial Narrow"/>
              </w:rPr>
              <w:t>exposure, NAP concentration</w:t>
            </w:r>
            <w:r>
              <w:rPr>
                <w:rFonts w:ascii="Arial Narrow" w:hAnsi="Arial Narrow"/>
              </w:rPr>
              <w:t>, PAR</w:t>
            </w:r>
          </w:p>
        </w:tc>
        <w:tc>
          <w:tcPr>
            <w:tcW w:w="0" w:type="auto"/>
            <w:shd w:val="clear" w:color="auto" w:fill="auto"/>
          </w:tcPr>
          <w:p w14:paraId="53C13BAB" w14:textId="77777777" w:rsidR="004141D9" w:rsidRPr="00CE4E0F" w:rsidRDefault="004141D9" w:rsidP="004141D9">
            <w:pPr>
              <w:jc w:val="left"/>
              <w:rPr>
                <w:rFonts w:ascii="Arial Narrow" w:hAnsi="Arial Narrow"/>
              </w:rPr>
            </w:pPr>
            <w:r w:rsidRPr="00CE4E0F">
              <w:rPr>
                <w:rFonts w:ascii="Arial Narrow" w:hAnsi="Arial Narrow"/>
              </w:rPr>
              <w:t xml:space="preserve">Generalised </w:t>
            </w:r>
            <w:r>
              <w:rPr>
                <w:rFonts w:ascii="Arial Narrow" w:hAnsi="Arial Narrow"/>
              </w:rPr>
              <w:t>a</w:t>
            </w:r>
            <w:r w:rsidRPr="00CE4E0F">
              <w:rPr>
                <w:rFonts w:ascii="Arial Narrow" w:hAnsi="Arial Narrow"/>
              </w:rPr>
              <w:t xml:space="preserve">dditive </w:t>
            </w:r>
            <w:r>
              <w:rPr>
                <w:rFonts w:ascii="Arial Narrow" w:hAnsi="Arial Narrow"/>
              </w:rPr>
              <w:t>m</w:t>
            </w:r>
            <w:r w:rsidRPr="00CE4E0F">
              <w:rPr>
                <w:rFonts w:ascii="Arial Narrow" w:hAnsi="Arial Narrow"/>
              </w:rPr>
              <w:t>odels</w:t>
            </w:r>
            <w:r>
              <w:rPr>
                <w:rFonts w:ascii="Arial Narrow" w:hAnsi="Arial Narrow"/>
              </w:rPr>
              <w:t>, predicted responses</w:t>
            </w:r>
          </w:p>
        </w:tc>
      </w:tr>
      <w:tr w:rsidR="004141D9" w:rsidRPr="00CE4E0F" w14:paraId="53C13BB2" w14:textId="77777777" w:rsidTr="00D737CF">
        <w:trPr>
          <w:tblHeader/>
        </w:trPr>
        <w:tc>
          <w:tcPr>
            <w:tcW w:w="1277" w:type="dxa"/>
            <w:vMerge w:val="restart"/>
            <w:shd w:val="clear" w:color="auto" w:fill="auto"/>
          </w:tcPr>
          <w:p w14:paraId="53C13BAD" w14:textId="593640DC" w:rsidR="004141D9" w:rsidRPr="00E86A48" w:rsidRDefault="004141D9" w:rsidP="004141D9">
            <w:pPr>
              <w:jc w:val="left"/>
              <w:rPr>
                <w:rFonts w:ascii="Arial Narrow" w:hAnsi="Arial Narrow"/>
              </w:rPr>
            </w:pPr>
            <w:r w:rsidRPr="00E86A48">
              <w:rPr>
                <w:rFonts w:ascii="Arial Narrow" w:hAnsi="Arial Narrow"/>
              </w:rPr>
              <w:fldChar w:fldCharType="begin"/>
            </w:r>
            <w:r w:rsidRPr="00E86A48">
              <w:rPr>
                <w:rFonts w:ascii="Arial Narrow" w:hAnsi="Arial Narrow"/>
              </w:rPr>
              <w:instrText xml:space="preserve"> REF _Ref503361256 \h  \* MERGEFORMAT </w:instrText>
            </w:r>
            <w:r w:rsidRPr="00E86A48">
              <w:rPr>
                <w:rFonts w:ascii="Arial Narrow" w:hAnsi="Arial Narrow"/>
              </w:rPr>
            </w:r>
            <w:r w:rsidRPr="00E86A48">
              <w:rPr>
                <w:rFonts w:ascii="Arial Narrow" w:hAnsi="Arial Narrow"/>
              </w:rPr>
              <w:fldChar w:fldCharType="separate"/>
            </w:r>
            <w:r w:rsidR="003053D1" w:rsidRPr="003053D1">
              <w:rPr>
                <w:rFonts w:ascii="Arial Narrow" w:hAnsi="Arial Narrow"/>
              </w:rPr>
              <w:t>Appendix 1: Additional Information</w:t>
            </w:r>
            <w:r w:rsidRPr="00E86A48">
              <w:rPr>
                <w:rFonts w:ascii="Arial Narrow" w:hAnsi="Arial Narrow"/>
              </w:rPr>
              <w:fldChar w:fldCharType="end"/>
            </w:r>
          </w:p>
        </w:tc>
        <w:tc>
          <w:tcPr>
            <w:tcW w:w="2262" w:type="dxa"/>
            <w:shd w:val="clear" w:color="auto" w:fill="auto"/>
          </w:tcPr>
          <w:p w14:paraId="53C13BAE" w14:textId="77777777" w:rsidR="004141D9" w:rsidRPr="00CE4E0F" w:rsidRDefault="004141D9" w:rsidP="004141D9">
            <w:pPr>
              <w:jc w:val="left"/>
              <w:rPr>
                <w:rFonts w:ascii="Arial Narrow" w:hAnsi="Arial Narrow"/>
              </w:rPr>
            </w:pPr>
            <w:r w:rsidRPr="00CE4E0F">
              <w:rPr>
                <w:rFonts w:ascii="Arial Narrow" w:hAnsi="Arial Narrow"/>
              </w:rPr>
              <w:t>Trends in benthic community composition.</w:t>
            </w:r>
          </w:p>
        </w:tc>
        <w:tc>
          <w:tcPr>
            <w:tcW w:w="1418" w:type="dxa"/>
            <w:shd w:val="clear" w:color="auto" w:fill="auto"/>
          </w:tcPr>
          <w:p w14:paraId="53C13BAF" w14:textId="77777777" w:rsidR="004141D9" w:rsidRPr="00CE4E0F" w:rsidRDefault="004141D9" w:rsidP="004141D9">
            <w:pPr>
              <w:rPr>
                <w:rFonts w:ascii="Arial Narrow" w:hAnsi="Arial Narrow"/>
              </w:rPr>
            </w:pPr>
            <w:r w:rsidRPr="00CE4E0F">
              <w:rPr>
                <w:rFonts w:ascii="Arial Narrow" w:hAnsi="Arial Narrow"/>
              </w:rPr>
              <w:t>Reef/Depth</w:t>
            </w:r>
          </w:p>
        </w:tc>
        <w:tc>
          <w:tcPr>
            <w:tcW w:w="2227" w:type="dxa"/>
            <w:shd w:val="clear" w:color="auto" w:fill="auto"/>
          </w:tcPr>
          <w:p w14:paraId="53C13BB0" w14:textId="77777777" w:rsidR="004141D9" w:rsidRPr="00CE4E0F" w:rsidRDefault="004141D9" w:rsidP="004141D9">
            <w:pPr>
              <w:rPr>
                <w:rFonts w:ascii="Arial Narrow" w:hAnsi="Arial Narrow"/>
              </w:rPr>
            </w:pPr>
          </w:p>
        </w:tc>
        <w:tc>
          <w:tcPr>
            <w:tcW w:w="0" w:type="auto"/>
            <w:shd w:val="clear" w:color="auto" w:fill="auto"/>
          </w:tcPr>
          <w:p w14:paraId="53C13BB1" w14:textId="77777777" w:rsidR="004141D9" w:rsidRPr="00CE4E0F" w:rsidRDefault="004141D9" w:rsidP="004141D9">
            <w:pPr>
              <w:jc w:val="left"/>
              <w:rPr>
                <w:rFonts w:ascii="Arial Narrow" w:hAnsi="Arial Narrow"/>
              </w:rPr>
            </w:pPr>
            <w:r w:rsidRPr="00CE4E0F">
              <w:rPr>
                <w:rFonts w:ascii="Arial Narrow" w:hAnsi="Arial Narrow"/>
              </w:rPr>
              <w:t>Plots</w:t>
            </w:r>
          </w:p>
        </w:tc>
      </w:tr>
      <w:tr w:rsidR="004141D9" w:rsidRPr="00CE4E0F" w14:paraId="53C13BB8" w14:textId="77777777" w:rsidTr="00D737CF">
        <w:trPr>
          <w:tblHeader/>
        </w:trPr>
        <w:tc>
          <w:tcPr>
            <w:tcW w:w="1277" w:type="dxa"/>
            <w:vMerge/>
            <w:shd w:val="clear" w:color="auto" w:fill="auto"/>
          </w:tcPr>
          <w:p w14:paraId="53C13BB3" w14:textId="77777777" w:rsidR="004141D9" w:rsidRPr="00CE4E0F" w:rsidRDefault="004141D9" w:rsidP="004141D9">
            <w:pPr>
              <w:rPr>
                <w:rFonts w:ascii="Arial Narrow" w:hAnsi="Arial Narrow"/>
              </w:rPr>
            </w:pPr>
          </w:p>
        </w:tc>
        <w:tc>
          <w:tcPr>
            <w:tcW w:w="2262" w:type="dxa"/>
            <w:shd w:val="clear" w:color="auto" w:fill="auto"/>
          </w:tcPr>
          <w:p w14:paraId="53C13BB4" w14:textId="77777777" w:rsidR="004141D9" w:rsidRPr="00CE4E0F" w:rsidRDefault="004141D9" w:rsidP="004141D9">
            <w:pPr>
              <w:jc w:val="left"/>
              <w:rPr>
                <w:rFonts w:ascii="Arial Narrow" w:hAnsi="Arial Narrow"/>
              </w:rPr>
            </w:pPr>
            <w:r w:rsidRPr="00CE4E0F">
              <w:rPr>
                <w:rFonts w:ascii="Arial Narrow" w:hAnsi="Arial Narrow"/>
              </w:rPr>
              <w:t>Summaries of 201</w:t>
            </w:r>
            <w:r>
              <w:rPr>
                <w:rFonts w:ascii="Arial Narrow" w:hAnsi="Arial Narrow"/>
              </w:rPr>
              <w:t xml:space="preserve">9 </w:t>
            </w:r>
            <w:r w:rsidRPr="00CE4E0F">
              <w:rPr>
                <w:rFonts w:ascii="Arial Narrow" w:hAnsi="Arial Narrow"/>
              </w:rPr>
              <w:t>observations</w:t>
            </w:r>
          </w:p>
        </w:tc>
        <w:tc>
          <w:tcPr>
            <w:tcW w:w="1418" w:type="dxa"/>
            <w:shd w:val="clear" w:color="auto" w:fill="auto"/>
          </w:tcPr>
          <w:p w14:paraId="53C13BB5" w14:textId="77777777" w:rsidR="004141D9" w:rsidRPr="00CE4E0F" w:rsidRDefault="004141D9" w:rsidP="004141D9">
            <w:pPr>
              <w:rPr>
                <w:rFonts w:ascii="Arial Narrow" w:hAnsi="Arial Narrow"/>
              </w:rPr>
            </w:pPr>
            <w:r w:rsidRPr="00CE4E0F">
              <w:rPr>
                <w:rFonts w:ascii="Arial Narrow" w:hAnsi="Arial Narrow"/>
              </w:rPr>
              <w:t>Reef/Depth</w:t>
            </w:r>
          </w:p>
        </w:tc>
        <w:tc>
          <w:tcPr>
            <w:tcW w:w="2227" w:type="dxa"/>
            <w:shd w:val="clear" w:color="auto" w:fill="auto"/>
          </w:tcPr>
          <w:p w14:paraId="53C13BB6" w14:textId="77777777" w:rsidR="004141D9" w:rsidRPr="00CE4E0F" w:rsidRDefault="004141D9" w:rsidP="004141D9">
            <w:pPr>
              <w:rPr>
                <w:rFonts w:ascii="Arial Narrow" w:hAnsi="Arial Narrow"/>
              </w:rPr>
            </w:pPr>
          </w:p>
        </w:tc>
        <w:tc>
          <w:tcPr>
            <w:tcW w:w="0" w:type="auto"/>
            <w:shd w:val="clear" w:color="auto" w:fill="auto"/>
          </w:tcPr>
          <w:p w14:paraId="53C13BB7" w14:textId="77777777" w:rsidR="004141D9" w:rsidRPr="00CE4E0F" w:rsidRDefault="004141D9" w:rsidP="004141D9">
            <w:pPr>
              <w:jc w:val="left"/>
              <w:rPr>
                <w:rFonts w:ascii="Arial Narrow" w:hAnsi="Arial Narrow"/>
              </w:rPr>
            </w:pPr>
            <w:r w:rsidRPr="00CE4E0F">
              <w:rPr>
                <w:rFonts w:ascii="Arial Narrow" w:hAnsi="Arial Narrow"/>
              </w:rPr>
              <w:t>Observed values</w:t>
            </w:r>
          </w:p>
        </w:tc>
      </w:tr>
    </w:tbl>
    <w:p w14:paraId="53C13BB9" w14:textId="77777777" w:rsidR="00A84742" w:rsidRPr="00CE4E0F" w:rsidRDefault="00A84742" w:rsidP="00727D87">
      <w:pPr>
        <w:pStyle w:val="Heading3"/>
      </w:pPr>
      <w:bookmarkStart w:id="230" w:name="_Toc526246903"/>
      <w:bookmarkStart w:id="231" w:name="_Toc530654956"/>
      <w:bookmarkStart w:id="232" w:name="_Toc35947106"/>
      <w:r w:rsidRPr="00CE4E0F">
        <w:t>Variation in index and indicator scores to gradients in water quality</w:t>
      </w:r>
      <w:bookmarkEnd w:id="230"/>
      <w:bookmarkEnd w:id="231"/>
      <w:bookmarkEnd w:id="232"/>
    </w:p>
    <w:p w14:paraId="53C13BBA" w14:textId="77777777" w:rsidR="002A3AF8" w:rsidRDefault="00A84742" w:rsidP="00A84742">
      <w:r w:rsidRPr="00CE4E0F">
        <w:t>The relationship</w:t>
      </w:r>
      <w:r w:rsidR="00BE0A11">
        <w:t>s</w:t>
      </w:r>
      <w:r w:rsidRPr="00CE4E0F">
        <w:t xml:space="preserve"> between the </w:t>
      </w:r>
      <w:r w:rsidR="00DA5B53">
        <w:t xml:space="preserve">most recent </w:t>
      </w:r>
      <w:r w:rsidRPr="00CE4E0F">
        <w:t>index or indicator scores</w:t>
      </w:r>
      <w:r w:rsidR="00FA316E">
        <w:t>,</w:t>
      </w:r>
      <w:r w:rsidRPr="00CE4E0F">
        <w:t xml:space="preserve"> </w:t>
      </w:r>
      <w:r w:rsidR="00DA5B53">
        <w:t>at each depth</w:t>
      </w:r>
      <w:r w:rsidR="00FA316E">
        <w:t>,</w:t>
      </w:r>
      <w:r w:rsidR="00DA5B53">
        <w:t xml:space="preserve"> to</w:t>
      </w:r>
      <w:r w:rsidRPr="00CE4E0F">
        <w:t xml:space="preserve"> location </w:t>
      </w:r>
      <w:r w:rsidR="00DA5B53">
        <w:t xml:space="preserve">of reefs </w:t>
      </w:r>
      <w:r w:rsidRPr="00CE4E0F">
        <w:t xml:space="preserve">along water quality gradients were explored via generalised linear </w:t>
      </w:r>
      <w:r w:rsidR="003570B3">
        <w:t xml:space="preserve">mixed </w:t>
      </w:r>
      <w:r w:rsidRPr="00CE4E0F">
        <w:t xml:space="preserve">models. Each combination of </w:t>
      </w:r>
      <w:r w:rsidR="00FA316E">
        <w:t xml:space="preserve">index or </w:t>
      </w:r>
      <w:r w:rsidRPr="00CE4E0F">
        <w:t>indicator score</w:t>
      </w:r>
      <w:r w:rsidR="00FA316E">
        <w:t>,</w:t>
      </w:r>
      <w:r w:rsidRPr="00CE4E0F">
        <w:t xml:space="preserve"> and depth</w:t>
      </w:r>
      <w:r w:rsidR="00FA316E">
        <w:t>,</w:t>
      </w:r>
      <w:r w:rsidRPr="00CE4E0F">
        <w:t xml:space="preserve"> were fit separately to two water quality proxies</w:t>
      </w:r>
      <w:r w:rsidR="002E3C15">
        <w:t>;</w:t>
      </w:r>
      <w:r w:rsidRPr="00CE4E0F">
        <w:t xml:space="preserve"> </w:t>
      </w:r>
      <w:r w:rsidR="002E3C15">
        <w:t xml:space="preserve">mean </w:t>
      </w:r>
      <w:r w:rsidRPr="00CE4E0F">
        <w:t xml:space="preserve">Chl </w:t>
      </w:r>
      <w:r w:rsidRPr="00CE4E0F">
        <w:rPr>
          <w:i/>
        </w:rPr>
        <w:t>a</w:t>
      </w:r>
      <w:r w:rsidRPr="00CE4E0F">
        <w:t xml:space="preserve"> </w:t>
      </w:r>
      <w:r w:rsidR="002E3C15">
        <w:t xml:space="preserve">and mean </w:t>
      </w:r>
      <w:r w:rsidRPr="00CE4E0F">
        <w:t>NAP</w:t>
      </w:r>
      <w:r w:rsidR="002E3C15">
        <w:t xml:space="preserve"> </w:t>
      </w:r>
      <w:r w:rsidR="003570B3">
        <w:t>concentration</w:t>
      </w:r>
      <w:r w:rsidRPr="00CE4E0F">
        <w:t xml:space="preserve">. </w:t>
      </w:r>
      <w:r w:rsidR="00FA316E">
        <w:t xml:space="preserve">Identification of general Reef-wide trends were identified on the basis that </w:t>
      </w:r>
      <w:r w:rsidR="00A83BC5" w:rsidRPr="00A83BC5">
        <w:rPr>
          <w:color w:val="111111"/>
          <w:shd w:val="clear" w:color="auto" w:fill="FFFFFF"/>
        </w:rPr>
        <w:t>Akaike information criterion</w:t>
      </w:r>
      <w:r w:rsidR="00A83BC5" w:rsidRPr="00A83BC5">
        <w:t xml:space="preserve"> </w:t>
      </w:r>
      <w:r w:rsidR="00A83BC5">
        <w:t>(</w:t>
      </w:r>
      <w:r w:rsidR="00FA316E" w:rsidRPr="00A83BC5">
        <w:t>AICc</w:t>
      </w:r>
      <w:r w:rsidR="00A83BC5">
        <w:t>)</w:t>
      </w:r>
      <w:r w:rsidR="00FA316E">
        <w:t xml:space="preserve"> values for models fitting </w:t>
      </w:r>
      <w:r w:rsidR="004A27F2">
        <w:t xml:space="preserve">indicator response to the water </w:t>
      </w:r>
      <w:r w:rsidR="00FA316E">
        <w:t xml:space="preserve">quality proxy and </w:t>
      </w:r>
      <w:r w:rsidR="002A3AF8">
        <w:t xml:space="preserve">including </w:t>
      </w:r>
      <w:r w:rsidR="00FA316E">
        <w:t>random intercepts for each region were</w:t>
      </w:r>
      <w:r w:rsidR="002A3AF8">
        <w:t>,</w:t>
      </w:r>
      <w:r w:rsidR="00FA316E">
        <w:t xml:space="preserve"> at least 2 units lower than the simpler model that did not include the </w:t>
      </w:r>
      <w:r w:rsidR="004A27F2">
        <w:t xml:space="preserve">water </w:t>
      </w:r>
      <w:r w:rsidR="002A3AF8">
        <w:t xml:space="preserve">quality proxy. As </w:t>
      </w:r>
      <w:r w:rsidRPr="00CE4E0F">
        <w:t xml:space="preserve">scores are bound by 0 and 1 </w:t>
      </w:r>
      <w:r w:rsidR="002A3AF8">
        <w:t>models assumed a Beta response distribution. Where the distribution of scores included 0 or 1 data were s</w:t>
      </w:r>
      <w:r w:rsidRPr="00CE4E0F">
        <w:t xml:space="preserve">caled as (Score*0.998) + </w:t>
      </w:r>
      <w:r w:rsidR="002E3C15">
        <w:t>0.00</w:t>
      </w:r>
      <w:r w:rsidRPr="00CE4E0F">
        <w:t xml:space="preserve">1) prior to analysis </w:t>
      </w:r>
      <w:r w:rsidR="002A3AF8">
        <w:t xml:space="preserve">to lie between 0 and 1 as defined by a </w:t>
      </w:r>
      <w:r w:rsidRPr="00CE4E0F">
        <w:t>beta distribution. The exception</w:t>
      </w:r>
      <w:r w:rsidR="009374B1">
        <w:t xml:space="preserve"> was</w:t>
      </w:r>
      <w:r w:rsidRPr="00CE4E0F">
        <w:t xml:space="preserve"> the composition indicator scores that were modelled using a probit regression due to their categorical response</w:t>
      </w:r>
      <w:r w:rsidR="00DA5B53">
        <w:t xml:space="preserve">. Indicator values for the macroalgae and composition indicators (proportion of algae cover categorised as macroalgae, and product of genus cover and </w:t>
      </w:r>
      <w:r w:rsidR="00D77D07">
        <w:t>water quality</w:t>
      </w:r>
      <w:r w:rsidR="00DA5B53">
        <w:t xml:space="preserve"> eigenvector weightings) were also examined as the scores for these indicators are based on thresholds that account for variability along water quality gradients. </w:t>
      </w:r>
      <w:r w:rsidR="00FA316E">
        <w:t xml:space="preserve">Macroalgae proportion was also fit using a beta distribution and a gaussian distribution was used for genus composition values. </w:t>
      </w:r>
    </w:p>
    <w:p w14:paraId="53C13BBB" w14:textId="77777777" w:rsidR="00A84742" w:rsidRPr="00CE4E0F" w:rsidRDefault="002A3AF8" w:rsidP="00A84742">
      <w:r>
        <w:lastRenderedPageBreak/>
        <w:t xml:space="preserve">Where relationships between index or indicator scores or indicator values were implied based on AICc comparisons, the generality of the response was further explored by </w:t>
      </w:r>
      <w:r w:rsidR="00EF007F">
        <w:t xml:space="preserve">plotting predicted responses from more complex models that also allowed for varied slopes among regions by inclusion </w:t>
      </w:r>
      <w:r w:rsidR="004A27F2">
        <w:t xml:space="preserve">of an interaction between water </w:t>
      </w:r>
      <w:r w:rsidR="00EF007F">
        <w:t xml:space="preserve">quality proxy and region to the models describe above. The results of these models are plotted and confidence intervals for slopes within each region estimated to identify the regions contribution most to the general Reef-wide trends. </w:t>
      </w:r>
      <w:r w:rsidR="0069018B">
        <w:t>G</w:t>
      </w:r>
      <w:r w:rsidR="00A84742" w:rsidRPr="00CE4E0F">
        <w:t xml:space="preserve">eneralised linear </w:t>
      </w:r>
      <w:r w:rsidR="0069018B">
        <w:t xml:space="preserve">mixed </w:t>
      </w:r>
      <w:r w:rsidR="00A84742" w:rsidRPr="00CE4E0F">
        <w:t xml:space="preserve">models were fit via the </w:t>
      </w:r>
      <w:r w:rsidR="00EF007F">
        <w:t>m</w:t>
      </w:r>
      <w:r w:rsidR="0030324D">
        <w:t>gcv</w:t>
      </w:r>
      <w:r w:rsidR="00A84742" w:rsidRPr="00CE4E0F">
        <w:t xml:space="preserve"> package (</w:t>
      </w:r>
      <w:r w:rsidR="0030324D">
        <w:t>Wood 2019</w:t>
      </w:r>
      <w:r w:rsidR="00A84742" w:rsidRPr="00CE4E0F">
        <w:t>) while the probit model for Composition was fit with the polr function in the MASS package within the R Statistical and Graphical Environment (R Core Team 2018).</w:t>
      </w:r>
    </w:p>
    <w:p w14:paraId="53C13BBC" w14:textId="77777777" w:rsidR="00A84742" w:rsidRPr="00CE4E0F" w:rsidRDefault="00A84742" w:rsidP="00727D87">
      <w:pPr>
        <w:pStyle w:val="Heading3"/>
      </w:pPr>
      <w:bookmarkStart w:id="233" w:name="_Toc526246904"/>
      <w:bookmarkStart w:id="234" w:name="_Toc530654957"/>
      <w:bookmarkStart w:id="235" w:name="_Toc35947107"/>
      <w:r w:rsidRPr="00CE4E0F">
        <w:t>Relationship between index and indicator scores and temporal variability in environmental conditions</w:t>
      </w:r>
      <w:bookmarkEnd w:id="233"/>
      <w:bookmarkEnd w:id="234"/>
      <w:bookmarkEnd w:id="235"/>
    </w:p>
    <w:p w14:paraId="53C13BBD" w14:textId="77777777" w:rsidR="00A84742" w:rsidRPr="00CE4E0F" w:rsidRDefault="00A84742" w:rsidP="00A84742">
      <w:r w:rsidRPr="00CE4E0F">
        <w:t>The response of coral communities to variation in environmental conditions was assessed by comparing changes in index scores to:</w:t>
      </w:r>
    </w:p>
    <w:p w14:paraId="53C13BBE" w14:textId="77777777" w:rsidR="00A84742" w:rsidRPr="00CE4E0F" w:rsidRDefault="00A84742" w:rsidP="00A84742">
      <w:pPr>
        <w:numPr>
          <w:ilvl w:val="0"/>
          <w:numId w:val="35"/>
        </w:numPr>
        <w:contextualSpacing/>
        <w:rPr>
          <w:lang w:eastAsia="en-GB"/>
        </w:rPr>
      </w:pPr>
      <w:r w:rsidRPr="00CE4E0F">
        <w:rPr>
          <w:lang w:eastAsia="en-GB"/>
        </w:rPr>
        <w:t>annual discharge and total N and P loads estimated from the adjacent catchments</w:t>
      </w:r>
    </w:p>
    <w:p w14:paraId="53C13BBF" w14:textId="77777777" w:rsidR="00A84742" w:rsidRPr="00CE4E0F" w:rsidRDefault="00A84742" w:rsidP="00A84742">
      <w:pPr>
        <w:numPr>
          <w:ilvl w:val="0"/>
          <w:numId w:val="35"/>
        </w:numPr>
        <w:contextualSpacing/>
        <w:rPr>
          <w:lang w:eastAsia="en-GB"/>
        </w:rPr>
      </w:pPr>
      <w:r w:rsidRPr="00CE4E0F">
        <w:rPr>
          <w:lang w:eastAsia="en-GB"/>
        </w:rPr>
        <w:t xml:space="preserve">exposure to above </w:t>
      </w:r>
      <w:r w:rsidR="008D44FC">
        <w:rPr>
          <w:lang w:eastAsia="en-GB"/>
        </w:rPr>
        <w:t>Guideline</w:t>
      </w:r>
      <w:r w:rsidR="008D44FC" w:rsidRPr="00CE4E0F">
        <w:rPr>
          <w:lang w:eastAsia="en-GB"/>
        </w:rPr>
        <w:t xml:space="preserve"> </w:t>
      </w:r>
      <w:r w:rsidRPr="00CE4E0F">
        <w:rPr>
          <w:lang w:eastAsia="en-GB"/>
        </w:rPr>
        <w:t xml:space="preserve">concentrations of Chl </w:t>
      </w:r>
      <w:r w:rsidRPr="00CE4E0F">
        <w:rPr>
          <w:i/>
          <w:lang w:eastAsia="en-GB"/>
        </w:rPr>
        <w:t>a</w:t>
      </w:r>
      <w:r w:rsidRPr="00CE4E0F">
        <w:rPr>
          <w:lang w:eastAsia="en-GB"/>
        </w:rPr>
        <w:t xml:space="preserve"> over the wet season </w:t>
      </w:r>
    </w:p>
    <w:p w14:paraId="53C13BC0" w14:textId="77777777" w:rsidR="00A84742" w:rsidRPr="00CE4E0F" w:rsidRDefault="00A84742" w:rsidP="00A84742">
      <w:pPr>
        <w:numPr>
          <w:ilvl w:val="0"/>
          <w:numId w:val="35"/>
        </w:numPr>
        <w:contextualSpacing/>
        <w:rPr>
          <w:lang w:eastAsia="en-GB"/>
        </w:rPr>
      </w:pPr>
      <w:r w:rsidRPr="00CE4E0F">
        <w:rPr>
          <w:lang w:eastAsia="en-GB"/>
        </w:rPr>
        <w:t xml:space="preserve">NAP concentrations. </w:t>
      </w:r>
    </w:p>
    <w:p w14:paraId="53C13BC1" w14:textId="77777777" w:rsidR="00A84742" w:rsidRPr="00CE4E0F" w:rsidRDefault="00A84742" w:rsidP="00A84742">
      <w:r w:rsidRPr="00CE4E0F">
        <w:t>For these analyses Generalised Additive Models (GAMs) were applied separately to results from each Region. The response variable was the biennial change in the index score (</w:t>
      </w:r>
      <w:r w:rsidRPr="00CE4E0F">
        <w:rPr>
          <w:i/>
        </w:rPr>
        <w:t>I</w:t>
      </w:r>
      <w:r w:rsidRPr="00CE4E0F">
        <w:t>) at a given reef (r) from one year (y) to the year (y+2). Biennial changes were considered due to the biennial sampling design of the program;</w:t>
      </w:r>
    </w:p>
    <w:p w14:paraId="53C13BC2" w14:textId="77777777" w:rsidR="00A84742" w:rsidRPr="00CE4E0F" w:rsidRDefault="00A84742" w:rsidP="00A84742">
      <m:oMathPara>
        <m:oMath>
          <m:r>
            <w:rPr>
              <w:rFonts w:ascii="Cambria Math" w:hAnsi="Cambria Math"/>
            </w:rPr>
            <m:t xml:space="preserve">ΔI = </m:t>
          </m:r>
          <m:sSub>
            <m:sSubPr>
              <m:ctrlPr>
                <w:rPr>
                  <w:rFonts w:ascii="Cambria Math" w:hAnsi="Cambria Math"/>
                  <w:i/>
                </w:rPr>
              </m:ctrlPr>
            </m:sSubPr>
            <m:e>
              <m:r>
                <w:rPr>
                  <w:rFonts w:ascii="Cambria Math" w:hAnsi="Cambria Math"/>
                </w:rPr>
                <m:t>I</m:t>
              </m:r>
            </m:e>
            <m:sub>
              <m:r>
                <w:rPr>
                  <w:rFonts w:ascii="Cambria Math" w:hAnsi="Cambria Math"/>
                </w:rPr>
                <m:t>ry+2</m:t>
              </m:r>
            </m:sub>
          </m:sSub>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ry</m:t>
              </m:r>
            </m:sub>
          </m:sSub>
        </m:oMath>
      </m:oMathPara>
    </w:p>
    <w:p w14:paraId="53C13BC3" w14:textId="77777777" w:rsidR="00A84742" w:rsidRPr="00CE4E0F" w:rsidRDefault="00A84742" w:rsidP="00A84742">
      <w:r w:rsidRPr="00CE4E0F">
        <w:t>Similarly, the covariate in each model were summed over the two water years ending in the survey year (y+2). To reduce confounding between the response of the index to acute disturbances, observations of change in the index at reefs categorised as being influenced by an acute disturbance event in a given biennial period were excluded.</w:t>
      </w:r>
    </w:p>
    <w:p w14:paraId="53C13BC4" w14:textId="77777777" w:rsidR="00A84742" w:rsidRPr="00CE4E0F" w:rsidRDefault="00A84742" w:rsidP="00A84742">
      <w:r w:rsidRPr="00CE4E0F">
        <w:lastRenderedPageBreak/>
        <w:t xml:space="preserve">In the first instance, GAMs allowed for the fitting of non-linear responses using natural splines; when these models did not support non-linear response, simple linear models were used. </w:t>
      </w:r>
    </w:p>
    <w:p w14:paraId="53C13BC5" w14:textId="77777777" w:rsidR="00A84742" w:rsidRPr="00CE4E0F" w:rsidRDefault="00A84742" w:rsidP="00A84742">
      <w:r w:rsidRPr="00CE4E0F">
        <w:t>All GAM models were fit via the mgcv package (Wood 201</w:t>
      </w:r>
      <w:r w:rsidR="0030324D">
        <w:t>9</w:t>
      </w:r>
      <w:r w:rsidRPr="00CE4E0F">
        <w:t>) and linear models were fit via the stats package within the R Statistical and Graphical Environment (R Core Team 2017).</w:t>
      </w:r>
    </w:p>
    <w:p w14:paraId="53C13BC6" w14:textId="77777777" w:rsidR="00A84742" w:rsidRPr="00CE4E0F" w:rsidRDefault="00A84742" w:rsidP="00727D87">
      <w:pPr>
        <w:pStyle w:val="Heading3"/>
      </w:pPr>
      <w:bookmarkStart w:id="236" w:name="_Toc35947108"/>
      <w:bookmarkStart w:id="237" w:name="_Toc526246905"/>
      <w:bookmarkStart w:id="238" w:name="_Toc530654958"/>
      <w:r w:rsidRPr="00CE4E0F">
        <w:t>Temporal trends in coral index and indicators</w:t>
      </w:r>
      <w:bookmarkEnd w:id="236"/>
      <w:r w:rsidRPr="00CE4E0F">
        <w:t xml:space="preserve"> </w:t>
      </w:r>
      <w:bookmarkEnd w:id="237"/>
      <w:bookmarkEnd w:id="238"/>
    </w:p>
    <w:p w14:paraId="53C13BC7" w14:textId="1FF53FCA" w:rsidR="00A84742" w:rsidRPr="00CE4E0F" w:rsidRDefault="00A84742" w:rsidP="00A84742">
      <w:r w:rsidRPr="00CE4E0F">
        <w:t>A panel of plots provide temporal trends in the coral condition index and the five indicators on which the index is based. The derivation of annual coral index scores and associated confidence intervals is detailed in section</w:t>
      </w:r>
      <w:r w:rsidR="004141D9">
        <w:t xml:space="preserve"> </w:t>
      </w:r>
      <w:r w:rsidR="004141D9">
        <w:fldChar w:fldCharType="begin"/>
      </w:r>
      <w:r w:rsidR="004141D9">
        <w:instrText xml:space="preserve"> REF _Ref35856084 \r \h </w:instrText>
      </w:r>
      <w:r w:rsidR="004141D9">
        <w:fldChar w:fldCharType="separate"/>
      </w:r>
      <w:r w:rsidR="003053D1">
        <w:t>2.4</w:t>
      </w:r>
      <w:r w:rsidR="004141D9">
        <w:fldChar w:fldCharType="end"/>
      </w:r>
      <w:r w:rsidRPr="00CE4E0F">
        <w:t>.</w:t>
      </w:r>
    </w:p>
    <w:p w14:paraId="53C13BC8" w14:textId="77777777" w:rsidR="00A84742" w:rsidRPr="00CE4E0F" w:rsidRDefault="00A84742" w:rsidP="00A84742">
      <w:r w:rsidRPr="00CE4E0F">
        <w:t>For each of the five indicators that inform the coral index, temporal trends and their 95% confidence intervals were derived from linear mixed effects models. Models for each indicator included a fixed effect for year and random effect for each reef and depth combination. To account for the sampling design that samples reefs on a biennial cycle, missing data were infilled with observations from the preceding year as is done for the estimation of annual index scores.</w:t>
      </w:r>
    </w:p>
    <w:p w14:paraId="53C13BC9" w14:textId="77777777" w:rsidR="00A84742" w:rsidRPr="00CE4E0F" w:rsidRDefault="00A84742" w:rsidP="00A84742">
      <w:pPr>
        <w:rPr>
          <w:rFonts w:eastAsia="MS Mincho"/>
        </w:rPr>
      </w:pPr>
      <w:r w:rsidRPr="00CE4E0F">
        <w:t>Observed trends for individual reef and depth combinations (averaged over sites) are provided as grey lines.</w:t>
      </w:r>
    </w:p>
    <w:p w14:paraId="53C13BCA" w14:textId="2675BD91" w:rsidR="00A84742" w:rsidRPr="00CE4E0F" w:rsidDel="005A4144" w:rsidRDefault="00A84742" w:rsidP="004141D9">
      <w:r w:rsidRPr="00CE4E0F" w:rsidDel="005A4144">
        <w:t xml:space="preserve">A more detailed summary of raw data for benthic cover and juvenile density at each reef and depth combination </w:t>
      </w:r>
      <w:r w:rsidRPr="00CE4E0F">
        <w:t>is</w:t>
      </w:r>
      <w:r w:rsidRPr="00CE4E0F" w:rsidDel="005A4144">
        <w:t xml:space="preserve"> presented as bar plots in Appendix</w:t>
      </w:r>
      <w:r w:rsidR="009374B1">
        <w:t xml:space="preserve"> (</w:t>
      </w:r>
      <w:r w:rsidR="009374B1">
        <w:fldChar w:fldCharType="begin"/>
      </w:r>
      <w:r w:rsidR="009374B1">
        <w:instrText xml:space="preserve"> REF _Ref528584218 \h </w:instrText>
      </w:r>
      <w:r w:rsidR="004141D9">
        <w:instrText xml:space="preserve"> \* MERGEFORMAT </w:instrText>
      </w:r>
      <w:r w:rsidR="009374B1">
        <w:fldChar w:fldCharType="separate"/>
      </w:r>
      <w:r w:rsidR="003053D1" w:rsidRPr="002445C4">
        <w:t xml:space="preserve">Figure A </w:t>
      </w:r>
      <w:r w:rsidR="003053D1">
        <w:rPr>
          <w:noProof/>
        </w:rPr>
        <w:t>1</w:t>
      </w:r>
      <w:r w:rsidR="009374B1">
        <w:fldChar w:fldCharType="end"/>
      </w:r>
      <w:r w:rsidR="009374B1">
        <w:t xml:space="preserve"> to </w:t>
      </w:r>
      <w:r w:rsidR="009374B1">
        <w:fldChar w:fldCharType="begin"/>
      </w:r>
      <w:r w:rsidR="009374B1">
        <w:instrText xml:space="preserve"> REF _Ref528592725 \h </w:instrText>
      </w:r>
      <w:r w:rsidR="004141D9">
        <w:instrText xml:space="preserve"> \* MERGEFORMAT </w:instrText>
      </w:r>
      <w:r w:rsidR="009374B1">
        <w:fldChar w:fldCharType="separate"/>
      </w:r>
      <w:r w:rsidR="003053D1" w:rsidRPr="002445C4">
        <w:t xml:space="preserve">Figure A </w:t>
      </w:r>
      <w:r w:rsidR="003053D1">
        <w:rPr>
          <w:noProof/>
        </w:rPr>
        <w:t>6</w:t>
      </w:r>
      <w:r w:rsidR="009374B1">
        <w:fldChar w:fldCharType="end"/>
      </w:r>
      <w:r w:rsidR="009374B1">
        <w:t>)</w:t>
      </w:r>
      <w:r w:rsidRPr="00CE4E0F" w:rsidDel="005A4144">
        <w:t xml:space="preserve">. These additional plots breakdown cover and density of corals to the taxonomic level of Family. Genus level </w:t>
      </w:r>
      <w:r w:rsidR="004A71AC">
        <w:t xml:space="preserve">cover </w:t>
      </w:r>
      <w:r w:rsidRPr="00CE4E0F" w:rsidDel="005A4144">
        <w:t>data for the current year only are included in</w:t>
      </w:r>
      <w:r w:rsidR="004141D9">
        <w:t xml:space="preserve"> </w:t>
      </w:r>
      <w:r w:rsidR="004141D9">
        <w:fldChar w:fldCharType="begin"/>
      </w:r>
      <w:r w:rsidR="004141D9">
        <w:instrText xml:space="preserve"> REF _Ref30756180 \h </w:instrText>
      </w:r>
      <w:r w:rsidR="004141D9">
        <w:fldChar w:fldCharType="separate"/>
      </w:r>
      <w:r w:rsidR="003053D1">
        <w:t xml:space="preserve">Table A </w:t>
      </w:r>
      <w:r w:rsidR="003053D1">
        <w:rPr>
          <w:noProof/>
        </w:rPr>
        <w:t>10</w:t>
      </w:r>
      <w:r w:rsidR="004141D9">
        <w:fldChar w:fldCharType="end"/>
      </w:r>
      <w:r w:rsidR="004141D9">
        <w:t xml:space="preserve"> to </w:t>
      </w:r>
      <w:r w:rsidR="004141D9">
        <w:fldChar w:fldCharType="begin"/>
      </w:r>
      <w:r w:rsidR="004141D9">
        <w:instrText xml:space="preserve"> REF _Ref30661025 \h </w:instrText>
      </w:r>
      <w:r w:rsidR="004141D9">
        <w:fldChar w:fldCharType="separate"/>
      </w:r>
      <w:r w:rsidR="003053D1">
        <w:t xml:space="preserve">Table A </w:t>
      </w:r>
      <w:r w:rsidR="003053D1">
        <w:rPr>
          <w:noProof/>
        </w:rPr>
        <w:t>12</w:t>
      </w:r>
      <w:r w:rsidR="004141D9">
        <w:fldChar w:fldCharType="end"/>
      </w:r>
      <w:r w:rsidRPr="00CE4E0F" w:rsidDel="005A4144">
        <w:t>.</w:t>
      </w:r>
    </w:p>
    <w:p w14:paraId="53C13BCB" w14:textId="77777777" w:rsidR="00A84742" w:rsidRPr="00CE4E0F" w:rsidRDefault="00A84742" w:rsidP="00727D87">
      <w:pPr>
        <w:pStyle w:val="Heading3"/>
      </w:pPr>
      <w:bookmarkStart w:id="239" w:name="_Toc526246906"/>
      <w:bookmarkStart w:id="240" w:name="_Toc530654959"/>
      <w:bookmarkStart w:id="241" w:name="_Toc35947109"/>
      <w:r w:rsidRPr="00CE4E0F">
        <w:t>Analysis of change in index and indicator scores</w:t>
      </w:r>
      <w:bookmarkEnd w:id="239"/>
      <w:bookmarkEnd w:id="240"/>
      <w:bookmarkEnd w:id="241"/>
    </w:p>
    <w:p w14:paraId="53C13BCC" w14:textId="77777777" w:rsidR="002B669E" w:rsidRDefault="00A84742" w:rsidP="001A5F06">
      <w:r w:rsidRPr="00CE4E0F">
        <w:t>Differences in the index, or individual indicator scores were estimated between focal years identified as local maxima or minima within the time-series of the index scores within each (sub</w:t>
      </w:r>
      <w:r w:rsidRPr="00CE4E0F">
        <w:noBreakHyphen/>
        <w:t xml:space="preserve">)region. Confidence in the magnitude of these differences are expressed as a probability that the mean difference in scores </w:t>
      </w:r>
      <w:r w:rsidRPr="00CE4E0F">
        <w:lastRenderedPageBreak/>
        <w:t>was greater or less than zero. Probabilities were estimated based on the location of zero (no difference) within the posterior distribution (n=1000) estimated from the mean and standard deviation of observed differences in scores between focal years. Probabilities were estimated separately for communities at 2 m and 5 m depths.</w:t>
      </w:r>
      <w:r w:rsidR="001A5F06" w:rsidRPr="00CE4E0F">
        <w:t xml:space="preserve"> </w:t>
      </w:r>
    </w:p>
    <w:p w14:paraId="53C13BCD" w14:textId="77777777" w:rsidR="002B669E" w:rsidRPr="00CE4E0F" w:rsidRDefault="002B669E" w:rsidP="00727D87">
      <w:pPr>
        <w:pStyle w:val="Heading3"/>
      </w:pPr>
      <w:bookmarkStart w:id="242" w:name="_Ref35869096"/>
      <w:bookmarkStart w:id="243" w:name="_Toc35947110"/>
      <w:r>
        <w:t>Response to pressures</w:t>
      </w:r>
      <w:bookmarkEnd w:id="242"/>
      <w:bookmarkEnd w:id="243"/>
    </w:p>
    <w:p w14:paraId="53C13BCE" w14:textId="35AB2752" w:rsidR="002B669E" w:rsidRPr="00CE4E0F" w:rsidRDefault="002B669E" w:rsidP="002B669E">
      <w:r w:rsidRPr="00CE4E0F">
        <w:t>The most tangible immediate effect of disturbances to coral communities is the loss of coral cover. A summary of disturbance history within each (sub</w:t>
      </w:r>
      <w:r w:rsidRPr="00CE4E0F">
        <w:noBreakHyphen/>
        <w:t xml:space="preserve">)region is presented as a bar plot of annual hard coral cover loss. The height of the bar represents the mean coral cover lost across all 2 m and 5 m sites within a region. Bars are segmented based on the proportion of loss attributed to different disturbance types. For each observation of hard coral cover at a reef and depth, the observation was categorised by any disturbance that had impacted the reef since the previous observation </w:t>
      </w:r>
      <w:r>
        <w:t>(</w:t>
      </w:r>
      <w:r>
        <w:fldChar w:fldCharType="begin"/>
      </w:r>
      <w:r>
        <w:instrText xml:space="preserve"> REF _Ref30578265 \h </w:instrText>
      </w:r>
      <w:r>
        <w:fldChar w:fldCharType="separate"/>
      </w:r>
      <w:r w:rsidR="003053D1" w:rsidRPr="00CE4E0F">
        <w:t xml:space="preserve">Table </w:t>
      </w:r>
      <w:r w:rsidR="003053D1">
        <w:rPr>
          <w:noProof/>
        </w:rPr>
        <w:t>6</w:t>
      </w:r>
      <w:r>
        <w:fldChar w:fldCharType="end"/>
      </w:r>
      <w:r>
        <w:t xml:space="preserve">) </w:t>
      </w:r>
      <w:r w:rsidRPr="00CE4E0F">
        <w:t>and the coral cover lost calculated as:</w:t>
      </w:r>
    </w:p>
    <w:p w14:paraId="53C13BCF" w14:textId="42AE95D0" w:rsidR="002B669E" w:rsidRPr="00CE4E0F" w:rsidRDefault="002B669E" w:rsidP="002B669E">
      <w:pPr>
        <w:contextualSpacing/>
        <w:rPr>
          <w:lang w:eastAsia="en-GB"/>
        </w:rPr>
      </w:pPr>
      <w:r w:rsidRPr="00CE4E0F">
        <w:rPr>
          <w:lang w:eastAsia="en-GB"/>
        </w:rPr>
        <w:br/>
      </w:r>
      <m:oMathPara>
        <m:oMath>
          <m:r>
            <w:rPr>
              <w:rFonts w:ascii="Cambria Math" w:hAnsi="Cambria Math"/>
              <w:lang w:eastAsia="en-GB"/>
            </w:rPr>
            <m:t>Loss</m:t>
          </m:r>
          <m:r>
            <m:rPr>
              <m:sty m:val="p"/>
            </m:rPr>
            <w:rPr>
              <w:rFonts w:ascii="Cambria Math" w:hAnsi="Cambria Math"/>
              <w:lang w:eastAsia="en-GB"/>
            </w:rPr>
            <m:t xml:space="preserve">= </m:t>
          </m:r>
          <m:r>
            <w:rPr>
              <w:rFonts w:ascii="Cambria Math" w:hAnsi="Cambria Math"/>
              <w:lang w:eastAsia="en-GB"/>
            </w:rPr>
            <m:t>predicted</m:t>
          </m:r>
          <m:r>
            <m:rPr>
              <m:sty m:val="p"/>
            </m:rPr>
            <w:rPr>
              <w:rFonts w:ascii="Cambria Math" w:hAnsi="Cambria Math"/>
              <w:lang w:eastAsia="en-GB"/>
            </w:rPr>
            <m:t>-</m:t>
          </m:r>
          <m:r>
            <w:rPr>
              <w:rFonts w:ascii="Cambria Math" w:hAnsi="Cambria Math"/>
              <w:lang w:eastAsia="en-GB"/>
            </w:rPr>
            <m:t xml:space="preserve"> observed</m:t>
          </m:r>
          <m:r>
            <m:rPr>
              <m:sty m:val="p"/>
            </m:rPr>
            <w:rPr>
              <w:rFonts w:ascii="Cambria Math" w:hAnsi="Cambria Math"/>
              <w:lang w:eastAsia="en-GB"/>
            </w:rPr>
            <w:br/>
          </m:r>
        </m:oMath>
      </m:oMathPara>
      <w:r w:rsidRPr="00CE4E0F">
        <w:rPr>
          <w:rFonts w:ascii="Cambria Math" w:hAnsi="Cambria Math"/>
          <w:lang w:eastAsia="en-GB"/>
        </w:rPr>
        <w:br/>
      </w:r>
      <m:oMath>
        <m:r>
          <m:rPr>
            <m:sty m:val="p"/>
          </m:rPr>
          <w:rPr>
            <w:rFonts w:ascii="Cambria Math" w:hAnsi="Cambria Math"/>
            <w:lang w:eastAsia="en-GB"/>
          </w:rPr>
          <m:t>w</m:t>
        </m:r>
      </m:oMath>
      <w:r w:rsidRPr="00CE4E0F">
        <w:rPr>
          <w:lang w:eastAsia="en-GB"/>
        </w:rPr>
        <w:t xml:space="preserve">here, </w:t>
      </w:r>
      <w:r w:rsidRPr="00CE4E0F">
        <w:rPr>
          <w:i/>
          <w:lang w:eastAsia="en-GB"/>
        </w:rPr>
        <w:t>observed</w:t>
      </w:r>
      <w:r w:rsidRPr="00CE4E0F">
        <w:rPr>
          <w:lang w:eastAsia="en-GB"/>
        </w:rPr>
        <w:t xml:space="preserve"> is the observed</w:t>
      </w:r>
      <w:r>
        <w:rPr>
          <w:lang w:eastAsia="en-GB"/>
        </w:rPr>
        <w:t xml:space="preserve"> cover of hard corals</w:t>
      </w:r>
      <w:r w:rsidRPr="00CE4E0F">
        <w:rPr>
          <w:lang w:eastAsia="en-GB"/>
        </w:rPr>
        <w:t xml:space="preserve">, and </w:t>
      </w:r>
      <w:r w:rsidRPr="00CE4E0F">
        <w:rPr>
          <w:i/>
          <w:lang w:eastAsia="en-GB"/>
        </w:rPr>
        <w:t>predicted</w:t>
      </w:r>
      <w:r w:rsidRPr="00CE4E0F">
        <w:rPr>
          <w:lang w:eastAsia="en-GB"/>
        </w:rPr>
        <w:t xml:space="preserve"> was the cover </w:t>
      </w:r>
      <w:r>
        <w:rPr>
          <w:lang w:eastAsia="en-GB"/>
        </w:rPr>
        <w:t xml:space="preserve">of hard corals </w:t>
      </w:r>
      <w:r w:rsidRPr="00CE4E0F">
        <w:rPr>
          <w:lang w:eastAsia="en-GB"/>
        </w:rPr>
        <w:t xml:space="preserve">predicted from the application of the coral growth models described for the cover change indicator (section </w:t>
      </w:r>
      <w:r w:rsidRPr="00CE4E0F">
        <w:rPr>
          <w:lang w:eastAsia="en-GB"/>
        </w:rPr>
        <w:fldChar w:fldCharType="begin"/>
      </w:r>
      <w:r w:rsidRPr="00CE4E0F">
        <w:rPr>
          <w:lang w:eastAsia="en-GB"/>
        </w:rPr>
        <w:instrText xml:space="preserve"> REF _Ref10809465 \r \h </w:instrText>
      </w:r>
      <w:r w:rsidRPr="00CE4E0F">
        <w:rPr>
          <w:lang w:eastAsia="en-GB"/>
        </w:rPr>
      </w:r>
      <w:r w:rsidRPr="00CE4E0F">
        <w:rPr>
          <w:lang w:eastAsia="en-GB"/>
        </w:rPr>
        <w:fldChar w:fldCharType="separate"/>
      </w:r>
      <w:r w:rsidR="003053D1">
        <w:rPr>
          <w:lang w:eastAsia="en-GB"/>
        </w:rPr>
        <w:t>2.4.4</w:t>
      </w:r>
      <w:r w:rsidRPr="00CE4E0F">
        <w:rPr>
          <w:lang w:eastAsia="en-GB"/>
        </w:rPr>
        <w:fldChar w:fldCharType="end"/>
      </w:r>
      <w:r w:rsidRPr="00CE4E0F">
        <w:rPr>
          <w:lang w:eastAsia="en-GB"/>
        </w:rPr>
        <w:t>). The proportion of coral cover lost per region for each disturbance type is subsequently calculated as:</w:t>
      </w:r>
    </w:p>
    <w:p w14:paraId="53C13BD0" w14:textId="77777777" w:rsidR="002B669E" w:rsidRPr="00CE4E0F" w:rsidRDefault="002B669E" w:rsidP="002B669E">
      <w:pPr>
        <w:ind w:left="357"/>
        <w:contextualSpacing/>
        <w:rPr>
          <w:lang w:eastAsia="en-GB"/>
        </w:rPr>
      </w:pPr>
    </w:p>
    <w:p w14:paraId="53C13BD1" w14:textId="77777777" w:rsidR="002B669E" w:rsidRPr="00CE4E0F" w:rsidRDefault="002B669E" w:rsidP="002B669E">
      <w:pPr>
        <w:ind w:left="357"/>
        <w:contextualSpacing/>
        <w:rPr>
          <w:lang w:eastAsia="en-GB"/>
        </w:rPr>
      </w:pPr>
      <m:oMathPara>
        <m:oMath>
          <m:r>
            <w:rPr>
              <w:rFonts w:ascii="Cambria Math" w:hAnsi="Cambria Math"/>
              <w:lang w:eastAsia="en-GB"/>
            </w:rPr>
            <m:t>proportional Loss=(</m:t>
          </m:r>
          <m:f>
            <m:fPr>
              <m:ctrlPr>
                <w:rPr>
                  <w:rFonts w:ascii="Cambria Math" w:hAnsi="Cambria Math"/>
                  <w:i/>
                  <w:lang w:eastAsia="en-GB"/>
                </w:rPr>
              </m:ctrlPr>
            </m:fPr>
            <m:num>
              <m:r>
                <w:rPr>
                  <w:rFonts w:ascii="Cambria Math" w:hAnsi="Cambria Math"/>
                  <w:lang w:eastAsia="en-GB"/>
                </w:rPr>
                <m:t>Loss</m:t>
              </m:r>
            </m:num>
            <m:den>
              <m:r>
                <w:rPr>
                  <w:rFonts w:ascii="Cambria Math" w:hAnsi="Cambria Math"/>
                  <w:lang w:eastAsia="en-GB"/>
                </w:rPr>
                <m:t>∑</m:t>
              </m:r>
              <m:sSub>
                <m:sSubPr>
                  <m:ctrlPr>
                    <w:rPr>
                      <w:rFonts w:ascii="Cambria Math" w:hAnsi="Cambria Math"/>
                      <w:i/>
                      <w:lang w:eastAsia="en-GB"/>
                    </w:rPr>
                  </m:ctrlPr>
                </m:sSubPr>
                <m:e>
                  <m:r>
                    <w:rPr>
                      <w:rFonts w:ascii="Cambria Math" w:hAnsi="Cambria Math"/>
                      <w:lang w:eastAsia="en-GB"/>
                    </w:rPr>
                    <m:t>Loss</m:t>
                  </m:r>
                </m:e>
                <m:sub>
                  <m:r>
                    <w:rPr>
                      <w:rFonts w:ascii="Cambria Math" w:hAnsi="Cambria Math"/>
                      <w:lang w:eastAsia="en-GB"/>
                    </w:rPr>
                    <m:t>r</m:t>
                  </m:r>
                </m:sub>
              </m:sSub>
            </m:den>
          </m:f>
          <m:r>
            <w:rPr>
              <w:rFonts w:ascii="Cambria Math" w:hAnsi="Cambria Math"/>
              <w:lang w:eastAsia="en-GB"/>
            </w:rPr>
            <m:t>)</m:t>
          </m:r>
        </m:oMath>
      </m:oMathPara>
    </w:p>
    <w:p w14:paraId="53C13BD2" w14:textId="77777777" w:rsidR="002B669E" w:rsidRDefault="002B669E" w:rsidP="002B669E">
      <w:pPr>
        <w:contextualSpacing/>
        <w:rPr>
          <w:lang w:eastAsia="en-GB"/>
        </w:rPr>
      </w:pPr>
      <w:r w:rsidRPr="00CE4E0F">
        <w:rPr>
          <w:lang w:eastAsia="en-GB"/>
        </w:rPr>
        <w:t xml:space="preserve">Where, </w:t>
      </w:r>
      <m:oMath>
        <m:r>
          <w:rPr>
            <w:rFonts w:ascii="Cambria Math" w:hAnsi="Cambria Math"/>
            <w:lang w:eastAsia="en-GB"/>
          </w:rPr>
          <m:t>∑</m:t>
        </m:r>
        <m:sSub>
          <m:sSubPr>
            <m:ctrlPr>
              <w:rPr>
                <w:rFonts w:ascii="Cambria Math" w:hAnsi="Cambria Math"/>
                <w:i/>
                <w:lang w:eastAsia="en-GB"/>
              </w:rPr>
            </m:ctrlPr>
          </m:sSubPr>
          <m:e>
            <m:r>
              <w:rPr>
                <w:rFonts w:ascii="Cambria Math" w:hAnsi="Cambria Math"/>
                <w:lang w:eastAsia="en-GB"/>
              </w:rPr>
              <m:t>Loss</m:t>
            </m:r>
          </m:e>
          <m:sub>
            <m:r>
              <w:rPr>
                <w:rFonts w:ascii="Cambria Math" w:hAnsi="Cambria Math"/>
                <w:lang w:eastAsia="en-GB"/>
              </w:rPr>
              <m:t>r</m:t>
            </m:r>
          </m:sub>
        </m:sSub>
      </m:oMath>
      <w:r w:rsidRPr="00CE4E0F">
        <w:rPr>
          <w:i/>
          <w:lang w:eastAsia="en-GB"/>
        </w:rPr>
        <w:t xml:space="preserve"> </w:t>
      </w:r>
      <w:r w:rsidRPr="00CE4E0F">
        <w:rPr>
          <w:lang w:eastAsia="en-GB"/>
        </w:rPr>
        <w:t xml:space="preserve">is the overall cover lost </w:t>
      </w:r>
      <w:r>
        <w:rPr>
          <w:lang w:eastAsia="en-GB"/>
        </w:rPr>
        <w:t>at the scale of interest, either Reef or (sub-)region</w:t>
      </w:r>
      <w:r w:rsidRPr="00CE4E0F">
        <w:rPr>
          <w:lang w:eastAsia="en-GB"/>
        </w:rPr>
        <w:t>.</w:t>
      </w:r>
      <w:r w:rsidRPr="00CE4E0F">
        <w:rPr>
          <w:i/>
          <w:lang w:eastAsia="en-GB"/>
        </w:rPr>
        <w:t xml:space="preserve"> </w:t>
      </w:r>
      <w:r w:rsidRPr="00CE4E0F">
        <w:rPr>
          <w:lang w:eastAsia="en-GB"/>
        </w:rPr>
        <w:t xml:space="preserve">It is important to note that, for each loss attributed to a specific disturbance any cumulative impact of water quality is implicitly included. </w:t>
      </w:r>
    </w:p>
    <w:p w14:paraId="53C13BD3" w14:textId="77777777" w:rsidR="002B669E" w:rsidRDefault="002B669E" w:rsidP="002B669E">
      <w:pPr>
        <w:contextualSpacing/>
        <w:rPr>
          <w:lang w:eastAsia="en-GB"/>
        </w:rPr>
      </w:pPr>
    </w:p>
    <w:p w14:paraId="53C13BD4" w14:textId="77777777" w:rsidR="002B669E" w:rsidRPr="00CE4E0F" w:rsidRDefault="002B669E" w:rsidP="002B669E">
      <w:pPr>
        <w:contextualSpacing/>
        <w:rPr>
          <w:lang w:eastAsia="en-GB"/>
        </w:rPr>
      </w:pPr>
      <w:r w:rsidRPr="00CE4E0F">
        <w:rPr>
          <w:lang w:eastAsia="en-GB"/>
        </w:rPr>
        <w:t xml:space="preserve">For reference among </w:t>
      </w:r>
      <w:r>
        <w:rPr>
          <w:lang w:eastAsia="en-GB"/>
        </w:rPr>
        <w:t>(sub-)</w:t>
      </w:r>
      <w:r w:rsidRPr="00CE4E0F">
        <w:rPr>
          <w:lang w:eastAsia="en-GB"/>
        </w:rPr>
        <w:t>regions the y axis of each plot was scaled to the maximum mean hard coral cover loss observed across regions in a single year (22% loss of coral cover within the Tully region in 2011).</w:t>
      </w:r>
    </w:p>
    <w:p w14:paraId="53C13BD5" w14:textId="72B771E7" w:rsidR="002B669E" w:rsidRPr="00CE4E0F" w:rsidRDefault="002B669E" w:rsidP="002B5296">
      <w:pPr>
        <w:pStyle w:val="Caption"/>
        <w:rPr>
          <w:lang w:eastAsia="en-GB"/>
        </w:rPr>
      </w:pPr>
      <w:bookmarkStart w:id="244" w:name="_Ref30578265"/>
      <w:bookmarkStart w:id="245" w:name="_Toc35947192"/>
      <w:r w:rsidRPr="00CE4E0F">
        <w:t xml:space="preserve">Table </w:t>
      </w:r>
      <w:r w:rsidRPr="00CE4E0F">
        <w:rPr>
          <w:noProof/>
        </w:rPr>
        <w:fldChar w:fldCharType="begin"/>
      </w:r>
      <w:r w:rsidRPr="00CE4E0F">
        <w:rPr>
          <w:noProof/>
        </w:rPr>
        <w:instrText xml:space="preserve"> SEQ Table \* ARABIC </w:instrText>
      </w:r>
      <w:r w:rsidRPr="00CE4E0F">
        <w:rPr>
          <w:noProof/>
        </w:rPr>
        <w:fldChar w:fldCharType="separate"/>
      </w:r>
      <w:r w:rsidR="003053D1">
        <w:rPr>
          <w:noProof/>
        </w:rPr>
        <w:t>6</w:t>
      </w:r>
      <w:r w:rsidRPr="00CE4E0F">
        <w:rPr>
          <w:noProof/>
        </w:rPr>
        <w:fldChar w:fldCharType="end"/>
      </w:r>
      <w:bookmarkEnd w:id="244"/>
      <w:r w:rsidRPr="00CE4E0F">
        <w:t xml:space="preserve"> Information considered for disturbance categorisation</w:t>
      </w:r>
      <w:bookmarkEnd w:id="245"/>
    </w:p>
    <w:tbl>
      <w:tblPr>
        <w:tblStyle w:val="TableGrid"/>
        <w:tblW w:w="0" w:type="auto"/>
        <w:tblInd w:w="360" w:type="dxa"/>
        <w:tblLook w:val="04A0" w:firstRow="1" w:lastRow="0" w:firstColumn="1" w:lastColumn="0" w:noHBand="0" w:noVBand="1"/>
        <w:tblCaption w:val="Description of data on which disturbance catergorisations were derived"/>
        <w:tblDescription w:val="Describes the bleaching was categorised based on degree heating day estimates for a region. Crown of thorns feeding activity was used as the basis for defining a COTS disturbance. River discharge and freashwater kill to categorise a flood impact. Cyclone tracks and brocken coral categorise storm damage. combinations of the above result in a multiple disturbance categorisation. Chrnic disturbance assumed when coral cove declined in tha absence of the above."/>
      </w:tblPr>
      <w:tblGrid>
        <w:gridCol w:w="1620"/>
        <w:gridCol w:w="7649"/>
      </w:tblGrid>
      <w:tr w:rsidR="002B669E" w:rsidRPr="00CE4E0F" w14:paraId="53C13BD8" w14:textId="77777777" w:rsidTr="001F7525">
        <w:trPr>
          <w:trHeight w:val="286"/>
          <w:tblHeader/>
        </w:trPr>
        <w:tc>
          <w:tcPr>
            <w:tcW w:w="1620" w:type="dxa"/>
          </w:tcPr>
          <w:p w14:paraId="53C13BD6" w14:textId="77777777" w:rsidR="002B669E" w:rsidRPr="00CE4E0F" w:rsidRDefault="002B669E" w:rsidP="001F7525">
            <w:pPr>
              <w:contextualSpacing/>
              <w:rPr>
                <w:rFonts w:ascii="Arial Narrow" w:hAnsi="Arial Narrow"/>
                <w:szCs w:val="24"/>
                <w:lang w:eastAsia="en-GB"/>
              </w:rPr>
            </w:pPr>
            <w:r>
              <w:rPr>
                <w:rFonts w:ascii="Arial Narrow" w:hAnsi="Arial Narrow"/>
                <w:szCs w:val="24"/>
                <w:lang w:eastAsia="en-GB"/>
              </w:rPr>
              <w:lastRenderedPageBreak/>
              <w:t>Disturbance</w:t>
            </w:r>
          </w:p>
        </w:tc>
        <w:tc>
          <w:tcPr>
            <w:tcW w:w="7649" w:type="dxa"/>
          </w:tcPr>
          <w:p w14:paraId="53C13BD7" w14:textId="77777777" w:rsidR="002B669E" w:rsidRPr="00CE4E0F" w:rsidRDefault="002B669E" w:rsidP="001F7525">
            <w:pPr>
              <w:contextualSpacing/>
              <w:rPr>
                <w:rFonts w:ascii="Arial Narrow" w:hAnsi="Arial Narrow"/>
                <w:szCs w:val="24"/>
                <w:lang w:eastAsia="en-GB"/>
              </w:rPr>
            </w:pPr>
            <w:r>
              <w:rPr>
                <w:rFonts w:ascii="Arial Narrow" w:hAnsi="Arial Narrow"/>
                <w:szCs w:val="24"/>
                <w:lang w:eastAsia="en-GB"/>
              </w:rPr>
              <w:t>Description</w:t>
            </w:r>
          </w:p>
        </w:tc>
      </w:tr>
      <w:tr w:rsidR="002B669E" w:rsidRPr="00CE4E0F" w14:paraId="53C13BDB" w14:textId="77777777" w:rsidTr="001F7525">
        <w:trPr>
          <w:trHeight w:val="286"/>
          <w:tblHeader/>
        </w:trPr>
        <w:tc>
          <w:tcPr>
            <w:tcW w:w="1620" w:type="dxa"/>
          </w:tcPr>
          <w:p w14:paraId="53C13BD9" w14:textId="77777777" w:rsidR="002B669E" w:rsidRPr="00CE4E0F" w:rsidRDefault="00F06BC1" w:rsidP="001F7525">
            <w:pPr>
              <w:contextualSpacing/>
              <w:rPr>
                <w:rFonts w:ascii="Arial Narrow" w:hAnsi="Arial Narrow"/>
                <w:szCs w:val="24"/>
                <w:lang w:eastAsia="en-GB"/>
              </w:rPr>
            </w:pPr>
            <w:r>
              <w:rPr>
                <w:rFonts w:ascii="Arial Narrow" w:hAnsi="Arial Narrow"/>
                <w:szCs w:val="24"/>
                <w:lang w:eastAsia="en-GB"/>
              </w:rPr>
              <w:t>Thermal b</w:t>
            </w:r>
            <w:r w:rsidR="002B669E" w:rsidRPr="00CE4E0F">
              <w:rPr>
                <w:rFonts w:ascii="Arial Narrow" w:hAnsi="Arial Narrow"/>
                <w:szCs w:val="24"/>
                <w:lang w:eastAsia="en-GB"/>
              </w:rPr>
              <w:t>leaching</w:t>
            </w:r>
          </w:p>
        </w:tc>
        <w:tc>
          <w:tcPr>
            <w:tcW w:w="7649" w:type="dxa"/>
          </w:tcPr>
          <w:p w14:paraId="53C13BDA" w14:textId="77777777" w:rsidR="002B669E" w:rsidRPr="00CE4E0F" w:rsidRDefault="002B669E" w:rsidP="001F7525">
            <w:pPr>
              <w:contextualSpacing/>
              <w:rPr>
                <w:rFonts w:ascii="Arial Narrow" w:hAnsi="Arial Narrow"/>
                <w:szCs w:val="24"/>
                <w:lang w:eastAsia="en-GB"/>
              </w:rPr>
            </w:pPr>
            <w:r w:rsidRPr="00CE4E0F">
              <w:rPr>
                <w:rFonts w:ascii="Arial Narrow" w:hAnsi="Arial Narrow"/>
                <w:szCs w:val="24"/>
                <w:lang w:eastAsia="en-GB"/>
              </w:rPr>
              <w:t xml:space="preserve">Consideration of </w:t>
            </w:r>
            <w:r w:rsidRPr="00CE4E0F">
              <w:rPr>
                <w:rFonts w:ascii="Arial Narrow" w:hAnsi="Arial Narrow"/>
                <w:i/>
                <w:szCs w:val="24"/>
                <w:lang w:eastAsia="en-GB"/>
              </w:rPr>
              <w:t xml:space="preserve">in situ </w:t>
            </w:r>
            <w:r w:rsidRPr="00CE4E0F">
              <w:rPr>
                <w:rFonts w:ascii="Arial Narrow" w:hAnsi="Arial Narrow"/>
                <w:szCs w:val="24"/>
                <w:lang w:eastAsia="en-GB"/>
              </w:rPr>
              <w:t>degree heating day estimates and reported observations of coral bleaching</w:t>
            </w:r>
          </w:p>
        </w:tc>
      </w:tr>
      <w:tr w:rsidR="002B669E" w:rsidRPr="00CE4E0F" w14:paraId="53C13BDE" w14:textId="77777777" w:rsidTr="001F7525">
        <w:trPr>
          <w:tblHeader/>
        </w:trPr>
        <w:tc>
          <w:tcPr>
            <w:tcW w:w="1620" w:type="dxa"/>
          </w:tcPr>
          <w:p w14:paraId="53C13BDC" w14:textId="77777777" w:rsidR="002B669E" w:rsidRPr="00CE4E0F" w:rsidRDefault="002B669E" w:rsidP="001F7525">
            <w:pPr>
              <w:contextualSpacing/>
              <w:rPr>
                <w:rFonts w:ascii="Arial Narrow" w:hAnsi="Arial Narrow"/>
                <w:szCs w:val="24"/>
                <w:lang w:eastAsia="en-GB"/>
              </w:rPr>
            </w:pPr>
            <w:r w:rsidRPr="00CE4E0F">
              <w:rPr>
                <w:rFonts w:ascii="Arial Narrow" w:hAnsi="Arial Narrow"/>
                <w:szCs w:val="24"/>
                <w:lang w:eastAsia="en-GB"/>
              </w:rPr>
              <w:t>crown-of-thorns starfish</w:t>
            </w:r>
          </w:p>
        </w:tc>
        <w:tc>
          <w:tcPr>
            <w:tcW w:w="7649" w:type="dxa"/>
          </w:tcPr>
          <w:p w14:paraId="53C13BDD" w14:textId="77777777" w:rsidR="002B669E" w:rsidRPr="00CE4E0F" w:rsidRDefault="002B669E" w:rsidP="001F7525">
            <w:pPr>
              <w:contextualSpacing/>
              <w:rPr>
                <w:rFonts w:ascii="Arial Narrow" w:hAnsi="Arial Narrow"/>
                <w:szCs w:val="24"/>
                <w:lang w:eastAsia="en-GB"/>
              </w:rPr>
            </w:pPr>
            <w:r w:rsidRPr="00CE4E0F">
              <w:rPr>
                <w:rFonts w:ascii="Arial Narrow" w:hAnsi="Arial Narrow"/>
                <w:szCs w:val="24"/>
                <w:lang w:eastAsia="en-GB"/>
              </w:rPr>
              <w:t>SCUBA search revealing &gt; 40 ha</w:t>
            </w:r>
            <w:r w:rsidRPr="00CE4E0F">
              <w:rPr>
                <w:rFonts w:ascii="Arial Narrow" w:hAnsi="Arial Narrow"/>
                <w:szCs w:val="24"/>
                <w:vertAlign w:val="superscript"/>
                <w:lang w:eastAsia="en-GB"/>
              </w:rPr>
              <w:t>-1</w:t>
            </w:r>
            <w:r w:rsidRPr="00CE4E0F">
              <w:rPr>
                <w:rFonts w:ascii="Arial Narrow" w:hAnsi="Arial Narrow"/>
                <w:szCs w:val="24"/>
                <w:lang w:eastAsia="en-GB"/>
              </w:rPr>
              <w:t xml:space="preserve"> density of crown-of-thorns during present or previous survey of the reef</w:t>
            </w:r>
          </w:p>
        </w:tc>
      </w:tr>
      <w:tr w:rsidR="002B669E" w:rsidRPr="00CE4E0F" w14:paraId="53C13BE1" w14:textId="77777777" w:rsidTr="001F7525">
        <w:trPr>
          <w:tblHeader/>
        </w:trPr>
        <w:tc>
          <w:tcPr>
            <w:tcW w:w="1620" w:type="dxa"/>
          </w:tcPr>
          <w:p w14:paraId="53C13BDF" w14:textId="77777777" w:rsidR="002B669E" w:rsidRPr="00CE4E0F" w:rsidRDefault="002B669E" w:rsidP="001F7525">
            <w:pPr>
              <w:contextualSpacing/>
              <w:rPr>
                <w:rFonts w:ascii="Arial Narrow" w:hAnsi="Arial Narrow"/>
                <w:szCs w:val="24"/>
                <w:lang w:eastAsia="en-GB"/>
              </w:rPr>
            </w:pPr>
            <w:r w:rsidRPr="00CE4E0F">
              <w:rPr>
                <w:rFonts w:ascii="Arial Narrow" w:hAnsi="Arial Narrow"/>
                <w:szCs w:val="24"/>
                <w:lang w:eastAsia="en-GB"/>
              </w:rPr>
              <w:t>Disease</w:t>
            </w:r>
          </w:p>
        </w:tc>
        <w:tc>
          <w:tcPr>
            <w:tcW w:w="7649" w:type="dxa"/>
          </w:tcPr>
          <w:p w14:paraId="53C13BE0" w14:textId="77777777" w:rsidR="002B669E" w:rsidRPr="00CE4E0F" w:rsidRDefault="002B669E" w:rsidP="001F7525">
            <w:pPr>
              <w:contextualSpacing/>
              <w:rPr>
                <w:rFonts w:ascii="Arial Narrow" w:hAnsi="Arial Narrow"/>
                <w:szCs w:val="24"/>
                <w:lang w:eastAsia="en-GB"/>
              </w:rPr>
            </w:pPr>
            <w:r w:rsidRPr="00CE4E0F">
              <w:rPr>
                <w:rFonts w:ascii="Arial Narrow" w:hAnsi="Arial Narrow"/>
                <w:szCs w:val="24"/>
                <w:lang w:eastAsia="en-GB"/>
              </w:rPr>
              <w:t>SCUBA search</w:t>
            </w:r>
            <w:r>
              <w:rPr>
                <w:rFonts w:ascii="Arial Narrow" w:hAnsi="Arial Narrow"/>
                <w:szCs w:val="24"/>
                <w:lang w:eastAsia="en-GB"/>
              </w:rPr>
              <w:t xml:space="preserve"> observations of </w:t>
            </w:r>
            <w:r w:rsidRPr="00CE4E0F">
              <w:rPr>
                <w:rFonts w:ascii="Arial Narrow" w:hAnsi="Arial Narrow"/>
                <w:szCs w:val="24"/>
                <w:lang w:eastAsia="en-GB"/>
              </w:rPr>
              <w:t>coral disease during present or previous survey of the reef</w:t>
            </w:r>
          </w:p>
        </w:tc>
      </w:tr>
      <w:tr w:rsidR="002B669E" w:rsidRPr="00CE4E0F" w14:paraId="53C13BE4" w14:textId="77777777" w:rsidTr="001F7525">
        <w:trPr>
          <w:tblHeader/>
        </w:trPr>
        <w:tc>
          <w:tcPr>
            <w:tcW w:w="1620" w:type="dxa"/>
          </w:tcPr>
          <w:p w14:paraId="53C13BE2" w14:textId="77777777" w:rsidR="002B669E" w:rsidRPr="00CE4E0F" w:rsidRDefault="002B669E" w:rsidP="001F7525">
            <w:pPr>
              <w:contextualSpacing/>
              <w:rPr>
                <w:rFonts w:ascii="Arial Narrow" w:hAnsi="Arial Narrow"/>
                <w:szCs w:val="24"/>
                <w:lang w:eastAsia="en-GB"/>
              </w:rPr>
            </w:pPr>
            <w:r w:rsidRPr="00CE4E0F">
              <w:rPr>
                <w:rFonts w:ascii="Arial Narrow" w:hAnsi="Arial Narrow"/>
                <w:szCs w:val="24"/>
                <w:lang w:eastAsia="en-GB"/>
              </w:rPr>
              <w:t>Flood</w:t>
            </w:r>
          </w:p>
        </w:tc>
        <w:tc>
          <w:tcPr>
            <w:tcW w:w="7649" w:type="dxa"/>
          </w:tcPr>
          <w:p w14:paraId="53C13BE3" w14:textId="77777777" w:rsidR="002B669E" w:rsidRPr="00CE4E0F" w:rsidRDefault="002B669E" w:rsidP="001F7525">
            <w:pPr>
              <w:contextualSpacing/>
              <w:rPr>
                <w:rFonts w:ascii="Arial Narrow" w:hAnsi="Arial Narrow"/>
                <w:szCs w:val="24"/>
                <w:lang w:eastAsia="en-GB"/>
              </w:rPr>
            </w:pPr>
            <w:r w:rsidRPr="00CE4E0F">
              <w:rPr>
                <w:rFonts w:ascii="Arial Narrow" w:hAnsi="Arial Narrow"/>
                <w:szCs w:val="24"/>
                <w:lang w:eastAsia="en-GB"/>
              </w:rPr>
              <w:t>Discharge from local rivers sufficient that reduced salinity at the reef sites can reasonably be inferred. An exception was classification of a flood effect in the Whitsundays region based on high levels of sediment deposition to corals. This classification has been retained for historical reasons and would not be classified as a flood effect under the current criteria</w:t>
            </w:r>
          </w:p>
        </w:tc>
      </w:tr>
      <w:tr w:rsidR="002B669E" w:rsidRPr="00CE4E0F" w14:paraId="53C13BE7" w14:textId="77777777" w:rsidTr="001F7525">
        <w:trPr>
          <w:tblHeader/>
        </w:trPr>
        <w:tc>
          <w:tcPr>
            <w:tcW w:w="1620" w:type="dxa"/>
          </w:tcPr>
          <w:p w14:paraId="53C13BE5" w14:textId="77777777" w:rsidR="002B669E" w:rsidRPr="00CE4E0F" w:rsidRDefault="002B669E" w:rsidP="001F7525">
            <w:pPr>
              <w:contextualSpacing/>
              <w:rPr>
                <w:rFonts w:ascii="Arial Narrow" w:hAnsi="Arial Narrow"/>
                <w:szCs w:val="24"/>
                <w:lang w:eastAsia="en-GB"/>
              </w:rPr>
            </w:pPr>
            <w:r w:rsidRPr="00CE4E0F">
              <w:rPr>
                <w:rFonts w:ascii="Arial Narrow" w:hAnsi="Arial Narrow"/>
                <w:szCs w:val="24"/>
                <w:lang w:eastAsia="en-GB"/>
              </w:rPr>
              <w:t>Storm</w:t>
            </w:r>
          </w:p>
        </w:tc>
        <w:tc>
          <w:tcPr>
            <w:tcW w:w="7649" w:type="dxa"/>
          </w:tcPr>
          <w:p w14:paraId="53C13BE6" w14:textId="77777777" w:rsidR="002B669E" w:rsidRPr="00CE4E0F" w:rsidRDefault="002B669E" w:rsidP="001F7525">
            <w:pPr>
              <w:contextualSpacing/>
              <w:rPr>
                <w:rFonts w:ascii="Arial Narrow" w:hAnsi="Arial Narrow"/>
                <w:szCs w:val="24"/>
                <w:lang w:eastAsia="en-GB"/>
              </w:rPr>
            </w:pPr>
            <w:r w:rsidRPr="00CE4E0F">
              <w:rPr>
                <w:rFonts w:ascii="Arial Narrow" w:hAnsi="Arial Narrow"/>
                <w:szCs w:val="24"/>
                <w:lang w:eastAsia="en-GB"/>
              </w:rPr>
              <w:t>Observations of physical damage to corals during survey that can reasonably be attributable to a storm or cyclone event based on nature of damage and the proximity of the reef to storm or cyclone paths.</w:t>
            </w:r>
          </w:p>
        </w:tc>
      </w:tr>
      <w:tr w:rsidR="002B669E" w:rsidRPr="00CE4E0F" w14:paraId="53C13BEA" w14:textId="77777777" w:rsidTr="001F7525">
        <w:trPr>
          <w:trHeight w:val="227"/>
          <w:tblHeader/>
        </w:trPr>
        <w:tc>
          <w:tcPr>
            <w:tcW w:w="1620" w:type="dxa"/>
          </w:tcPr>
          <w:p w14:paraId="53C13BE8" w14:textId="77777777" w:rsidR="002B669E" w:rsidRPr="00CE4E0F" w:rsidRDefault="002B669E" w:rsidP="001F7525">
            <w:pPr>
              <w:contextualSpacing/>
              <w:rPr>
                <w:rFonts w:ascii="Arial Narrow" w:hAnsi="Arial Narrow"/>
                <w:szCs w:val="24"/>
                <w:lang w:eastAsia="en-GB"/>
              </w:rPr>
            </w:pPr>
            <w:r w:rsidRPr="00CE4E0F">
              <w:rPr>
                <w:rFonts w:ascii="Arial Narrow" w:hAnsi="Arial Narrow"/>
                <w:szCs w:val="24"/>
                <w:lang w:eastAsia="en-GB"/>
              </w:rPr>
              <w:t>Multiple</w:t>
            </w:r>
          </w:p>
        </w:tc>
        <w:tc>
          <w:tcPr>
            <w:tcW w:w="7649" w:type="dxa"/>
          </w:tcPr>
          <w:p w14:paraId="53C13BE9" w14:textId="77777777" w:rsidR="002B669E" w:rsidRPr="00CE4E0F" w:rsidRDefault="002B669E" w:rsidP="001F7525">
            <w:pPr>
              <w:contextualSpacing/>
              <w:rPr>
                <w:rFonts w:ascii="Arial Narrow" w:hAnsi="Arial Narrow"/>
                <w:szCs w:val="24"/>
                <w:lang w:eastAsia="en-GB"/>
              </w:rPr>
            </w:pPr>
            <w:r w:rsidRPr="00CE4E0F">
              <w:rPr>
                <w:rFonts w:ascii="Arial Narrow" w:hAnsi="Arial Narrow"/>
                <w:szCs w:val="24"/>
                <w:lang w:eastAsia="en-GB"/>
              </w:rPr>
              <w:t>When a combination of the above occur</w:t>
            </w:r>
          </w:p>
        </w:tc>
      </w:tr>
      <w:tr w:rsidR="002B669E" w:rsidRPr="00CE4E0F" w14:paraId="53C13BED" w14:textId="77777777" w:rsidTr="001F7525">
        <w:trPr>
          <w:tblHeader/>
        </w:trPr>
        <w:tc>
          <w:tcPr>
            <w:tcW w:w="1620" w:type="dxa"/>
          </w:tcPr>
          <w:p w14:paraId="53C13BEB" w14:textId="77777777" w:rsidR="002B669E" w:rsidRPr="00CE4E0F" w:rsidRDefault="002B669E" w:rsidP="001F7525">
            <w:pPr>
              <w:contextualSpacing/>
              <w:rPr>
                <w:rFonts w:ascii="Arial Narrow" w:hAnsi="Arial Narrow"/>
                <w:szCs w:val="24"/>
                <w:lang w:eastAsia="en-GB"/>
              </w:rPr>
            </w:pPr>
            <w:r w:rsidRPr="00CE4E0F">
              <w:rPr>
                <w:rFonts w:ascii="Arial Narrow" w:hAnsi="Arial Narrow"/>
                <w:szCs w:val="24"/>
                <w:lang w:eastAsia="en-GB"/>
              </w:rPr>
              <w:t>Chronic</w:t>
            </w:r>
          </w:p>
        </w:tc>
        <w:tc>
          <w:tcPr>
            <w:tcW w:w="7649" w:type="dxa"/>
          </w:tcPr>
          <w:p w14:paraId="53C13BEC" w14:textId="77777777" w:rsidR="002B669E" w:rsidRPr="00CE4E0F" w:rsidRDefault="002B669E" w:rsidP="001F7525">
            <w:pPr>
              <w:contextualSpacing/>
              <w:rPr>
                <w:rFonts w:ascii="Arial Narrow" w:hAnsi="Arial Narrow"/>
                <w:szCs w:val="24"/>
                <w:lang w:eastAsia="en-GB"/>
              </w:rPr>
            </w:pPr>
            <w:r w:rsidRPr="00CE4E0F">
              <w:rPr>
                <w:rFonts w:ascii="Arial Narrow" w:hAnsi="Arial Narrow"/>
                <w:szCs w:val="24"/>
                <w:lang w:eastAsia="en-GB"/>
              </w:rPr>
              <w:t xml:space="preserve">In years that no acute disturbance was recorded a </w:t>
            </w:r>
            <w:r w:rsidRPr="00CE4E0F">
              <w:rPr>
                <w:rFonts w:ascii="Arial Narrow" w:hAnsi="Arial Narrow"/>
                <w:i/>
                <w:szCs w:val="24"/>
                <w:lang w:eastAsia="en-GB"/>
              </w:rPr>
              <w:t>Loss</w:t>
            </w:r>
            <w:r w:rsidRPr="00CE4E0F">
              <w:rPr>
                <w:rFonts w:ascii="Arial Narrow" w:hAnsi="Arial Narrow"/>
                <w:szCs w:val="24"/>
                <w:lang w:eastAsia="en-GB"/>
              </w:rPr>
              <w:t xml:space="preserve"> was recorded when </w:t>
            </w:r>
            <w:r w:rsidRPr="00CE4E0F">
              <w:rPr>
                <w:rFonts w:ascii="Arial Narrow" w:hAnsi="Arial Narrow"/>
                <w:i/>
                <w:szCs w:val="24"/>
                <w:lang w:eastAsia="en-GB"/>
              </w:rPr>
              <w:t>observed</w:t>
            </w:r>
            <w:r w:rsidRPr="00CE4E0F">
              <w:rPr>
                <w:rFonts w:ascii="Arial Narrow" w:hAnsi="Arial Narrow"/>
                <w:szCs w:val="24"/>
                <w:lang w:eastAsia="en-GB"/>
              </w:rPr>
              <w:t xml:space="preserve"> hard coral cover fell below the </w:t>
            </w:r>
            <w:r w:rsidRPr="00CE4E0F">
              <w:rPr>
                <w:rFonts w:ascii="Arial Narrow" w:hAnsi="Arial Narrow"/>
                <w:i/>
                <w:szCs w:val="24"/>
                <w:lang w:eastAsia="en-GB"/>
              </w:rPr>
              <w:t>predicted</w:t>
            </w:r>
            <w:r w:rsidRPr="00CE4E0F">
              <w:rPr>
                <w:rFonts w:ascii="Arial Narrow" w:hAnsi="Arial Narrow"/>
                <w:szCs w:val="24"/>
                <w:lang w:eastAsia="en-GB"/>
              </w:rPr>
              <w:t xml:space="preserve"> cover and these losses classified as disturbance type ‘Chronic’. This categorisation will include the cumulative impacts of minor exposure to any of the above disturbances along with chronic environmental conditions. Importantly as estimates for each disturbance are a mean and the disturbance categorisation “Chronic” includes all non-disturbance observations any proportion of loss attributed to this category represents a mean under performance in rate of cover increase for reefs not subject to an acute disturbance.</w:t>
            </w:r>
          </w:p>
        </w:tc>
      </w:tr>
    </w:tbl>
    <w:p w14:paraId="53C13BEE" w14:textId="77777777" w:rsidR="00A84742" w:rsidRPr="00CE4E0F" w:rsidRDefault="00A84742" w:rsidP="001A5F06">
      <w:pPr>
        <w:rPr>
          <w:color w:val="548DD4" w:themeColor="text2" w:themeTint="99"/>
        </w:rPr>
      </w:pPr>
      <w:r w:rsidRPr="00CE4E0F">
        <w:rPr>
          <w:color w:val="548DD4" w:themeColor="text2" w:themeTint="99"/>
        </w:rPr>
        <w:br w:type="page"/>
      </w:r>
    </w:p>
    <w:p w14:paraId="53C13BEF" w14:textId="77777777" w:rsidR="00A84742" w:rsidRDefault="009E548A" w:rsidP="00D217FF">
      <w:pPr>
        <w:pStyle w:val="Heading1"/>
      </w:pPr>
      <w:bookmarkStart w:id="246" w:name="_Toc35947111"/>
      <w:r>
        <w:lastRenderedPageBreak/>
        <w:t>P</w:t>
      </w:r>
      <w:r w:rsidR="009D5634">
        <w:t>ressures influencing coral reefs in 2018-19</w:t>
      </w:r>
      <w:bookmarkEnd w:id="246"/>
    </w:p>
    <w:p w14:paraId="53C13BF0" w14:textId="16D747C7" w:rsidR="0047679E" w:rsidRPr="003E1937" w:rsidRDefault="009E548A" w:rsidP="003E1937">
      <w:pPr>
        <w:rPr>
          <w:lang w:eastAsia="en-AU"/>
        </w:rPr>
      </w:pPr>
      <w:r>
        <w:rPr>
          <w:lang w:eastAsia="en-AU"/>
        </w:rPr>
        <w:t xml:space="preserve">The condition of coral communities is impacted by a range of environmental pressures. Interpreting the impact of pressures associated with water quality relies on first understanding the impacts of confounding pressures such as cyclones, high seawater temperatures that lead to coral bleaching and predation by crown-of-thorns starfish. </w:t>
      </w:r>
      <w:r w:rsidR="004A71AC">
        <w:rPr>
          <w:lang w:eastAsia="en-AU"/>
        </w:rPr>
        <w:t xml:space="preserve">This section summarises the primary pressures imposed on inshore areas of the Reef in recent years. The impacts of these pressures are spatially variable and summarised at the Reef level in section 4.1 and </w:t>
      </w:r>
      <w:r w:rsidR="00860F3E">
        <w:rPr>
          <w:lang w:eastAsia="en-AU"/>
        </w:rPr>
        <w:t>(sub-)</w:t>
      </w:r>
      <w:r w:rsidR="004A71AC">
        <w:rPr>
          <w:lang w:eastAsia="en-AU"/>
        </w:rPr>
        <w:t>regional level in section 4.3.</w:t>
      </w:r>
      <w:bookmarkStart w:id="247" w:name="_Toc25750172"/>
      <w:bookmarkStart w:id="248" w:name="_Toc30596424"/>
      <w:bookmarkEnd w:id="247"/>
      <w:bookmarkEnd w:id="248"/>
    </w:p>
    <w:p w14:paraId="53C13BF1" w14:textId="77777777" w:rsidR="00BD733C" w:rsidRDefault="00316A83" w:rsidP="006F1D4F">
      <w:pPr>
        <w:pStyle w:val="Heading2"/>
        <w:numPr>
          <w:ilvl w:val="1"/>
          <w:numId w:val="71"/>
        </w:numPr>
      </w:pPr>
      <w:bookmarkStart w:id="249" w:name="_Toc35947112"/>
      <w:r>
        <w:t>C</w:t>
      </w:r>
      <w:r w:rsidR="00BD733C">
        <w:t>yclones</w:t>
      </w:r>
      <w:bookmarkEnd w:id="249"/>
    </w:p>
    <w:p w14:paraId="53C13BF2" w14:textId="77777777" w:rsidR="00E003C1" w:rsidRDefault="00E003C1" w:rsidP="00AD7AC6">
      <w:r>
        <w:t>Tropical cyclones frequently cross the inshore Reef.</w:t>
      </w:r>
    </w:p>
    <w:p w14:paraId="53C13BF3" w14:textId="4F3412C0" w:rsidR="00E003C1" w:rsidRDefault="00E003C1" w:rsidP="00AD7AC6">
      <w:r>
        <w:t xml:space="preserve">Over </w:t>
      </w:r>
      <w:r w:rsidR="004A71AC">
        <w:t xml:space="preserve">the </w:t>
      </w:r>
      <w:r>
        <w:t>2018</w:t>
      </w:r>
      <w:r w:rsidR="004A71AC">
        <w:t>-</w:t>
      </w:r>
      <w:r>
        <w:t xml:space="preserve">19 </w:t>
      </w:r>
      <w:r w:rsidR="004A71AC">
        <w:t>reporting period cyclone activity was focused on northern areas of the Reef (</w:t>
      </w:r>
      <w:r w:rsidR="004A71AC">
        <w:fldChar w:fldCharType="begin"/>
      </w:r>
      <w:r w:rsidR="004A71AC">
        <w:instrText xml:space="preserve"> REF _Ref25168720 \h </w:instrText>
      </w:r>
      <w:r w:rsidR="004A71AC">
        <w:fldChar w:fldCharType="separate"/>
      </w:r>
      <w:r w:rsidR="003053D1">
        <w:t xml:space="preserve">Figure </w:t>
      </w:r>
      <w:r w:rsidR="003053D1">
        <w:rPr>
          <w:noProof/>
        </w:rPr>
        <w:t>8</w:t>
      </w:r>
      <w:r w:rsidR="004A71AC">
        <w:fldChar w:fldCharType="end"/>
      </w:r>
      <w:r w:rsidR="004A71AC">
        <w:t xml:space="preserve">). It is highly likely that cyclone Trevor will have impacted reefs proximal to its track. For the remainder of the Reef the </w:t>
      </w:r>
      <w:r>
        <w:t xml:space="preserve">only storm of any significance was the tropical low that contributed localised loss of cover at Snapper Island before forming into </w:t>
      </w:r>
      <w:r w:rsidR="004A71AC">
        <w:t>c</w:t>
      </w:r>
      <w:r>
        <w:t>yclone Owen (</w:t>
      </w:r>
      <w:r>
        <w:fldChar w:fldCharType="begin"/>
      </w:r>
      <w:r>
        <w:instrText xml:space="preserve"> REF _Ref25168720 \h </w:instrText>
      </w:r>
      <w:r>
        <w:fldChar w:fldCharType="separate"/>
      </w:r>
      <w:r w:rsidR="003053D1">
        <w:t xml:space="preserve">Figure </w:t>
      </w:r>
      <w:r w:rsidR="003053D1">
        <w:rPr>
          <w:noProof/>
        </w:rPr>
        <w:t>8</w:t>
      </w:r>
      <w:r>
        <w:fldChar w:fldCharType="end"/>
      </w:r>
      <w:r>
        <w:t xml:space="preserve">). No impact of </w:t>
      </w:r>
      <w:r w:rsidR="004A71AC">
        <w:t>the remnant low associated with c</w:t>
      </w:r>
      <w:r>
        <w:t xml:space="preserve">yclone Penny was recorded as this system </w:t>
      </w:r>
      <w:r w:rsidR="004A71AC">
        <w:t xml:space="preserve">was relatively week when crossing the inshore Reef in the Mackay-Whitsunday region and </w:t>
      </w:r>
      <w:r>
        <w:t xml:space="preserve">shared a similar path to </w:t>
      </w:r>
      <w:r w:rsidR="004A71AC">
        <w:t>c</w:t>
      </w:r>
      <w:r>
        <w:t xml:space="preserve">yclone Debbie </w:t>
      </w:r>
      <w:r w:rsidR="004A71AC">
        <w:t xml:space="preserve">that had </w:t>
      </w:r>
      <w:r>
        <w:t>already severely damaged</w:t>
      </w:r>
      <w:r w:rsidR="004A71AC">
        <w:t xml:space="preserve"> reefs in the region.</w:t>
      </w:r>
    </w:p>
    <w:p w14:paraId="53C13BF4" w14:textId="77777777" w:rsidR="004A71AC" w:rsidRDefault="00AD4771" w:rsidP="00AD7AC6">
      <w:r>
        <w:t xml:space="preserve">Since 2005 three intense systems </w:t>
      </w:r>
      <w:r w:rsidR="00F14E13">
        <w:t>cause</w:t>
      </w:r>
      <w:r w:rsidR="00300210">
        <w:t>d</w:t>
      </w:r>
      <w:r w:rsidR="00F14E13">
        <w:t xml:space="preserve"> region-wide damage to coral communities: </w:t>
      </w:r>
    </w:p>
    <w:p w14:paraId="53C13BF5" w14:textId="6F67333E" w:rsidR="00056503" w:rsidRDefault="00F14E13" w:rsidP="004A71AC">
      <w:pPr>
        <w:pStyle w:val="ListParagraph"/>
        <w:numPr>
          <w:ilvl w:val="0"/>
          <w:numId w:val="63"/>
        </w:numPr>
      </w:pPr>
      <w:r>
        <w:t>cyclone Larry (2006) and cyclone Yasi (</w:t>
      </w:r>
      <w:r w:rsidR="00AD4771">
        <w:t>2011</w:t>
      </w:r>
      <w:r>
        <w:t>)</w:t>
      </w:r>
      <w:r w:rsidR="00AD4771">
        <w:t xml:space="preserve"> </w:t>
      </w:r>
      <w:r>
        <w:t>both caused damage to Wet Tropics and Burdekin region reefs</w:t>
      </w:r>
      <w:r w:rsidR="004A71AC">
        <w:t xml:space="preserve">. </w:t>
      </w:r>
      <w:r w:rsidR="00A80239">
        <w:t>The s</w:t>
      </w:r>
      <w:r w:rsidR="004A71AC">
        <w:t xml:space="preserve">everely impacted reefs </w:t>
      </w:r>
      <w:r w:rsidR="00A80239">
        <w:t xml:space="preserve">at Dunk North and the 2 m depth at Barnards </w:t>
      </w:r>
      <w:r w:rsidR="004A71AC">
        <w:t>in the Herbert Tully subregion have yet to regain the coral cover lost to the combined impacts of these cyclones</w:t>
      </w:r>
      <w:r w:rsidR="00A80239">
        <w:t xml:space="preserve"> (</w:t>
      </w:r>
      <w:r w:rsidR="00056503">
        <w:fldChar w:fldCharType="begin"/>
      </w:r>
      <w:r w:rsidR="00056503">
        <w:instrText xml:space="preserve"> REF _Ref528588974 \h </w:instrText>
      </w:r>
      <w:r w:rsidR="00056503">
        <w:fldChar w:fldCharType="separate"/>
      </w:r>
      <w:r w:rsidR="003053D1" w:rsidRPr="002445C4">
        <w:t xml:space="preserve">Figure A </w:t>
      </w:r>
      <w:r w:rsidR="003053D1">
        <w:rPr>
          <w:noProof/>
        </w:rPr>
        <w:t>3</w:t>
      </w:r>
      <w:r w:rsidR="00056503">
        <w:fldChar w:fldCharType="end"/>
      </w:r>
      <w:r w:rsidR="00A80239">
        <w:t>)</w:t>
      </w:r>
      <w:r w:rsidR="004A71AC">
        <w:t xml:space="preserve">. </w:t>
      </w:r>
      <w:r w:rsidR="00A80239">
        <w:t>In general, clear recovery from these cyclones is evident.</w:t>
      </w:r>
    </w:p>
    <w:p w14:paraId="53C13BF6" w14:textId="2089DCC2" w:rsidR="00056503" w:rsidRDefault="00F14E13" w:rsidP="004A71AC">
      <w:pPr>
        <w:pStyle w:val="ListParagraph"/>
        <w:numPr>
          <w:ilvl w:val="0"/>
          <w:numId w:val="63"/>
        </w:numPr>
      </w:pPr>
      <w:r>
        <w:t>cyclone Debbie (2017) cause</w:t>
      </w:r>
      <w:r w:rsidR="00300210">
        <w:t>d</w:t>
      </w:r>
      <w:r>
        <w:t xml:space="preserve"> severe coral loss on reefs in the </w:t>
      </w:r>
      <w:r w:rsidR="005F2B5B">
        <w:t>Mackay-Whitsunday</w:t>
      </w:r>
      <w:r>
        <w:t xml:space="preserve"> Region (</w:t>
      </w:r>
      <w:r w:rsidR="004A71AC">
        <w:fldChar w:fldCharType="begin"/>
      </w:r>
      <w:r w:rsidR="004A71AC">
        <w:instrText xml:space="preserve"> REF _Ref25168720 \h </w:instrText>
      </w:r>
      <w:r w:rsidR="004A71AC">
        <w:fldChar w:fldCharType="separate"/>
      </w:r>
      <w:r w:rsidR="003053D1">
        <w:t xml:space="preserve">Figure </w:t>
      </w:r>
      <w:r w:rsidR="003053D1">
        <w:rPr>
          <w:noProof/>
        </w:rPr>
        <w:t>8</w:t>
      </w:r>
      <w:r w:rsidR="004A71AC">
        <w:fldChar w:fldCharType="end"/>
      </w:r>
      <w:r w:rsidR="004A71AC">
        <w:t xml:space="preserve">, </w:t>
      </w:r>
      <w:r w:rsidR="004A71AC">
        <w:fldChar w:fldCharType="begin"/>
      </w:r>
      <w:r w:rsidR="004A71AC">
        <w:instrText xml:space="preserve"> REF _Ref30660433 \h </w:instrText>
      </w:r>
      <w:r w:rsidR="004A71AC">
        <w:fldChar w:fldCharType="separate"/>
      </w:r>
      <w:r w:rsidR="003053D1">
        <w:t xml:space="preserve">Table A </w:t>
      </w:r>
      <w:r w:rsidR="003053D1">
        <w:rPr>
          <w:noProof/>
        </w:rPr>
        <w:t>7</w:t>
      </w:r>
      <w:r w:rsidR="004A71AC">
        <w:fldChar w:fldCharType="end"/>
      </w:r>
      <w:r w:rsidR="004A71AC">
        <w:t>,</w:t>
      </w:r>
      <w:r>
        <w:t xml:space="preserve">). </w:t>
      </w:r>
      <w:r w:rsidR="003E1937">
        <w:t>There is yet to be clear signs of recovery of coral communities in the wake of this cyclone.</w:t>
      </w:r>
    </w:p>
    <w:p w14:paraId="53C13BF7" w14:textId="45128ACA" w:rsidR="004537CF" w:rsidRDefault="00056503" w:rsidP="00AD7AC6">
      <w:r>
        <w:lastRenderedPageBreak/>
        <w:t>N</w:t>
      </w:r>
      <w:r w:rsidR="00556DD5">
        <w:t xml:space="preserve">umerous smaller </w:t>
      </w:r>
      <w:r w:rsidR="00300210">
        <w:t>cyclones</w:t>
      </w:r>
      <w:r w:rsidR="00556DD5">
        <w:t xml:space="preserve"> have crossed the </w:t>
      </w:r>
      <w:r>
        <w:t>inshore Reef</w:t>
      </w:r>
      <w:r w:rsidR="00556DD5">
        <w:t xml:space="preserve"> over the last decade (</w:t>
      </w:r>
      <w:r w:rsidR="003570B3">
        <w:fldChar w:fldCharType="begin"/>
      </w:r>
      <w:r w:rsidR="003570B3">
        <w:instrText xml:space="preserve"> REF _Ref25168720 \h </w:instrText>
      </w:r>
      <w:r w:rsidR="003570B3">
        <w:fldChar w:fldCharType="separate"/>
      </w:r>
      <w:r w:rsidR="003053D1">
        <w:t xml:space="preserve">Figure </w:t>
      </w:r>
      <w:r w:rsidR="003053D1">
        <w:rPr>
          <w:noProof/>
        </w:rPr>
        <w:t>8</w:t>
      </w:r>
      <w:r w:rsidR="003570B3">
        <w:fldChar w:fldCharType="end"/>
      </w:r>
      <w:r w:rsidR="00556DD5">
        <w:t>)</w:t>
      </w:r>
      <w:r w:rsidR="00F14E13">
        <w:t xml:space="preserve"> </w:t>
      </w:r>
      <w:r>
        <w:t xml:space="preserve">causing </w:t>
      </w:r>
      <w:r w:rsidR="00556DD5">
        <w:t xml:space="preserve">more moderate </w:t>
      </w:r>
      <w:r w:rsidR="00F14E13">
        <w:t xml:space="preserve">and localised </w:t>
      </w:r>
      <w:r w:rsidR="00556DD5">
        <w:t xml:space="preserve">damage </w:t>
      </w:r>
      <w:r w:rsidR="0022526D">
        <w:t>(</w:t>
      </w:r>
      <w:r w:rsidR="0022526D">
        <w:fldChar w:fldCharType="begin"/>
      </w:r>
      <w:r w:rsidR="0022526D">
        <w:instrText xml:space="preserve"> REF _Ref30660433 \h </w:instrText>
      </w:r>
      <w:r w:rsidR="0022526D">
        <w:fldChar w:fldCharType="separate"/>
      </w:r>
      <w:r w:rsidR="003053D1">
        <w:t xml:space="preserve">Table A </w:t>
      </w:r>
      <w:r w:rsidR="003053D1">
        <w:rPr>
          <w:noProof/>
        </w:rPr>
        <w:t>7</w:t>
      </w:r>
      <w:r w:rsidR="0022526D">
        <w:fldChar w:fldCharType="end"/>
      </w:r>
      <w:r w:rsidR="0022526D">
        <w:t>, see also (</w:t>
      </w:r>
      <w:r w:rsidR="00860F3E">
        <w:t>(</w:t>
      </w:r>
      <w:r w:rsidR="0022526D">
        <w:t>sub-</w:t>
      </w:r>
      <w:r w:rsidR="00860F3E">
        <w:t>)</w:t>
      </w:r>
      <w:r w:rsidR="0022526D">
        <w:t>regional summaries section</w:t>
      </w:r>
      <w:r w:rsidR="00923A0D">
        <w:t xml:space="preserve"> </w:t>
      </w:r>
      <w:r w:rsidR="00923A0D">
        <w:fldChar w:fldCharType="begin"/>
      </w:r>
      <w:r w:rsidR="00923A0D">
        <w:instrText xml:space="preserve"> REF _Ref35860900 \r \h </w:instrText>
      </w:r>
      <w:r w:rsidR="00923A0D">
        <w:fldChar w:fldCharType="separate"/>
      </w:r>
      <w:r w:rsidR="003053D1">
        <w:t>4.3</w:t>
      </w:r>
      <w:r w:rsidR="00923A0D">
        <w:fldChar w:fldCharType="end"/>
      </w:r>
      <w:r w:rsidR="0022526D">
        <w:t>)</w:t>
      </w:r>
      <w:r w:rsidR="00AD4771">
        <w:t>.</w:t>
      </w:r>
    </w:p>
    <w:p w14:paraId="53C13BF8" w14:textId="77777777" w:rsidR="003570B3" w:rsidRPr="002077CD" w:rsidRDefault="0047679E" w:rsidP="006F1D4F">
      <w:pPr>
        <w:pStyle w:val="Heading2"/>
      </w:pPr>
      <w:bookmarkStart w:id="250" w:name="_Toc35947113"/>
      <w:r>
        <w:t>Sea temperature</w:t>
      </w:r>
      <w:bookmarkEnd w:id="250"/>
    </w:p>
    <w:p w14:paraId="53C13BF9" w14:textId="0F10E457" w:rsidR="00150A59" w:rsidRDefault="00150A59" w:rsidP="003570B3">
      <w:r>
        <w:t xml:space="preserve">Temperatures over the 2017-18 and 2018-19 summers were not warm enough to cause severe </w:t>
      </w:r>
      <w:r w:rsidR="00B10FCC">
        <w:t xml:space="preserve">coral </w:t>
      </w:r>
      <w:r>
        <w:t>bleaching and mortality at monitored sites.</w:t>
      </w:r>
      <w:r w:rsidR="00B24D9A">
        <w:t xml:space="preserve"> Maximum degree heating day estimates reported by the Bureau of Meteorology</w:t>
      </w:r>
      <w:r w:rsidR="00B10FCC">
        <w:t>,</w:t>
      </w:r>
      <w:r w:rsidR="00B24D9A">
        <w:t xml:space="preserve"> adjacent to MMP monitoring sites</w:t>
      </w:r>
      <w:r w:rsidR="00B10FCC">
        <w:t xml:space="preserve">, </w:t>
      </w:r>
      <w:r w:rsidR="00B24D9A">
        <w:t>were</w:t>
      </w:r>
      <w:r w:rsidR="00332D43">
        <w:t xml:space="preserve"> in the Fitzroy Region (mean 78 degree heating days) in 2018 and Burdekin Region (mean 52 degree heating days) in 2019 (</w:t>
      </w:r>
      <w:r w:rsidR="00332D43">
        <w:fldChar w:fldCharType="begin"/>
      </w:r>
      <w:r w:rsidR="00332D43">
        <w:instrText xml:space="preserve"> REF _Ref30672548 \h </w:instrText>
      </w:r>
      <w:r w:rsidR="00332D43">
        <w:fldChar w:fldCharType="separate"/>
      </w:r>
      <w:r w:rsidR="003053D1">
        <w:t xml:space="preserve">Figure </w:t>
      </w:r>
      <w:r w:rsidR="003053D1">
        <w:rPr>
          <w:noProof/>
        </w:rPr>
        <w:t>9</w:t>
      </w:r>
      <w:r w:rsidR="00332D43">
        <w:fldChar w:fldCharType="end"/>
      </w:r>
      <w:r w:rsidR="00332D43">
        <w:t>).</w:t>
      </w:r>
      <w:r w:rsidR="00B24D9A">
        <w:t xml:space="preserve"> </w:t>
      </w:r>
    </w:p>
    <w:p w14:paraId="53C13BFA" w14:textId="08E0DC68" w:rsidR="003570B3" w:rsidRDefault="00332D43" w:rsidP="003570B3">
      <w:r>
        <w:t>In contrast, t</w:t>
      </w:r>
      <w:r w:rsidR="00150A59">
        <w:t xml:space="preserve">he </w:t>
      </w:r>
      <w:r w:rsidR="003570B3">
        <w:t>summer of 2016-</w:t>
      </w:r>
      <w:r w:rsidR="00B766D2">
        <w:t>17 was</w:t>
      </w:r>
      <w:r w:rsidR="003570B3">
        <w:t xml:space="preserve"> the hottest recorded over the MMP time series for the Wet Tropics, Burdekin and Whitsunday Regions</w:t>
      </w:r>
      <w:r>
        <w:t xml:space="preserve"> where mean degree heating day estimates reported by the Bureau of meteorology ranged between</w:t>
      </w:r>
      <w:r w:rsidR="00B10FCC">
        <w:t xml:space="preserve"> 101 in the Barron Daintree sub-region and 132 in the Burdekin Region (</w:t>
      </w:r>
      <w:r w:rsidR="00B10FCC">
        <w:fldChar w:fldCharType="begin"/>
      </w:r>
      <w:r w:rsidR="00B10FCC">
        <w:instrText xml:space="preserve"> REF _Ref30672548 \h </w:instrText>
      </w:r>
      <w:r w:rsidR="00B10FCC">
        <w:fldChar w:fldCharType="separate"/>
      </w:r>
      <w:r w:rsidR="003053D1">
        <w:t xml:space="preserve">Figure </w:t>
      </w:r>
      <w:r w:rsidR="003053D1">
        <w:rPr>
          <w:noProof/>
        </w:rPr>
        <w:t>9</w:t>
      </w:r>
      <w:r w:rsidR="00B10FCC">
        <w:fldChar w:fldCharType="end"/>
      </w:r>
      <w:r w:rsidR="00B10FCC">
        <w:t>)</w:t>
      </w:r>
      <w:r w:rsidR="00F115AB">
        <w:t xml:space="preserve">. Coral cover losses attributed to bleaching in both </w:t>
      </w:r>
      <w:r w:rsidR="003570B3">
        <w:t xml:space="preserve">2017 and </w:t>
      </w:r>
      <w:r w:rsidR="003570B3" w:rsidRPr="00F115AB">
        <w:t xml:space="preserve">2018 </w:t>
      </w:r>
      <w:r w:rsidR="00B24D9A">
        <w:t xml:space="preserve">within this report </w:t>
      </w:r>
      <w:r w:rsidR="003570B3">
        <w:t>were the result of this event.</w:t>
      </w:r>
      <w:r w:rsidR="00274FC6">
        <w:t xml:space="preserve"> Results from 2019 </w:t>
      </w:r>
      <w:r w:rsidR="00B10FCC">
        <w:t xml:space="preserve">(Section 4) </w:t>
      </w:r>
      <w:r w:rsidR="00274FC6">
        <w:t>suggest recovery from this event is occurring</w:t>
      </w:r>
      <w:r w:rsidR="009B565E">
        <w:t>, with the minor losses of coral cover observed largely regained.</w:t>
      </w:r>
    </w:p>
    <w:p w14:paraId="53C13BFB" w14:textId="6BA5FC50" w:rsidR="00150A59" w:rsidRDefault="00150A59" w:rsidP="00150A59">
      <w:r>
        <w:t xml:space="preserve">Loss of coral cover attributed to coral bleaching in response to </w:t>
      </w:r>
      <w:r w:rsidR="00B24D9A">
        <w:t>high</w:t>
      </w:r>
      <w:r>
        <w:t xml:space="preserve"> water temperatures occurred </w:t>
      </w:r>
      <w:r w:rsidR="00B766D2">
        <w:t xml:space="preserve">in </w:t>
      </w:r>
      <w:r>
        <w:t xml:space="preserve">the Fitzroy region </w:t>
      </w:r>
      <w:r w:rsidR="00B10FCC">
        <w:t>in 2006. This event was not recorded in the Bureau of Meteorology time</w:t>
      </w:r>
      <w:r w:rsidR="001662CE">
        <w:t>-</w:t>
      </w:r>
      <w:r w:rsidR="00B10FCC">
        <w:t>series, though was clear in temperature logger records</w:t>
      </w:r>
      <w:r w:rsidR="00F115AB">
        <w:t xml:space="preserve"> (</w:t>
      </w:r>
      <w:r w:rsidR="009B565E">
        <w:fldChar w:fldCharType="begin"/>
      </w:r>
      <w:r w:rsidR="009B565E">
        <w:instrText xml:space="preserve"> REF _Ref491345321 \h </w:instrText>
      </w:r>
      <w:r w:rsidR="009B565E">
        <w:fldChar w:fldCharType="separate"/>
      </w:r>
      <w:r w:rsidR="003053D1" w:rsidRPr="00CE4E0F">
        <w:t xml:space="preserve">Figure </w:t>
      </w:r>
      <w:r w:rsidR="003053D1">
        <w:rPr>
          <w:noProof/>
        </w:rPr>
        <w:t>30</w:t>
      </w:r>
      <w:r w:rsidR="009B565E">
        <w:fldChar w:fldCharType="end"/>
      </w:r>
      <w:r w:rsidR="00F115AB">
        <w:t>)</w:t>
      </w:r>
      <w:r>
        <w:t xml:space="preserve">. </w:t>
      </w:r>
      <w:r w:rsidR="009B565E">
        <w:t>Coral cover losses attributed to this event were most severe at North Keppel and Middle Islands with recovery slow and confounded by subsequent pressures</w:t>
      </w:r>
      <w:r w:rsidR="00F115AB">
        <w:t xml:space="preserve"> (</w:t>
      </w:r>
      <w:r w:rsidR="00F115AB">
        <w:fldChar w:fldCharType="begin"/>
      </w:r>
      <w:r w:rsidR="00F115AB">
        <w:instrText xml:space="preserve"> REF _Ref528592725 \h </w:instrText>
      </w:r>
      <w:r w:rsidR="00F115AB">
        <w:fldChar w:fldCharType="separate"/>
      </w:r>
      <w:r w:rsidR="003053D1" w:rsidRPr="002445C4">
        <w:t xml:space="preserve">Figure A </w:t>
      </w:r>
      <w:r w:rsidR="003053D1">
        <w:rPr>
          <w:noProof/>
        </w:rPr>
        <w:t>6</w:t>
      </w:r>
      <w:r w:rsidR="00F115AB">
        <w:fldChar w:fldCharType="end"/>
      </w:r>
      <w:r w:rsidR="009B565E">
        <w:t xml:space="preserve">, section </w:t>
      </w:r>
      <w:r w:rsidR="009B565E" w:rsidRPr="00D737CF">
        <w:t>4.</w:t>
      </w:r>
      <w:r w:rsidR="00F115AB" w:rsidRPr="00D737CF">
        <w:t>).</w:t>
      </w:r>
    </w:p>
    <w:p w14:paraId="53C13BFC" w14:textId="77777777" w:rsidR="00AC44EB" w:rsidRDefault="00E12EE0" w:rsidP="00AD7AC6">
      <w:r>
        <w:rPr>
          <w:noProof/>
          <w:lang w:eastAsia="en-AU"/>
        </w:rPr>
        <w:lastRenderedPageBreak/>
        <w:drawing>
          <wp:inline distT="0" distB="0" distL="0" distR="0" wp14:anchorId="53C15F3A" wp14:editId="69272CF3">
            <wp:extent cx="5943612" cy="7315215"/>
            <wp:effectExtent l="0" t="0" r="0" b="0"/>
            <wp:docPr id="11" name="Picture 11" descr="shows name, track path, intensity of cyclones 2010 to now" title="historic cyclone tra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ycloneMaps.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943612" cy="7315215"/>
                    </a:xfrm>
                    <a:prstGeom prst="rect">
                      <a:avLst/>
                    </a:prstGeom>
                  </pic:spPr>
                </pic:pic>
              </a:graphicData>
            </a:graphic>
          </wp:inline>
        </w:drawing>
      </w:r>
    </w:p>
    <w:p w14:paraId="53C13BFD" w14:textId="7C0FB696" w:rsidR="00F115AB" w:rsidRPr="0062064A" w:rsidRDefault="003570B3" w:rsidP="002B5296">
      <w:pPr>
        <w:pStyle w:val="Caption"/>
        <w:rPr>
          <w:rStyle w:val="FigureChar"/>
          <w:rFonts w:eastAsia="SimSun"/>
          <w:vanish/>
          <w:specVanish/>
        </w:rPr>
      </w:pPr>
      <w:bookmarkStart w:id="251" w:name="_Ref25168720"/>
      <w:bookmarkStart w:id="252" w:name="_Toc35947158"/>
      <w:r>
        <w:lastRenderedPageBreak/>
        <w:t xml:space="preserve">Figure </w:t>
      </w:r>
      <w:r>
        <w:fldChar w:fldCharType="begin"/>
      </w:r>
      <w:r>
        <w:instrText xml:space="preserve"> SEQ Figure \* ARABIC </w:instrText>
      </w:r>
      <w:r>
        <w:fldChar w:fldCharType="separate"/>
      </w:r>
      <w:r w:rsidR="003053D1">
        <w:rPr>
          <w:noProof/>
        </w:rPr>
        <w:t>8</w:t>
      </w:r>
      <w:r>
        <w:fldChar w:fldCharType="end"/>
      </w:r>
      <w:bookmarkEnd w:id="251"/>
      <w:r>
        <w:t xml:space="preserve"> Cyclone tracks for systems crossing the inshore Reef over the last decade</w:t>
      </w:r>
      <w:bookmarkEnd w:id="252"/>
    </w:p>
    <w:p w14:paraId="53C13BFE" w14:textId="77777777" w:rsidR="003570B3" w:rsidRPr="00F115AB" w:rsidRDefault="003570B3">
      <w:pPr>
        <w:pStyle w:val="Caption"/>
        <w:rPr>
          <w:rStyle w:val="IntenseReference"/>
        </w:rPr>
      </w:pPr>
      <w:r>
        <w:t xml:space="preserve">. </w:t>
      </w:r>
      <w:r w:rsidRPr="00F115AB">
        <w:rPr>
          <w:rStyle w:val="IntenseReference"/>
        </w:rPr>
        <w:t>Tracks source</w:t>
      </w:r>
      <w:r w:rsidR="00F115AB" w:rsidRPr="00F115AB">
        <w:rPr>
          <w:rStyle w:val="IntenseReference"/>
        </w:rPr>
        <w:t>d</w:t>
      </w:r>
      <w:r w:rsidRPr="00F115AB">
        <w:rPr>
          <w:rStyle w:val="IntenseReference"/>
        </w:rPr>
        <w:t xml:space="preserve"> from the Bureau of </w:t>
      </w:r>
      <w:r w:rsidR="0069018B" w:rsidRPr="00F115AB">
        <w:rPr>
          <w:rStyle w:val="IntenseReference"/>
        </w:rPr>
        <w:t>Meteorology</w:t>
      </w:r>
      <w:r w:rsidRPr="00F115AB">
        <w:rPr>
          <w:rStyle w:val="IntenseReference"/>
        </w:rPr>
        <w:t xml:space="preserve">. </w:t>
      </w:r>
    </w:p>
    <w:p w14:paraId="53C13BFF" w14:textId="77777777" w:rsidR="00F519A1" w:rsidRDefault="00572685" w:rsidP="00AD7AC6">
      <w:r>
        <w:rPr>
          <w:noProof/>
          <w:lang w:eastAsia="en-AU"/>
        </w:rPr>
        <w:lastRenderedPageBreak/>
        <w:drawing>
          <wp:inline distT="0" distB="0" distL="0" distR="0" wp14:anchorId="53C15F3C" wp14:editId="17EABB81">
            <wp:extent cx="5943612" cy="7315215"/>
            <wp:effectExtent l="0" t="0" r="0" b="0"/>
            <wp:docPr id="50" name="Picture 50" descr="shows 2017 year highs, 2018 and 19 relatively low " title="annual degree heating day fig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DHDMaps.pn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943612" cy="7315215"/>
                    </a:xfrm>
                    <a:prstGeom prst="rect">
                      <a:avLst/>
                    </a:prstGeom>
                  </pic:spPr>
                </pic:pic>
              </a:graphicData>
            </a:graphic>
          </wp:inline>
        </w:drawing>
      </w:r>
    </w:p>
    <w:p w14:paraId="53C13C00" w14:textId="386F1C97" w:rsidR="00F115AB" w:rsidRPr="0062064A" w:rsidRDefault="003570B3" w:rsidP="002B5296">
      <w:pPr>
        <w:pStyle w:val="Caption"/>
        <w:rPr>
          <w:rStyle w:val="FigureChar"/>
          <w:rFonts w:eastAsia="SimSun"/>
          <w:vanish/>
          <w:specVanish/>
        </w:rPr>
      </w:pPr>
      <w:bookmarkStart w:id="253" w:name="_Ref30672548"/>
      <w:bookmarkStart w:id="254" w:name="_Toc35947159"/>
      <w:r>
        <w:lastRenderedPageBreak/>
        <w:t xml:space="preserve">Figure </w:t>
      </w:r>
      <w:r>
        <w:fldChar w:fldCharType="begin"/>
      </w:r>
      <w:r>
        <w:instrText xml:space="preserve"> SEQ Figure \* ARABIC </w:instrText>
      </w:r>
      <w:r>
        <w:fldChar w:fldCharType="separate"/>
      </w:r>
      <w:r w:rsidR="003053D1">
        <w:rPr>
          <w:noProof/>
        </w:rPr>
        <w:t>9</w:t>
      </w:r>
      <w:r>
        <w:fldChar w:fldCharType="end"/>
      </w:r>
      <w:bookmarkEnd w:id="253"/>
      <w:r>
        <w:t xml:space="preserve"> Annual degree heating day estimates for the Reef</w:t>
      </w:r>
      <w:bookmarkEnd w:id="254"/>
    </w:p>
    <w:p w14:paraId="53C13C01" w14:textId="77777777" w:rsidR="003570B3" w:rsidRDefault="003570B3">
      <w:pPr>
        <w:pStyle w:val="Caption"/>
        <w:rPr>
          <w:rStyle w:val="IntenseReference"/>
        </w:rPr>
      </w:pPr>
      <w:r>
        <w:t xml:space="preserve">. </w:t>
      </w:r>
      <w:r w:rsidRPr="00F115AB">
        <w:rPr>
          <w:rStyle w:val="IntenseReference"/>
        </w:rPr>
        <w:t>Data are the annual Degree heating day accumulations over the summer period (1-December to 31 March)</w:t>
      </w:r>
      <w:r w:rsidR="007705D7">
        <w:rPr>
          <w:rStyle w:val="IntenseReference"/>
        </w:rPr>
        <w:t xml:space="preserve"> for ~4 km</w:t>
      </w:r>
      <w:r w:rsidR="007705D7" w:rsidRPr="007705D7">
        <w:rPr>
          <w:rStyle w:val="IntenseReference"/>
          <w:vertAlign w:val="superscript"/>
        </w:rPr>
        <w:t>2</w:t>
      </w:r>
      <w:r w:rsidR="007705D7">
        <w:rPr>
          <w:rStyle w:val="IntenseReference"/>
        </w:rPr>
        <w:t xml:space="preserve"> pixels</w:t>
      </w:r>
      <w:r w:rsidRPr="00F115AB">
        <w:rPr>
          <w:rStyle w:val="IntenseReference"/>
        </w:rPr>
        <w:t>. Maps were sourced from Bureau of Meteorology and include estimates based on 14 Day IMOS climatology.</w:t>
      </w:r>
    </w:p>
    <w:p w14:paraId="53C13C02" w14:textId="77777777" w:rsidR="00433209" w:rsidRDefault="00433209">
      <w:pPr>
        <w:jc w:val="left"/>
        <w:rPr>
          <w:lang w:val="en-GB"/>
        </w:rPr>
      </w:pPr>
      <w:r>
        <w:rPr>
          <w:lang w:val="en-GB"/>
        </w:rPr>
        <w:br w:type="page"/>
      </w:r>
    </w:p>
    <w:p w14:paraId="53C13C03" w14:textId="77777777" w:rsidR="00316A83" w:rsidRPr="002077CD" w:rsidRDefault="00316A83" w:rsidP="006F1D4F">
      <w:pPr>
        <w:pStyle w:val="Heading2"/>
      </w:pPr>
      <w:bookmarkStart w:id="255" w:name="_Toc35947114"/>
      <w:r>
        <w:lastRenderedPageBreak/>
        <w:t>Crown-of-thorns starfish</w:t>
      </w:r>
      <w:bookmarkEnd w:id="255"/>
    </w:p>
    <w:p w14:paraId="53C13C04" w14:textId="5E721E0B" w:rsidR="00A20327" w:rsidRDefault="00316A83" w:rsidP="00AD7AC6">
      <w:r>
        <w:t>Elevated populations of COTS on the inshore reefs ha</w:t>
      </w:r>
      <w:r w:rsidR="00A20327">
        <w:t>ve</w:t>
      </w:r>
      <w:r>
        <w:t xml:space="preserve"> been limited to </w:t>
      </w:r>
      <w:r w:rsidR="00A20327">
        <w:t xml:space="preserve">reefs in the </w:t>
      </w:r>
      <w:r w:rsidR="00C7412C">
        <w:t>Barron-</w:t>
      </w:r>
      <w:r w:rsidR="00A20327">
        <w:t>Daintree and Johnstone Russell-Mulgrave sub</w:t>
      </w:r>
      <w:r w:rsidR="008E17A4">
        <w:t>-</w:t>
      </w:r>
      <w:r w:rsidR="00A20327">
        <w:t xml:space="preserve">regions </w:t>
      </w:r>
      <w:r w:rsidR="00927B31">
        <w:t xml:space="preserve">where </w:t>
      </w:r>
      <w:r w:rsidR="00C7412C">
        <w:t xml:space="preserve">they </w:t>
      </w:r>
      <w:r w:rsidR="00A20327">
        <w:t>caus</w:t>
      </w:r>
      <w:r w:rsidR="00927B31">
        <w:t>ed 37.5</w:t>
      </w:r>
      <w:r w:rsidR="00A20327">
        <w:t xml:space="preserve">% and </w:t>
      </w:r>
      <w:r w:rsidR="00927B31">
        <w:t>17.5</w:t>
      </w:r>
      <w:r w:rsidR="00A20327">
        <w:t>%</w:t>
      </w:r>
      <w:r w:rsidR="00927B31">
        <w:t>,</w:t>
      </w:r>
      <w:r w:rsidR="00A20327">
        <w:t xml:space="preserve"> </w:t>
      </w:r>
      <w:r w:rsidR="00927B31">
        <w:t xml:space="preserve">respectively, of </w:t>
      </w:r>
      <w:r w:rsidR="003E2FDE">
        <w:t>coral</w:t>
      </w:r>
      <w:r w:rsidR="00A20327">
        <w:t xml:space="preserve"> cover losses since 2005</w:t>
      </w:r>
      <w:r w:rsidR="009B565E">
        <w:t xml:space="preserve"> (</w:t>
      </w:r>
      <w:r w:rsidR="009B565E">
        <w:fldChar w:fldCharType="begin"/>
      </w:r>
      <w:r w:rsidR="009B565E">
        <w:instrText xml:space="preserve"> REF _Ref491178261 \h </w:instrText>
      </w:r>
      <w:r w:rsidR="009B565E">
        <w:fldChar w:fldCharType="separate"/>
      </w:r>
      <w:r w:rsidR="003053D1" w:rsidRPr="00CE4E0F">
        <w:t xml:space="preserve">Figure </w:t>
      </w:r>
      <w:r w:rsidR="003053D1">
        <w:rPr>
          <w:noProof/>
        </w:rPr>
        <w:t>15</w:t>
      </w:r>
      <w:r w:rsidR="009B565E">
        <w:fldChar w:fldCharType="end"/>
      </w:r>
      <w:r w:rsidR="009B565E">
        <w:t xml:space="preserve">, </w:t>
      </w:r>
      <w:r w:rsidR="009B565E">
        <w:fldChar w:fldCharType="begin"/>
      </w:r>
      <w:r w:rsidR="009B565E">
        <w:instrText xml:space="preserve"> REF _Ref491180328 \h </w:instrText>
      </w:r>
      <w:r w:rsidR="009B565E">
        <w:fldChar w:fldCharType="separate"/>
      </w:r>
      <w:r w:rsidR="003053D1" w:rsidRPr="00CE4E0F">
        <w:t xml:space="preserve">Figure </w:t>
      </w:r>
      <w:r w:rsidR="003053D1">
        <w:rPr>
          <w:noProof/>
        </w:rPr>
        <w:t>18</w:t>
      </w:r>
      <w:r w:rsidR="009B565E">
        <w:fldChar w:fldCharType="end"/>
      </w:r>
      <w:r w:rsidR="009B565E">
        <w:t>)</w:t>
      </w:r>
      <w:r w:rsidR="00A20327">
        <w:t xml:space="preserve">. </w:t>
      </w:r>
      <w:r w:rsidR="00927B31">
        <w:t>These l</w:t>
      </w:r>
      <w:r w:rsidR="00A20327">
        <w:t xml:space="preserve">osses occurred over the period 2012 to 2015. The potential impact of COTS on these reefs was almost certainly mitigated by the removal of starfish under the </w:t>
      </w:r>
      <w:r w:rsidR="00B55726">
        <w:t>Authority’s crown-of-thorns control program</w:t>
      </w:r>
      <w:r w:rsidR="0026213B">
        <w:t xml:space="preserve"> (</w:t>
      </w:r>
      <w:r w:rsidR="0026213B">
        <w:fldChar w:fldCharType="begin"/>
      </w:r>
      <w:r w:rsidR="0026213B">
        <w:instrText xml:space="preserve"> REF _Ref25048736 \h </w:instrText>
      </w:r>
      <w:r w:rsidR="0026213B">
        <w:fldChar w:fldCharType="separate"/>
      </w:r>
      <w:r w:rsidR="003053D1">
        <w:t xml:space="preserve">Table </w:t>
      </w:r>
      <w:r w:rsidR="003053D1">
        <w:rPr>
          <w:noProof/>
        </w:rPr>
        <w:t>7</w:t>
      </w:r>
      <w:r w:rsidR="0026213B">
        <w:fldChar w:fldCharType="end"/>
      </w:r>
      <w:r w:rsidR="0026213B">
        <w:t>)</w:t>
      </w:r>
      <w:r w:rsidR="00A20327">
        <w:t>.</w:t>
      </w:r>
    </w:p>
    <w:p w14:paraId="53C13C05" w14:textId="383ED9E7" w:rsidR="0026213B" w:rsidRDefault="009B565E" w:rsidP="00B10FCC">
      <w:r>
        <w:t xml:space="preserve">Since 2015 </w:t>
      </w:r>
      <w:r w:rsidR="0026213B">
        <w:t xml:space="preserve">COTS </w:t>
      </w:r>
      <w:r>
        <w:t>have remained present on reefs in the Johnstone Russell-Mulgrave sub-region, although numbers have continued to decline (</w:t>
      </w:r>
      <w:r>
        <w:fldChar w:fldCharType="begin"/>
      </w:r>
      <w:r>
        <w:instrText xml:space="preserve"> REF _Ref25048736 \h </w:instrText>
      </w:r>
      <w:r>
        <w:fldChar w:fldCharType="separate"/>
      </w:r>
      <w:r w:rsidR="003053D1">
        <w:t xml:space="preserve">Table </w:t>
      </w:r>
      <w:r w:rsidR="003053D1">
        <w:rPr>
          <w:noProof/>
        </w:rPr>
        <w:t>7</w:t>
      </w:r>
      <w:r>
        <w:fldChar w:fldCharType="end"/>
      </w:r>
      <w:r>
        <w:t xml:space="preserve">, </w:t>
      </w:r>
      <w:r>
        <w:fldChar w:fldCharType="begin"/>
      </w:r>
      <w:r>
        <w:instrText xml:space="preserve"> REF _Ref22821743 \h </w:instrText>
      </w:r>
      <w:r>
        <w:fldChar w:fldCharType="separate"/>
      </w:r>
      <w:r w:rsidR="003053D1">
        <w:t xml:space="preserve">Figure A </w:t>
      </w:r>
      <w:r w:rsidR="003053D1">
        <w:rPr>
          <w:noProof/>
        </w:rPr>
        <w:t>8</w:t>
      </w:r>
      <w:r>
        <w:fldChar w:fldCharType="end"/>
      </w:r>
      <w:r>
        <w:t xml:space="preserve">). </w:t>
      </w:r>
      <w:r w:rsidR="0026213B">
        <w:t>The impact of these on coral cover was limited by the small size of these starfish (</w:t>
      </w:r>
      <w:r w:rsidR="00B10FCC">
        <w:fldChar w:fldCharType="begin"/>
      </w:r>
      <w:r w:rsidR="00B10FCC">
        <w:instrText xml:space="preserve"> REF _Ref35860503 \h </w:instrText>
      </w:r>
      <w:r w:rsidR="00B10FCC">
        <w:fldChar w:fldCharType="separate"/>
      </w:r>
      <w:r w:rsidR="003053D1">
        <w:t xml:space="preserve">Table </w:t>
      </w:r>
      <w:r w:rsidR="003053D1">
        <w:rPr>
          <w:noProof/>
        </w:rPr>
        <w:t>8</w:t>
      </w:r>
      <w:r w:rsidR="00B10FCC">
        <w:fldChar w:fldCharType="end"/>
      </w:r>
      <w:r w:rsidR="0026213B">
        <w:t>). In the smaller size classes</w:t>
      </w:r>
      <w:r w:rsidR="00B10FCC">
        <w:t>,</w:t>
      </w:r>
      <w:r w:rsidR="0026213B">
        <w:t xml:space="preserve"> COTS tend to feed in the understory of the coral community, and this</w:t>
      </w:r>
      <w:r w:rsidR="00B10FCC">
        <w:t>,</w:t>
      </w:r>
      <w:r w:rsidR="0026213B">
        <w:t xml:space="preserve"> along with the relatively small size of their feeding scars</w:t>
      </w:r>
      <w:r w:rsidR="00B10FCC">
        <w:t>,</w:t>
      </w:r>
      <w:r w:rsidR="0026213B">
        <w:t xml:space="preserve"> limits the loss of coral observed using photo transects. This feeding will however have put downward pressure on the cover change indicator scores at these reefs.</w:t>
      </w:r>
    </w:p>
    <w:p w14:paraId="53C13C06" w14:textId="72BF89F4" w:rsidR="00157C55" w:rsidRDefault="00157C55" w:rsidP="00AD7AC6">
      <w:r>
        <w:t>No control was undertaken on the</w:t>
      </w:r>
      <w:r w:rsidR="009B565E">
        <w:t xml:space="preserve"> Johnstone Russell-Mulgrave </w:t>
      </w:r>
      <w:r>
        <w:t>reefs in 2018-19</w:t>
      </w:r>
      <w:r w:rsidR="009B565E">
        <w:t xml:space="preserve">. </w:t>
      </w:r>
      <w:r>
        <w:t>MMP survey</w:t>
      </w:r>
      <w:r w:rsidR="009B565E">
        <w:t>s noted COTS at Fitzroy Island, High Island and the Frankland Group in 2019</w:t>
      </w:r>
      <w:r>
        <w:t xml:space="preserve"> (</w:t>
      </w:r>
      <w:r>
        <w:fldChar w:fldCharType="begin"/>
      </w:r>
      <w:r>
        <w:instrText xml:space="preserve"> REF _Ref22821743 \h </w:instrText>
      </w:r>
      <w:r>
        <w:fldChar w:fldCharType="separate"/>
      </w:r>
      <w:r w:rsidR="003053D1">
        <w:t xml:space="preserve">Figure A </w:t>
      </w:r>
      <w:r w:rsidR="003053D1">
        <w:rPr>
          <w:noProof/>
        </w:rPr>
        <w:t>8</w:t>
      </w:r>
      <w:r>
        <w:fldChar w:fldCharType="end"/>
      </w:r>
      <w:r>
        <w:t>)</w:t>
      </w:r>
      <w:r w:rsidR="009B565E">
        <w:t>.</w:t>
      </w:r>
      <w:r>
        <w:t xml:space="preserve"> The individuals observed at both High </w:t>
      </w:r>
      <w:r w:rsidR="009B565E">
        <w:t xml:space="preserve">Island </w:t>
      </w:r>
      <w:r>
        <w:t xml:space="preserve">and </w:t>
      </w:r>
      <w:r w:rsidR="009B565E">
        <w:t xml:space="preserve">in </w:t>
      </w:r>
      <w:r>
        <w:t xml:space="preserve">the Frankland </w:t>
      </w:r>
      <w:r w:rsidR="009B565E">
        <w:t>G</w:t>
      </w:r>
      <w:r>
        <w:t>roup ranged across all size classes, at Fitzroy Island individuals were in the lower two size classes. These results suggest the ongoing recruitment of COTS onto these reefs and potential for future damage.</w:t>
      </w:r>
    </w:p>
    <w:p w14:paraId="53C13C07" w14:textId="77777777" w:rsidR="00A80208" w:rsidRDefault="00A80208" w:rsidP="00AD7AC6">
      <w:r>
        <w:t xml:space="preserve">In 2019 a single large </w:t>
      </w:r>
      <w:r w:rsidR="00D34537">
        <w:t>COTS</w:t>
      </w:r>
      <w:r>
        <w:t xml:space="preserve"> was observed during MMP surveys of Palms West in the Burdekin Region, with feeding scars also observed at Palms East. Sighting data supplied by the Authority also indicate low numbers of </w:t>
      </w:r>
      <w:r w:rsidR="00D34537">
        <w:t>COTS</w:t>
      </w:r>
      <w:r>
        <w:t xml:space="preserve"> at Hayman Island, Hook Island and Border Island</w:t>
      </w:r>
      <w:r w:rsidR="009B565E">
        <w:t xml:space="preserve"> in the Mackay-Whitsunday region</w:t>
      </w:r>
      <w:r>
        <w:t>.</w:t>
      </w:r>
    </w:p>
    <w:p w14:paraId="53C13C08" w14:textId="77777777" w:rsidR="00D34537" w:rsidRDefault="00D34537" w:rsidP="00AD7AC6">
      <w:r>
        <w:t xml:space="preserve">In contrast </w:t>
      </w:r>
      <w:r w:rsidRPr="00E86CBB">
        <w:t xml:space="preserve">population outbreaks </w:t>
      </w:r>
      <w:r>
        <w:t xml:space="preserve">of COTS were </w:t>
      </w:r>
      <w:r w:rsidRPr="00E86CBB">
        <w:t xml:space="preserve">recorded on </w:t>
      </w:r>
      <w:r>
        <w:t xml:space="preserve">mid shelf reefs </w:t>
      </w:r>
      <w:r w:rsidRPr="00E86CBB">
        <w:t xml:space="preserve">between Innisfail and Townsville, as well as off Princess Charlotte Bay in the North and Mackay to Rockhampton in the south </w:t>
      </w:r>
      <w:r>
        <w:t>during 2018 and 2019</w:t>
      </w:r>
      <w:r w:rsidRPr="00E86CBB">
        <w:t>(</w:t>
      </w:r>
      <w:hyperlink r:id="rId40" w:history="1">
        <w:r w:rsidRPr="00E86CBB">
          <w:rPr>
            <w:rFonts w:eastAsia="SimSun"/>
            <w:u w:val="single"/>
          </w:rPr>
          <w:t>AIMS LTMP</w:t>
        </w:r>
      </w:hyperlink>
      <w:r w:rsidRPr="00E86CBB">
        <w:t>).</w:t>
      </w:r>
    </w:p>
    <w:p w14:paraId="53C13C09" w14:textId="6E97D91C" w:rsidR="00F115AB" w:rsidRPr="0062064A" w:rsidRDefault="00422600" w:rsidP="002B5296">
      <w:pPr>
        <w:pStyle w:val="Caption"/>
        <w:rPr>
          <w:rStyle w:val="FigureChar"/>
          <w:rFonts w:eastAsia="SimSun"/>
          <w:vanish/>
          <w:specVanish/>
        </w:rPr>
      </w:pPr>
      <w:bookmarkStart w:id="256" w:name="_Ref25048736"/>
      <w:bookmarkStart w:id="257" w:name="_Toc35947193"/>
      <w:r>
        <w:lastRenderedPageBreak/>
        <w:t xml:space="preserve">Table </w:t>
      </w:r>
      <w:r>
        <w:fldChar w:fldCharType="begin"/>
      </w:r>
      <w:r>
        <w:instrText xml:space="preserve"> SEQ Table \* ARABIC </w:instrText>
      </w:r>
      <w:r>
        <w:fldChar w:fldCharType="separate"/>
      </w:r>
      <w:r w:rsidR="003053D1">
        <w:rPr>
          <w:noProof/>
        </w:rPr>
        <w:t>7</w:t>
      </w:r>
      <w:r>
        <w:fldChar w:fldCharType="end"/>
      </w:r>
      <w:bookmarkEnd w:id="256"/>
      <w:r>
        <w:t xml:space="preserve"> Number of crown-of-thorns</w:t>
      </w:r>
      <w:r w:rsidR="00B55726">
        <w:t xml:space="preserve"> removed by the Authority’s crown-of-thorns control program</w:t>
      </w:r>
      <w:bookmarkEnd w:id="257"/>
    </w:p>
    <w:p w14:paraId="53C13C0A" w14:textId="77777777" w:rsidR="00DC1EF2" w:rsidRDefault="00B55726">
      <w:pPr>
        <w:pStyle w:val="Caption"/>
      </w:pPr>
      <w:r>
        <w:t xml:space="preserve">. </w:t>
      </w:r>
      <w:r w:rsidR="0026213B" w:rsidRPr="00F115AB">
        <w:rPr>
          <w:rStyle w:val="IntenseReference"/>
        </w:rPr>
        <w:t xml:space="preserve">Figure in bold are the number of individuals removed. The catch rate per </w:t>
      </w:r>
      <w:r w:rsidR="00A137A4" w:rsidRPr="00F115AB">
        <w:rPr>
          <w:rStyle w:val="IntenseReference"/>
        </w:rPr>
        <w:t xml:space="preserve">diver </w:t>
      </w:r>
      <w:r w:rsidR="0026213B" w:rsidRPr="00F115AB">
        <w:rPr>
          <w:rStyle w:val="IntenseReference"/>
        </w:rPr>
        <w:t>hour is given in bracket to provide an idea of relative population density.</w:t>
      </w:r>
    </w:p>
    <w:tbl>
      <w:tblPr>
        <w:tblW w:w="962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828"/>
        <w:gridCol w:w="1113"/>
        <w:gridCol w:w="1114"/>
        <w:gridCol w:w="1114"/>
        <w:gridCol w:w="1113"/>
        <w:gridCol w:w="1114"/>
        <w:gridCol w:w="1114"/>
        <w:gridCol w:w="1114"/>
      </w:tblGrid>
      <w:tr w:rsidR="00A20327" w:rsidRPr="00A20327" w14:paraId="53C13C13" w14:textId="77777777" w:rsidTr="00A20327">
        <w:trPr>
          <w:trHeight w:val="300"/>
        </w:trPr>
        <w:tc>
          <w:tcPr>
            <w:tcW w:w="1828" w:type="dxa"/>
            <w:shd w:val="clear" w:color="auto" w:fill="auto"/>
            <w:noWrap/>
            <w:vAlign w:val="bottom"/>
            <w:hideMark/>
          </w:tcPr>
          <w:p w14:paraId="53C13C0B" w14:textId="77777777" w:rsidR="00A20327" w:rsidRPr="00A20327" w:rsidRDefault="00A20327" w:rsidP="00A20327">
            <w:pPr>
              <w:spacing w:after="0"/>
              <w:jc w:val="left"/>
              <w:rPr>
                <w:rFonts w:ascii="Arial Narrow" w:eastAsia="Times New Roman" w:hAnsi="Arial Narrow" w:cs="Times New Roman"/>
                <w:b/>
                <w:color w:val="000000"/>
                <w:sz w:val="20"/>
                <w:szCs w:val="20"/>
                <w:lang w:eastAsia="en-AU"/>
              </w:rPr>
            </w:pPr>
            <w:r w:rsidRPr="00A20327">
              <w:rPr>
                <w:rFonts w:ascii="Arial Narrow" w:eastAsia="Times New Roman" w:hAnsi="Arial Narrow" w:cs="Times New Roman"/>
                <w:b/>
                <w:color w:val="000000"/>
                <w:sz w:val="20"/>
                <w:szCs w:val="20"/>
                <w:lang w:eastAsia="en-AU"/>
              </w:rPr>
              <w:t>Reef</w:t>
            </w:r>
          </w:p>
        </w:tc>
        <w:tc>
          <w:tcPr>
            <w:tcW w:w="1113" w:type="dxa"/>
            <w:shd w:val="clear" w:color="auto" w:fill="auto"/>
            <w:noWrap/>
            <w:vAlign w:val="bottom"/>
            <w:hideMark/>
          </w:tcPr>
          <w:p w14:paraId="53C13C0C" w14:textId="77777777" w:rsidR="00A20327" w:rsidRPr="00A20327" w:rsidRDefault="00A20327" w:rsidP="00A20327">
            <w:pPr>
              <w:spacing w:after="0"/>
              <w:jc w:val="right"/>
              <w:rPr>
                <w:rFonts w:ascii="Arial Narrow" w:eastAsia="Times New Roman" w:hAnsi="Arial Narrow" w:cs="Times New Roman"/>
                <w:b/>
                <w:color w:val="000000"/>
                <w:sz w:val="20"/>
                <w:szCs w:val="20"/>
                <w:lang w:eastAsia="en-AU"/>
              </w:rPr>
            </w:pPr>
            <w:r w:rsidRPr="00A20327">
              <w:rPr>
                <w:rFonts w:ascii="Arial Narrow" w:eastAsia="Times New Roman" w:hAnsi="Arial Narrow" w:cs="Times New Roman"/>
                <w:b/>
                <w:color w:val="000000"/>
                <w:sz w:val="20"/>
                <w:szCs w:val="20"/>
                <w:lang w:eastAsia="en-AU"/>
              </w:rPr>
              <w:t>2012</w:t>
            </w:r>
          </w:p>
        </w:tc>
        <w:tc>
          <w:tcPr>
            <w:tcW w:w="1114" w:type="dxa"/>
            <w:shd w:val="clear" w:color="auto" w:fill="auto"/>
            <w:noWrap/>
            <w:vAlign w:val="bottom"/>
            <w:hideMark/>
          </w:tcPr>
          <w:p w14:paraId="53C13C0D" w14:textId="77777777" w:rsidR="00A20327" w:rsidRPr="00A20327" w:rsidRDefault="00A20327" w:rsidP="00A20327">
            <w:pPr>
              <w:spacing w:after="0"/>
              <w:jc w:val="right"/>
              <w:rPr>
                <w:rFonts w:ascii="Arial Narrow" w:eastAsia="Times New Roman" w:hAnsi="Arial Narrow" w:cs="Times New Roman"/>
                <w:b/>
                <w:color w:val="000000"/>
                <w:sz w:val="20"/>
                <w:szCs w:val="20"/>
                <w:lang w:eastAsia="en-AU"/>
              </w:rPr>
            </w:pPr>
            <w:r w:rsidRPr="00A20327">
              <w:rPr>
                <w:rFonts w:ascii="Arial Narrow" w:eastAsia="Times New Roman" w:hAnsi="Arial Narrow" w:cs="Times New Roman"/>
                <w:b/>
                <w:color w:val="000000"/>
                <w:sz w:val="20"/>
                <w:szCs w:val="20"/>
                <w:lang w:eastAsia="en-AU"/>
              </w:rPr>
              <w:t>2013</w:t>
            </w:r>
          </w:p>
        </w:tc>
        <w:tc>
          <w:tcPr>
            <w:tcW w:w="1114" w:type="dxa"/>
            <w:shd w:val="clear" w:color="auto" w:fill="auto"/>
            <w:noWrap/>
            <w:vAlign w:val="bottom"/>
            <w:hideMark/>
          </w:tcPr>
          <w:p w14:paraId="53C13C0E" w14:textId="77777777" w:rsidR="00A20327" w:rsidRPr="00A20327" w:rsidRDefault="00A20327" w:rsidP="00A20327">
            <w:pPr>
              <w:spacing w:after="0"/>
              <w:jc w:val="right"/>
              <w:rPr>
                <w:rFonts w:ascii="Arial Narrow" w:eastAsia="Times New Roman" w:hAnsi="Arial Narrow" w:cs="Times New Roman"/>
                <w:b/>
                <w:color w:val="000000"/>
                <w:sz w:val="20"/>
                <w:szCs w:val="20"/>
                <w:lang w:eastAsia="en-AU"/>
              </w:rPr>
            </w:pPr>
            <w:r w:rsidRPr="00A20327">
              <w:rPr>
                <w:rFonts w:ascii="Arial Narrow" w:eastAsia="Times New Roman" w:hAnsi="Arial Narrow" w:cs="Times New Roman"/>
                <w:b/>
                <w:color w:val="000000"/>
                <w:sz w:val="20"/>
                <w:szCs w:val="20"/>
                <w:lang w:eastAsia="en-AU"/>
              </w:rPr>
              <w:t>2014</w:t>
            </w:r>
          </w:p>
        </w:tc>
        <w:tc>
          <w:tcPr>
            <w:tcW w:w="1113" w:type="dxa"/>
            <w:shd w:val="clear" w:color="auto" w:fill="auto"/>
            <w:noWrap/>
            <w:vAlign w:val="bottom"/>
            <w:hideMark/>
          </w:tcPr>
          <w:p w14:paraId="53C13C0F" w14:textId="77777777" w:rsidR="00A20327" w:rsidRPr="00A20327" w:rsidRDefault="00A20327" w:rsidP="00A20327">
            <w:pPr>
              <w:spacing w:after="0"/>
              <w:jc w:val="right"/>
              <w:rPr>
                <w:rFonts w:ascii="Arial Narrow" w:eastAsia="Times New Roman" w:hAnsi="Arial Narrow" w:cs="Times New Roman"/>
                <w:b/>
                <w:color w:val="000000"/>
                <w:sz w:val="20"/>
                <w:szCs w:val="20"/>
                <w:lang w:eastAsia="en-AU"/>
              </w:rPr>
            </w:pPr>
            <w:r w:rsidRPr="00A20327">
              <w:rPr>
                <w:rFonts w:ascii="Arial Narrow" w:eastAsia="Times New Roman" w:hAnsi="Arial Narrow" w:cs="Times New Roman"/>
                <w:b/>
                <w:color w:val="000000"/>
                <w:sz w:val="20"/>
                <w:szCs w:val="20"/>
                <w:lang w:eastAsia="en-AU"/>
              </w:rPr>
              <w:t>2015</w:t>
            </w:r>
          </w:p>
        </w:tc>
        <w:tc>
          <w:tcPr>
            <w:tcW w:w="1114" w:type="dxa"/>
            <w:shd w:val="clear" w:color="auto" w:fill="auto"/>
            <w:noWrap/>
            <w:vAlign w:val="bottom"/>
            <w:hideMark/>
          </w:tcPr>
          <w:p w14:paraId="53C13C10" w14:textId="77777777" w:rsidR="00A20327" w:rsidRPr="00A20327" w:rsidRDefault="00A20327" w:rsidP="00A20327">
            <w:pPr>
              <w:spacing w:after="0"/>
              <w:jc w:val="right"/>
              <w:rPr>
                <w:rFonts w:ascii="Arial Narrow" w:eastAsia="Times New Roman" w:hAnsi="Arial Narrow" w:cs="Times New Roman"/>
                <w:b/>
                <w:color w:val="000000"/>
                <w:sz w:val="20"/>
                <w:szCs w:val="20"/>
                <w:lang w:eastAsia="en-AU"/>
              </w:rPr>
            </w:pPr>
            <w:r w:rsidRPr="00A20327">
              <w:rPr>
                <w:rFonts w:ascii="Arial Narrow" w:eastAsia="Times New Roman" w:hAnsi="Arial Narrow" w:cs="Times New Roman"/>
                <w:b/>
                <w:color w:val="000000"/>
                <w:sz w:val="20"/>
                <w:szCs w:val="20"/>
                <w:lang w:eastAsia="en-AU"/>
              </w:rPr>
              <w:t>2016</w:t>
            </w:r>
          </w:p>
        </w:tc>
        <w:tc>
          <w:tcPr>
            <w:tcW w:w="1114" w:type="dxa"/>
            <w:shd w:val="clear" w:color="auto" w:fill="auto"/>
            <w:noWrap/>
            <w:vAlign w:val="bottom"/>
            <w:hideMark/>
          </w:tcPr>
          <w:p w14:paraId="53C13C11" w14:textId="77777777" w:rsidR="00A20327" w:rsidRPr="00A20327" w:rsidRDefault="00A20327" w:rsidP="00A20327">
            <w:pPr>
              <w:spacing w:after="0"/>
              <w:jc w:val="right"/>
              <w:rPr>
                <w:rFonts w:ascii="Arial Narrow" w:eastAsia="Times New Roman" w:hAnsi="Arial Narrow" w:cs="Times New Roman"/>
                <w:b/>
                <w:color w:val="000000"/>
                <w:sz w:val="20"/>
                <w:szCs w:val="20"/>
                <w:lang w:eastAsia="en-AU"/>
              </w:rPr>
            </w:pPr>
            <w:r w:rsidRPr="00A20327">
              <w:rPr>
                <w:rFonts w:ascii="Arial Narrow" w:eastAsia="Times New Roman" w:hAnsi="Arial Narrow" w:cs="Times New Roman"/>
                <w:b/>
                <w:color w:val="000000"/>
                <w:sz w:val="20"/>
                <w:szCs w:val="20"/>
                <w:lang w:eastAsia="en-AU"/>
              </w:rPr>
              <w:t>2017</w:t>
            </w:r>
          </w:p>
        </w:tc>
        <w:tc>
          <w:tcPr>
            <w:tcW w:w="1114" w:type="dxa"/>
            <w:shd w:val="clear" w:color="auto" w:fill="auto"/>
            <w:noWrap/>
            <w:vAlign w:val="bottom"/>
            <w:hideMark/>
          </w:tcPr>
          <w:p w14:paraId="53C13C12" w14:textId="77777777" w:rsidR="00A20327" w:rsidRPr="00A20327" w:rsidRDefault="00A20327" w:rsidP="00A20327">
            <w:pPr>
              <w:spacing w:after="0"/>
              <w:jc w:val="right"/>
              <w:rPr>
                <w:rFonts w:ascii="Arial Narrow" w:eastAsia="Times New Roman" w:hAnsi="Arial Narrow" w:cs="Times New Roman"/>
                <w:b/>
                <w:color w:val="000000"/>
                <w:sz w:val="20"/>
                <w:szCs w:val="20"/>
                <w:lang w:eastAsia="en-AU"/>
              </w:rPr>
            </w:pPr>
            <w:r w:rsidRPr="00A20327">
              <w:rPr>
                <w:rFonts w:ascii="Arial Narrow" w:eastAsia="Times New Roman" w:hAnsi="Arial Narrow" w:cs="Times New Roman"/>
                <w:b/>
                <w:color w:val="000000"/>
                <w:sz w:val="20"/>
                <w:szCs w:val="20"/>
                <w:lang w:eastAsia="en-AU"/>
              </w:rPr>
              <w:t>2018</w:t>
            </w:r>
          </w:p>
        </w:tc>
      </w:tr>
      <w:tr w:rsidR="00A20327" w:rsidRPr="00A20327" w14:paraId="53C13C1C" w14:textId="77777777" w:rsidTr="00A20327">
        <w:trPr>
          <w:trHeight w:val="300"/>
        </w:trPr>
        <w:tc>
          <w:tcPr>
            <w:tcW w:w="1828" w:type="dxa"/>
            <w:shd w:val="clear" w:color="auto" w:fill="auto"/>
            <w:noWrap/>
            <w:vAlign w:val="bottom"/>
            <w:hideMark/>
          </w:tcPr>
          <w:p w14:paraId="53C13C14" w14:textId="77777777" w:rsidR="00A20327" w:rsidRPr="00A20327" w:rsidRDefault="00A20327" w:rsidP="00A20327">
            <w:pPr>
              <w:spacing w:after="0"/>
              <w:jc w:val="left"/>
              <w:rPr>
                <w:rFonts w:ascii="Arial Narrow" w:eastAsia="Times New Roman" w:hAnsi="Arial Narrow" w:cs="Times New Roman"/>
                <w:color w:val="000000"/>
                <w:sz w:val="20"/>
                <w:szCs w:val="20"/>
                <w:lang w:eastAsia="en-AU"/>
              </w:rPr>
            </w:pPr>
            <w:r w:rsidRPr="00A20327">
              <w:rPr>
                <w:rFonts w:ascii="Arial Narrow" w:eastAsia="Times New Roman" w:hAnsi="Arial Narrow" w:cs="Times New Roman"/>
                <w:color w:val="000000"/>
                <w:sz w:val="20"/>
                <w:szCs w:val="20"/>
                <w:lang w:eastAsia="en-AU"/>
              </w:rPr>
              <w:t>Fitzroy Island</w:t>
            </w:r>
          </w:p>
        </w:tc>
        <w:tc>
          <w:tcPr>
            <w:tcW w:w="1113" w:type="dxa"/>
            <w:shd w:val="clear" w:color="auto" w:fill="auto"/>
            <w:noWrap/>
            <w:hideMark/>
          </w:tcPr>
          <w:p w14:paraId="53C13C15" w14:textId="77777777" w:rsidR="00A20327" w:rsidRPr="00A20327" w:rsidRDefault="00A20327" w:rsidP="00A20327">
            <w:pPr>
              <w:spacing w:after="0"/>
              <w:jc w:val="center"/>
              <w:rPr>
                <w:rFonts w:ascii="Arial Narrow" w:eastAsia="Times New Roman" w:hAnsi="Arial Narrow" w:cs="Times New Roman"/>
                <w:color w:val="000000"/>
                <w:sz w:val="20"/>
                <w:szCs w:val="20"/>
                <w:lang w:eastAsia="en-AU"/>
              </w:rPr>
            </w:pPr>
            <w:r w:rsidRPr="00A20327">
              <w:rPr>
                <w:rFonts w:ascii="Arial Narrow" w:eastAsia="Times New Roman" w:hAnsi="Arial Narrow" w:cs="Times New Roman"/>
                <w:b/>
                <w:color w:val="000000"/>
                <w:sz w:val="20"/>
                <w:szCs w:val="20"/>
                <w:lang w:eastAsia="en-AU"/>
              </w:rPr>
              <w:t xml:space="preserve">961 </w:t>
            </w:r>
            <w:r>
              <w:rPr>
                <w:rFonts w:ascii="Arial Narrow" w:eastAsia="Times New Roman" w:hAnsi="Arial Narrow" w:cs="Times New Roman"/>
                <w:color w:val="000000"/>
                <w:sz w:val="20"/>
                <w:szCs w:val="20"/>
                <w:lang w:eastAsia="en-AU"/>
              </w:rPr>
              <w:t>(8.6</w:t>
            </w:r>
            <w:r w:rsidRPr="00A20327">
              <w:rPr>
                <w:rFonts w:ascii="Arial Narrow" w:eastAsia="Times New Roman" w:hAnsi="Arial Narrow" w:cs="Times New Roman"/>
                <w:color w:val="000000"/>
                <w:sz w:val="20"/>
                <w:szCs w:val="20"/>
                <w:lang w:eastAsia="en-AU"/>
              </w:rPr>
              <w:t>)</w:t>
            </w:r>
          </w:p>
        </w:tc>
        <w:tc>
          <w:tcPr>
            <w:tcW w:w="1114" w:type="dxa"/>
            <w:shd w:val="clear" w:color="auto" w:fill="auto"/>
            <w:noWrap/>
            <w:hideMark/>
          </w:tcPr>
          <w:p w14:paraId="53C13C16" w14:textId="77777777" w:rsidR="00A20327" w:rsidRPr="00A20327" w:rsidRDefault="00A20327" w:rsidP="00A20327">
            <w:pPr>
              <w:spacing w:after="0"/>
              <w:jc w:val="center"/>
              <w:rPr>
                <w:rFonts w:ascii="Arial Narrow" w:eastAsia="Times New Roman" w:hAnsi="Arial Narrow" w:cs="Times New Roman"/>
                <w:color w:val="000000"/>
                <w:sz w:val="20"/>
                <w:szCs w:val="20"/>
                <w:lang w:eastAsia="en-AU"/>
              </w:rPr>
            </w:pPr>
            <w:r w:rsidRPr="00A20327">
              <w:rPr>
                <w:rFonts w:ascii="Arial Narrow" w:eastAsia="Times New Roman" w:hAnsi="Arial Narrow" w:cs="Times New Roman"/>
                <w:b/>
                <w:color w:val="000000"/>
                <w:sz w:val="20"/>
                <w:szCs w:val="20"/>
                <w:lang w:eastAsia="en-AU"/>
              </w:rPr>
              <w:t>2761</w:t>
            </w:r>
            <w:r w:rsidRPr="00A20327">
              <w:rPr>
                <w:rFonts w:ascii="Arial Narrow" w:eastAsia="Times New Roman" w:hAnsi="Arial Narrow" w:cs="Times New Roman"/>
                <w:color w:val="000000"/>
                <w:sz w:val="20"/>
                <w:szCs w:val="20"/>
                <w:lang w:eastAsia="en-AU"/>
              </w:rPr>
              <w:t xml:space="preserve"> </w:t>
            </w:r>
            <w:r>
              <w:rPr>
                <w:rFonts w:ascii="Arial Narrow" w:eastAsia="Times New Roman" w:hAnsi="Arial Narrow" w:cs="Times New Roman"/>
                <w:color w:val="000000"/>
                <w:sz w:val="20"/>
                <w:szCs w:val="20"/>
                <w:lang w:eastAsia="en-AU"/>
              </w:rPr>
              <w:t>(11.9</w:t>
            </w:r>
            <w:r w:rsidRPr="00A20327">
              <w:rPr>
                <w:rFonts w:ascii="Arial Narrow" w:eastAsia="Times New Roman" w:hAnsi="Arial Narrow" w:cs="Times New Roman"/>
                <w:color w:val="000000"/>
                <w:sz w:val="20"/>
                <w:szCs w:val="20"/>
                <w:lang w:eastAsia="en-AU"/>
              </w:rPr>
              <w:t>)</w:t>
            </w:r>
          </w:p>
        </w:tc>
        <w:tc>
          <w:tcPr>
            <w:tcW w:w="1114" w:type="dxa"/>
            <w:shd w:val="clear" w:color="auto" w:fill="auto"/>
            <w:noWrap/>
            <w:hideMark/>
          </w:tcPr>
          <w:p w14:paraId="53C13C17" w14:textId="77777777" w:rsidR="00A20327" w:rsidRPr="00A20327" w:rsidRDefault="00A20327" w:rsidP="00A20327">
            <w:pPr>
              <w:spacing w:after="0"/>
              <w:jc w:val="center"/>
              <w:rPr>
                <w:rFonts w:ascii="Arial Narrow" w:eastAsia="Times New Roman" w:hAnsi="Arial Narrow" w:cs="Times New Roman"/>
                <w:color w:val="000000"/>
                <w:sz w:val="20"/>
                <w:szCs w:val="20"/>
                <w:lang w:eastAsia="en-AU"/>
              </w:rPr>
            </w:pPr>
            <w:r w:rsidRPr="00A20327">
              <w:rPr>
                <w:rFonts w:ascii="Arial Narrow" w:eastAsia="Times New Roman" w:hAnsi="Arial Narrow" w:cs="Times New Roman"/>
                <w:b/>
                <w:color w:val="000000"/>
                <w:sz w:val="20"/>
                <w:szCs w:val="20"/>
                <w:lang w:eastAsia="en-AU"/>
              </w:rPr>
              <w:t xml:space="preserve">793 </w:t>
            </w:r>
            <w:r w:rsidRPr="00A20327">
              <w:rPr>
                <w:rFonts w:ascii="Arial Narrow" w:eastAsia="Times New Roman" w:hAnsi="Arial Narrow" w:cs="Times New Roman"/>
                <w:color w:val="000000"/>
                <w:sz w:val="20"/>
                <w:szCs w:val="20"/>
                <w:lang w:eastAsia="en-AU"/>
              </w:rPr>
              <w:t>(6.8)</w:t>
            </w:r>
          </w:p>
        </w:tc>
        <w:tc>
          <w:tcPr>
            <w:tcW w:w="1113" w:type="dxa"/>
            <w:shd w:val="clear" w:color="auto" w:fill="auto"/>
            <w:noWrap/>
            <w:hideMark/>
          </w:tcPr>
          <w:p w14:paraId="53C13C18" w14:textId="77777777" w:rsidR="00A20327" w:rsidRPr="00A20327" w:rsidRDefault="00A20327" w:rsidP="00A20327">
            <w:pPr>
              <w:spacing w:after="0"/>
              <w:jc w:val="center"/>
              <w:rPr>
                <w:rFonts w:ascii="Arial Narrow" w:eastAsia="Times New Roman" w:hAnsi="Arial Narrow" w:cs="Times New Roman"/>
                <w:color w:val="000000"/>
                <w:sz w:val="20"/>
                <w:szCs w:val="20"/>
                <w:lang w:eastAsia="en-AU"/>
              </w:rPr>
            </w:pPr>
            <w:r w:rsidRPr="00A20327">
              <w:rPr>
                <w:rFonts w:ascii="Arial Narrow" w:eastAsia="Times New Roman" w:hAnsi="Arial Narrow" w:cs="Times New Roman"/>
                <w:b/>
                <w:color w:val="000000"/>
                <w:sz w:val="20"/>
                <w:szCs w:val="20"/>
                <w:lang w:eastAsia="en-AU"/>
              </w:rPr>
              <w:t>175</w:t>
            </w:r>
            <w:r>
              <w:rPr>
                <w:rFonts w:ascii="Arial Narrow" w:eastAsia="Times New Roman" w:hAnsi="Arial Narrow" w:cs="Times New Roman"/>
                <w:color w:val="000000"/>
                <w:sz w:val="20"/>
                <w:szCs w:val="20"/>
                <w:lang w:eastAsia="en-AU"/>
              </w:rPr>
              <w:t xml:space="preserve"> (1.6</w:t>
            </w:r>
            <w:r w:rsidRPr="00A20327">
              <w:rPr>
                <w:rFonts w:ascii="Arial Narrow" w:eastAsia="Times New Roman" w:hAnsi="Arial Narrow" w:cs="Times New Roman"/>
                <w:color w:val="000000"/>
                <w:sz w:val="20"/>
                <w:szCs w:val="20"/>
                <w:lang w:eastAsia="en-AU"/>
              </w:rPr>
              <w:t>)</w:t>
            </w:r>
          </w:p>
        </w:tc>
        <w:tc>
          <w:tcPr>
            <w:tcW w:w="1114" w:type="dxa"/>
            <w:shd w:val="clear" w:color="auto" w:fill="auto"/>
            <w:noWrap/>
            <w:hideMark/>
          </w:tcPr>
          <w:p w14:paraId="53C13C19" w14:textId="77777777" w:rsidR="00A20327" w:rsidRPr="00A20327" w:rsidRDefault="00A20327" w:rsidP="00A20327">
            <w:pPr>
              <w:spacing w:after="0"/>
              <w:jc w:val="center"/>
              <w:rPr>
                <w:rFonts w:ascii="Arial Narrow" w:eastAsia="Times New Roman" w:hAnsi="Arial Narrow" w:cs="Times New Roman"/>
                <w:color w:val="000000"/>
                <w:sz w:val="20"/>
                <w:szCs w:val="20"/>
                <w:lang w:eastAsia="en-AU"/>
              </w:rPr>
            </w:pPr>
            <w:r w:rsidRPr="00A20327">
              <w:rPr>
                <w:rFonts w:ascii="Arial Narrow" w:eastAsia="Times New Roman" w:hAnsi="Arial Narrow" w:cs="Times New Roman"/>
                <w:b/>
                <w:color w:val="000000"/>
                <w:sz w:val="20"/>
                <w:szCs w:val="20"/>
                <w:lang w:eastAsia="en-AU"/>
              </w:rPr>
              <w:t xml:space="preserve">385 </w:t>
            </w:r>
            <w:r>
              <w:rPr>
                <w:rFonts w:ascii="Arial Narrow" w:eastAsia="Times New Roman" w:hAnsi="Arial Narrow" w:cs="Times New Roman"/>
                <w:color w:val="000000"/>
                <w:sz w:val="20"/>
                <w:szCs w:val="20"/>
                <w:lang w:eastAsia="en-AU"/>
              </w:rPr>
              <w:t>(5.7</w:t>
            </w:r>
            <w:r w:rsidRPr="00A20327">
              <w:rPr>
                <w:rFonts w:ascii="Arial Narrow" w:eastAsia="Times New Roman" w:hAnsi="Arial Narrow" w:cs="Times New Roman"/>
                <w:color w:val="000000"/>
                <w:sz w:val="20"/>
                <w:szCs w:val="20"/>
                <w:lang w:eastAsia="en-AU"/>
              </w:rPr>
              <w:t>)</w:t>
            </w:r>
          </w:p>
        </w:tc>
        <w:tc>
          <w:tcPr>
            <w:tcW w:w="1114" w:type="dxa"/>
            <w:shd w:val="clear" w:color="auto" w:fill="auto"/>
            <w:noWrap/>
            <w:hideMark/>
          </w:tcPr>
          <w:p w14:paraId="53C13C1A" w14:textId="77777777" w:rsidR="00A20327" w:rsidRPr="00A20327" w:rsidRDefault="00A20327" w:rsidP="00A20327">
            <w:pPr>
              <w:spacing w:after="0"/>
              <w:jc w:val="center"/>
              <w:rPr>
                <w:rFonts w:ascii="Arial Narrow" w:eastAsia="Times New Roman" w:hAnsi="Arial Narrow" w:cs="Times New Roman"/>
                <w:color w:val="000000"/>
                <w:sz w:val="20"/>
                <w:szCs w:val="20"/>
                <w:lang w:eastAsia="en-AU"/>
              </w:rPr>
            </w:pPr>
            <w:r w:rsidRPr="00A20327">
              <w:rPr>
                <w:rFonts w:ascii="Arial Narrow" w:eastAsia="Times New Roman" w:hAnsi="Arial Narrow" w:cs="Times New Roman"/>
                <w:b/>
                <w:color w:val="000000"/>
                <w:sz w:val="20"/>
                <w:szCs w:val="20"/>
                <w:lang w:eastAsia="en-AU"/>
              </w:rPr>
              <w:t xml:space="preserve">71 </w:t>
            </w:r>
            <w:r>
              <w:rPr>
                <w:rFonts w:ascii="Arial Narrow" w:eastAsia="Times New Roman" w:hAnsi="Arial Narrow" w:cs="Times New Roman"/>
                <w:color w:val="000000"/>
                <w:sz w:val="20"/>
                <w:szCs w:val="20"/>
                <w:lang w:eastAsia="en-AU"/>
              </w:rPr>
              <w:t>(0.6</w:t>
            </w:r>
            <w:r w:rsidRPr="00A20327">
              <w:rPr>
                <w:rFonts w:ascii="Arial Narrow" w:eastAsia="Times New Roman" w:hAnsi="Arial Narrow" w:cs="Times New Roman"/>
                <w:color w:val="000000"/>
                <w:sz w:val="20"/>
                <w:szCs w:val="20"/>
                <w:lang w:eastAsia="en-AU"/>
              </w:rPr>
              <w:t>)</w:t>
            </w:r>
          </w:p>
        </w:tc>
        <w:tc>
          <w:tcPr>
            <w:tcW w:w="1114" w:type="dxa"/>
            <w:shd w:val="clear" w:color="auto" w:fill="auto"/>
            <w:noWrap/>
            <w:hideMark/>
          </w:tcPr>
          <w:p w14:paraId="53C13C1B" w14:textId="77777777" w:rsidR="00A20327" w:rsidRPr="00A20327" w:rsidRDefault="00A20327" w:rsidP="00A20327">
            <w:pPr>
              <w:spacing w:after="0"/>
              <w:jc w:val="center"/>
              <w:rPr>
                <w:rFonts w:ascii="Arial Narrow" w:eastAsia="Times New Roman" w:hAnsi="Arial Narrow" w:cs="Times New Roman"/>
                <w:color w:val="000000"/>
                <w:sz w:val="20"/>
                <w:szCs w:val="20"/>
                <w:lang w:eastAsia="en-AU"/>
              </w:rPr>
            </w:pPr>
            <w:r w:rsidRPr="00A20327">
              <w:rPr>
                <w:rFonts w:ascii="Arial Narrow" w:eastAsia="Times New Roman" w:hAnsi="Arial Narrow" w:cs="Times New Roman"/>
                <w:b/>
                <w:color w:val="000000"/>
                <w:sz w:val="20"/>
                <w:szCs w:val="20"/>
                <w:lang w:eastAsia="en-AU"/>
              </w:rPr>
              <w:t>3</w:t>
            </w:r>
            <w:r w:rsidRPr="00A20327">
              <w:rPr>
                <w:rFonts w:ascii="Arial Narrow" w:eastAsia="Times New Roman" w:hAnsi="Arial Narrow" w:cs="Times New Roman"/>
                <w:color w:val="000000"/>
                <w:sz w:val="20"/>
                <w:szCs w:val="20"/>
                <w:lang w:eastAsia="en-AU"/>
              </w:rPr>
              <w:t xml:space="preserve"> (0.04)</w:t>
            </w:r>
          </w:p>
        </w:tc>
      </w:tr>
      <w:tr w:rsidR="00A20327" w:rsidRPr="00A20327" w14:paraId="53C13C25" w14:textId="77777777" w:rsidTr="00A20327">
        <w:trPr>
          <w:trHeight w:val="300"/>
        </w:trPr>
        <w:tc>
          <w:tcPr>
            <w:tcW w:w="1828" w:type="dxa"/>
            <w:shd w:val="clear" w:color="auto" w:fill="auto"/>
            <w:noWrap/>
            <w:vAlign w:val="bottom"/>
            <w:hideMark/>
          </w:tcPr>
          <w:p w14:paraId="53C13C1D" w14:textId="77777777" w:rsidR="00A20327" w:rsidRPr="00A20327" w:rsidRDefault="00A20327" w:rsidP="00A20327">
            <w:pPr>
              <w:spacing w:after="0"/>
              <w:jc w:val="left"/>
              <w:rPr>
                <w:rFonts w:ascii="Arial Narrow" w:eastAsia="Times New Roman" w:hAnsi="Arial Narrow" w:cs="Times New Roman"/>
                <w:color w:val="000000"/>
                <w:sz w:val="20"/>
                <w:szCs w:val="20"/>
                <w:lang w:eastAsia="en-AU"/>
              </w:rPr>
            </w:pPr>
            <w:r w:rsidRPr="00A20327">
              <w:rPr>
                <w:rFonts w:ascii="Arial Narrow" w:eastAsia="Times New Roman" w:hAnsi="Arial Narrow" w:cs="Times New Roman"/>
                <w:color w:val="000000"/>
                <w:sz w:val="20"/>
                <w:szCs w:val="20"/>
                <w:lang w:eastAsia="en-AU"/>
              </w:rPr>
              <w:t>Green Island</w:t>
            </w:r>
          </w:p>
        </w:tc>
        <w:tc>
          <w:tcPr>
            <w:tcW w:w="1113" w:type="dxa"/>
            <w:shd w:val="clear" w:color="auto" w:fill="auto"/>
            <w:noWrap/>
            <w:hideMark/>
          </w:tcPr>
          <w:p w14:paraId="53C13C1E" w14:textId="77777777" w:rsidR="00A20327" w:rsidRPr="00A20327" w:rsidRDefault="00A20327" w:rsidP="00A20327">
            <w:pPr>
              <w:spacing w:after="0"/>
              <w:jc w:val="center"/>
              <w:rPr>
                <w:rFonts w:ascii="Arial Narrow" w:eastAsia="Times New Roman" w:hAnsi="Arial Narrow" w:cs="Times New Roman"/>
                <w:color w:val="000000"/>
                <w:sz w:val="20"/>
                <w:szCs w:val="20"/>
                <w:lang w:eastAsia="en-AU"/>
              </w:rPr>
            </w:pPr>
            <w:r w:rsidRPr="00A20327">
              <w:rPr>
                <w:rFonts w:ascii="Arial Narrow" w:eastAsia="Times New Roman" w:hAnsi="Arial Narrow" w:cs="Times New Roman"/>
                <w:b/>
                <w:color w:val="000000"/>
                <w:sz w:val="20"/>
                <w:szCs w:val="20"/>
                <w:lang w:eastAsia="en-AU"/>
              </w:rPr>
              <w:t>2838</w:t>
            </w:r>
            <w:r>
              <w:rPr>
                <w:rFonts w:ascii="Arial Narrow" w:eastAsia="Times New Roman" w:hAnsi="Arial Narrow" w:cs="Times New Roman"/>
                <w:color w:val="000000"/>
                <w:sz w:val="20"/>
                <w:szCs w:val="20"/>
                <w:lang w:eastAsia="en-AU"/>
              </w:rPr>
              <w:t xml:space="preserve"> (17.6</w:t>
            </w:r>
            <w:r w:rsidRPr="00A20327">
              <w:rPr>
                <w:rFonts w:ascii="Arial Narrow" w:eastAsia="Times New Roman" w:hAnsi="Arial Narrow" w:cs="Times New Roman"/>
                <w:color w:val="000000"/>
                <w:sz w:val="20"/>
                <w:szCs w:val="20"/>
                <w:lang w:eastAsia="en-AU"/>
              </w:rPr>
              <w:t>)</w:t>
            </w:r>
          </w:p>
        </w:tc>
        <w:tc>
          <w:tcPr>
            <w:tcW w:w="1114" w:type="dxa"/>
            <w:shd w:val="clear" w:color="auto" w:fill="auto"/>
            <w:noWrap/>
            <w:hideMark/>
          </w:tcPr>
          <w:p w14:paraId="53C13C1F" w14:textId="77777777" w:rsidR="00A20327" w:rsidRPr="00A20327" w:rsidRDefault="00A20327" w:rsidP="00A20327">
            <w:pPr>
              <w:spacing w:after="0"/>
              <w:jc w:val="center"/>
              <w:rPr>
                <w:rFonts w:ascii="Arial Narrow" w:eastAsia="Times New Roman" w:hAnsi="Arial Narrow" w:cs="Times New Roman"/>
                <w:color w:val="000000"/>
                <w:sz w:val="20"/>
                <w:szCs w:val="20"/>
                <w:lang w:eastAsia="en-AU"/>
              </w:rPr>
            </w:pPr>
            <w:r w:rsidRPr="00A20327">
              <w:rPr>
                <w:rFonts w:ascii="Arial Narrow" w:eastAsia="Times New Roman" w:hAnsi="Arial Narrow" w:cs="Times New Roman"/>
                <w:b/>
                <w:color w:val="000000"/>
                <w:sz w:val="20"/>
                <w:szCs w:val="20"/>
                <w:lang w:eastAsia="en-AU"/>
              </w:rPr>
              <w:t>2889</w:t>
            </w:r>
            <w:r>
              <w:rPr>
                <w:rFonts w:ascii="Arial Narrow" w:eastAsia="Times New Roman" w:hAnsi="Arial Narrow" w:cs="Times New Roman"/>
                <w:color w:val="000000"/>
                <w:sz w:val="20"/>
                <w:szCs w:val="20"/>
                <w:lang w:eastAsia="en-AU"/>
              </w:rPr>
              <w:t xml:space="preserve"> (10.2</w:t>
            </w:r>
            <w:r w:rsidRPr="00A20327">
              <w:rPr>
                <w:rFonts w:ascii="Arial Narrow" w:eastAsia="Times New Roman" w:hAnsi="Arial Narrow" w:cs="Times New Roman"/>
                <w:color w:val="000000"/>
                <w:sz w:val="20"/>
                <w:szCs w:val="20"/>
                <w:lang w:eastAsia="en-AU"/>
              </w:rPr>
              <w:t>)</w:t>
            </w:r>
          </w:p>
        </w:tc>
        <w:tc>
          <w:tcPr>
            <w:tcW w:w="1114" w:type="dxa"/>
            <w:shd w:val="clear" w:color="auto" w:fill="auto"/>
            <w:noWrap/>
            <w:hideMark/>
          </w:tcPr>
          <w:p w14:paraId="53C13C20" w14:textId="77777777" w:rsidR="00A20327" w:rsidRPr="00A20327" w:rsidRDefault="00A20327" w:rsidP="00A20327">
            <w:pPr>
              <w:spacing w:after="0"/>
              <w:jc w:val="center"/>
              <w:rPr>
                <w:rFonts w:ascii="Arial Narrow" w:eastAsia="Times New Roman" w:hAnsi="Arial Narrow" w:cs="Times New Roman"/>
                <w:color w:val="000000"/>
                <w:sz w:val="20"/>
                <w:szCs w:val="20"/>
                <w:lang w:eastAsia="en-AU"/>
              </w:rPr>
            </w:pPr>
            <w:r w:rsidRPr="00A20327">
              <w:rPr>
                <w:rFonts w:ascii="Arial Narrow" w:eastAsia="Times New Roman" w:hAnsi="Arial Narrow" w:cs="Times New Roman"/>
                <w:b/>
                <w:color w:val="000000"/>
                <w:sz w:val="20"/>
                <w:szCs w:val="20"/>
                <w:lang w:eastAsia="en-AU"/>
              </w:rPr>
              <w:t>758</w:t>
            </w:r>
            <w:r>
              <w:rPr>
                <w:rFonts w:ascii="Arial Narrow" w:eastAsia="Times New Roman" w:hAnsi="Arial Narrow" w:cs="Times New Roman"/>
                <w:color w:val="000000"/>
                <w:sz w:val="20"/>
                <w:szCs w:val="20"/>
                <w:lang w:eastAsia="en-AU"/>
              </w:rPr>
              <w:t xml:space="preserve"> (4.9</w:t>
            </w:r>
            <w:r w:rsidRPr="00A20327">
              <w:rPr>
                <w:rFonts w:ascii="Arial Narrow" w:eastAsia="Times New Roman" w:hAnsi="Arial Narrow" w:cs="Times New Roman"/>
                <w:color w:val="000000"/>
                <w:sz w:val="20"/>
                <w:szCs w:val="20"/>
                <w:lang w:eastAsia="en-AU"/>
              </w:rPr>
              <w:t>)</w:t>
            </w:r>
          </w:p>
        </w:tc>
        <w:tc>
          <w:tcPr>
            <w:tcW w:w="1113" w:type="dxa"/>
            <w:shd w:val="clear" w:color="auto" w:fill="auto"/>
            <w:noWrap/>
            <w:hideMark/>
          </w:tcPr>
          <w:p w14:paraId="53C13C21" w14:textId="77777777" w:rsidR="00A20327" w:rsidRPr="00A20327" w:rsidRDefault="00A20327" w:rsidP="00A20327">
            <w:pPr>
              <w:spacing w:after="0"/>
              <w:jc w:val="center"/>
              <w:rPr>
                <w:rFonts w:ascii="Arial Narrow" w:eastAsia="Times New Roman" w:hAnsi="Arial Narrow" w:cs="Times New Roman"/>
                <w:color w:val="000000"/>
                <w:sz w:val="20"/>
                <w:szCs w:val="20"/>
                <w:lang w:eastAsia="en-AU"/>
              </w:rPr>
            </w:pPr>
            <w:r w:rsidRPr="00A20327">
              <w:rPr>
                <w:rFonts w:ascii="Arial Narrow" w:eastAsia="Times New Roman" w:hAnsi="Arial Narrow" w:cs="Times New Roman"/>
                <w:b/>
                <w:color w:val="000000"/>
                <w:sz w:val="20"/>
                <w:szCs w:val="20"/>
                <w:lang w:eastAsia="en-AU"/>
              </w:rPr>
              <w:t>352</w:t>
            </w:r>
            <w:r>
              <w:rPr>
                <w:rFonts w:ascii="Arial Narrow" w:eastAsia="Times New Roman" w:hAnsi="Arial Narrow" w:cs="Times New Roman"/>
                <w:color w:val="000000"/>
                <w:sz w:val="20"/>
                <w:szCs w:val="20"/>
                <w:lang w:eastAsia="en-AU"/>
              </w:rPr>
              <w:t xml:space="preserve"> (3.2</w:t>
            </w:r>
            <w:r w:rsidRPr="00A20327">
              <w:rPr>
                <w:rFonts w:ascii="Arial Narrow" w:eastAsia="Times New Roman" w:hAnsi="Arial Narrow" w:cs="Times New Roman"/>
                <w:color w:val="000000"/>
                <w:sz w:val="20"/>
                <w:szCs w:val="20"/>
                <w:lang w:eastAsia="en-AU"/>
              </w:rPr>
              <w:t>)</w:t>
            </w:r>
          </w:p>
        </w:tc>
        <w:tc>
          <w:tcPr>
            <w:tcW w:w="1114" w:type="dxa"/>
            <w:shd w:val="clear" w:color="auto" w:fill="auto"/>
            <w:noWrap/>
            <w:hideMark/>
          </w:tcPr>
          <w:p w14:paraId="53C13C22" w14:textId="77777777" w:rsidR="00A20327" w:rsidRPr="00A20327" w:rsidRDefault="00A20327" w:rsidP="00A20327">
            <w:pPr>
              <w:spacing w:after="0"/>
              <w:jc w:val="center"/>
              <w:rPr>
                <w:rFonts w:ascii="Arial Narrow" w:eastAsia="Times New Roman" w:hAnsi="Arial Narrow" w:cs="Times New Roman"/>
                <w:color w:val="000000"/>
                <w:sz w:val="20"/>
                <w:szCs w:val="20"/>
                <w:lang w:eastAsia="en-AU"/>
              </w:rPr>
            </w:pPr>
            <w:r w:rsidRPr="00A20327">
              <w:rPr>
                <w:rFonts w:ascii="Arial Narrow" w:eastAsia="Times New Roman" w:hAnsi="Arial Narrow" w:cs="Times New Roman"/>
                <w:b/>
                <w:color w:val="000000"/>
                <w:sz w:val="20"/>
                <w:szCs w:val="20"/>
                <w:lang w:eastAsia="en-AU"/>
              </w:rPr>
              <w:t xml:space="preserve">579 </w:t>
            </w:r>
            <w:r>
              <w:rPr>
                <w:rFonts w:ascii="Arial Narrow" w:eastAsia="Times New Roman" w:hAnsi="Arial Narrow" w:cs="Times New Roman"/>
                <w:color w:val="000000"/>
                <w:sz w:val="20"/>
                <w:szCs w:val="20"/>
                <w:lang w:eastAsia="en-AU"/>
              </w:rPr>
              <w:t>(4.9</w:t>
            </w:r>
            <w:r w:rsidRPr="00A20327">
              <w:rPr>
                <w:rFonts w:ascii="Arial Narrow" w:eastAsia="Times New Roman" w:hAnsi="Arial Narrow" w:cs="Times New Roman"/>
                <w:color w:val="000000"/>
                <w:sz w:val="20"/>
                <w:szCs w:val="20"/>
                <w:lang w:eastAsia="en-AU"/>
              </w:rPr>
              <w:t>)</w:t>
            </w:r>
          </w:p>
        </w:tc>
        <w:tc>
          <w:tcPr>
            <w:tcW w:w="1114" w:type="dxa"/>
            <w:shd w:val="clear" w:color="auto" w:fill="auto"/>
            <w:noWrap/>
            <w:hideMark/>
          </w:tcPr>
          <w:p w14:paraId="53C13C23" w14:textId="77777777" w:rsidR="00A20327" w:rsidRPr="00A20327" w:rsidRDefault="00A20327" w:rsidP="00A20327">
            <w:pPr>
              <w:spacing w:after="0"/>
              <w:jc w:val="center"/>
              <w:rPr>
                <w:rFonts w:ascii="Arial Narrow" w:eastAsia="Times New Roman" w:hAnsi="Arial Narrow" w:cs="Times New Roman"/>
                <w:color w:val="000000"/>
                <w:sz w:val="20"/>
                <w:szCs w:val="20"/>
                <w:lang w:eastAsia="en-AU"/>
              </w:rPr>
            </w:pPr>
            <w:r w:rsidRPr="00A20327">
              <w:rPr>
                <w:rFonts w:ascii="Arial Narrow" w:eastAsia="Times New Roman" w:hAnsi="Arial Narrow" w:cs="Times New Roman"/>
                <w:b/>
                <w:color w:val="000000"/>
                <w:sz w:val="20"/>
                <w:szCs w:val="20"/>
                <w:lang w:eastAsia="en-AU"/>
              </w:rPr>
              <w:t xml:space="preserve">170 </w:t>
            </w:r>
            <w:r>
              <w:rPr>
                <w:rFonts w:ascii="Arial Narrow" w:eastAsia="Times New Roman" w:hAnsi="Arial Narrow" w:cs="Times New Roman"/>
                <w:color w:val="000000"/>
                <w:sz w:val="20"/>
                <w:szCs w:val="20"/>
                <w:lang w:eastAsia="en-AU"/>
              </w:rPr>
              <w:t>(2.1</w:t>
            </w:r>
            <w:r w:rsidRPr="00A20327">
              <w:rPr>
                <w:rFonts w:ascii="Arial Narrow" w:eastAsia="Times New Roman" w:hAnsi="Arial Narrow" w:cs="Times New Roman"/>
                <w:color w:val="000000"/>
                <w:sz w:val="20"/>
                <w:szCs w:val="20"/>
                <w:lang w:eastAsia="en-AU"/>
              </w:rPr>
              <w:t>)</w:t>
            </w:r>
          </w:p>
        </w:tc>
        <w:tc>
          <w:tcPr>
            <w:tcW w:w="1114" w:type="dxa"/>
            <w:shd w:val="clear" w:color="auto" w:fill="auto"/>
            <w:noWrap/>
            <w:hideMark/>
          </w:tcPr>
          <w:p w14:paraId="53C13C24" w14:textId="77777777" w:rsidR="00A20327" w:rsidRPr="00A20327" w:rsidRDefault="00A20327" w:rsidP="00A20327">
            <w:pPr>
              <w:spacing w:after="0"/>
              <w:jc w:val="center"/>
              <w:rPr>
                <w:rFonts w:ascii="Arial Narrow" w:eastAsia="Times New Roman" w:hAnsi="Arial Narrow" w:cs="Times New Roman"/>
                <w:color w:val="000000"/>
                <w:sz w:val="20"/>
                <w:szCs w:val="20"/>
                <w:lang w:eastAsia="en-AU"/>
              </w:rPr>
            </w:pPr>
            <w:r w:rsidRPr="00A20327">
              <w:rPr>
                <w:rFonts w:ascii="Arial Narrow" w:eastAsia="Times New Roman" w:hAnsi="Arial Narrow" w:cs="Times New Roman"/>
                <w:b/>
                <w:color w:val="000000"/>
                <w:sz w:val="20"/>
                <w:szCs w:val="20"/>
                <w:lang w:eastAsia="en-AU"/>
              </w:rPr>
              <w:t>2</w:t>
            </w:r>
            <w:r w:rsidRPr="00A20327">
              <w:rPr>
                <w:rFonts w:ascii="Arial Narrow" w:eastAsia="Times New Roman" w:hAnsi="Arial Narrow" w:cs="Times New Roman"/>
                <w:color w:val="000000"/>
                <w:sz w:val="20"/>
                <w:szCs w:val="20"/>
                <w:lang w:eastAsia="en-AU"/>
              </w:rPr>
              <w:t xml:space="preserve"> (0.04)</w:t>
            </w:r>
          </w:p>
        </w:tc>
      </w:tr>
      <w:tr w:rsidR="00A20327" w:rsidRPr="00A20327" w14:paraId="53C13C2E" w14:textId="77777777" w:rsidTr="00A20327">
        <w:trPr>
          <w:trHeight w:val="300"/>
        </w:trPr>
        <w:tc>
          <w:tcPr>
            <w:tcW w:w="1828" w:type="dxa"/>
            <w:shd w:val="clear" w:color="auto" w:fill="auto"/>
            <w:noWrap/>
            <w:vAlign w:val="bottom"/>
            <w:hideMark/>
          </w:tcPr>
          <w:p w14:paraId="53C13C26" w14:textId="77777777" w:rsidR="00A20327" w:rsidRPr="00A20327" w:rsidRDefault="00A20327" w:rsidP="00A20327">
            <w:pPr>
              <w:spacing w:after="0"/>
              <w:jc w:val="left"/>
              <w:rPr>
                <w:rFonts w:ascii="Arial Narrow" w:eastAsia="Times New Roman" w:hAnsi="Arial Narrow" w:cs="Times New Roman"/>
                <w:color w:val="000000"/>
                <w:sz w:val="20"/>
                <w:szCs w:val="20"/>
                <w:lang w:eastAsia="en-AU"/>
              </w:rPr>
            </w:pPr>
            <w:r w:rsidRPr="00A20327">
              <w:rPr>
                <w:rFonts w:ascii="Arial Narrow" w:eastAsia="Times New Roman" w:hAnsi="Arial Narrow" w:cs="Times New Roman"/>
                <w:color w:val="000000"/>
                <w:sz w:val="20"/>
                <w:szCs w:val="20"/>
                <w:lang w:eastAsia="en-AU"/>
              </w:rPr>
              <w:t>Low Isles</w:t>
            </w:r>
          </w:p>
        </w:tc>
        <w:tc>
          <w:tcPr>
            <w:tcW w:w="1113" w:type="dxa"/>
            <w:shd w:val="clear" w:color="auto" w:fill="auto"/>
            <w:noWrap/>
            <w:hideMark/>
          </w:tcPr>
          <w:p w14:paraId="53C13C27" w14:textId="77777777" w:rsidR="00A20327" w:rsidRPr="00A20327" w:rsidRDefault="00A20327" w:rsidP="00A20327">
            <w:pPr>
              <w:spacing w:after="0"/>
              <w:jc w:val="center"/>
              <w:rPr>
                <w:rFonts w:ascii="Arial Narrow" w:eastAsia="Times New Roman" w:hAnsi="Arial Narrow" w:cs="Times New Roman"/>
                <w:color w:val="000000"/>
                <w:sz w:val="20"/>
                <w:szCs w:val="20"/>
                <w:lang w:eastAsia="en-AU"/>
              </w:rPr>
            </w:pPr>
          </w:p>
        </w:tc>
        <w:tc>
          <w:tcPr>
            <w:tcW w:w="1114" w:type="dxa"/>
            <w:shd w:val="clear" w:color="auto" w:fill="auto"/>
            <w:noWrap/>
            <w:hideMark/>
          </w:tcPr>
          <w:p w14:paraId="53C13C28" w14:textId="77777777" w:rsidR="00A20327" w:rsidRPr="00A20327" w:rsidRDefault="00A20327" w:rsidP="00A20327">
            <w:pPr>
              <w:spacing w:after="0"/>
              <w:jc w:val="center"/>
              <w:rPr>
                <w:rFonts w:ascii="Arial Narrow" w:eastAsia="Times New Roman" w:hAnsi="Arial Narrow" w:cs="Times New Roman"/>
                <w:color w:val="000000"/>
                <w:sz w:val="20"/>
                <w:szCs w:val="20"/>
                <w:lang w:eastAsia="en-AU"/>
              </w:rPr>
            </w:pPr>
            <w:r w:rsidRPr="00A20327">
              <w:rPr>
                <w:rFonts w:ascii="Arial Narrow" w:eastAsia="Times New Roman" w:hAnsi="Arial Narrow" w:cs="Times New Roman"/>
                <w:b/>
                <w:color w:val="000000"/>
                <w:sz w:val="20"/>
                <w:szCs w:val="20"/>
                <w:lang w:eastAsia="en-AU"/>
              </w:rPr>
              <w:t>405</w:t>
            </w:r>
            <w:r>
              <w:rPr>
                <w:rFonts w:ascii="Arial Narrow" w:eastAsia="Times New Roman" w:hAnsi="Arial Narrow" w:cs="Times New Roman"/>
                <w:color w:val="000000"/>
                <w:sz w:val="20"/>
                <w:szCs w:val="20"/>
                <w:lang w:eastAsia="en-AU"/>
              </w:rPr>
              <w:t xml:space="preserve"> (23.7</w:t>
            </w:r>
            <w:r w:rsidRPr="00A20327">
              <w:rPr>
                <w:rFonts w:ascii="Arial Narrow" w:eastAsia="Times New Roman" w:hAnsi="Arial Narrow" w:cs="Times New Roman"/>
                <w:color w:val="000000"/>
                <w:sz w:val="20"/>
                <w:szCs w:val="20"/>
                <w:lang w:eastAsia="en-AU"/>
              </w:rPr>
              <w:t>)</w:t>
            </w:r>
          </w:p>
        </w:tc>
        <w:tc>
          <w:tcPr>
            <w:tcW w:w="1114" w:type="dxa"/>
            <w:shd w:val="clear" w:color="auto" w:fill="auto"/>
            <w:noWrap/>
            <w:hideMark/>
          </w:tcPr>
          <w:p w14:paraId="53C13C29" w14:textId="77777777" w:rsidR="00A20327" w:rsidRPr="00A20327" w:rsidRDefault="00A20327" w:rsidP="00A20327">
            <w:pPr>
              <w:spacing w:after="0"/>
              <w:jc w:val="center"/>
              <w:rPr>
                <w:rFonts w:ascii="Arial Narrow" w:eastAsia="Times New Roman" w:hAnsi="Arial Narrow" w:cs="Times New Roman"/>
                <w:color w:val="000000"/>
                <w:sz w:val="20"/>
                <w:szCs w:val="20"/>
                <w:lang w:eastAsia="en-AU"/>
              </w:rPr>
            </w:pPr>
            <w:r w:rsidRPr="00A20327">
              <w:rPr>
                <w:rFonts w:ascii="Arial Narrow" w:eastAsia="Times New Roman" w:hAnsi="Arial Narrow" w:cs="Times New Roman"/>
                <w:b/>
                <w:color w:val="000000"/>
                <w:sz w:val="20"/>
                <w:szCs w:val="20"/>
                <w:lang w:eastAsia="en-AU"/>
              </w:rPr>
              <w:t>296</w:t>
            </w:r>
            <w:r>
              <w:rPr>
                <w:rFonts w:ascii="Arial Narrow" w:eastAsia="Times New Roman" w:hAnsi="Arial Narrow" w:cs="Times New Roman"/>
                <w:color w:val="000000"/>
                <w:sz w:val="20"/>
                <w:szCs w:val="20"/>
                <w:lang w:eastAsia="en-AU"/>
              </w:rPr>
              <w:t xml:space="preserve"> (2.3</w:t>
            </w:r>
            <w:r w:rsidRPr="00A20327">
              <w:rPr>
                <w:rFonts w:ascii="Arial Narrow" w:eastAsia="Times New Roman" w:hAnsi="Arial Narrow" w:cs="Times New Roman"/>
                <w:color w:val="000000"/>
                <w:sz w:val="20"/>
                <w:szCs w:val="20"/>
                <w:lang w:eastAsia="en-AU"/>
              </w:rPr>
              <w:t>)</w:t>
            </w:r>
          </w:p>
        </w:tc>
        <w:tc>
          <w:tcPr>
            <w:tcW w:w="1113" w:type="dxa"/>
            <w:shd w:val="clear" w:color="auto" w:fill="auto"/>
            <w:noWrap/>
            <w:hideMark/>
          </w:tcPr>
          <w:p w14:paraId="53C13C2A" w14:textId="77777777" w:rsidR="00A20327" w:rsidRPr="00A20327" w:rsidRDefault="00A20327" w:rsidP="00A20327">
            <w:pPr>
              <w:spacing w:after="0"/>
              <w:jc w:val="center"/>
              <w:rPr>
                <w:rFonts w:ascii="Arial Narrow" w:eastAsia="Times New Roman" w:hAnsi="Arial Narrow" w:cs="Times New Roman"/>
                <w:color w:val="000000"/>
                <w:sz w:val="20"/>
                <w:szCs w:val="20"/>
                <w:lang w:eastAsia="en-AU"/>
              </w:rPr>
            </w:pPr>
            <w:r w:rsidRPr="00A20327">
              <w:rPr>
                <w:rFonts w:ascii="Arial Narrow" w:eastAsia="Times New Roman" w:hAnsi="Arial Narrow" w:cs="Times New Roman"/>
                <w:b/>
                <w:color w:val="000000"/>
                <w:sz w:val="20"/>
                <w:szCs w:val="20"/>
                <w:lang w:eastAsia="en-AU"/>
              </w:rPr>
              <w:t>144</w:t>
            </w:r>
            <w:r w:rsidRPr="00A20327">
              <w:rPr>
                <w:rFonts w:ascii="Arial Narrow" w:eastAsia="Times New Roman" w:hAnsi="Arial Narrow" w:cs="Times New Roman"/>
                <w:color w:val="000000"/>
                <w:sz w:val="20"/>
                <w:szCs w:val="20"/>
                <w:lang w:eastAsia="en-AU"/>
              </w:rPr>
              <w:t xml:space="preserve"> (2.2)</w:t>
            </w:r>
          </w:p>
        </w:tc>
        <w:tc>
          <w:tcPr>
            <w:tcW w:w="1114" w:type="dxa"/>
            <w:shd w:val="clear" w:color="auto" w:fill="auto"/>
            <w:noWrap/>
            <w:hideMark/>
          </w:tcPr>
          <w:p w14:paraId="53C13C2B" w14:textId="77777777" w:rsidR="00A20327" w:rsidRPr="00A20327" w:rsidRDefault="00A20327" w:rsidP="00A20327">
            <w:pPr>
              <w:spacing w:after="0"/>
              <w:jc w:val="center"/>
              <w:rPr>
                <w:rFonts w:ascii="Arial Narrow" w:eastAsia="Times New Roman" w:hAnsi="Arial Narrow" w:cs="Times New Roman"/>
                <w:color w:val="000000"/>
                <w:sz w:val="20"/>
                <w:szCs w:val="20"/>
                <w:lang w:eastAsia="en-AU"/>
              </w:rPr>
            </w:pPr>
            <w:r w:rsidRPr="00A20327">
              <w:rPr>
                <w:rFonts w:ascii="Arial Narrow" w:eastAsia="Times New Roman" w:hAnsi="Arial Narrow" w:cs="Times New Roman"/>
                <w:b/>
                <w:color w:val="000000"/>
                <w:sz w:val="20"/>
                <w:szCs w:val="20"/>
                <w:lang w:eastAsia="en-AU"/>
              </w:rPr>
              <w:t>1</w:t>
            </w:r>
            <w:r w:rsidRPr="00A20327">
              <w:rPr>
                <w:rFonts w:ascii="Arial Narrow" w:eastAsia="Times New Roman" w:hAnsi="Arial Narrow" w:cs="Times New Roman"/>
                <w:color w:val="000000"/>
                <w:sz w:val="20"/>
                <w:szCs w:val="20"/>
                <w:lang w:eastAsia="en-AU"/>
              </w:rPr>
              <w:t xml:space="preserve"> (0.</w:t>
            </w:r>
            <w:r w:rsidR="00A137A4">
              <w:rPr>
                <w:rFonts w:ascii="Arial Narrow" w:eastAsia="Times New Roman" w:hAnsi="Arial Narrow" w:cs="Times New Roman"/>
                <w:color w:val="000000"/>
                <w:sz w:val="20"/>
                <w:szCs w:val="20"/>
                <w:lang w:eastAsia="en-AU"/>
              </w:rPr>
              <w:t>1</w:t>
            </w:r>
            <w:r w:rsidRPr="00A20327">
              <w:rPr>
                <w:rFonts w:ascii="Arial Narrow" w:eastAsia="Times New Roman" w:hAnsi="Arial Narrow" w:cs="Times New Roman"/>
                <w:color w:val="000000"/>
                <w:sz w:val="20"/>
                <w:szCs w:val="20"/>
                <w:lang w:eastAsia="en-AU"/>
              </w:rPr>
              <w:t>)</w:t>
            </w:r>
          </w:p>
        </w:tc>
        <w:tc>
          <w:tcPr>
            <w:tcW w:w="1114" w:type="dxa"/>
            <w:shd w:val="clear" w:color="auto" w:fill="auto"/>
            <w:noWrap/>
          </w:tcPr>
          <w:p w14:paraId="53C13C2C" w14:textId="77777777" w:rsidR="00A20327" w:rsidRPr="00A20327" w:rsidRDefault="00A20327" w:rsidP="00A20327">
            <w:pPr>
              <w:spacing w:after="0"/>
              <w:jc w:val="center"/>
              <w:rPr>
                <w:rFonts w:ascii="Arial Narrow" w:eastAsia="Times New Roman" w:hAnsi="Arial Narrow" w:cs="Times New Roman"/>
                <w:color w:val="000000"/>
                <w:sz w:val="20"/>
                <w:szCs w:val="20"/>
                <w:lang w:eastAsia="en-AU"/>
              </w:rPr>
            </w:pPr>
          </w:p>
        </w:tc>
        <w:tc>
          <w:tcPr>
            <w:tcW w:w="1114" w:type="dxa"/>
            <w:shd w:val="clear" w:color="auto" w:fill="auto"/>
            <w:noWrap/>
          </w:tcPr>
          <w:p w14:paraId="53C13C2D" w14:textId="77777777" w:rsidR="00A20327" w:rsidRPr="00A20327" w:rsidRDefault="00A20327" w:rsidP="00A20327">
            <w:pPr>
              <w:spacing w:after="0"/>
              <w:jc w:val="center"/>
              <w:rPr>
                <w:rFonts w:ascii="Arial Narrow" w:eastAsia="Times New Roman" w:hAnsi="Arial Narrow" w:cs="Times New Roman"/>
                <w:color w:val="000000"/>
                <w:sz w:val="20"/>
                <w:szCs w:val="20"/>
                <w:lang w:eastAsia="en-AU"/>
              </w:rPr>
            </w:pPr>
          </w:p>
        </w:tc>
      </w:tr>
      <w:tr w:rsidR="00A20327" w:rsidRPr="00A20327" w14:paraId="53C13C37" w14:textId="77777777" w:rsidTr="00A20327">
        <w:trPr>
          <w:trHeight w:val="300"/>
        </w:trPr>
        <w:tc>
          <w:tcPr>
            <w:tcW w:w="1828" w:type="dxa"/>
            <w:shd w:val="clear" w:color="auto" w:fill="auto"/>
            <w:noWrap/>
            <w:vAlign w:val="bottom"/>
            <w:hideMark/>
          </w:tcPr>
          <w:p w14:paraId="53C13C2F" w14:textId="77777777" w:rsidR="00A20327" w:rsidRPr="00A20327" w:rsidRDefault="00A20327" w:rsidP="00A20327">
            <w:pPr>
              <w:spacing w:after="0"/>
              <w:jc w:val="left"/>
              <w:rPr>
                <w:rFonts w:ascii="Arial Narrow" w:eastAsia="Times New Roman" w:hAnsi="Arial Narrow" w:cs="Times New Roman"/>
                <w:color w:val="000000"/>
                <w:sz w:val="20"/>
                <w:szCs w:val="20"/>
                <w:lang w:eastAsia="en-AU"/>
              </w:rPr>
            </w:pPr>
            <w:r w:rsidRPr="00A20327">
              <w:rPr>
                <w:rFonts w:ascii="Arial Narrow" w:eastAsia="Times New Roman" w:hAnsi="Arial Narrow" w:cs="Times New Roman"/>
                <w:color w:val="000000"/>
                <w:sz w:val="20"/>
                <w:szCs w:val="20"/>
                <w:lang w:eastAsia="en-AU"/>
              </w:rPr>
              <w:t>Frankland Group</w:t>
            </w:r>
          </w:p>
        </w:tc>
        <w:tc>
          <w:tcPr>
            <w:tcW w:w="1113" w:type="dxa"/>
            <w:shd w:val="clear" w:color="auto" w:fill="auto"/>
            <w:noWrap/>
          </w:tcPr>
          <w:p w14:paraId="53C13C30" w14:textId="77777777" w:rsidR="00A20327" w:rsidRPr="00A20327" w:rsidRDefault="00A20327" w:rsidP="00A20327">
            <w:pPr>
              <w:spacing w:after="0"/>
              <w:jc w:val="center"/>
              <w:rPr>
                <w:rFonts w:ascii="Arial Narrow" w:eastAsia="Times New Roman" w:hAnsi="Arial Narrow" w:cs="Times New Roman"/>
                <w:color w:val="000000"/>
                <w:sz w:val="20"/>
                <w:szCs w:val="20"/>
                <w:lang w:eastAsia="en-AU"/>
              </w:rPr>
            </w:pPr>
          </w:p>
        </w:tc>
        <w:tc>
          <w:tcPr>
            <w:tcW w:w="1114" w:type="dxa"/>
            <w:shd w:val="clear" w:color="auto" w:fill="auto"/>
            <w:noWrap/>
          </w:tcPr>
          <w:p w14:paraId="53C13C31" w14:textId="77777777" w:rsidR="00A20327" w:rsidRPr="00A20327" w:rsidRDefault="00A20327" w:rsidP="00A20327">
            <w:pPr>
              <w:spacing w:after="0"/>
              <w:jc w:val="center"/>
              <w:rPr>
                <w:rFonts w:ascii="Arial Narrow" w:eastAsia="Times New Roman" w:hAnsi="Arial Narrow" w:cs="Times New Roman"/>
                <w:color w:val="000000"/>
                <w:sz w:val="20"/>
                <w:szCs w:val="20"/>
                <w:lang w:eastAsia="en-AU"/>
              </w:rPr>
            </w:pPr>
          </w:p>
        </w:tc>
        <w:tc>
          <w:tcPr>
            <w:tcW w:w="1114" w:type="dxa"/>
            <w:shd w:val="clear" w:color="auto" w:fill="auto"/>
            <w:noWrap/>
          </w:tcPr>
          <w:p w14:paraId="53C13C32" w14:textId="77777777" w:rsidR="00A20327" w:rsidRPr="00A20327" w:rsidRDefault="00A20327" w:rsidP="00A20327">
            <w:pPr>
              <w:spacing w:after="0"/>
              <w:jc w:val="center"/>
              <w:rPr>
                <w:rFonts w:ascii="Arial Narrow" w:eastAsia="Times New Roman" w:hAnsi="Arial Narrow" w:cs="Times New Roman"/>
                <w:color w:val="000000"/>
                <w:sz w:val="20"/>
                <w:szCs w:val="20"/>
                <w:lang w:eastAsia="en-AU"/>
              </w:rPr>
            </w:pPr>
          </w:p>
        </w:tc>
        <w:tc>
          <w:tcPr>
            <w:tcW w:w="1113" w:type="dxa"/>
            <w:shd w:val="clear" w:color="auto" w:fill="auto"/>
            <w:noWrap/>
          </w:tcPr>
          <w:p w14:paraId="53C13C33" w14:textId="77777777" w:rsidR="00A20327" w:rsidRPr="00A20327" w:rsidRDefault="00A20327" w:rsidP="00A20327">
            <w:pPr>
              <w:spacing w:after="0"/>
              <w:jc w:val="center"/>
              <w:rPr>
                <w:rFonts w:ascii="Arial Narrow" w:eastAsia="Times New Roman" w:hAnsi="Arial Narrow" w:cs="Times New Roman"/>
                <w:color w:val="000000"/>
                <w:sz w:val="20"/>
                <w:szCs w:val="20"/>
                <w:lang w:eastAsia="en-AU"/>
              </w:rPr>
            </w:pPr>
          </w:p>
        </w:tc>
        <w:tc>
          <w:tcPr>
            <w:tcW w:w="1114" w:type="dxa"/>
            <w:shd w:val="clear" w:color="auto" w:fill="auto"/>
            <w:noWrap/>
          </w:tcPr>
          <w:p w14:paraId="53C13C34" w14:textId="77777777" w:rsidR="00A20327" w:rsidRPr="00A20327" w:rsidRDefault="00A20327" w:rsidP="00A20327">
            <w:pPr>
              <w:spacing w:after="0"/>
              <w:jc w:val="center"/>
              <w:rPr>
                <w:rFonts w:ascii="Arial Narrow" w:eastAsia="Times New Roman" w:hAnsi="Arial Narrow" w:cs="Times New Roman"/>
                <w:color w:val="000000"/>
                <w:sz w:val="20"/>
                <w:szCs w:val="20"/>
                <w:lang w:eastAsia="en-AU"/>
              </w:rPr>
            </w:pPr>
          </w:p>
        </w:tc>
        <w:tc>
          <w:tcPr>
            <w:tcW w:w="1114" w:type="dxa"/>
            <w:shd w:val="clear" w:color="auto" w:fill="auto"/>
            <w:noWrap/>
            <w:hideMark/>
          </w:tcPr>
          <w:p w14:paraId="53C13C35" w14:textId="77777777" w:rsidR="00A20327" w:rsidRPr="00A20327" w:rsidRDefault="00A20327" w:rsidP="00A20327">
            <w:pPr>
              <w:spacing w:after="0"/>
              <w:jc w:val="center"/>
              <w:rPr>
                <w:rFonts w:ascii="Arial Narrow" w:eastAsia="Times New Roman" w:hAnsi="Arial Narrow" w:cs="Times New Roman"/>
                <w:color w:val="000000"/>
                <w:sz w:val="20"/>
                <w:szCs w:val="20"/>
                <w:lang w:eastAsia="en-AU"/>
              </w:rPr>
            </w:pPr>
            <w:r w:rsidRPr="00A20327">
              <w:rPr>
                <w:rFonts w:ascii="Arial Narrow" w:eastAsia="Times New Roman" w:hAnsi="Arial Narrow" w:cs="Times New Roman"/>
                <w:b/>
                <w:color w:val="000000"/>
                <w:sz w:val="20"/>
                <w:szCs w:val="20"/>
                <w:lang w:eastAsia="en-AU"/>
              </w:rPr>
              <w:t>770</w:t>
            </w:r>
            <w:r w:rsidRPr="00A20327">
              <w:rPr>
                <w:rFonts w:ascii="Arial Narrow" w:eastAsia="Times New Roman" w:hAnsi="Arial Narrow" w:cs="Times New Roman"/>
                <w:color w:val="000000"/>
                <w:sz w:val="20"/>
                <w:szCs w:val="20"/>
                <w:lang w:eastAsia="en-AU"/>
              </w:rPr>
              <w:t xml:space="preserve"> (5.</w:t>
            </w:r>
            <w:r w:rsidR="00A137A4">
              <w:rPr>
                <w:rFonts w:ascii="Arial Narrow" w:eastAsia="Times New Roman" w:hAnsi="Arial Narrow" w:cs="Times New Roman"/>
                <w:color w:val="000000"/>
                <w:sz w:val="20"/>
                <w:szCs w:val="20"/>
                <w:lang w:eastAsia="en-AU"/>
              </w:rPr>
              <w:t>6</w:t>
            </w:r>
            <w:r w:rsidRPr="00A20327">
              <w:rPr>
                <w:rFonts w:ascii="Arial Narrow" w:eastAsia="Times New Roman" w:hAnsi="Arial Narrow" w:cs="Times New Roman"/>
                <w:color w:val="000000"/>
                <w:sz w:val="20"/>
                <w:szCs w:val="20"/>
                <w:lang w:eastAsia="en-AU"/>
              </w:rPr>
              <w:t>)</w:t>
            </w:r>
          </w:p>
        </w:tc>
        <w:tc>
          <w:tcPr>
            <w:tcW w:w="1114" w:type="dxa"/>
            <w:shd w:val="clear" w:color="auto" w:fill="auto"/>
            <w:noWrap/>
            <w:hideMark/>
          </w:tcPr>
          <w:p w14:paraId="53C13C36" w14:textId="77777777" w:rsidR="00A20327" w:rsidRPr="00A20327" w:rsidRDefault="00A20327" w:rsidP="00A20327">
            <w:pPr>
              <w:spacing w:after="0"/>
              <w:jc w:val="center"/>
              <w:rPr>
                <w:rFonts w:ascii="Arial Narrow" w:eastAsia="Times New Roman" w:hAnsi="Arial Narrow" w:cs="Times New Roman"/>
                <w:color w:val="000000"/>
                <w:sz w:val="20"/>
                <w:szCs w:val="20"/>
                <w:lang w:eastAsia="en-AU"/>
              </w:rPr>
            </w:pPr>
            <w:r w:rsidRPr="00A20327">
              <w:rPr>
                <w:rFonts w:ascii="Arial Narrow" w:eastAsia="Times New Roman" w:hAnsi="Arial Narrow" w:cs="Times New Roman"/>
                <w:b/>
                <w:color w:val="000000"/>
                <w:sz w:val="20"/>
                <w:szCs w:val="20"/>
                <w:lang w:eastAsia="en-AU"/>
              </w:rPr>
              <w:t>73</w:t>
            </w:r>
            <w:r w:rsidRPr="00A20327">
              <w:rPr>
                <w:rFonts w:ascii="Arial Narrow" w:eastAsia="Times New Roman" w:hAnsi="Arial Narrow" w:cs="Times New Roman"/>
                <w:color w:val="000000"/>
                <w:sz w:val="20"/>
                <w:szCs w:val="20"/>
                <w:lang w:eastAsia="en-AU"/>
              </w:rPr>
              <w:t xml:space="preserve"> (0.</w:t>
            </w:r>
            <w:r w:rsidR="00A137A4">
              <w:rPr>
                <w:rFonts w:ascii="Arial Narrow" w:eastAsia="Times New Roman" w:hAnsi="Arial Narrow" w:cs="Times New Roman"/>
                <w:color w:val="000000"/>
                <w:sz w:val="20"/>
                <w:szCs w:val="20"/>
                <w:lang w:eastAsia="en-AU"/>
              </w:rPr>
              <w:t>8</w:t>
            </w:r>
            <w:r w:rsidRPr="00A20327">
              <w:rPr>
                <w:rFonts w:ascii="Arial Narrow" w:eastAsia="Times New Roman" w:hAnsi="Arial Narrow" w:cs="Times New Roman"/>
                <w:color w:val="000000"/>
                <w:sz w:val="20"/>
                <w:szCs w:val="20"/>
                <w:lang w:eastAsia="en-AU"/>
              </w:rPr>
              <w:t>)</w:t>
            </w:r>
          </w:p>
        </w:tc>
      </w:tr>
      <w:tr w:rsidR="00A20327" w:rsidRPr="00A20327" w14:paraId="53C13C40" w14:textId="77777777" w:rsidTr="00A20327">
        <w:trPr>
          <w:trHeight w:val="300"/>
        </w:trPr>
        <w:tc>
          <w:tcPr>
            <w:tcW w:w="1828" w:type="dxa"/>
            <w:shd w:val="clear" w:color="auto" w:fill="auto"/>
            <w:noWrap/>
            <w:vAlign w:val="bottom"/>
            <w:hideMark/>
          </w:tcPr>
          <w:p w14:paraId="53C13C38" w14:textId="77777777" w:rsidR="00A20327" w:rsidRPr="00A20327" w:rsidRDefault="00A20327" w:rsidP="00A20327">
            <w:pPr>
              <w:spacing w:after="0"/>
              <w:jc w:val="left"/>
              <w:rPr>
                <w:rFonts w:ascii="Arial Narrow" w:eastAsia="Times New Roman" w:hAnsi="Arial Narrow" w:cs="Times New Roman"/>
                <w:color w:val="000000"/>
                <w:sz w:val="20"/>
                <w:szCs w:val="20"/>
                <w:lang w:eastAsia="en-AU"/>
              </w:rPr>
            </w:pPr>
            <w:r w:rsidRPr="00A20327">
              <w:rPr>
                <w:rFonts w:ascii="Arial Narrow" w:eastAsia="Times New Roman" w:hAnsi="Arial Narrow" w:cs="Times New Roman"/>
                <w:color w:val="000000"/>
                <w:sz w:val="20"/>
                <w:szCs w:val="20"/>
                <w:lang w:eastAsia="en-AU"/>
              </w:rPr>
              <w:t>Snapper Island</w:t>
            </w:r>
          </w:p>
        </w:tc>
        <w:tc>
          <w:tcPr>
            <w:tcW w:w="1113" w:type="dxa"/>
            <w:shd w:val="clear" w:color="auto" w:fill="auto"/>
            <w:noWrap/>
            <w:hideMark/>
          </w:tcPr>
          <w:p w14:paraId="53C13C39" w14:textId="77777777" w:rsidR="00A20327" w:rsidRPr="00A20327" w:rsidRDefault="00A20327" w:rsidP="00A20327">
            <w:pPr>
              <w:spacing w:after="0"/>
              <w:jc w:val="center"/>
              <w:rPr>
                <w:rFonts w:ascii="Arial Narrow" w:eastAsia="Times New Roman" w:hAnsi="Arial Narrow" w:cs="Times New Roman"/>
                <w:color w:val="000000"/>
                <w:sz w:val="20"/>
                <w:szCs w:val="20"/>
                <w:lang w:eastAsia="en-AU"/>
              </w:rPr>
            </w:pPr>
          </w:p>
        </w:tc>
        <w:tc>
          <w:tcPr>
            <w:tcW w:w="1114" w:type="dxa"/>
            <w:shd w:val="clear" w:color="auto" w:fill="auto"/>
            <w:noWrap/>
            <w:hideMark/>
          </w:tcPr>
          <w:p w14:paraId="53C13C3A" w14:textId="77777777" w:rsidR="00A20327" w:rsidRPr="00A20327" w:rsidRDefault="00A20327" w:rsidP="00A20327">
            <w:pPr>
              <w:spacing w:after="0"/>
              <w:jc w:val="center"/>
              <w:rPr>
                <w:rFonts w:ascii="Arial Narrow" w:eastAsia="Times New Roman" w:hAnsi="Arial Narrow" w:cs="Times New Roman"/>
                <w:color w:val="000000"/>
                <w:sz w:val="20"/>
                <w:szCs w:val="20"/>
                <w:lang w:eastAsia="en-AU"/>
              </w:rPr>
            </w:pPr>
            <w:r w:rsidRPr="00A20327">
              <w:rPr>
                <w:rFonts w:ascii="Arial Narrow" w:eastAsia="Times New Roman" w:hAnsi="Arial Narrow" w:cs="Times New Roman"/>
                <w:b/>
                <w:color w:val="000000"/>
                <w:sz w:val="20"/>
                <w:szCs w:val="20"/>
                <w:lang w:eastAsia="en-AU"/>
              </w:rPr>
              <w:t>135</w:t>
            </w:r>
            <w:r w:rsidRPr="00A20327">
              <w:rPr>
                <w:rFonts w:ascii="Arial Narrow" w:eastAsia="Times New Roman" w:hAnsi="Arial Narrow" w:cs="Times New Roman"/>
                <w:color w:val="000000"/>
                <w:sz w:val="20"/>
                <w:szCs w:val="20"/>
                <w:lang w:eastAsia="en-AU"/>
              </w:rPr>
              <w:t xml:space="preserve"> (16.2)</w:t>
            </w:r>
          </w:p>
        </w:tc>
        <w:tc>
          <w:tcPr>
            <w:tcW w:w="1114" w:type="dxa"/>
            <w:shd w:val="clear" w:color="auto" w:fill="auto"/>
            <w:noWrap/>
          </w:tcPr>
          <w:p w14:paraId="53C13C3B" w14:textId="77777777" w:rsidR="00A20327" w:rsidRPr="00A20327" w:rsidRDefault="00A20327" w:rsidP="00A20327">
            <w:pPr>
              <w:spacing w:after="0"/>
              <w:jc w:val="center"/>
              <w:rPr>
                <w:rFonts w:ascii="Arial Narrow" w:eastAsia="Times New Roman" w:hAnsi="Arial Narrow" w:cs="Times New Roman"/>
                <w:color w:val="000000"/>
                <w:sz w:val="20"/>
                <w:szCs w:val="20"/>
                <w:lang w:eastAsia="en-AU"/>
              </w:rPr>
            </w:pPr>
          </w:p>
        </w:tc>
        <w:tc>
          <w:tcPr>
            <w:tcW w:w="1113" w:type="dxa"/>
            <w:shd w:val="clear" w:color="auto" w:fill="auto"/>
            <w:noWrap/>
          </w:tcPr>
          <w:p w14:paraId="53C13C3C" w14:textId="77777777" w:rsidR="00A20327" w:rsidRPr="00A20327" w:rsidRDefault="00A20327" w:rsidP="00A20327">
            <w:pPr>
              <w:spacing w:after="0"/>
              <w:jc w:val="center"/>
              <w:rPr>
                <w:rFonts w:ascii="Arial Narrow" w:eastAsia="Times New Roman" w:hAnsi="Arial Narrow" w:cs="Times New Roman"/>
                <w:color w:val="000000"/>
                <w:sz w:val="20"/>
                <w:szCs w:val="20"/>
                <w:lang w:eastAsia="en-AU"/>
              </w:rPr>
            </w:pPr>
          </w:p>
        </w:tc>
        <w:tc>
          <w:tcPr>
            <w:tcW w:w="1114" w:type="dxa"/>
            <w:shd w:val="clear" w:color="auto" w:fill="auto"/>
            <w:noWrap/>
          </w:tcPr>
          <w:p w14:paraId="53C13C3D" w14:textId="77777777" w:rsidR="00A20327" w:rsidRPr="00A20327" w:rsidRDefault="00A20327" w:rsidP="00A20327">
            <w:pPr>
              <w:spacing w:after="0"/>
              <w:jc w:val="center"/>
              <w:rPr>
                <w:rFonts w:ascii="Arial Narrow" w:eastAsia="Times New Roman" w:hAnsi="Arial Narrow" w:cs="Times New Roman"/>
                <w:color w:val="000000"/>
                <w:sz w:val="20"/>
                <w:szCs w:val="20"/>
                <w:lang w:eastAsia="en-AU"/>
              </w:rPr>
            </w:pPr>
          </w:p>
        </w:tc>
        <w:tc>
          <w:tcPr>
            <w:tcW w:w="1114" w:type="dxa"/>
            <w:shd w:val="clear" w:color="auto" w:fill="auto"/>
            <w:noWrap/>
          </w:tcPr>
          <w:p w14:paraId="53C13C3E" w14:textId="77777777" w:rsidR="00A20327" w:rsidRPr="00A20327" w:rsidRDefault="00A20327" w:rsidP="00A20327">
            <w:pPr>
              <w:spacing w:after="0"/>
              <w:jc w:val="center"/>
              <w:rPr>
                <w:rFonts w:ascii="Arial Narrow" w:eastAsia="Times New Roman" w:hAnsi="Arial Narrow" w:cs="Times New Roman"/>
                <w:color w:val="000000"/>
                <w:sz w:val="20"/>
                <w:szCs w:val="20"/>
                <w:lang w:eastAsia="en-AU"/>
              </w:rPr>
            </w:pPr>
          </w:p>
        </w:tc>
        <w:tc>
          <w:tcPr>
            <w:tcW w:w="1114" w:type="dxa"/>
            <w:shd w:val="clear" w:color="auto" w:fill="auto"/>
            <w:noWrap/>
          </w:tcPr>
          <w:p w14:paraId="53C13C3F" w14:textId="77777777" w:rsidR="00A20327" w:rsidRPr="00A20327" w:rsidRDefault="00A20327" w:rsidP="00A20327">
            <w:pPr>
              <w:spacing w:after="0"/>
              <w:jc w:val="center"/>
              <w:rPr>
                <w:rFonts w:ascii="Arial Narrow" w:eastAsia="Times New Roman" w:hAnsi="Arial Narrow" w:cs="Times New Roman"/>
                <w:color w:val="000000"/>
                <w:sz w:val="20"/>
                <w:szCs w:val="20"/>
                <w:lang w:eastAsia="en-AU"/>
              </w:rPr>
            </w:pPr>
          </w:p>
        </w:tc>
      </w:tr>
    </w:tbl>
    <w:p w14:paraId="53C13C41" w14:textId="77777777" w:rsidR="00F115AB" w:rsidRDefault="00316A83" w:rsidP="00F115AB">
      <w:r>
        <w:t xml:space="preserve"> </w:t>
      </w:r>
      <w:bookmarkStart w:id="258" w:name="_Ref25049579"/>
    </w:p>
    <w:p w14:paraId="53C13C42" w14:textId="294AB3EF" w:rsidR="00F115AB" w:rsidRPr="0062064A" w:rsidRDefault="0026213B" w:rsidP="002B5296">
      <w:pPr>
        <w:pStyle w:val="Caption"/>
        <w:rPr>
          <w:rStyle w:val="FigureChar"/>
          <w:rFonts w:eastAsia="SimSun"/>
          <w:vanish/>
          <w:specVanish/>
        </w:rPr>
      </w:pPr>
      <w:bookmarkStart w:id="259" w:name="_Ref35860503"/>
      <w:bookmarkStart w:id="260" w:name="_Toc35947194"/>
      <w:r>
        <w:t xml:space="preserve">Table </w:t>
      </w:r>
      <w:r>
        <w:fldChar w:fldCharType="begin"/>
      </w:r>
      <w:r>
        <w:instrText xml:space="preserve"> SEQ Table \* ARABIC </w:instrText>
      </w:r>
      <w:r>
        <w:fldChar w:fldCharType="separate"/>
      </w:r>
      <w:r w:rsidR="003053D1">
        <w:rPr>
          <w:noProof/>
        </w:rPr>
        <w:t>8</w:t>
      </w:r>
      <w:r>
        <w:fldChar w:fldCharType="end"/>
      </w:r>
      <w:bookmarkEnd w:id="258"/>
      <w:bookmarkEnd w:id="259"/>
      <w:r>
        <w:t xml:space="preserve"> Size class distribution of crown-of-thorns removed as listed in (</w:t>
      </w:r>
      <w:r>
        <w:fldChar w:fldCharType="begin"/>
      </w:r>
      <w:r>
        <w:instrText xml:space="preserve"> REF _Ref25048736 \h </w:instrText>
      </w:r>
      <w:r>
        <w:fldChar w:fldCharType="separate"/>
      </w:r>
      <w:r w:rsidR="003053D1">
        <w:t xml:space="preserve">Table </w:t>
      </w:r>
      <w:r w:rsidR="003053D1">
        <w:rPr>
          <w:noProof/>
        </w:rPr>
        <w:t>7</w:t>
      </w:r>
      <w:r>
        <w:fldChar w:fldCharType="end"/>
      </w:r>
      <w:r>
        <w:t>)</w:t>
      </w:r>
      <w:bookmarkEnd w:id="260"/>
    </w:p>
    <w:p w14:paraId="53C13C43" w14:textId="77777777" w:rsidR="00DC1EF2" w:rsidRDefault="0026213B">
      <w:pPr>
        <w:pStyle w:val="Caption"/>
      </w:pPr>
      <w:r>
        <w:t xml:space="preserve">. </w:t>
      </w:r>
      <w:r w:rsidRPr="00F115AB">
        <w:rPr>
          <w:rStyle w:val="IntenseReference"/>
        </w:rPr>
        <w:t xml:space="preserve">Figures represent percent of individuals that where within each size class across all </w:t>
      </w:r>
      <w:r w:rsidR="00A137A4" w:rsidRPr="00F115AB">
        <w:rPr>
          <w:rStyle w:val="IntenseReference"/>
        </w:rPr>
        <w:t>W</w:t>
      </w:r>
      <w:r w:rsidRPr="00F115AB">
        <w:rPr>
          <w:rStyle w:val="IntenseReference"/>
        </w:rPr>
        <w:t xml:space="preserve">et </w:t>
      </w:r>
      <w:r w:rsidR="00A137A4" w:rsidRPr="00F115AB">
        <w:rPr>
          <w:rStyle w:val="IntenseReference"/>
        </w:rPr>
        <w:t>T</w:t>
      </w:r>
      <w:r w:rsidRPr="00F115AB">
        <w:rPr>
          <w:rStyle w:val="IntenseReference"/>
        </w:rPr>
        <w:t>ropics inshore reefs.</w:t>
      </w:r>
    </w:p>
    <w:tbl>
      <w:tblPr>
        <w:tblW w:w="48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60"/>
        <w:gridCol w:w="960"/>
        <w:gridCol w:w="960"/>
        <w:gridCol w:w="960"/>
        <w:gridCol w:w="960"/>
      </w:tblGrid>
      <w:tr w:rsidR="00DC1EF2" w:rsidRPr="00DC1EF2" w14:paraId="53C13C4D" w14:textId="77777777" w:rsidTr="009B565E">
        <w:trPr>
          <w:trHeight w:val="300"/>
          <w:tblHeader/>
        </w:trPr>
        <w:tc>
          <w:tcPr>
            <w:tcW w:w="960" w:type="dxa"/>
            <w:shd w:val="clear" w:color="auto" w:fill="auto"/>
            <w:noWrap/>
            <w:vAlign w:val="bottom"/>
            <w:hideMark/>
          </w:tcPr>
          <w:p w14:paraId="53C13C44" w14:textId="77777777" w:rsidR="00DC1EF2" w:rsidRPr="00DC1EF2" w:rsidRDefault="00DC1EF2" w:rsidP="00DC1EF2">
            <w:pPr>
              <w:spacing w:after="0"/>
              <w:jc w:val="left"/>
              <w:rPr>
                <w:rFonts w:ascii="Arial Narrow" w:eastAsia="Times New Roman" w:hAnsi="Arial Narrow" w:cs="Times New Roman"/>
                <w:color w:val="000000"/>
                <w:sz w:val="20"/>
                <w:szCs w:val="20"/>
                <w:lang w:eastAsia="en-AU"/>
              </w:rPr>
            </w:pPr>
            <w:r w:rsidRPr="00DC1EF2">
              <w:rPr>
                <w:rFonts w:ascii="Arial Narrow" w:eastAsia="Times New Roman" w:hAnsi="Arial Narrow" w:cs="Times New Roman"/>
                <w:color w:val="000000"/>
                <w:sz w:val="20"/>
                <w:szCs w:val="20"/>
                <w:lang w:eastAsia="en-AU"/>
              </w:rPr>
              <w:t>Year</w:t>
            </w:r>
          </w:p>
        </w:tc>
        <w:tc>
          <w:tcPr>
            <w:tcW w:w="960" w:type="dxa"/>
            <w:shd w:val="clear" w:color="auto" w:fill="auto"/>
            <w:noWrap/>
            <w:vAlign w:val="bottom"/>
            <w:hideMark/>
          </w:tcPr>
          <w:p w14:paraId="53C13C45" w14:textId="77777777" w:rsidR="00B50D1E" w:rsidRDefault="00DC1EF2" w:rsidP="00DC1EF2">
            <w:pPr>
              <w:spacing w:after="0"/>
              <w:jc w:val="left"/>
              <w:rPr>
                <w:rFonts w:ascii="Arial Narrow" w:eastAsia="Times New Roman" w:hAnsi="Arial Narrow" w:cs="Times New Roman"/>
                <w:color w:val="000000"/>
                <w:sz w:val="20"/>
                <w:szCs w:val="20"/>
                <w:lang w:eastAsia="en-AU"/>
              </w:rPr>
            </w:pPr>
            <w:r w:rsidRPr="00DC1EF2">
              <w:rPr>
                <w:rFonts w:ascii="Arial Narrow" w:eastAsia="Times New Roman" w:hAnsi="Arial Narrow" w:cs="Times New Roman"/>
                <w:color w:val="000000"/>
                <w:sz w:val="20"/>
                <w:szCs w:val="20"/>
                <w:lang w:eastAsia="en-AU"/>
              </w:rPr>
              <w:t>pC1</w:t>
            </w:r>
          </w:p>
          <w:p w14:paraId="53C13C46" w14:textId="77777777" w:rsidR="00DC1EF2" w:rsidRPr="00DC1EF2" w:rsidRDefault="0026213B" w:rsidP="00DC1EF2">
            <w:pPr>
              <w:spacing w:after="0"/>
              <w:jc w:val="left"/>
              <w:rPr>
                <w:rFonts w:ascii="Arial Narrow" w:eastAsia="Times New Roman" w:hAnsi="Arial Narrow" w:cs="Times New Roman"/>
                <w:color w:val="000000"/>
                <w:sz w:val="20"/>
                <w:szCs w:val="20"/>
                <w:lang w:eastAsia="en-AU"/>
              </w:rPr>
            </w:pPr>
            <w:r>
              <w:rPr>
                <w:rFonts w:ascii="Arial Narrow" w:eastAsia="Times New Roman" w:hAnsi="Arial Narrow" w:cs="Times New Roman"/>
                <w:color w:val="000000"/>
                <w:sz w:val="20"/>
                <w:szCs w:val="20"/>
                <w:lang w:eastAsia="en-AU"/>
              </w:rPr>
              <w:t>0-15 cm</w:t>
            </w:r>
          </w:p>
        </w:tc>
        <w:tc>
          <w:tcPr>
            <w:tcW w:w="960" w:type="dxa"/>
            <w:shd w:val="clear" w:color="auto" w:fill="auto"/>
            <w:noWrap/>
            <w:vAlign w:val="bottom"/>
            <w:hideMark/>
          </w:tcPr>
          <w:p w14:paraId="53C13C47" w14:textId="77777777" w:rsidR="00B50D1E" w:rsidRDefault="00DC1EF2" w:rsidP="00DC1EF2">
            <w:pPr>
              <w:spacing w:after="0"/>
              <w:jc w:val="left"/>
              <w:rPr>
                <w:rFonts w:ascii="Arial Narrow" w:eastAsia="Times New Roman" w:hAnsi="Arial Narrow" w:cs="Times New Roman"/>
                <w:color w:val="000000"/>
                <w:sz w:val="20"/>
                <w:szCs w:val="20"/>
                <w:lang w:eastAsia="en-AU"/>
              </w:rPr>
            </w:pPr>
            <w:r w:rsidRPr="00DC1EF2">
              <w:rPr>
                <w:rFonts w:ascii="Arial Narrow" w:eastAsia="Times New Roman" w:hAnsi="Arial Narrow" w:cs="Times New Roman"/>
                <w:color w:val="000000"/>
                <w:sz w:val="20"/>
                <w:szCs w:val="20"/>
                <w:lang w:eastAsia="en-AU"/>
              </w:rPr>
              <w:t>pC2</w:t>
            </w:r>
          </w:p>
          <w:p w14:paraId="53C13C48" w14:textId="77777777" w:rsidR="00DC1EF2" w:rsidRPr="00DC1EF2" w:rsidRDefault="0026213B" w:rsidP="00DC1EF2">
            <w:pPr>
              <w:spacing w:after="0"/>
              <w:jc w:val="left"/>
              <w:rPr>
                <w:rFonts w:ascii="Arial Narrow" w:eastAsia="Times New Roman" w:hAnsi="Arial Narrow" w:cs="Times New Roman"/>
                <w:color w:val="000000"/>
                <w:sz w:val="20"/>
                <w:szCs w:val="20"/>
                <w:lang w:eastAsia="en-AU"/>
              </w:rPr>
            </w:pPr>
            <w:r>
              <w:rPr>
                <w:rFonts w:ascii="Arial Narrow" w:eastAsia="Times New Roman" w:hAnsi="Arial Narrow" w:cs="Times New Roman"/>
                <w:color w:val="000000"/>
                <w:sz w:val="20"/>
                <w:szCs w:val="20"/>
                <w:lang w:eastAsia="en-AU"/>
              </w:rPr>
              <w:t>15-25 cm</w:t>
            </w:r>
          </w:p>
        </w:tc>
        <w:tc>
          <w:tcPr>
            <w:tcW w:w="960" w:type="dxa"/>
            <w:shd w:val="clear" w:color="auto" w:fill="auto"/>
            <w:noWrap/>
            <w:vAlign w:val="bottom"/>
            <w:hideMark/>
          </w:tcPr>
          <w:p w14:paraId="53C13C49" w14:textId="77777777" w:rsidR="00B50D1E" w:rsidRDefault="00DC1EF2" w:rsidP="00DC1EF2">
            <w:pPr>
              <w:spacing w:after="0"/>
              <w:jc w:val="left"/>
              <w:rPr>
                <w:rFonts w:ascii="Arial Narrow" w:eastAsia="Times New Roman" w:hAnsi="Arial Narrow" w:cs="Times New Roman"/>
                <w:color w:val="000000"/>
                <w:sz w:val="20"/>
                <w:szCs w:val="20"/>
                <w:lang w:eastAsia="en-AU"/>
              </w:rPr>
            </w:pPr>
            <w:r w:rsidRPr="00DC1EF2">
              <w:rPr>
                <w:rFonts w:ascii="Arial Narrow" w:eastAsia="Times New Roman" w:hAnsi="Arial Narrow" w:cs="Times New Roman"/>
                <w:color w:val="000000"/>
                <w:sz w:val="20"/>
                <w:szCs w:val="20"/>
                <w:lang w:eastAsia="en-AU"/>
              </w:rPr>
              <w:t>pC3</w:t>
            </w:r>
          </w:p>
          <w:p w14:paraId="53C13C4A" w14:textId="77777777" w:rsidR="00DC1EF2" w:rsidRPr="00DC1EF2" w:rsidRDefault="0026213B" w:rsidP="00DC1EF2">
            <w:pPr>
              <w:spacing w:after="0"/>
              <w:jc w:val="left"/>
              <w:rPr>
                <w:rFonts w:ascii="Arial Narrow" w:eastAsia="Times New Roman" w:hAnsi="Arial Narrow" w:cs="Times New Roman"/>
                <w:color w:val="000000"/>
                <w:sz w:val="20"/>
                <w:szCs w:val="20"/>
                <w:lang w:eastAsia="en-AU"/>
              </w:rPr>
            </w:pPr>
            <w:r>
              <w:rPr>
                <w:rFonts w:ascii="Arial Narrow" w:eastAsia="Times New Roman" w:hAnsi="Arial Narrow" w:cs="Times New Roman"/>
                <w:color w:val="000000"/>
                <w:sz w:val="20"/>
                <w:szCs w:val="20"/>
                <w:lang w:eastAsia="en-AU"/>
              </w:rPr>
              <w:t>25-40 cm</w:t>
            </w:r>
          </w:p>
        </w:tc>
        <w:tc>
          <w:tcPr>
            <w:tcW w:w="960" w:type="dxa"/>
            <w:shd w:val="clear" w:color="auto" w:fill="auto"/>
            <w:noWrap/>
            <w:vAlign w:val="bottom"/>
            <w:hideMark/>
          </w:tcPr>
          <w:p w14:paraId="53C13C4B" w14:textId="77777777" w:rsidR="00B50D1E" w:rsidRDefault="00DC1EF2" w:rsidP="00DC1EF2">
            <w:pPr>
              <w:spacing w:after="0"/>
              <w:jc w:val="left"/>
              <w:rPr>
                <w:rFonts w:ascii="Arial Narrow" w:eastAsia="Times New Roman" w:hAnsi="Arial Narrow" w:cs="Times New Roman"/>
                <w:color w:val="000000"/>
                <w:sz w:val="20"/>
                <w:szCs w:val="20"/>
                <w:lang w:eastAsia="en-AU"/>
              </w:rPr>
            </w:pPr>
            <w:r w:rsidRPr="00DC1EF2">
              <w:rPr>
                <w:rFonts w:ascii="Arial Narrow" w:eastAsia="Times New Roman" w:hAnsi="Arial Narrow" w:cs="Times New Roman"/>
                <w:color w:val="000000"/>
                <w:sz w:val="20"/>
                <w:szCs w:val="20"/>
                <w:lang w:eastAsia="en-AU"/>
              </w:rPr>
              <w:t>pC4</w:t>
            </w:r>
          </w:p>
          <w:p w14:paraId="53C13C4C" w14:textId="77777777" w:rsidR="00DC1EF2" w:rsidRPr="00DC1EF2" w:rsidRDefault="0026213B" w:rsidP="00DC1EF2">
            <w:pPr>
              <w:spacing w:after="0"/>
              <w:jc w:val="left"/>
              <w:rPr>
                <w:rFonts w:ascii="Arial Narrow" w:eastAsia="Times New Roman" w:hAnsi="Arial Narrow" w:cs="Times New Roman"/>
                <w:color w:val="000000"/>
                <w:sz w:val="20"/>
                <w:szCs w:val="20"/>
                <w:lang w:eastAsia="en-AU"/>
              </w:rPr>
            </w:pPr>
            <w:r>
              <w:rPr>
                <w:rFonts w:ascii="Arial Narrow" w:eastAsia="Times New Roman" w:hAnsi="Arial Narrow" w:cs="Times New Roman"/>
                <w:color w:val="000000"/>
                <w:sz w:val="20"/>
                <w:szCs w:val="20"/>
                <w:lang w:eastAsia="en-AU"/>
              </w:rPr>
              <w:t>&gt;40 cm</w:t>
            </w:r>
          </w:p>
        </w:tc>
      </w:tr>
      <w:tr w:rsidR="00DC1EF2" w:rsidRPr="00DC1EF2" w14:paraId="53C13C53" w14:textId="77777777" w:rsidTr="00DC1EF2">
        <w:trPr>
          <w:trHeight w:val="300"/>
        </w:trPr>
        <w:tc>
          <w:tcPr>
            <w:tcW w:w="960" w:type="dxa"/>
            <w:shd w:val="clear" w:color="auto" w:fill="auto"/>
            <w:noWrap/>
            <w:vAlign w:val="bottom"/>
            <w:hideMark/>
          </w:tcPr>
          <w:p w14:paraId="53C13C4E" w14:textId="77777777" w:rsidR="00DC1EF2" w:rsidRPr="00DC1EF2" w:rsidRDefault="00DC1EF2" w:rsidP="00DC1EF2">
            <w:pPr>
              <w:spacing w:after="0"/>
              <w:jc w:val="center"/>
              <w:rPr>
                <w:rFonts w:ascii="Arial Narrow" w:eastAsia="Times New Roman" w:hAnsi="Arial Narrow" w:cs="Times New Roman"/>
                <w:color w:val="000000"/>
                <w:sz w:val="20"/>
                <w:szCs w:val="20"/>
                <w:lang w:eastAsia="en-AU"/>
              </w:rPr>
            </w:pPr>
            <w:r w:rsidRPr="00DC1EF2">
              <w:rPr>
                <w:rFonts w:ascii="Arial Narrow" w:eastAsia="Times New Roman" w:hAnsi="Arial Narrow" w:cs="Times New Roman"/>
                <w:color w:val="000000"/>
                <w:sz w:val="20"/>
                <w:szCs w:val="20"/>
                <w:lang w:eastAsia="en-AU"/>
              </w:rPr>
              <w:t>2012</w:t>
            </w:r>
          </w:p>
        </w:tc>
        <w:tc>
          <w:tcPr>
            <w:tcW w:w="960" w:type="dxa"/>
            <w:shd w:val="clear" w:color="auto" w:fill="auto"/>
            <w:noWrap/>
            <w:vAlign w:val="bottom"/>
            <w:hideMark/>
          </w:tcPr>
          <w:p w14:paraId="53C13C4F" w14:textId="77777777" w:rsidR="00DC1EF2" w:rsidRPr="00DC1EF2" w:rsidRDefault="00DC1EF2" w:rsidP="00DC1EF2">
            <w:pPr>
              <w:spacing w:after="0"/>
              <w:jc w:val="center"/>
              <w:rPr>
                <w:rFonts w:ascii="Arial Narrow" w:eastAsia="Times New Roman" w:hAnsi="Arial Narrow" w:cs="Times New Roman"/>
                <w:color w:val="000000"/>
                <w:sz w:val="20"/>
                <w:szCs w:val="20"/>
                <w:lang w:eastAsia="en-AU"/>
              </w:rPr>
            </w:pPr>
            <w:r w:rsidRPr="00DC1EF2">
              <w:rPr>
                <w:rFonts w:ascii="Arial Narrow" w:eastAsia="Times New Roman" w:hAnsi="Arial Narrow" w:cs="Times New Roman"/>
                <w:color w:val="000000"/>
                <w:sz w:val="20"/>
                <w:szCs w:val="20"/>
                <w:lang w:eastAsia="en-AU"/>
              </w:rPr>
              <w:t>25</w:t>
            </w:r>
          </w:p>
        </w:tc>
        <w:tc>
          <w:tcPr>
            <w:tcW w:w="960" w:type="dxa"/>
            <w:shd w:val="clear" w:color="auto" w:fill="auto"/>
            <w:noWrap/>
            <w:vAlign w:val="bottom"/>
            <w:hideMark/>
          </w:tcPr>
          <w:p w14:paraId="53C13C50" w14:textId="77777777" w:rsidR="00DC1EF2" w:rsidRPr="00DC1EF2" w:rsidRDefault="00DC1EF2" w:rsidP="00DC1EF2">
            <w:pPr>
              <w:spacing w:after="0"/>
              <w:jc w:val="center"/>
              <w:rPr>
                <w:rFonts w:ascii="Arial Narrow" w:eastAsia="Times New Roman" w:hAnsi="Arial Narrow" w:cs="Times New Roman"/>
                <w:color w:val="000000"/>
                <w:sz w:val="20"/>
                <w:szCs w:val="20"/>
                <w:lang w:eastAsia="en-AU"/>
              </w:rPr>
            </w:pPr>
            <w:r>
              <w:rPr>
                <w:rFonts w:ascii="Arial Narrow" w:eastAsia="Times New Roman" w:hAnsi="Arial Narrow" w:cs="Times New Roman"/>
                <w:color w:val="000000"/>
                <w:sz w:val="20"/>
                <w:szCs w:val="20"/>
                <w:lang w:eastAsia="en-AU"/>
              </w:rPr>
              <w:t>2</w:t>
            </w:r>
            <w:r w:rsidR="00A137A4">
              <w:rPr>
                <w:rFonts w:ascii="Arial Narrow" w:eastAsia="Times New Roman" w:hAnsi="Arial Narrow" w:cs="Times New Roman"/>
                <w:color w:val="000000"/>
                <w:sz w:val="20"/>
                <w:szCs w:val="20"/>
                <w:lang w:eastAsia="en-AU"/>
              </w:rPr>
              <w:t>7</w:t>
            </w:r>
          </w:p>
        </w:tc>
        <w:tc>
          <w:tcPr>
            <w:tcW w:w="960" w:type="dxa"/>
            <w:shd w:val="clear" w:color="auto" w:fill="auto"/>
            <w:noWrap/>
            <w:vAlign w:val="bottom"/>
            <w:hideMark/>
          </w:tcPr>
          <w:p w14:paraId="53C13C51" w14:textId="77777777" w:rsidR="00DC1EF2" w:rsidRPr="00DC1EF2" w:rsidRDefault="00DC1EF2" w:rsidP="00DC1EF2">
            <w:pPr>
              <w:spacing w:after="0"/>
              <w:jc w:val="center"/>
              <w:rPr>
                <w:rFonts w:ascii="Arial Narrow" w:eastAsia="Times New Roman" w:hAnsi="Arial Narrow" w:cs="Times New Roman"/>
                <w:color w:val="000000"/>
                <w:sz w:val="20"/>
                <w:szCs w:val="20"/>
                <w:lang w:eastAsia="en-AU"/>
              </w:rPr>
            </w:pPr>
            <w:r w:rsidRPr="00DC1EF2">
              <w:rPr>
                <w:rFonts w:ascii="Arial Narrow" w:eastAsia="Times New Roman" w:hAnsi="Arial Narrow" w:cs="Times New Roman"/>
                <w:color w:val="000000"/>
                <w:sz w:val="20"/>
                <w:szCs w:val="20"/>
                <w:lang w:eastAsia="en-AU"/>
              </w:rPr>
              <w:t>34</w:t>
            </w:r>
          </w:p>
        </w:tc>
        <w:tc>
          <w:tcPr>
            <w:tcW w:w="960" w:type="dxa"/>
            <w:shd w:val="clear" w:color="auto" w:fill="auto"/>
            <w:noWrap/>
            <w:vAlign w:val="bottom"/>
            <w:hideMark/>
          </w:tcPr>
          <w:p w14:paraId="53C13C52" w14:textId="77777777" w:rsidR="00DC1EF2" w:rsidRPr="00DC1EF2" w:rsidRDefault="00DC1EF2" w:rsidP="00DC1EF2">
            <w:pPr>
              <w:spacing w:after="0"/>
              <w:jc w:val="center"/>
              <w:rPr>
                <w:rFonts w:ascii="Arial Narrow" w:eastAsia="Times New Roman" w:hAnsi="Arial Narrow" w:cs="Times New Roman"/>
                <w:color w:val="000000"/>
                <w:sz w:val="20"/>
                <w:szCs w:val="20"/>
                <w:lang w:eastAsia="en-AU"/>
              </w:rPr>
            </w:pPr>
            <w:r w:rsidRPr="00DC1EF2">
              <w:rPr>
                <w:rFonts w:ascii="Arial Narrow" w:eastAsia="Times New Roman" w:hAnsi="Arial Narrow" w:cs="Times New Roman"/>
                <w:color w:val="000000"/>
                <w:sz w:val="20"/>
                <w:szCs w:val="20"/>
                <w:lang w:eastAsia="en-AU"/>
              </w:rPr>
              <w:t>14</w:t>
            </w:r>
          </w:p>
        </w:tc>
      </w:tr>
      <w:tr w:rsidR="00DC1EF2" w:rsidRPr="00DC1EF2" w14:paraId="53C13C59" w14:textId="77777777" w:rsidTr="00DC1EF2">
        <w:trPr>
          <w:trHeight w:val="300"/>
        </w:trPr>
        <w:tc>
          <w:tcPr>
            <w:tcW w:w="960" w:type="dxa"/>
            <w:shd w:val="clear" w:color="auto" w:fill="auto"/>
            <w:noWrap/>
            <w:vAlign w:val="bottom"/>
            <w:hideMark/>
          </w:tcPr>
          <w:p w14:paraId="53C13C54" w14:textId="77777777" w:rsidR="00DC1EF2" w:rsidRPr="00DC1EF2" w:rsidRDefault="00DC1EF2" w:rsidP="00DC1EF2">
            <w:pPr>
              <w:spacing w:after="0"/>
              <w:jc w:val="center"/>
              <w:rPr>
                <w:rFonts w:ascii="Arial Narrow" w:eastAsia="Times New Roman" w:hAnsi="Arial Narrow" w:cs="Times New Roman"/>
                <w:color w:val="000000"/>
                <w:sz w:val="20"/>
                <w:szCs w:val="20"/>
                <w:lang w:eastAsia="en-AU"/>
              </w:rPr>
            </w:pPr>
            <w:r w:rsidRPr="00DC1EF2">
              <w:rPr>
                <w:rFonts w:ascii="Arial Narrow" w:eastAsia="Times New Roman" w:hAnsi="Arial Narrow" w:cs="Times New Roman"/>
                <w:color w:val="000000"/>
                <w:sz w:val="20"/>
                <w:szCs w:val="20"/>
                <w:lang w:eastAsia="en-AU"/>
              </w:rPr>
              <w:t>2013</w:t>
            </w:r>
          </w:p>
        </w:tc>
        <w:tc>
          <w:tcPr>
            <w:tcW w:w="960" w:type="dxa"/>
            <w:shd w:val="clear" w:color="auto" w:fill="auto"/>
            <w:noWrap/>
            <w:vAlign w:val="bottom"/>
            <w:hideMark/>
          </w:tcPr>
          <w:p w14:paraId="53C13C55" w14:textId="77777777" w:rsidR="00DC1EF2" w:rsidRPr="00DC1EF2" w:rsidRDefault="00DC1EF2" w:rsidP="00DC1EF2">
            <w:pPr>
              <w:spacing w:after="0"/>
              <w:jc w:val="center"/>
              <w:rPr>
                <w:rFonts w:ascii="Arial Narrow" w:eastAsia="Times New Roman" w:hAnsi="Arial Narrow" w:cs="Times New Roman"/>
                <w:color w:val="000000"/>
                <w:sz w:val="20"/>
                <w:szCs w:val="20"/>
                <w:lang w:eastAsia="en-AU"/>
              </w:rPr>
            </w:pPr>
            <w:r w:rsidRPr="00DC1EF2">
              <w:rPr>
                <w:rFonts w:ascii="Arial Narrow" w:eastAsia="Times New Roman" w:hAnsi="Arial Narrow" w:cs="Times New Roman"/>
                <w:color w:val="000000"/>
                <w:sz w:val="20"/>
                <w:szCs w:val="20"/>
                <w:lang w:eastAsia="en-AU"/>
              </w:rPr>
              <w:t>2</w:t>
            </w:r>
            <w:r w:rsidR="00A137A4">
              <w:rPr>
                <w:rFonts w:ascii="Arial Narrow" w:eastAsia="Times New Roman" w:hAnsi="Arial Narrow" w:cs="Times New Roman"/>
                <w:color w:val="000000"/>
                <w:sz w:val="20"/>
                <w:szCs w:val="20"/>
                <w:lang w:eastAsia="en-AU"/>
              </w:rPr>
              <w:t>6</w:t>
            </w:r>
          </w:p>
        </w:tc>
        <w:tc>
          <w:tcPr>
            <w:tcW w:w="960" w:type="dxa"/>
            <w:shd w:val="clear" w:color="auto" w:fill="auto"/>
            <w:noWrap/>
            <w:vAlign w:val="bottom"/>
            <w:hideMark/>
          </w:tcPr>
          <w:p w14:paraId="53C13C56" w14:textId="77777777" w:rsidR="00DC1EF2" w:rsidRPr="00DC1EF2" w:rsidRDefault="00DC1EF2" w:rsidP="00DC1EF2">
            <w:pPr>
              <w:spacing w:after="0"/>
              <w:jc w:val="center"/>
              <w:rPr>
                <w:rFonts w:ascii="Arial Narrow" w:eastAsia="Times New Roman" w:hAnsi="Arial Narrow" w:cs="Times New Roman"/>
                <w:color w:val="000000"/>
                <w:sz w:val="20"/>
                <w:szCs w:val="20"/>
                <w:lang w:eastAsia="en-AU"/>
              </w:rPr>
            </w:pPr>
            <w:r w:rsidRPr="00DC1EF2">
              <w:rPr>
                <w:rFonts w:ascii="Arial Narrow" w:eastAsia="Times New Roman" w:hAnsi="Arial Narrow" w:cs="Times New Roman"/>
                <w:color w:val="000000"/>
                <w:sz w:val="20"/>
                <w:szCs w:val="20"/>
                <w:lang w:eastAsia="en-AU"/>
              </w:rPr>
              <w:t>45</w:t>
            </w:r>
          </w:p>
        </w:tc>
        <w:tc>
          <w:tcPr>
            <w:tcW w:w="960" w:type="dxa"/>
            <w:shd w:val="clear" w:color="auto" w:fill="auto"/>
            <w:noWrap/>
            <w:vAlign w:val="bottom"/>
            <w:hideMark/>
          </w:tcPr>
          <w:p w14:paraId="53C13C57" w14:textId="77777777" w:rsidR="00DC1EF2" w:rsidRPr="00DC1EF2" w:rsidRDefault="00DC1EF2" w:rsidP="00DC1EF2">
            <w:pPr>
              <w:spacing w:after="0"/>
              <w:jc w:val="center"/>
              <w:rPr>
                <w:rFonts w:ascii="Arial Narrow" w:eastAsia="Times New Roman" w:hAnsi="Arial Narrow" w:cs="Times New Roman"/>
                <w:color w:val="000000"/>
                <w:sz w:val="20"/>
                <w:szCs w:val="20"/>
                <w:lang w:eastAsia="en-AU"/>
              </w:rPr>
            </w:pPr>
            <w:r w:rsidRPr="00DC1EF2">
              <w:rPr>
                <w:rFonts w:ascii="Arial Narrow" w:eastAsia="Times New Roman" w:hAnsi="Arial Narrow" w:cs="Times New Roman"/>
                <w:color w:val="000000"/>
                <w:sz w:val="20"/>
                <w:szCs w:val="20"/>
                <w:lang w:eastAsia="en-AU"/>
              </w:rPr>
              <w:t>24</w:t>
            </w:r>
          </w:p>
        </w:tc>
        <w:tc>
          <w:tcPr>
            <w:tcW w:w="960" w:type="dxa"/>
            <w:shd w:val="clear" w:color="auto" w:fill="auto"/>
            <w:noWrap/>
            <w:vAlign w:val="bottom"/>
            <w:hideMark/>
          </w:tcPr>
          <w:p w14:paraId="53C13C58" w14:textId="77777777" w:rsidR="00DC1EF2" w:rsidRPr="00DC1EF2" w:rsidRDefault="00A137A4" w:rsidP="00DC1EF2">
            <w:pPr>
              <w:spacing w:after="0"/>
              <w:jc w:val="center"/>
              <w:rPr>
                <w:rFonts w:ascii="Arial Narrow" w:eastAsia="Times New Roman" w:hAnsi="Arial Narrow" w:cs="Times New Roman"/>
                <w:color w:val="000000"/>
                <w:sz w:val="20"/>
                <w:szCs w:val="20"/>
                <w:lang w:eastAsia="en-AU"/>
              </w:rPr>
            </w:pPr>
            <w:r>
              <w:rPr>
                <w:rFonts w:ascii="Arial Narrow" w:eastAsia="Times New Roman" w:hAnsi="Arial Narrow" w:cs="Times New Roman"/>
                <w:color w:val="000000"/>
                <w:sz w:val="20"/>
                <w:szCs w:val="20"/>
                <w:lang w:eastAsia="en-AU"/>
              </w:rPr>
              <w:t>5</w:t>
            </w:r>
          </w:p>
        </w:tc>
      </w:tr>
      <w:tr w:rsidR="00DC1EF2" w:rsidRPr="00DC1EF2" w14:paraId="53C13C5F" w14:textId="77777777" w:rsidTr="00DC1EF2">
        <w:trPr>
          <w:trHeight w:val="300"/>
        </w:trPr>
        <w:tc>
          <w:tcPr>
            <w:tcW w:w="960" w:type="dxa"/>
            <w:shd w:val="clear" w:color="auto" w:fill="auto"/>
            <w:noWrap/>
            <w:vAlign w:val="bottom"/>
            <w:hideMark/>
          </w:tcPr>
          <w:p w14:paraId="53C13C5A" w14:textId="77777777" w:rsidR="00DC1EF2" w:rsidRPr="00DC1EF2" w:rsidRDefault="00DC1EF2" w:rsidP="00DC1EF2">
            <w:pPr>
              <w:spacing w:after="0"/>
              <w:jc w:val="center"/>
              <w:rPr>
                <w:rFonts w:ascii="Arial Narrow" w:eastAsia="Times New Roman" w:hAnsi="Arial Narrow" w:cs="Times New Roman"/>
                <w:color w:val="000000"/>
                <w:sz w:val="20"/>
                <w:szCs w:val="20"/>
                <w:lang w:eastAsia="en-AU"/>
              </w:rPr>
            </w:pPr>
            <w:r w:rsidRPr="00DC1EF2">
              <w:rPr>
                <w:rFonts w:ascii="Arial Narrow" w:eastAsia="Times New Roman" w:hAnsi="Arial Narrow" w:cs="Times New Roman"/>
                <w:color w:val="000000"/>
                <w:sz w:val="20"/>
                <w:szCs w:val="20"/>
                <w:lang w:eastAsia="en-AU"/>
              </w:rPr>
              <w:t>2014</w:t>
            </w:r>
          </w:p>
        </w:tc>
        <w:tc>
          <w:tcPr>
            <w:tcW w:w="960" w:type="dxa"/>
            <w:shd w:val="clear" w:color="auto" w:fill="auto"/>
            <w:noWrap/>
            <w:vAlign w:val="bottom"/>
            <w:hideMark/>
          </w:tcPr>
          <w:p w14:paraId="53C13C5B" w14:textId="77777777" w:rsidR="00DC1EF2" w:rsidRPr="00DC1EF2" w:rsidRDefault="00DC1EF2" w:rsidP="00DC1EF2">
            <w:pPr>
              <w:spacing w:after="0"/>
              <w:jc w:val="center"/>
              <w:rPr>
                <w:rFonts w:ascii="Arial Narrow" w:eastAsia="Times New Roman" w:hAnsi="Arial Narrow" w:cs="Times New Roman"/>
                <w:color w:val="000000"/>
                <w:sz w:val="20"/>
                <w:szCs w:val="20"/>
                <w:lang w:eastAsia="en-AU"/>
              </w:rPr>
            </w:pPr>
            <w:r w:rsidRPr="00DC1EF2">
              <w:rPr>
                <w:rFonts w:ascii="Arial Narrow" w:eastAsia="Times New Roman" w:hAnsi="Arial Narrow" w:cs="Times New Roman"/>
                <w:color w:val="000000"/>
                <w:sz w:val="20"/>
                <w:szCs w:val="20"/>
                <w:lang w:eastAsia="en-AU"/>
              </w:rPr>
              <w:t>3</w:t>
            </w:r>
            <w:r w:rsidR="00A137A4">
              <w:rPr>
                <w:rFonts w:ascii="Arial Narrow" w:eastAsia="Times New Roman" w:hAnsi="Arial Narrow" w:cs="Times New Roman"/>
                <w:color w:val="000000"/>
                <w:sz w:val="20"/>
                <w:szCs w:val="20"/>
                <w:lang w:eastAsia="en-AU"/>
              </w:rPr>
              <w:t>9</w:t>
            </w:r>
          </w:p>
        </w:tc>
        <w:tc>
          <w:tcPr>
            <w:tcW w:w="960" w:type="dxa"/>
            <w:shd w:val="clear" w:color="auto" w:fill="auto"/>
            <w:noWrap/>
            <w:vAlign w:val="bottom"/>
            <w:hideMark/>
          </w:tcPr>
          <w:p w14:paraId="53C13C5C" w14:textId="77777777" w:rsidR="00DC1EF2" w:rsidRPr="00DC1EF2" w:rsidRDefault="00DC1EF2" w:rsidP="00DC1EF2">
            <w:pPr>
              <w:spacing w:after="0"/>
              <w:jc w:val="center"/>
              <w:rPr>
                <w:rFonts w:ascii="Arial Narrow" w:eastAsia="Times New Roman" w:hAnsi="Arial Narrow" w:cs="Times New Roman"/>
                <w:color w:val="000000"/>
                <w:sz w:val="20"/>
                <w:szCs w:val="20"/>
                <w:lang w:eastAsia="en-AU"/>
              </w:rPr>
            </w:pPr>
            <w:r w:rsidRPr="00DC1EF2">
              <w:rPr>
                <w:rFonts w:ascii="Arial Narrow" w:eastAsia="Times New Roman" w:hAnsi="Arial Narrow" w:cs="Times New Roman"/>
                <w:color w:val="000000"/>
                <w:sz w:val="20"/>
                <w:szCs w:val="20"/>
                <w:lang w:eastAsia="en-AU"/>
              </w:rPr>
              <w:t>3</w:t>
            </w:r>
            <w:r w:rsidR="00A137A4">
              <w:rPr>
                <w:rFonts w:ascii="Arial Narrow" w:eastAsia="Times New Roman" w:hAnsi="Arial Narrow" w:cs="Times New Roman"/>
                <w:color w:val="000000"/>
                <w:sz w:val="20"/>
                <w:szCs w:val="20"/>
                <w:lang w:eastAsia="en-AU"/>
              </w:rPr>
              <w:t>6</w:t>
            </w:r>
          </w:p>
        </w:tc>
        <w:tc>
          <w:tcPr>
            <w:tcW w:w="960" w:type="dxa"/>
            <w:shd w:val="clear" w:color="auto" w:fill="auto"/>
            <w:noWrap/>
            <w:vAlign w:val="bottom"/>
            <w:hideMark/>
          </w:tcPr>
          <w:p w14:paraId="53C13C5D" w14:textId="77777777" w:rsidR="00DC1EF2" w:rsidRPr="00DC1EF2" w:rsidRDefault="00DC1EF2" w:rsidP="00DC1EF2">
            <w:pPr>
              <w:spacing w:after="0"/>
              <w:jc w:val="center"/>
              <w:rPr>
                <w:rFonts w:ascii="Arial Narrow" w:eastAsia="Times New Roman" w:hAnsi="Arial Narrow" w:cs="Times New Roman"/>
                <w:color w:val="000000"/>
                <w:sz w:val="20"/>
                <w:szCs w:val="20"/>
                <w:lang w:eastAsia="en-AU"/>
              </w:rPr>
            </w:pPr>
            <w:r w:rsidRPr="00DC1EF2">
              <w:rPr>
                <w:rFonts w:ascii="Arial Narrow" w:eastAsia="Times New Roman" w:hAnsi="Arial Narrow" w:cs="Times New Roman"/>
                <w:color w:val="000000"/>
                <w:sz w:val="20"/>
                <w:szCs w:val="20"/>
                <w:lang w:eastAsia="en-AU"/>
              </w:rPr>
              <w:t>19</w:t>
            </w:r>
          </w:p>
        </w:tc>
        <w:tc>
          <w:tcPr>
            <w:tcW w:w="960" w:type="dxa"/>
            <w:shd w:val="clear" w:color="auto" w:fill="auto"/>
            <w:noWrap/>
            <w:vAlign w:val="bottom"/>
            <w:hideMark/>
          </w:tcPr>
          <w:p w14:paraId="53C13C5E" w14:textId="77777777" w:rsidR="00DC1EF2" w:rsidRPr="00DC1EF2" w:rsidRDefault="00DC1EF2" w:rsidP="00DC1EF2">
            <w:pPr>
              <w:spacing w:after="0"/>
              <w:jc w:val="center"/>
              <w:rPr>
                <w:rFonts w:ascii="Arial Narrow" w:eastAsia="Times New Roman" w:hAnsi="Arial Narrow" w:cs="Times New Roman"/>
                <w:color w:val="000000"/>
                <w:sz w:val="20"/>
                <w:szCs w:val="20"/>
                <w:lang w:eastAsia="en-AU"/>
              </w:rPr>
            </w:pPr>
            <w:r w:rsidRPr="00DC1EF2">
              <w:rPr>
                <w:rFonts w:ascii="Arial Narrow" w:eastAsia="Times New Roman" w:hAnsi="Arial Narrow" w:cs="Times New Roman"/>
                <w:color w:val="000000"/>
                <w:sz w:val="20"/>
                <w:szCs w:val="20"/>
                <w:lang w:eastAsia="en-AU"/>
              </w:rPr>
              <w:t>6</w:t>
            </w:r>
          </w:p>
        </w:tc>
      </w:tr>
      <w:tr w:rsidR="00DC1EF2" w:rsidRPr="00DC1EF2" w14:paraId="53C13C65" w14:textId="77777777" w:rsidTr="00DC1EF2">
        <w:trPr>
          <w:trHeight w:val="300"/>
        </w:trPr>
        <w:tc>
          <w:tcPr>
            <w:tcW w:w="960" w:type="dxa"/>
            <w:shd w:val="clear" w:color="auto" w:fill="auto"/>
            <w:noWrap/>
            <w:vAlign w:val="bottom"/>
            <w:hideMark/>
          </w:tcPr>
          <w:p w14:paraId="53C13C60" w14:textId="77777777" w:rsidR="00DC1EF2" w:rsidRPr="00DC1EF2" w:rsidRDefault="00DC1EF2" w:rsidP="00DC1EF2">
            <w:pPr>
              <w:spacing w:after="0"/>
              <w:jc w:val="center"/>
              <w:rPr>
                <w:rFonts w:ascii="Arial Narrow" w:eastAsia="Times New Roman" w:hAnsi="Arial Narrow" w:cs="Times New Roman"/>
                <w:color w:val="000000"/>
                <w:sz w:val="20"/>
                <w:szCs w:val="20"/>
                <w:lang w:eastAsia="en-AU"/>
              </w:rPr>
            </w:pPr>
            <w:r w:rsidRPr="00DC1EF2">
              <w:rPr>
                <w:rFonts w:ascii="Arial Narrow" w:eastAsia="Times New Roman" w:hAnsi="Arial Narrow" w:cs="Times New Roman"/>
                <w:color w:val="000000"/>
                <w:sz w:val="20"/>
                <w:szCs w:val="20"/>
                <w:lang w:eastAsia="en-AU"/>
              </w:rPr>
              <w:t>2015</w:t>
            </w:r>
          </w:p>
        </w:tc>
        <w:tc>
          <w:tcPr>
            <w:tcW w:w="960" w:type="dxa"/>
            <w:shd w:val="clear" w:color="auto" w:fill="auto"/>
            <w:noWrap/>
            <w:vAlign w:val="bottom"/>
            <w:hideMark/>
          </w:tcPr>
          <w:p w14:paraId="53C13C61" w14:textId="77777777" w:rsidR="00DC1EF2" w:rsidRPr="00DC1EF2" w:rsidRDefault="00DC1EF2" w:rsidP="00DC1EF2">
            <w:pPr>
              <w:spacing w:after="0"/>
              <w:jc w:val="center"/>
              <w:rPr>
                <w:rFonts w:ascii="Arial Narrow" w:eastAsia="Times New Roman" w:hAnsi="Arial Narrow" w:cs="Times New Roman"/>
                <w:color w:val="000000"/>
                <w:sz w:val="20"/>
                <w:szCs w:val="20"/>
                <w:lang w:eastAsia="en-AU"/>
              </w:rPr>
            </w:pPr>
            <w:r w:rsidRPr="00DC1EF2">
              <w:rPr>
                <w:rFonts w:ascii="Arial Narrow" w:eastAsia="Times New Roman" w:hAnsi="Arial Narrow" w:cs="Times New Roman"/>
                <w:color w:val="000000"/>
                <w:sz w:val="20"/>
                <w:szCs w:val="20"/>
                <w:lang w:eastAsia="en-AU"/>
              </w:rPr>
              <w:t>69</w:t>
            </w:r>
          </w:p>
        </w:tc>
        <w:tc>
          <w:tcPr>
            <w:tcW w:w="960" w:type="dxa"/>
            <w:shd w:val="clear" w:color="auto" w:fill="auto"/>
            <w:noWrap/>
            <w:vAlign w:val="bottom"/>
            <w:hideMark/>
          </w:tcPr>
          <w:p w14:paraId="53C13C62" w14:textId="77777777" w:rsidR="00DC1EF2" w:rsidRPr="00DC1EF2" w:rsidRDefault="00DC1EF2" w:rsidP="00DC1EF2">
            <w:pPr>
              <w:spacing w:after="0"/>
              <w:jc w:val="center"/>
              <w:rPr>
                <w:rFonts w:ascii="Arial Narrow" w:eastAsia="Times New Roman" w:hAnsi="Arial Narrow" w:cs="Times New Roman"/>
                <w:color w:val="000000"/>
                <w:sz w:val="20"/>
                <w:szCs w:val="20"/>
                <w:lang w:eastAsia="en-AU"/>
              </w:rPr>
            </w:pPr>
            <w:r w:rsidRPr="00DC1EF2">
              <w:rPr>
                <w:rFonts w:ascii="Arial Narrow" w:eastAsia="Times New Roman" w:hAnsi="Arial Narrow" w:cs="Times New Roman"/>
                <w:color w:val="000000"/>
                <w:sz w:val="20"/>
                <w:szCs w:val="20"/>
                <w:lang w:eastAsia="en-AU"/>
              </w:rPr>
              <w:t>27</w:t>
            </w:r>
          </w:p>
        </w:tc>
        <w:tc>
          <w:tcPr>
            <w:tcW w:w="960" w:type="dxa"/>
            <w:shd w:val="clear" w:color="auto" w:fill="auto"/>
            <w:noWrap/>
            <w:vAlign w:val="bottom"/>
            <w:hideMark/>
          </w:tcPr>
          <w:p w14:paraId="53C13C63" w14:textId="77777777" w:rsidR="00DC1EF2" w:rsidRPr="00DC1EF2" w:rsidRDefault="00A137A4" w:rsidP="00DC1EF2">
            <w:pPr>
              <w:spacing w:after="0"/>
              <w:jc w:val="center"/>
              <w:rPr>
                <w:rFonts w:ascii="Arial Narrow" w:eastAsia="Times New Roman" w:hAnsi="Arial Narrow" w:cs="Times New Roman"/>
                <w:color w:val="000000"/>
                <w:sz w:val="20"/>
                <w:szCs w:val="20"/>
                <w:lang w:eastAsia="en-AU"/>
              </w:rPr>
            </w:pPr>
            <w:r>
              <w:rPr>
                <w:rFonts w:ascii="Arial Narrow" w:eastAsia="Times New Roman" w:hAnsi="Arial Narrow" w:cs="Times New Roman"/>
                <w:color w:val="000000"/>
                <w:sz w:val="20"/>
                <w:szCs w:val="20"/>
                <w:lang w:eastAsia="en-AU"/>
              </w:rPr>
              <w:t>3</w:t>
            </w:r>
          </w:p>
        </w:tc>
        <w:tc>
          <w:tcPr>
            <w:tcW w:w="960" w:type="dxa"/>
            <w:shd w:val="clear" w:color="auto" w:fill="auto"/>
            <w:noWrap/>
            <w:vAlign w:val="bottom"/>
            <w:hideMark/>
          </w:tcPr>
          <w:p w14:paraId="53C13C64" w14:textId="77777777" w:rsidR="00DC1EF2" w:rsidRPr="00DC1EF2" w:rsidRDefault="00A137A4" w:rsidP="00DC1EF2">
            <w:pPr>
              <w:spacing w:after="0"/>
              <w:jc w:val="center"/>
              <w:rPr>
                <w:rFonts w:ascii="Arial Narrow" w:eastAsia="Times New Roman" w:hAnsi="Arial Narrow" w:cs="Times New Roman"/>
                <w:color w:val="000000"/>
                <w:sz w:val="20"/>
                <w:szCs w:val="20"/>
                <w:lang w:eastAsia="en-AU"/>
              </w:rPr>
            </w:pPr>
            <w:r>
              <w:rPr>
                <w:rFonts w:ascii="Arial Narrow" w:eastAsia="Times New Roman" w:hAnsi="Arial Narrow" w:cs="Times New Roman"/>
                <w:color w:val="000000"/>
                <w:sz w:val="20"/>
                <w:szCs w:val="20"/>
                <w:lang w:eastAsia="en-AU"/>
              </w:rPr>
              <w:t>&gt;1</w:t>
            </w:r>
          </w:p>
        </w:tc>
      </w:tr>
      <w:tr w:rsidR="00DC1EF2" w:rsidRPr="00DC1EF2" w14:paraId="53C13C6B" w14:textId="77777777" w:rsidTr="00DC1EF2">
        <w:trPr>
          <w:trHeight w:val="300"/>
        </w:trPr>
        <w:tc>
          <w:tcPr>
            <w:tcW w:w="960" w:type="dxa"/>
            <w:shd w:val="clear" w:color="auto" w:fill="auto"/>
            <w:noWrap/>
            <w:vAlign w:val="bottom"/>
            <w:hideMark/>
          </w:tcPr>
          <w:p w14:paraId="53C13C66" w14:textId="77777777" w:rsidR="00DC1EF2" w:rsidRPr="00DC1EF2" w:rsidRDefault="00DC1EF2" w:rsidP="00DC1EF2">
            <w:pPr>
              <w:spacing w:after="0"/>
              <w:jc w:val="center"/>
              <w:rPr>
                <w:rFonts w:ascii="Arial Narrow" w:eastAsia="Times New Roman" w:hAnsi="Arial Narrow" w:cs="Times New Roman"/>
                <w:color w:val="000000"/>
                <w:sz w:val="20"/>
                <w:szCs w:val="20"/>
                <w:lang w:eastAsia="en-AU"/>
              </w:rPr>
            </w:pPr>
            <w:r w:rsidRPr="00DC1EF2">
              <w:rPr>
                <w:rFonts w:ascii="Arial Narrow" w:eastAsia="Times New Roman" w:hAnsi="Arial Narrow" w:cs="Times New Roman"/>
                <w:color w:val="000000"/>
                <w:sz w:val="20"/>
                <w:szCs w:val="20"/>
                <w:lang w:eastAsia="en-AU"/>
              </w:rPr>
              <w:t>2016</w:t>
            </w:r>
          </w:p>
        </w:tc>
        <w:tc>
          <w:tcPr>
            <w:tcW w:w="960" w:type="dxa"/>
            <w:shd w:val="clear" w:color="auto" w:fill="auto"/>
            <w:noWrap/>
            <w:vAlign w:val="bottom"/>
            <w:hideMark/>
          </w:tcPr>
          <w:p w14:paraId="53C13C67" w14:textId="77777777" w:rsidR="00DC1EF2" w:rsidRPr="00DC1EF2" w:rsidRDefault="00DC1EF2" w:rsidP="00DC1EF2">
            <w:pPr>
              <w:spacing w:after="0"/>
              <w:jc w:val="center"/>
              <w:rPr>
                <w:rFonts w:ascii="Arial Narrow" w:eastAsia="Times New Roman" w:hAnsi="Arial Narrow" w:cs="Times New Roman"/>
                <w:color w:val="000000"/>
                <w:sz w:val="20"/>
                <w:szCs w:val="20"/>
                <w:lang w:eastAsia="en-AU"/>
              </w:rPr>
            </w:pPr>
            <w:r w:rsidRPr="00DC1EF2">
              <w:rPr>
                <w:rFonts w:ascii="Arial Narrow" w:eastAsia="Times New Roman" w:hAnsi="Arial Narrow" w:cs="Times New Roman"/>
                <w:color w:val="000000"/>
                <w:sz w:val="20"/>
                <w:szCs w:val="20"/>
                <w:lang w:eastAsia="en-AU"/>
              </w:rPr>
              <w:t>88</w:t>
            </w:r>
          </w:p>
        </w:tc>
        <w:tc>
          <w:tcPr>
            <w:tcW w:w="960" w:type="dxa"/>
            <w:shd w:val="clear" w:color="auto" w:fill="auto"/>
            <w:noWrap/>
            <w:vAlign w:val="bottom"/>
            <w:hideMark/>
          </w:tcPr>
          <w:p w14:paraId="53C13C68" w14:textId="77777777" w:rsidR="00DC1EF2" w:rsidRPr="00DC1EF2" w:rsidRDefault="00DC1EF2" w:rsidP="00DC1EF2">
            <w:pPr>
              <w:spacing w:after="0"/>
              <w:jc w:val="center"/>
              <w:rPr>
                <w:rFonts w:ascii="Arial Narrow" w:eastAsia="Times New Roman" w:hAnsi="Arial Narrow" w:cs="Times New Roman"/>
                <w:color w:val="000000"/>
                <w:sz w:val="20"/>
                <w:szCs w:val="20"/>
                <w:lang w:eastAsia="en-AU"/>
              </w:rPr>
            </w:pPr>
            <w:r w:rsidRPr="00DC1EF2">
              <w:rPr>
                <w:rFonts w:ascii="Arial Narrow" w:eastAsia="Times New Roman" w:hAnsi="Arial Narrow" w:cs="Times New Roman"/>
                <w:color w:val="000000"/>
                <w:sz w:val="20"/>
                <w:szCs w:val="20"/>
                <w:lang w:eastAsia="en-AU"/>
              </w:rPr>
              <w:t>11</w:t>
            </w:r>
          </w:p>
        </w:tc>
        <w:tc>
          <w:tcPr>
            <w:tcW w:w="960" w:type="dxa"/>
            <w:shd w:val="clear" w:color="auto" w:fill="auto"/>
            <w:noWrap/>
            <w:vAlign w:val="bottom"/>
            <w:hideMark/>
          </w:tcPr>
          <w:p w14:paraId="53C13C69" w14:textId="77777777" w:rsidR="00DC1EF2" w:rsidRPr="00DC1EF2" w:rsidRDefault="00A137A4" w:rsidP="00DC1EF2">
            <w:pPr>
              <w:spacing w:after="0"/>
              <w:jc w:val="center"/>
              <w:rPr>
                <w:rFonts w:ascii="Arial Narrow" w:eastAsia="Times New Roman" w:hAnsi="Arial Narrow" w:cs="Times New Roman"/>
                <w:color w:val="000000"/>
                <w:sz w:val="20"/>
                <w:szCs w:val="20"/>
                <w:lang w:eastAsia="en-AU"/>
              </w:rPr>
            </w:pPr>
            <w:r>
              <w:rPr>
                <w:rFonts w:ascii="Arial Narrow" w:eastAsia="Times New Roman" w:hAnsi="Arial Narrow" w:cs="Times New Roman"/>
                <w:color w:val="000000"/>
                <w:sz w:val="20"/>
                <w:szCs w:val="20"/>
                <w:lang w:eastAsia="en-AU"/>
              </w:rPr>
              <w:t>&gt;1</w:t>
            </w:r>
          </w:p>
        </w:tc>
        <w:tc>
          <w:tcPr>
            <w:tcW w:w="960" w:type="dxa"/>
            <w:shd w:val="clear" w:color="auto" w:fill="auto"/>
            <w:noWrap/>
            <w:vAlign w:val="bottom"/>
            <w:hideMark/>
          </w:tcPr>
          <w:p w14:paraId="53C13C6A" w14:textId="77777777" w:rsidR="00DC1EF2" w:rsidRPr="00DC1EF2" w:rsidRDefault="00DC1EF2" w:rsidP="00DC1EF2">
            <w:pPr>
              <w:spacing w:after="0"/>
              <w:jc w:val="center"/>
              <w:rPr>
                <w:rFonts w:ascii="Arial Narrow" w:eastAsia="Times New Roman" w:hAnsi="Arial Narrow" w:cs="Times New Roman"/>
                <w:color w:val="000000"/>
                <w:sz w:val="20"/>
                <w:szCs w:val="20"/>
                <w:lang w:eastAsia="en-AU"/>
              </w:rPr>
            </w:pPr>
            <w:r w:rsidRPr="00DC1EF2">
              <w:rPr>
                <w:rFonts w:ascii="Arial Narrow" w:eastAsia="Times New Roman" w:hAnsi="Arial Narrow" w:cs="Times New Roman"/>
                <w:color w:val="000000"/>
                <w:sz w:val="20"/>
                <w:szCs w:val="20"/>
                <w:lang w:eastAsia="en-AU"/>
              </w:rPr>
              <w:t>0</w:t>
            </w:r>
          </w:p>
        </w:tc>
      </w:tr>
      <w:tr w:rsidR="00DC1EF2" w:rsidRPr="00DC1EF2" w14:paraId="53C13C71" w14:textId="77777777" w:rsidTr="00DC1EF2">
        <w:trPr>
          <w:trHeight w:val="300"/>
        </w:trPr>
        <w:tc>
          <w:tcPr>
            <w:tcW w:w="960" w:type="dxa"/>
            <w:shd w:val="clear" w:color="auto" w:fill="auto"/>
            <w:noWrap/>
            <w:vAlign w:val="bottom"/>
            <w:hideMark/>
          </w:tcPr>
          <w:p w14:paraId="53C13C6C" w14:textId="77777777" w:rsidR="00DC1EF2" w:rsidRPr="00DC1EF2" w:rsidRDefault="00DC1EF2" w:rsidP="00DC1EF2">
            <w:pPr>
              <w:spacing w:after="0"/>
              <w:jc w:val="center"/>
              <w:rPr>
                <w:rFonts w:ascii="Arial Narrow" w:eastAsia="Times New Roman" w:hAnsi="Arial Narrow" w:cs="Times New Roman"/>
                <w:color w:val="000000"/>
                <w:sz w:val="20"/>
                <w:szCs w:val="20"/>
                <w:lang w:eastAsia="en-AU"/>
              </w:rPr>
            </w:pPr>
            <w:r w:rsidRPr="00DC1EF2">
              <w:rPr>
                <w:rFonts w:ascii="Arial Narrow" w:eastAsia="Times New Roman" w:hAnsi="Arial Narrow" w:cs="Times New Roman"/>
                <w:color w:val="000000"/>
                <w:sz w:val="20"/>
                <w:szCs w:val="20"/>
                <w:lang w:eastAsia="en-AU"/>
              </w:rPr>
              <w:t>2017</w:t>
            </w:r>
          </w:p>
        </w:tc>
        <w:tc>
          <w:tcPr>
            <w:tcW w:w="960" w:type="dxa"/>
            <w:shd w:val="clear" w:color="auto" w:fill="auto"/>
            <w:noWrap/>
            <w:vAlign w:val="bottom"/>
            <w:hideMark/>
          </w:tcPr>
          <w:p w14:paraId="53C13C6D" w14:textId="77777777" w:rsidR="00DC1EF2" w:rsidRPr="00DC1EF2" w:rsidRDefault="00DC1EF2" w:rsidP="00DC1EF2">
            <w:pPr>
              <w:spacing w:after="0"/>
              <w:jc w:val="center"/>
              <w:rPr>
                <w:rFonts w:ascii="Arial Narrow" w:eastAsia="Times New Roman" w:hAnsi="Arial Narrow" w:cs="Times New Roman"/>
                <w:color w:val="000000"/>
                <w:sz w:val="20"/>
                <w:szCs w:val="20"/>
                <w:lang w:eastAsia="en-AU"/>
              </w:rPr>
            </w:pPr>
            <w:r w:rsidRPr="00DC1EF2">
              <w:rPr>
                <w:rFonts w:ascii="Arial Narrow" w:eastAsia="Times New Roman" w:hAnsi="Arial Narrow" w:cs="Times New Roman"/>
                <w:color w:val="000000"/>
                <w:sz w:val="20"/>
                <w:szCs w:val="20"/>
                <w:lang w:eastAsia="en-AU"/>
              </w:rPr>
              <w:t>67</w:t>
            </w:r>
          </w:p>
        </w:tc>
        <w:tc>
          <w:tcPr>
            <w:tcW w:w="960" w:type="dxa"/>
            <w:shd w:val="clear" w:color="auto" w:fill="auto"/>
            <w:noWrap/>
            <w:vAlign w:val="bottom"/>
            <w:hideMark/>
          </w:tcPr>
          <w:p w14:paraId="53C13C6E" w14:textId="77777777" w:rsidR="00DC1EF2" w:rsidRPr="00DC1EF2" w:rsidRDefault="00A137A4" w:rsidP="00DC1EF2">
            <w:pPr>
              <w:spacing w:after="0"/>
              <w:jc w:val="center"/>
              <w:rPr>
                <w:rFonts w:ascii="Arial Narrow" w:eastAsia="Times New Roman" w:hAnsi="Arial Narrow" w:cs="Times New Roman"/>
                <w:color w:val="000000"/>
                <w:sz w:val="20"/>
                <w:szCs w:val="20"/>
                <w:lang w:eastAsia="en-AU"/>
              </w:rPr>
            </w:pPr>
            <w:r>
              <w:rPr>
                <w:rFonts w:ascii="Arial Narrow" w:eastAsia="Times New Roman" w:hAnsi="Arial Narrow" w:cs="Times New Roman"/>
                <w:color w:val="000000"/>
                <w:sz w:val="20"/>
                <w:szCs w:val="20"/>
                <w:lang w:eastAsia="en-AU"/>
              </w:rPr>
              <w:t>30</w:t>
            </w:r>
          </w:p>
        </w:tc>
        <w:tc>
          <w:tcPr>
            <w:tcW w:w="960" w:type="dxa"/>
            <w:shd w:val="clear" w:color="auto" w:fill="auto"/>
            <w:noWrap/>
            <w:vAlign w:val="bottom"/>
            <w:hideMark/>
          </w:tcPr>
          <w:p w14:paraId="53C13C6F" w14:textId="77777777" w:rsidR="00DC1EF2" w:rsidRPr="00DC1EF2" w:rsidRDefault="00DC1EF2" w:rsidP="00DC1EF2">
            <w:pPr>
              <w:spacing w:after="0"/>
              <w:jc w:val="center"/>
              <w:rPr>
                <w:rFonts w:ascii="Arial Narrow" w:eastAsia="Times New Roman" w:hAnsi="Arial Narrow" w:cs="Times New Roman"/>
                <w:color w:val="000000"/>
                <w:sz w:val="20"/>
                <w:szCs w:val="20"/>
                <w:lang w:eastAsia="en-AU"/>
              </w:rPr>
            </w:pPr>
            <w:r w:rsidRPr="00DC1EF2">
              <w:rPr>
                <w:rFonts w:ascii="Arial Narrow" w:eastAsia="Times New Roman" w:hAnsi="Arial Narrow" w:cs="Times New Roman"/>
                <w:color w:val="000000"/>
                <w:sz w:val="20"/>
                <w:szCs w:val="20"/>
                <w:lang w:eastAsia="en-AU"/>
              </w:rPr>
              <w:t>3</w:t>
            </w:r>
          </w:p>
        </w:tc>
        <w:tc>
          <w:tcPr>
            <w:tcW w:w="960" w:type="dxa"/>
            <w:shd w:val="clear" w:color="auto" w:fill="auto"/>
            <w:noWrap/>
            <w:vAlign w:val="bottom"/>
            <w:hideMark/>
          </w:tcPr>
          <w:p w14:paraId="53C13C70" w14:textId="77777777" w:rsidR="00DC1EF2" w:rsidRPr="00DC1EF2" w:rsidRDefault="00DC1EF2" w:rsidP="00DC1EF2">
            <w:pPr>
              <w:spacing w:after="0"/>
              <w:jc w:val="center"/>
              <w:rPr>
                <w:rFonts w:ascii="Arial Narrow" w:eastAsia="Times New Roman" w:hAnsi="Arial Narrow" w:cs="Times New Roman"/>
                <w:color w:val="000000"/>
                <w:sz w:val="20"/>
                <w:szCs w:val="20"/>
                <w:lang w:eastAsia="en-AU"/>
              </w:rPr>
            </w:pPr>
            <w:r w:rsidRPr="00DC1EF2">
              <w:rPr>
                <w:rFonts w:ascii="Arial Narrow" w:eastAsia="Times New Roman" w:hAnsi="Arial Narrow" w:cs="Times New Roman"/>
                <w:color w:val="000000"/>
                <w:sz w:val="20"/>
                <w:szCs w:val="20"/>
                <w:lang w:eastAsia="en-AU"/>
              </w:rPr>
              <w:t>0</w:t>
            </w:r>
          </w:p>
        </w:tc>
      </w:tr>
      <w:tr w:rsidR="00DC1EF2" w:rsidRPr="00DC1EF2" w14:paraId="53C13C77" w14:textId="77777777" w:rsidTr="00DC1EF2">
        <w:trPr>
          <w:trHeight w:val="300"/>
        </w:trPr>
        <w:tc>
          <w:tcPr>
            <w:tcW w:w="960" w:type="dxa"/>
            <w:shd w:val="clear" w:color="auto" w:fill="auto"/>
            <w:noWrap/>
            <w:vAlign w:val="bottom"/>
            <w:hideMark/>
          </w:tcPr>
          <w:p w14:paraId="53C13C72" w14:textId="77777777" w:rsidR="00DC1EF2" w:rsidRPr="00DC1EF2" w:rsidRDefault="00DC1EF2" w:rsidP="00DC1EF2">
            <w:pPr>
              <w:spacing w:after="0"/>
              <w:jc w:val="center"/>
              <w:rPr>
                <w:rFonts w:ascii="Arial Narrow" w:eastAsia="Times New Roman" w:hAnsi="Arial Narrow" w:cs="Times New Roman"/>
                <w:color w:val="000000"/>
                <w:sz w:val="20"/>
                <w:szCs w:val="20"/>
                <w:lang w:eastAsia="en-AU"/>
              </w:rPr>
            </w:pPr>
            <w:r w:rsidRPr="00DC1EF2">
              <w:rPr>
                <w:rFonts w:ascii="Arial Narrow" w:eastAsia="Times New Roman" w:hAnsi="Arial Narrow" w:cs="Times New Roman"/>
                <w:color w:val="000000"/>
                <w:sz w:val="20"/>
                <w:szCs w:val="20"/>
                <w:lang w:eastAsia="en-AU"/>
              </w:rPr>
              <w:t>2018</w:t>
            </w:r>
          </w:p>
        </w:tc>
        <w:tc>
          <w:tcPr>
            <w:tcW w:w="960" w:type="dxa"/>
            <w:shd w:val="clear" w:color="auto" w:fill="auto"/>
            <w:noWrap/>
            <w:vAlign w:val="bottom"/>
            <w:hideMark/>
          </w:tcPr>
          <w:p w14:paraId="53C13C73" w14:textId="77777777" w:rsidR="00DC1EF2" w:rsidRPr="00DC1EF2" w:rsidRDefault="00DC1EF2" w:rsidP="00DC1EF2">
            <w:pPr>
              <w:spacing w:after="0"/>
              <w:jc w:val="center"/>
              <w:rPr>
                <w:rFonts w:ascii="Arial Narrow" w:eastAsia="Times New Roman" w:hAnsi="Arial Narrow" w:cs="Times New Roman"/>
                <w:color w:val="000000"/>
                <w:sz w:val="20"/>
                <w:szCs w:val="20"/>
                <w:lang w:eastAsia="en-AU"/>
              </w:rPr>
            </w:pPr>
            <w:r w:rsidRPr="00DC1EF2">
              <w:rPr>
                <w:rFonts w:ascii="Arial Narrow" w:eastAsia="Times New Roman" w:hAnsi="Arial Narrow" w:cs="Times New Roman"/>
                <w:color w:val="000000"/>
                <w:sz w:val="20"/>
                <w:szCs w:val="20"/>
                <w:lang w:eastAsia="en-AU"/>
              </w:rPr>
              <w:t>55</w:t>
            </w:r>
          </w:p>
        </w:tc>
        <w:tc>
          <w:tcPr>
            <w:tcW w:w="960" w:type="dxa"/>
            <w:shd w:val="clear" w:color="auto" w:fill="auto"/>
            <w:noWrap/>
            <w:vAlign w:val="bottom"/>
            <w:hideMark/>
          </w:tcPr>
          <w:p w14:paraId="53C13C74" w14:textId="77777777" w:rsidR="00DC1EF2" w:rsidRPr="00DC1EF2" w:rsidRDefault="00DC1EF2" w:rsidP="00DC1EF2">
            <w:pPr>
              <w:spacing w:after="0"/>
              <w:jc w:val="center"/>
              <w:rPr>
                <w:rFonts w:ascii="Arial Narrow" w:eastAsia="Times New Roman" w:hAnsi="Arial Narrow" w:cs="Times New Roman"/>
                <w:color w:val="000000"/>
                <w:sz w:val="20"/>
                <w:szCs w:val="20"/>
                <w:lang w:eastAsia="en-AU"/>
              </w:rPr>
            </w:pPr>
            <w:r w:rsidRPr="00DC1EF2">
              <w:rPr>
                <w:rFonts w:ascii="Arial Narrow" w:eastAsia="Times New Roman" w:hAnsi="Arial Narrow" w:cs="Times New Roman"/>
                <w:color w:val="000000"/>
                <w:sz w:val="20"/>
                <w:szCs w:val="20"/>
                <w:lang w:eastAsia="en-AU"/>
              </w:rPr>
              <w:t>4</w:t>
            </w:r>
            <w:r w:rsidR="00A137A4">
              <w:rPr>
                <w:rFonts w:ascii="Arial Narrow" w:eastAsia="Times New Roman" w:hAnsi="Arial Narrow" w:cs="Times New Roman"/>
                <w:color w:val="000000"/>
                <w:sz w:val="20"/>
                <w:szCs w:val="20"/>
                <w:lang w:eastAsia="en-AU"/>
              </w:rPr>
              <w:t>4</w:t>
            </w:r>
          </w:p>
        </w:tc>
        <w:tc>
          <w:tcPr>
            <w:tcW w:w="960" w:type="dxa"/>
            <w:shd w:val="clear" w:color="auto" w:fill="auto"/>
            <w:noWrap/>
            <w:vAlign w:val="bottom"/>
            <w:hideMark/>
          </w:tcPr>
          <w:p w14:paraId="53C13C75" w14:textId="77777777" w:rsidR="00DC1EF2" w:rsidRPr="00DC1EF2" w:rsidRDefault="00DC1EF2" w:rsidP="00DC1EF2">
            <w:pPr>
              <w:spacing w:after="0"/>
              <w:jc w:val="center"/>
              <w:rPr>
                <w:rFonts w:ascii="Arial Narrow" w:eastAsia="Times New Roman" w:hAnsi="Arial Narrow" w:cs="Times New Roman"/>
                <w:color w:val="000000"/>
                <w:sz w:val="20"/>
                <w:szCs w:val="20"/>
                <w:lang w:eastAsia="en-AU"/>
              </w:rPr>
            </w:pPr>
            <w:r w:rsidRPr="00DC1EF2">
              <w:rPr>
                <w:rFonts w:ascii="Arial Narrow" w:eastAsia="Times New Roman" w:hAnsi="Arial Narrow" w:cs="Times New Roman"/>
                <w:color w:val="000000"/>
                <w:sz w:val="20"/>
                <w:szCs w:val="20"/>
                <w:lang w:eastAsia="en-AU"/>
              </w:rPr>
              <w:t>1</w:t>
            </w:r>
          </w:p>
        </w:tc>
        <w:tc>
          <w:tcPr>
            <w:tcW w:w="960" w:type="dxa"/>
            <w:shd w:val="clear" w:color="auto" w:fill="auto"/>
            <w:noWrap/>
            <w:vAlign w:val="bottom"/>
            <w:hideMark/>
          </w:tcPr>
          <w:p w14:paraId="53C13C76" w14:textId="77777777" w:rsidR="00DC1EF2" w:rsidRPr="00DC1EF2" w:rsidRDefault="00DC1EF2" w:rsidP="00DC1EF2">
            <w:pPr>
              <w:spacing w:after="0"/>
              <w:jc w:val="center"/>
              <w:rPr>
                <w:rFonts w:ascii="Arial Narrow" w:eastAsia="Times New Roman" w:hAnsi="Arial Narrow" w:cs="Times New Roman"/>
                <w:color w:val="000000"/>
                <w:sz w:val="20"/>
                <w:szCs w:val="20"/>
                <w:lang w:eastAsia="en-AU"/>
              </w:rPr>
            </w:pPr>
            <w:r w:rsidRPr="00DC1EF2">
              <w:rPr>
                <w:rFonts w:ascii="Arial Narrow" w:eastAsia="Times New Roman" w:hAnsi="Arial Narrow" w:cs="Times New Roman"/>
                <w:color w:val="000000"/>
                <w:sz w:val="20"/>
                <w:szCs w:val="20"/>
                <w:lang w:eastAsia="en-AU"/>
              </w:rPr>
              <w:t>0</w:t>
            </w:r>
          </w:p>
        </w:tc>
      </w:tr>
    </w:tbl>
    <w:p w14:paraId="53C13C78" w14:textId="77777777" w:rsidR="001A2E55" w:rsidRPr="003E1937" w:rsidRDefault="00B97B9D" w:rsidP="006F1D4F">
      <w:pPr>
        <w:pStyle w:val="Heading2"/>
      </w:pPr>
      <w:bookmarkStart w:id="261" w:name="_Toc35947115"/>
      <w:r w:rsidRPr="003E1937">
        <w:t>River discharge</w:t>
      </w:r>
      <w:bookmarkEnd w:id="261"/>
    </w:p>
    <w:p w14:paraId="53C13C79" w14:textId="77777777" w:rsidR="009B565E" w:rsidRDefault="009B565E">
      <w:pPr>
        <w:jc w:val="left"/>
      </w:pPr>
      <w:r>
        <w:t xml:space="preserve">Discharge from the catchments adjacent to the Reef has the potential to impact coral communities either by exposing corals to lethally low salinity in flood plumes or via the increased loads of sediments and nutrients delivered to inshore waters. The likelihood of negative impacts associated with runoff is logically related to the volume of freshwater and contaminants delivered both of which vary with river discharge. </w:t>
      </w:r>
    </w:p>
    <w:p w14:paraId="53C13C7A" w14:textId="51E131DE" w:rsidR="000D0DFC" w:rsidRDefault="009B565E">
      <w:pPr>
        <w:jc w:val="left"/>
      </w:pPr>
      <w:r>
        <w:t xml:space="preserve">At the scale of the Reef interannual variability in discharge highlights potential for increased risk </w:t>
      </w:r>
      <w:r w:rsidR="00433209">
        <w:t xml:space="preserve">to corals </w:t>
      </w:r>
      <w:r>
        <w:t>over the period 2007-08 to 2012-13 and then in 2018-19 (</w:t>
      </w:r>
      <w:r>
        <w:fldChar w:fldCharType="begin"/>
      </w:r>
      <w:r>
        <w:instrText xml:space="preserve"> REF _Ref30679002 \h </w:instrText>
      </w:r>
      <w:r>
        <w:fldChar w:fldCharType="separate"/>
      </w:r>
      <w:r w:rsidR="003053D1">
        <w:t xml:space="preserve">Figure </w:t>
      </w:r>
      <w:r w:rsidR="003053D1">
        <w:rPr>
          <w:noProof/>
        </w:rPr>
        <w:t>10</w:t>
      </w:r>
      <w:r>
        <w:fldChar w:fldCharType="end"/>
      </w:r>
      <w:r>
        <w:t>)</w:t>
      </w:r>
      <w:r w:rsidR="00433209">
        <w:t xml:space="preserve">. </w:t>
      </w:r>
    </w:p>
    <w:p w14:paraId="53C13C7B" w14:textId="0EE0240D" w:rsidR="000D0DFC" w:rsidRPr="007705D7" w:rsidRDefault="000D0DFC" w:rsidP="000D0DFC">
      <w:pPr>
        <w:rPr>
          <w:color w:val="000000" w:themeColor="text1"/>
        </w:rPr>
      </w:pPr>
      <w:r>
        <w:t>In 2018-19 record flooding of the Daintree River in combination with minor storm damage attributed to pre-cyclone Owen resulted in the loss of 38% of hard coral cover at two metre depth at Snapper Island South</w:t>
      </w:r>
      <w:r w:rsidR="00EC6474">
        <w:t xml:space="preserve"> (</w:t>
      </w:r>
      <w:r w:rsidR="00EC6474">
        <w:fldChar w:fldCharType="begin"/>
      </w:r>
      <w:r w:rsidR="00EC6474">
        <w:instrText xml:space="preserve"> REF _Ref528584218 \h </w:instrText>
      </w:r>
      <w:r w:rsidR="00EC6474">
        <w:fldChar w:fldCharType="separate"/>
      </w:r>
      <w:r w:rsidR="003053D1" w:rsidRPr="002445C4">
        <w:t xml:space="preserve">Figure A </w:t>
      </w:r>
      <w:r w:rsidR="003053D1">
        <w:rPr>
          <w:noProof/>
        </w:rPr>
        <w:t>1</w:t>
      </w:r>
      <w:r w:rsidR="00EC6474">
        <w:fldChar w:fldCharType="end"/>
      </w:r>
      <w:r w:rsidR="00EC6474">
        <w:t>)</w:t>
      </w:r>
      <w:r>
        <w:t xml:space="preserve">. This was the </w:t>
      </w:r>
      <w:r>
        <w:lastRenderedPageBreak/>
        <w:t>only acute disturbance to have directly impacted inshore coral communities over the 2018-19 summer</w:t>
      </w:r>
      <w:r w:rsidRPr="007705D7">
        <w:rPr>
          <w:color w:val="000000" w:themeColor="text1"/>
        </w:rPr>
        <w:t xml:space="preserve">. </w:t>
      </w:r>
    </w:p>
    <w:p w14:paraId="53C13C7C" w14:textId="31A6EB2A" w:rsidR="00433209" w:rsidRDefault="000D0DFC" w:rsidP="00D34537">
      <w:r w:rsidRPr="00EB245E">
        <w:t>Heavy rainfall in Febr</w:t>
      </w:r>
      <w:r>
        <w:t>u</w:t>
      </w:r>
      <w:r w:rsidRPr="00EB245E">
        <w:t xml:space="preserve">ary 2019 resulted in major flooding of rivers in the Burdekin </w:t>
      </w:r>
      <w:r>
        <w:t>region and above median discharges f</w:t>
      </w:r>
      <w:r w:rsidR="00B766D2">
        <w:t>rom</w:t>
      </w:r>
      <w:r>
        <w:t xml:space="preserve"> rivers in the Mackay-Whitsunday </w:t>
      </w:r>
      <w:r w:rsidRPr="00EB245E">
        <w:t xml:space="preserve">region </w:t>
      </w:r>
      <w:r>
        <w:t xml:space="preserve">and Herbert </w:t>
      </w:r>
      <w:r w:rsidRPr="00EB245E">
        <w:t xml:space="preserve">Tully </w:t>
      </w:r>
      <w:r>
        <w:t xml:space="preserve">and Johnstone Russell-Mulgrave </w:t>
      </w:r>
      <w:r w:rsidRPr="00EB245E">
        <w:t>sub-region</w:t>
      </w:r>
      <w:r>
        <w:t>s</w:t>
      </w:r>
      <w:r w:rsidRPr="00EB245E">
        <w:t>. There was no evidence that these floods had a</w:t>
      </w:r>
      <w:r>
        <w:t>ny</w:t>
      </w:r>
      <w:r w:rsidRPr="00EB245E">
        <w:t xml:space="preserve"> direct impact</w:t>
      </w:r>
      <w:r>
        <w:t>s</w:t>
      </w:r>
      <w:r w:rsidRPr="00EB245E">
        <w:t xml:space="preserve"> on coral communities</w:t>
      </w:r>
      <w:r w:rsidR="00D34537">
        <w:t xml:space="preserve"> at reefs monitored in 2019</w:t>
      </w:r>
      <w:r>
        <w:t>,</w:t>
      </w:r>
      <w:r w:rsidRPr="00EB245E">
        <w:t xml:space="preserve"> as species of </w:t>
      </w:r>
      <w:r w:rsidRPr="00EB245E">
        <w:rPr>
          <w:i/>
        </w:rPr>
        <w:t>Acropora,</w:t>
      </w:r>
      <w:r w:rsidRPr="00EB245E">
        <w:t xml:space="preserve"> known to be sensitive to exposure to low salinities (Berkelmans </w:t>
      </w:r>
      <w:r w:rsidRPr="00EB245E">
        <w:rPr>
          <w:i/>
        </w:rPr>
        <w:t>et al.</w:t>
      </w:r>
      <w:r w:rsidRPr="00EB245E">
        <w:t xml:space="preserve"> 2012), were surviving at the shallow sites on reefs most proximal to the rivers. However, it is likely that the </w:t>
      </w:r>
      <w:r>
        <w:t xml:space="preserve">level of discharge </w:t>
      </w:r>
      <w:r w:rsidRPr="00EB245E">
        <w:t>contribute</w:t>
      </w:r>
      <w:r>
        <w:t>d</w:t>
      </w:r>
      <w:r w:rsidRPr="00EB245E">
        <w:t xml:space="preserve"> to chronic pressures on coral communities </w:t>
      </w:r>
      <w:r>
        <w:t xml:space="preserve">as evidenced by </w:t>
      </w:r>
      <w:r w:rsidRPr="00EB245E">
        <w:t>increase</w:t>
      </w:r>
      <w:r>
        <w:t>d</w:t>
      </w:r>
      <w:r w:rsidRPr="00EB245E">
        <w:t xml:space="preserve"> levels of disease </w:t>
      </w:r>
      <w:r>
        <w:t xml:space="preserve">in </w:t>
      </w:r>
      <w:r w:rsidRPr="00EB245E">
        <w:t>these regions.</w:t>
      </w:r>
      <w:r w:rsidR="00D34537">
        <w:t xml:space="preserve"> Closer to the coast </w:t>
      </w:r>
      <w:r w:rsidR="00433209">
        <w:t>the authors personal observations where that corals at Virago Shoal off the coast of Townsville were killed by floods of the Ross River</w:t>
      </w:r>
      <w:r w:rsidR="00D34537">
        <w:t xml:space="preserve"> while corals along the eastern face of Cape Cleveland were killed by the plume of the Burdekin and or Haughton rivers</w:t>
      </w:r>
      <w:r w:rsidR="00433209">
        <w:t xml:space="preserve">. </w:t>
      </w:r>
    </w:p>
    <w:p w14:paraId="53C13C7D" w14:textId="16E65AAB" w:rsidR="009B565E" w:rsidRDefault="00433209">
      <w:pPr>
        <w:jc w:val="left"/>
      </w:pPr>
      <w:r>
        <w:t>In previous year the most extensive damage to monitored reefs occurred in 2011 in the Fitzroy region when there was very high mortality of corals at 2 m depths on reefs to the south of Great Keppel Island (</w:t>
      </w:r>
      <w:r>
        <w:fldChar w:fldCharType="begin"/>
      </w:r>
      <w:r>
        <w:instrText xml:space="preserve"> REF _Ref30660433 \h </w:instrText>
      </w:r>
      <w:r>
        <w:fldChar w:fldCharType="separate"/>
      </w:r>
      <w:r w:rsidR="003053D1">
        <w:t xml:space="preserve">Table A </w:t>
      </w:r>
      <w:r w:rsidR="003053D1">
        <w:rPr>
          <w:noProof/>
        </w:rPr>
        <w:t>7</w:t>
      </w:r>
      <w:r>
        <w:fldChar w:fldCharType="end"/>
      </w:r>
      <w:r>
        <w:t xml:space="preserve">, </w:t>
      </w:r>
      <w:r>
        <w:fldChar w:fldCharType="begin"/>
      </w:r>
      <w:r>
        <w:instrText xml:space="preserve"> REF _Ref528592725 \h </w:instrText>
      </w:r>
      <w:r>
        <w:fldChar w:fldCharType="separate"/>
      </w:r>
      <w:r w:rsidR="003053D1" w:rsidRPr="002445C4">
        <w:t xml:space="preserve">Figure A </w:t>
      </w:r>
      <w:r w:rsidR="003053D1">
        <w:rPr>
          <w:noProof/>
        </w:rPr>
        <w:t>6</w:t>
      </w:r>
      <w:r>
        <w:fldChar w:fldCharType="end"/>
      </w:r>
      <w:r>
        <w:t>). As at 2019 recovery from this event was occurring at Keppels South but limited at best at Peak and Pelican Islands.</w:t>
      </w:r>
    </w:p>
    <w:p w14:paraId="53C13C7E" w14:textId="77777777" w:rsidR="0047679E" w:rsidRDefault="004C6105">
      <w:pPr>
        <w:jc w:val="left"/>
        <w:rPr>
          <w:highlight w:val="yellow"/>
        </w:rPr>
      </w:pPr>
      <w:r>
        <w:rPr>
          <w:noProof/>
          <w:lang w:eastAsia="en-AU"/>
        </w:rPr>
        <w:drawing>
          <wp:anchor distT="0" distB="0" distL="114300" distR="114300" simplePos="0" relativeHeight="251660295" behindDoc="0" locked="0" layoutInCell="1" allowOverlap="1" wp14:anchorId="53C15F3E" wp14:editId="53C15F3F">
            <wp:simplePos x="0" y="0"/>
            <wp:positionH relativeFrom="column">
              <wp:posOffset>0</wp:posOffset>
            </wp:positionH>
            <wp:positionV relativeFrom="paragraph">
              <wp:posOffset>237490</wp:posOffset>
            </wp:positionV>
            <wp:extent cx="6043930" cy="3246120"/>
            <wp:effectExtent l="0" t="0" r="0" b="0"/>
            <wp:wrapTopAndBottom/>
            <wp:docPr id="7426" name="Picture 7426" descr="Long-term total discharge in ML (water year: 1 October to 30 September) for the 35 main Reef bas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6043930" cy="32461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C13C7F" w14:textId="683E77C5" w:rsidR="009B565E" w:rsidRPr="0062064A" w:rsidRDefault="003E1937" w:rsidP="002B5296">
      <w:pPr>
        <w:pStyle w:val="Caption"/>
        <w:rPr>
          <w:rStyle w:val="FigureChar"/>
          <w:rFonts w:eastAsia="SimSun"/>
          <w:vanish/>
          <w:specVanish/>
        </w:rPr>
      </w:pPr>
      <w:bookmarkStart w:id="262" w:name="_Ref30679002"/>
      <w:bookmarkStart w:id="263" w:name="_Toc35947160"/>
      <w:r>
        <w:lastRenderedPageBreak/>
        <w:t xml:space="preserve">Figure </w:t>
      </w:r>
      <w:r>
        <w:fldChar w:fldCharType="begin"/>
      </w:r>
      <w:r>
        <w:instrText xml:space="preserve"> SEQ Figure \* ARABIC </w:instrText>
      </w:r>
      <w:r>
        <w:fldChar w:fldCharType="separate"/>
      </w:r>
      <w:r w:rsidR="003053D1">
        <w:rPr>
          <w:noProof/>
        </w:rPr>
        <w:t>10</w:t>
      </w:r>
      <w:r>
        <w:fldChar w:fldCharType="end"/>
      </w:r>
      <w:bookmarkEnd w:id="262"/>
      <w:r>
        <w:t xml:space="preserve"> </w:t>
      </w:r>
      <w:r w:rsidR="008D44FC">
        <w:t>Annual</w:t>
      </w:r>
      <w:r w:rsidRPr="00C57941">
        <w:t xml:space="preserve"> total </w:t>
      </w:r>
      <w:r w:rsidR="008D44FC">
        <w:t xml:space="preserve">river </w:t>
      </w:r>
      <w:r w:rsidRPr="00C57941">
        <w:t>discharge</w:t>
      </w:r>
      <w:r w:rsidR="009B565E">
        <w:t xml:space="preserve"> to the Reef</w:t>
      </w:r>
      <w:bookmarkEnd w:id="263"/>
    </w:p>
    <w:p w14:paraId="53C13C80" w14:textId="77777777" w:rsidR="0047679E" w:rsidRDefault="003E1937">
      <w:pPr>
        <w:pStyle w:val="Caption"/>
        <w:rPr>
          <w:rStyle w:val="IntenseReference"/>
        </w:rPr>
      </w:pPr>
      <w:r w:rsidRPr="00C57941">
        <w:t xml:space="preserve"> </w:t>
      </w:r>
      <w:r w:rsidR="009B565E">
        <w:t xml:space="preserve">Annual estimates aggregate over the </w:t>
      </w:r>
      <w:r>
        <w:t>water</w:t>
      </w:r>
      <w:r w:rsidRPr="00C57941">
        <w:t xml:space="preserve"> year: 1 October to 30 September</w:t>
      </w:r>
      <w:r w:rsidR="009B565E">
        <w:t>,</w:t>
      </w:r>
      <w:r w:rsidRPr="00C57941">
        <w:t xml:space="preserve"> for the 35 main Reef </w:t>
      </w:r>
      <w:r>
        <w:t>basins</w:t>
      </w:r>
      <w:r>
        <w:rPr>
          <w:rStyle w:val="FigureChar"/>
          <w:rFonts w:eastAsia="SimSun"/>
        </w:rPr>
        <w:t>.</w:t>
      </w:r>
      <w:r w:rsidRPr="00F115AB">
        <w:rPr>
          <w:rStyle w:val="IntenseReference"/>
        </w:rPr>
        <w:t xml:space="preserve"> </w:t>
      </w:r>
      <w:r w:rsidR="008D44FC">
        <w:rPr>
          <w:rStyle w:val="IntenseReference"/>
        </w:rPr>
        <w:t xml:space="preserve">Values are colour coded relative to proportion of long-term (LT) median (1986-2016) discharge. </w:t>
      </w:r>
      <w:r w:rsidRPr="00F115AB">
        <w:rPr>
          <w:rStyle w:val="IntenseReference"/>
        </w:rPr>
        <w:t xml:space="preserve">Figure source: Gruber et al. 2020, data source: DNRM, </w:t>
      </w:r>
      <w:hyperlink r:id="rId42" w:history="1">
        <w:r w:rsidRPr="00F115AB">
          <w:rPr>
            <w:rStyle w:val="IntenseReference"/>
          </w:rPr>
          <w:t>http://watermonitoring.dnrm.qld.gov.au/host.htm</w:t>
        </w:r>
      </w:hyperlink>
    </w:p>
    <w:p w14:paraId="53C13C81" w14:textId="52649C5D" w:rsidR="00EA3A98" w:rsidRDefault="00215CA9" w:rsidP="000E1E75">
      <w:pPr>
        <w:jc w:val="left"/>
      </w:pPr>
      <w:r>
        <w:t>The influence of sediment and nutrient loads are not as overtly obvious as those associated with exposure to freshwater and are explored in terms of suppression of coral recovery and variable condition of coral communities along water quality gradients in section</w:t>
      </w:r>
      <w:r w:rsidR="000E1E75">
        <w:t xml:space="preserve"> </w:t>
      </w:r>
      <w:r w:rsidR="000E1E75">
        <w:fldChar w:fldCharType="begin"/>
      </w:r>
      <w:r w:rsidR="000E1E75">
        <w:instrText xml:space="preserve"> REF _Ref35860708 \r \h </w:instrText>
      </w:r>
      <w:r w:rsidR="000E1E75">
        <w:fldChar w:fldCharType="separate"/>
      </w:r>
      <w:r w:rsidR="003053D1">
        <w:t>4.7.1</w:t>
      </w:r>
      <w:r w:rsidR="000E1E75">
        <w:fldChar w:fldCharType="end"/>
      </w:r>
      <w:r w:rsidR="000E1E75">
        <w:fldChar w:fldCharType="begin"/>
      </w:r>
      <w:r w:rsidR="000E1E75">
        <w:instrText xml:space="preserve"> REF _Ref35860723 \r \h </w:instrText>
      </w:r>
      <w:r w:rsidR="000E1E75">
        <w:fldChar w:fldCharType="separate"/>
      </w:r>
      <w:r w:rsidR="003053D1">
        <w:t>4.7</w:t>
      </w:r>
      <w:r w:rsidR="000E1E75">
        <w:fldChar w:fldCharType="end"/>
      </w:r>
      <w:r>
        <w:t>.</w:t>
      </w:r>
      <w:r w:rsidR="00EA3A98" w:rsidRPr="00AD0F7C">
        <w:t xml:space="preserve"> </w:t>
      </w:r>
    </w:p>
    <w:p w14:paraId="53C13C82" w14:textId="77777777" w:rsidR="001A2E55" w:rsidRDefault="001A2E55">
      <w:pPr>
        <w:jc w:val="left"/>
        <w:rPr>
          <w:highlight w:val="yellow"/>
        </w:rPr>
      </w:pPr>
      <w:r>
        <w:rPr>
          <w:highlight w:val="yellow"/>
        </w:rPr>
        <w:br w:type="page"/>
      </w:r>
    </w:p>
    <w:p w14:paraId="53C13C83" w14:textId="77777777" w:rsidR="00B97B9D" w:rsidRDefault="000C2206" w:rsidP="00D217FF">
      <w:pPr>
        <w:pStyle w:val="Heading1"/>
      </w:pPr>
      <w:bookmarkStart w:id="264" w:name="_Toc35947116"/>
      <w:r>
        <w:lastRenderedPageBreak/>
        <w:t>Coral condition and trend</w:t>
      </w:r>
      <w:bookmarkEnd w:id="264"/>
    </w:p>
    <w:p w14:paraId="53C13C84" w14:textId="77777777" w:rsidR="004A71AC" w:rsidRDefault="004A71AC" w:rsidP="004A71AC">
      <w:r w:rsidRPr="00CE4E0F">
        <w:t>Results are pres</w:t>
      </w:r>
      <w:r>
        <w:t>ented in the following sequence:</w:t>
      </w:r>
    </w:p>
    <w:p w14:paraId="53C13C85" w14:textId="4902F6C1" w:rsidR="004A71AC" w:rsidRDefault="004A71AC" w:rsidP="004A71AC">
      <w:pPr>
        <w:pStyle w:val="ListParagraph"/>
        <w:numPr>
          <w:ilvl w:val="0"/>
          <w:numId w:val="44"/>
        </w:numPr>
      </w:pPr>
      <w:r>
        <w:t>Reef level trend in coral condition and indicator scores</w:t>
      </w:r>
      <w:r w:rsidR="00850782">
        <w:t xml:space="preserve"> </w:t>
      </w:r>
      <w:r w:rsidR="007E2868">
        <w:t>(</w:t>
      </w:r>
      <w:r w:rsidR="007E2868">
        <w:fldChar w:fldCharType="begin"/>
      </w:r>
      <w:r w:rsidR="007E2868">
        <w:instrText xml:space="preserve"> REF _Ref35861710 \r \h </w:instrText>
      </w:r>
      <w:r w:rsidR="007E2868">
        <w:fldChar w:fldCharType="separate"/>
      </w:r>
      <w:r w:rsidR="003053D1">
        <w:t>4.1</w:t>
      </w:r>
      <w:r w:rsidR="007E2868">
        <w:fldChar w:fldCharType="end"/>
      </w:r>
      <w:r w:rsidR="007E2868">
        <w:t>)</w:t>
      </w:r>
    </w:p>
    <w:p w14:paraId="53C13C86" w14:textId="3B0E47FC" w:rsidR="004A71AC" w:rsidRDefault="00433209" w:rsidP="004A71AC">
      <w:pPr>
        <w:pStyle w:val="ListParagraph"/>
        <w:numPr>
          <w:ilvl w:val="0"/>
          <w:numId w:val="44"/>
        </w:numPr>
      </w:pPr>
      <w:r>
        <w:t>Reef level attribution of pressures causing coral cover losses</w:t>
      </w:r>
      <w:r w:rsidR="00850782">
        <w:t xml:space="preserve"> (</w:t>
      </w:r>
      <w:r w:rsidR="007E2868">
        <w:fldChar w:fldCharType="begin"/>
      </w:r>
      <w:r w:rsidR="007E2868">
        <w:instrText xml:space="preserve"> REF _Ref35861719 \r \h </w:instrText>
      </w:r>
      <w:r w:rsidR="007E2868">
        <w:fldChar w:fldCharType="separate"/>
      </w:r>
      <w:r w:rsidR="003053D1">
        <w:t>4.2</w:t>
      </w:r>
      <w:r w:rsidR="007E2868">
        <w:fldChar w:fldCharType="end"/>
      </w:r>
      <w:r w:rsidR="00850782">
        <w:t>)</w:t>
      </w:r>
    </w:p>
    <w:p w14:paraId="53C13C87" w14:textId="6CF0735B" w:rsidR="00850782" w:rsidRDefault="007E2868" w:rsidP="004A71AC">
      <w:pPr>
        <w:pStyle w:val="ListParagraph"/>
        <w:numPr>
          <w:ilvl w:val="0"/>
          <w:numId w:val="44"/>
        </w:numPr>
      </w:pPr>
      <w:r>
        <w:t>(sub-)</w:t>
      </w:r>
      <w:r w:rsidR="00850782">
        <w:t>Regional level trend in coral condition and indicator scores (</w:t>
      </w:r>
      <w:r>
        <w:fldChar w:fldCharType="begin"/>
      </w:r>
      <w:r>
        <w:instrText xml:space="preserve"> REF _Ref35861728 \r \h </w:instrText>
      </w:r>
      <w:r>
        <w:fldChar w:fldCharType="separate"/>
      </w:r>
      <w:r w:rsidR="003053D1">
        <w:t>4.3</w:t>
      </w:r>
      <w:r>
        <w:fldChar w:fldCharType="end"/>
      </w:r>
      <w:r>
        <w:t xml:space="preserve"> - </w:t>
      </w:r>
      <w:r>
        <w:fldChar w:fldCharType="begin"/>
      </w:r>
      <w:r>
        <w:instrText xml:space="preserve"> REF _Ref35861769 \r \h </w:instrText>
      </w:r>
      <w:r>
        <w:fldChar w:fldCharType="separate"/>
      </w:r>
      <w:r w:rsidR="003053D1">
        <w:t>4.6</w:t>
      </w:r>
      <w:r>
        <w:fldChar w:fldCharType="end"/>
      </w:r>
      <w:r w:rsidR="00850782">
        <w:t>)</w:t>
      </w:r>
    </w:p>
    <w:p w14:paraId="53C13C88" w14:textId="4114F031" w:rsidR="004A71AC" w:rsidRDefault="00433209" w:rsidP="004A71AC">
      <w:pPr>
        <w:pStyle w:val="ListParagraph"/>
        <w:numPr>
          <w:ilvl w:val="0"/>
          <w:numId w:val="44"/>
        </w:numPr>
      </w:pPr>
      <w:r>
        <w:t xml:space="preserve">relationship between the condition of coral </w:t>
      </w:r>
      <w:r w:rsidR="004A71AC" w:rsidRPr="00CE4E0F">
        <w:t xml:space="preserve">communities in 2019 </w:t>
      </w:r>
      <w:r>
        <w:t xml:space="preserve">and </w:t>
      </w:r>
      <w:r w:rsidR="004A71AC" w:rsidRPr="00CE4E0F">
        <w:t>water quality gradients</w:t>
      </w:r>
      <w:r w:rsidR="00850782">
        <w:t xml:space="preserve"> (</w:t>
      </w:r>
      <w:r w:rsidR="007E2868">
        <w:fldChar w:fldCharType="begin"/>
      </w:r>
      <w:r w:rsidR="007E2868">
        <w:instrText xml:space="preserve"> REF _Ref35861777 \r \h </w:instrText>
      </w:r>
      <w:r w:rsidR="007E2868">
        <w:fldChar w:fldCharType="separate"/>
      </w:r>
      <w:r w:rsidR="003053D1">
        <w:t>4.7.1</w:t>
      </w:r>
      <w:r w:rsidR="007E2868">
        <w:fldChar w:fldCharType="end"/>
      </w:r>
      <w:r w:rsidR="00850782">
        <w:t>)</w:t>
      </w:r>
    </w:p>
    <w:p w14:paraId="53C13C89" w14:textId="1095346A" w:rsidR="004A71AC" w:rsidRDefault="00433209" w:rsidP="004A71AC">
      <w:pPr>
        <w:pStyle w:val="ListParagraph"/>
        <w:numPr>
          <w:ilvl w:val="0"/>
          <w:numId w:val="44"/>
        </w:numPr>
      </w:pPr>
      <w:r>
        <w:t>t</w:t>
      </w:r>
      <w:r w:rsidR="004A71AC">
        <w:t xml:space="preserve">he influence of river discharge and </w:t>
      </w:r>
      <w:r w:rsidR="004A71AC" w:rsidRPr="00CE4E0F">
        <w:t>reef</w:t>
      </w:r>
      <w:r w:rsidR="004A71AC">
        <w:t>-</w:t>
      </w:r>
      <w:r w:rsidR="004A71AC" w:rsidRPr="00CE4E0F">
        <w:t>level water quality</w:t>
      </w:r>
      <w:r w:rsidR="004A71AC">
        <w:t xml:space="preserve"> on change in community condition</w:t>
      </w:r>
      <w:r w:rsidR="00850782">
        <w:t xml:space="preserve"> (</w:t>
      </w:r>
      <w:r w:rsidR="007E2868">
        <w:fldChar w:fldCharType="begin"/>
      </w:r>
      <w:r w:rsidR="007E2868">
        <w:instrText xml:space="preserve"> REF _Ref35861783 \r \h </w:instrText>
      </w:r>
      <w:r w:rsidR="007E2868">
        <w:fldChar w:fldCharType="separate"/>
      </w:r>
      <w:r w:rsidR="003053D1">
        <w:t>4.7.2</w:t>
      </w:r>
      <w:r w:rsidR="007E2868">
        <w:fldChar w:fldCharType="end"/>
      </w:r>
      <w:r w:rsidR="00850782">
        <w:t>)</w:t>
      </w:r>
    </w:p>
    <w:p w14:paraId="53C13C8A" w14:textId="77777777" w:rsidR="004A71AC" w:rsidRDefault="004A71AC" w:rsidP="004A71AC">
      <w:r>
        <w:t xml:space="preserve">The </w:t>
      </w:r>
      <w:r w:rsidR="00433209">
        <w:t xml:space="preserve">above </w:t>
      </w:r>
      <w:r>
        <w:t>results highlight that pressure</w:t>
      </w:r>
      <w:r w:rsidR="00433209">
        <w:t xml:space="preserve">s and current </w:t>
      </w:r>
      <w:r w:rsidR="00B739BB">
        <w:t xml:space="preserve">coral </w:t>
      </w:r>
      <w:r w:rsidR="00433209">
        <w:t>condition</w:t>
      </w:r>
      <w:r w:rsidR="00B739BB">
        <w:t xml:space="preserve"> </w:t>
      </w:r>
      <w:r>
        <w:t xml:space="preserve">differ among </w:t>
      </w:r>
      <w:r w:rsidR="00B739BB">
        <w:t>and within regions</w:t>
      </w:r>
      <w:r>
        <w:t>. As such, t</w:t>
      </w:r>
      <w:r w:rsidRPr="00CE4E0F">
        <w:t xml:space="preserve">emporal trends in community attributes are presented for each (sub-)region along with time-series of data relating to the primary pressures influencing coral communities. </w:t>
      </w:r>
    </w:p>
    <w:p w14:paraId="53C13C8B" w14:textId="77777777" w:rsidR="004A71AC" w:rsidRPr="003841F8" w:rsidRDefault="004A71AC" w:rsidP="004A71AC">
      <w:r w:rsidRPr="00CE4E0F">
        <w:t>Finally, site-specific data and additional information tables are presented in Appendix 1.</w:t>
      </w:r>
      <w:r>
        <w:t xml:space="preserve"> Time series of community condition and composition for each reef monitored are available on line at </w:t>
      </w:r>
      <w:hyperlink r:id="rId43" w:history="1">
        <w:r>
          <w:rPr>
            <w:rStyle w:val="Hyperlink"/>
          </w:rPr>
          <w:t>http://apps.aims.gov.au/reef-monitoring/</w:t>
        </w:r>
      </w:hyperlink>
      <w:r w:rsidRPr="003841F8">
        <w:t>.</w:t>
      </w:r>
    </w:p>
    <w:p w14:paraId="53C13C8C" w14:textId="77777777" w:rsidR="00A84742" w:rsidRDefault="000C2206" w:rsidP="006F1D4F">
      <w:pPr>
        <w:pStyle w:val="Heading2"/>
        <w:numPr>
          <w:ilvl w:val="1"/>
          <w:numId w:val="69"/>
        </w:numPr>
      </w:pPr>
      <w:bookmarkStart w:id="265" w:name="_Toc30596430"/>
      <w:bookmarkStart w:id="266" w:name="_Ref35860888"/>
      <w:bookmarkStart w:id="267" w:name="_Ref35861710"/>
      <w:bookmarkStart w:id="268" w:name="_Toc35947117"/>
      <w:bookmarkStart w:id="269" w:name="_Toc526246908"/>
      <w:bookmarkStart w:id="270" w:name="_Toc530654961"/>
      <w:bookmarkStart w:id="271" w:name="_Toc437424406"/>
      <w:bookmarkStart w:id="272" w:name="_Toc437424530"/>
      <w:bookmarkStart w:id="273" w:name="_Toc437432461"/>
      <w:bookmarkStart w:id="274" w:name="_Toc437432534"/>
      <w:bookmarkEnd w:id="265"/>
      <w:r>
        <w:t>Reef-wide coral condition and trend</w:t>
      </w:r>
      <w:bookmarkEnd w:id="266"/>
      <w:bookmarkEnd w:id="267"/>
      <w:bookmarkEnd w:id="268"/>
      <w:r w:rsidR="00A84742" w:rsidRPr="00681C29">
        <w:t xml:space="preserve"> </w:t>
      </w:r>
      <w:bookmarkEnd w:id="269"/>
      <w:bookmarkEnd w:id="270"/>
    </w:p>
    <w:p w14:paraId="53C13C8D" w14:textId="182A730F" w:rsidR="00C8017F" w:rsidRDefault="00B739BB" w:rsidP="00C8017F">
      <w:r>
        <w:t>At the Reef scale, the coral index score declined into the “poor’ category having declined consistently from the ‘moderate’ condition recorded in 2016 (</w:t>
      </w:r>
      <w:r>
        <w:fldChar w:fldCharType="begin"/>
      </w:r>
      <w:r>
        <w:instrText xml:space="preserve"> REF _Ref30682135 \h </w:instrText>
      </w:r>
      <w:r>
        <w:fldChar w:fldCharType="separate"/>
      </w:r>
      <w:r w:rsidR="003053D1">
        <w:t xml:space="preserve">Figure </w:t>
      </w:r>
      <w:r w:rsidR="003053D1">
        <w:rPr>
          <w:noProof/>
        </w:rPr>
        <w:t>11</w:t>
      </w:r>
      <w:r>
        <w:fldChar w:fldCharType="end"/>
      </w:r>
      <w:r>
        <w:t xml:space="preserve">). </w:t>
      </w:r>
      <w:r w:rsidR="009214FB">
        <w:t xml:space="preserve">Precipitating this decline was the combination of high sea temperatures causing coral bleaching and the severe impact of cyclone Debbie </w:t>
      </w:r>
      <w:r w:rsidR="0022526D">
        <w:t>(</w:t>
      </w:r>
      <w:r w:rsidR="0022526D">
        <w:fldChar w:fldCharType="begin"/>
      </w:r>
      <w:r w:rsidR="0022526D">
        <w:instrText xml:space="preserve"> REF _Ref30672548 \h </w:instrText>
      </w:r>
      <w:r w:rsidR="0022526D">
        <w:fldChar w:fldCharType="separate"/>
      </w:r>
      <w:r w:rsidR="003053D1">
        <w:t xml:space="preserve">Figure </w:t>
      </w:r>
      <w:r w:rsidR="003053D1">
        <w:rPr>
          <w:noProof/>
        </w:rPr>
        <w:t>9</w:t>
      </w:r>
      <w:r w:rsidR="0022526D">
        <w:fldChar w:fldCharType="end"/>
      </w:r>
      <w:r w:rsidR="0022526D">
        <w:t xml:space="preserve">, </w:t>
      </w:r>
      <w:r w:rsidR="0022526D">
        <w:fldChar w:fldCharType="begin"/>
      </w:r>
      <w:r w:rsidR="0022526D">
        <w:instrText xml:space="preserve"> REF _Ref25168720 \h </w:instrText>
      </w:r>
      <w:r w:rsidR="0022526D">
        <w:fldChar w:fldCharType="separate"/>
      </w:r>
      <w:r w:rsidR="003053D1">
        <w:t xml:space="preserve">Figure </w:t>
      </w:r>
      <w:r w:rsidR="003053D1">
        <w:rPr>
          <w:noProof/>
        </w:rPr>
        <w:t>8</w:t>
      </w:r>
      <w:r w:rsidR="0022526D">
        <w:fldChar w:fldCharType="end"/>
      </w:r>
      <w:r w:rsidR="0022526D">
        <w:t xml:space="preserve">). </w:t>
      </w:r>
      <w:r w:rsidR="009214FB">
        <w:t>That the index has continued to decline is due in part to the biennial sampling design of both the MMP and LTMP</w:t>
      </w:r>
      <w:r>
        <w:t xml:space="preserve"> </w:t>
      </w:r>
      <w:r w:rsidR="009214FB">
        <w:t xml:space="preserve">that sees </w:t>
      </w:r>
      <w:r w:rsidR="00CE63BB">
        <w:t>lagged recording of these impacts at some reefs, as discussed in the previous section.</w:t>
      </w:r>
    </w:p>
    <w:p w14:paraId="53C13C8E" w14:textId="77777777" w:rsidR="00C8017F" w:rsidRDefault="003E1937" w:rsidP="00C8017F">
      <w:r>
        <w:rPr>
          <w:noProof/>
          <w:lang w:eastAsia="en-AU"/>
        </w:rPr>
        <w:lastRenderedPageBreak/>
        <w:drawing>
          <wp:inline distT="0" distB="0" distL="0" distR="0" wp14:anchorId="53C15F40" wp14:editId="02DCC63A">
            <wp:extent cx="6120765" cy="3497580"/>
            <wp:effectExtent l="0" t="0" r="0" b="7620"/>
            <wp:docPr id="7435" name="Picture 7435" descr="shows coral condition since 2005, ranges from moderate to poor ending at poor for this monitoring year" title="Reef level trend in coral index and indicator sco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5" name="Reef.worm.with.indicators.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120765" cy="3497580"/>
                    </a:xfrm>
                    <a:prstGeom prst="rect">
                      <a:avLst/>
                    </a:prstGeom>
                  </pic:spPr>
                </pic:pic>
              </a:graphicData>
            </a:graphic>
          </wp:inline>
        </w:drawing>
      </w:r>
    </w:p>
    <w:p w14:paraId="338F1F70" w14:textId="75C3C0D2" w:rsidR="00C30194" w:rsidRPr="00DF2CE7" w:rsidRDefault="00C30194" w:rsidP="00C30194">
      <w:pPr>
        <w:pStyle w:val="Caption"/>
        <w:rPr>
          <w:rFonts w:ascii="Arial" w:hAnsi="Arial" w:cs="Arial"/>
          <w:i/>
          <w:vanish/>
          <w:specVanish/>
        </w:rPr>
      </w:pPr>
      <w:bookmarkStart w:id="275" w:name="_Ref30682135"/>
      <w:bookmarkStart w:id="276" w:name="_Toc35947161"/>
      <w:r>
        <w:t xml:space="preserve">Figure </w:t>
      </w:r>
      <w:r>
        <w:fldChar w:fldCharType="begin"/>
      </w:r>
      <w:r>
        <w:instrText xml:space="preserve"> SEQ Figure \* ARABIC </w:instrText>
      </w:r>
      <w:r>
        <w:fldChar w:fldCharType="separate"/>
      </w:r>
      <w:r w:rsidR="003053D1">
        <w:rPr>
          <w:noProof/>
        </w:rPr>
        <w:t>11</w:t>
      </w:r>
      <w:r>
        <w:fldChar w:fldCharType="end"/>
      </w:r>
      <w:bookmarkEnd w:id="275"/>
      <w:r>
        <w:t xml:space="preserve"> Reef level trend in coral index and indicator scores</w:t>
      </w:r>
      <w:bookmarkEnd w:id="276"/>
    </w:p>
    <w:p w14:paraId="14B5DCC3" w14:textId="77777777" w:rsidR="00C30194" w:rsidRDefault="00C30194" w:rsidP="00C30194">
      <w:pPr>
        <w:pStyle w:val="Caption"/>
      </w:pPr>
      <w:r>
        <w:t>. Coral index scores are coloured by report card categories: orange = ‘poor’, yellow=’moderate’. Error in index score derived from bootstrapped distribution of regional indicator scores weighted by the relative area of inshore coral reefs in each region.</w:t>
      </w:r>
    </w:p>
    <w:p w14:paraId="53C13C91" w14:textId="77777777" w:rsidR="009214FB" w:rsidRDefault="009214FB">
      <w:pPr>
        <w:jc w:val="left"/>
        <w:rPr>
          <w:rFonts w:ascii="Arial Narrow" w:eastAsia="SimSun" w:hAnsi="Arial Narrow" w:cs="Times New Roman"/>
          <w:sz w:val="20"/>
          <w:lang w:val="en-GB"/>
        </w:rPr>
      </w:pPr>
      <w:r>
        <w:br w:type="page"/>
      </w:r>
    </w:p>
    <w:p w14:paraId="53C13C92" w14:textId="10DA672C" w:rsidR="009214FB" w:rsidRDefault="009214FB" w:rsidP="009214FB">
      <w:r>
        <w:lastRenderedPageBreak/>
        <w:t>A lagged response in coral index scores following cyclones, and floods, can also occur due to the stripping of macroalgae cover. Peaks in macroalgae indicator scores observed in 2011 (</w:t>
      </w:r>
      <w:r>
        <w:fldChar w:fldCharType="begin"/>
      </w:r>
      <w:r>
        <w:instrText xml:space="preserve"> REF _Ref30682135 \h </w:instrText>
      </w:r>
      <w:r>
        <w:fldChar w:fldCharType="separate"/>
      </w:r>
      <w:r w:rsidR="003053D1">
        <w:t xml:space="preserve">Figure </w:t>
      </w:r>
      <w:r w:rsidR="003053D1">
        <w:rPr>
          <w:noProof/>
        </w:rPr>
        <w:t>11</w:t>
      </w:r>
      <w:r>
        <w:fldChar w:fldCharType="end"/>
      </w:r>
      <w:r>
        <w:t>) reflect reduced cover of macroalgae in surveys following cyclones Yasi and, in the Fitzroy region, flooding, followed by their rapid recolonisation. The smaller peak observed in 2017 was partially influenced by a similar process occurring following cyclone Debbie.</w:t>
      </w:r>
    </w:p>
    <w:p w14:paraId="53C13C93" w14:textId="6E8F1937" w:rsidR="0094743B" w:rsidRDefault="009214FB" w:rsidP="00C8017F">
      <w:r>
        <w:t>The recovery of coral communities between 2013 and 2016 demonstrate the recent resilience of inshore coral communities. That the current condition is again low is unsurprising given the level of pressure imposed in 2017. Of concern is that coral cover</w:t>
      </w:r>
      <w:r w:rsidR="008B5D40">
        <w:t xml:space="preserve"> had not recovered to levels observed prior to the similar level of pressure imposed in 2011 </w:t>
      </w:r>
      <w:r w:rsidR="006F4D0A">
        <w:t>(</w:t>
      </w:r>
      <w:r w:rsidR="006F4D0A">
        <w:fldChar w:fldCharType="begin"/>
      </w:r>
      <w:r w:rsidR="006F4D0A">
        <w:instrText xml:space="preserve"> REF _Ref30682135 \h </w:instrText>
      </w:r>
      <w:r w:rsidR="006F4D0A">
        <w:fldChar w:fldCharType="separate"/>
      </w:r>
      <w:r w:rsidR="003053D1">
        <w:t xml:space="preserve">Figure </w:t>
      </w:r>
      <w:r w:rsidR="003053D1">
        <w:rPr>
          <w:noProof/>
        </w:rPr>
        <w:t>11</w:t>
      </w:r>
      <w:r w:rsidR="006F4D0A">
        <w:fldChar w:fldCharType="end"/>
      </w:r>
      <w:r w:rsidR="006F4D0A">
        <w:t xml:space="preserve">). </w:t>
      </w:r>
      <w:r w:rsidR="008B5D40">
        <w:t>A positive indication for future recovery is that the cover change, juvenile density and community composition indicator scores all remain above those observed in 2012 from which point recovery progressed. Conversely</w:t>
      </w:r>
      <w:r w:rsidR="00CE63BB">
        <w:t>,</w:t>
      </w:r>
      <w:r w:rsidR="008B5D40">
        <w:t xml:space="preserve"> macroalgae indicator scores are lower</w:t>
      </w:r>
      <w:r w:rsidR="00CE63BB">
        <w:t xml:space="preserve"> suggesting a downward pressure on recovery</w:t>
      </w:r>
      <w:r w:rsidR="008B5D40">
        <w:t>.</w:t>
      </w:r>
    </w:p>
    <w:p w14:paraId="53C13C94" w14:textId="77777777" w:rsidR="00054105" w:rsidRDefault="008B5D40" w:rsidP="00C8017F">
      <w:r>
        <w:t>Ultimately, the Reef level coral community condition averages over coral communities exposed to varied past and ongoing pressures. The following sections explore results at finer spatial resolution.</w:t>
      </w:r>
      <w:r w:rsidR="00054105">
        <w:t xml:space="preserve"> What is clear from the Reef level disturbance time-series is that inshore reefs have been exposed to </w:t>
      </w:r>
      <w:r w:rsidR="00CE63BB">
        <w:t>a</w:t>
      </w:r>
      <w:r w:rsidR="00054105">
        <w:t xml:space="preserve"> barrage of disturbance events</w:t>
      </w:r>
      <w:r w:rsidR="00CE63BB">
        <w:t>, from which recovery has been, on average below expected rates</w:t>
      </w:r>
      <w:r w:rsidR="00054105">
        <w:t>.</w:t>
      </w:r>
      <w:r w:rsidR="000D0DFC">
        <w:t xml:space="preserve"> </w:t>
      </w:r>
    </w:p>
    <w:p w14:paraId="53C13C95" w14:textId="77777777" w:rsidR="00BE4138" w:rsidRDefault="00BE4138" w:rsidP="00BE4138">
      <w:pPr>
        <w:jc w:val="left"/>
      </w:pPr>
    </w:p>
    <w:p w14:paraId="53C13C96" w14:textId="77777777" w:rsidR="00BE4138" w:rsidRPr="003E1937" w:rsidRDefault="00BE4138" w:rsidP="006F1D4F">
      <w:pPr>
        <w:pStyle w:val="Heading2"/>
      </w:pPr>
      <w:bookmarkStart w:id="277" w:name="_Ref35861719"/>
      <w:bookmarkStart w:id="278" w:name="_Toc35947118"/>
      <w:r>
        <w:t>Relative impact of disturbances</w:t>
      </w:r>
      <w:bookmarkEnd w:id="277"/>
      <w:bookmarkEnd w:id="278"/>
    </w:p>
    <w:p w14:paraId="53C13C97" w14:textId="57AF5073" w:rsidR="00BE4138" w:rsidRDefault="00BE4138" w:rsidP="00BE4138">
      <w:r>
        <w:t xml:space="preserve">The most directly observable impact of acute disturbance events is </w:t>
      </w:r>
      <w:r w:rsidR="007C3095">
        <w:t xml:space="preserve">the </w:t>
      </w:r>
      <w:r>
        <w:t>loss of coral cover they cau</w:t>
      </w:r>
      <w:r w:rsidR="004D3DAD">
        <w:t>se. Over the period of the MMP c</w:t>
      </w:r>
      <w:r>
        <w:t xml:space="preserve">yclones and storms have caused almost half (48%) of all coral cover losses on inshore reefs since 2005 </w:t>
      </w:r>
      <w:r w:rsidR="008A5721">
        <w:t>(</w:t>
      </w:r>
      <w:r w:rsidR="008A5721">
        <w:fldChar w:fldCharType="begin"/>
      </w:r>
      <w:r w:rsidR="008A5721">
        <w:instrText xml:space="preserve"> REF _Ref35865354 \h </w:instrText>
      </w:r>
      <w:r w:rsidR="008A5721">
        <w:fldChar w:fldCharType="separate"/>
      </w:r>
      <w:r w:rsidR="003053D1">
        <w:t xml:space="preserve">Figure </w:t>
      </w:r>
      <w:r w:rsidR="003053D1">
        <w:rPr>
          <w:noProof/>
        </w:rPr>
        <w:t>12</w:t>
      </w:r>
      <w:r w:rsidR="008A5721">
        <w:fldChar w:fldCharType="end"/>
      </w:r>
      <w:r w:rsidR="008A5721">
        <w:t xml:space="preserve">). </w:t>
      </w:r>
      <w:r>
        <w:t>Unsurprisingly it has been the intense category 4 and 5 systems; cyclone Larry (Wet Tropics and Burdekin Regions – 2006), cyclone Yasi (Wet Tropics and Burdekin Regions – 2011), and cyclone Debbie (Whitsunday Region – 2017) that have caused the greatest losses.</w:t>
      </w:r>
      <w:r w:rsidR="007C3095">
        <w:t xml:space="preserve"> Changes in the community composition indicator scores (</w:t>
      </w:r>
      <w:r w:rsidR="007C3095">
        <w:fldChar w:fldCharType="begin"/>
      </w:r>
      <w:r w:rsidR="007C3095">
        <w:instrText xml:space="preserve"> REF _Ref30682135 \h </w:instrText>
      </w:r>
      <w:r w:rsidR="007C3095">
        <w:fldChar w:fldCharType="separate"/>
      </w:r>
      <w:r w:rsidR="003053D1">
        <w:t xml:space="preserve">Figure </w:t>
      </w:r>
      <w:r w:rsidR="003053D1">
        <w:rPr>
          <w:noProof/>
        </w:rPr>
        <w:t>11</w:t>
      </w:r>
      <w:r w:rsidR="007C3095">
        <w:fldChar w:fldCharType="end"/>
      </w:r>
      <w:r w:rsidR="007C3095">
        <w:t xml:space="preserve">) following acute disturbances indicate </w:t>
      </w:r>
      <w:r w:rsidR="007C3095">
        <w:lastRenderedPageBreak/>
        <w:t xml:space="preserve">that it is species sensitive to poor water quality (primarily </w:t>
      </w:r>
      <w:r w:rsidR="007C3095" w:rsidRPr="007C3095">
        <w:rPr>
          <w:i/>
          <w:iCs/>
        </w:rPr>
        <w:t>Acropora</w:t>
      </w:r>
      <w:r w:rsidR="007C3095">
        <w:rPr>
          <w:i/>
          <w:iCs/>
        </w:rPr>
        <w:t xml:space="preserve">, </w:t>
      </w:r>
      <w:r w:rsidR="007C3095">
        <w:rPr>
          <w:i/>
          <w:iCs/>
        </w:rPr>
        <w:fldChar w:fldCharType="begin"/>
      </w:r>
      <w:r w:rsidR="007C3095">
        <w:rPr>
          <w:i/>
          <w:iCs/>
        </w:rPr>
        <w:instrText xml:space="preserve"> REF _Ref30695777 \h </w:instrText>
      </w:r>
      <w:r w:rsidR="007C3095">
        <w:rPr>
          <w:i/>
          <w:iCs/>
        </w:rPr>
      </w:r>
      <w:r w:rsidR="007C3095">
        <w:rPr>
          <w:i/>
          <w:iCs/>
        </w:rPr>
        <w:fldChar w:fldCharType="separate"/>
      </w:r>
      <w:r w:rsidR="003053D1">
        <w:t xml:space="preserve">Table A </w:t>
      </w:r>
      <w:r w:rsidR="003053D1">
        <w:rPr>
          <w:noProof/>
        </w:rPr>
        <w:t>5</w:t>
      </w:r>
      <w:r w:rsidR="007C3095">
        <w:rPr>
          <w:i/>
          <w:iCs/>
        </w:rPr>
        <w:fldChar w:fldCharType="end"/>
      </w:r>
      <w:r w:rsidR="007C3095">
        <w:t>) that are disproportionately impacted by these events.</w:t>
      </w:r>
    </w:p>
    <w:p w14:paraId="53C13C98" w14:textId="20DF9581" w:rsidR="00BE4138" w:rsidRDefault="00BE4138" w:rsidP="00BE4138">
      <w:r>
        <w:t xml:space="preserve">Of note when interpreting </w:t>
      </w:r>
      <w:r w:rsidR="008A5721">
        <w:fldChar w:fldCharType="begin"/>
      </w:r>
      <w:r w:rsidR="008A5721">
        <w:instrText xml:space="preserve"> REF _Ref35865354 \h </w:instrText>
      </w:r>
      <w:r w:rsidR="008A5721">
        <w:fldChar w:fldCharType="separate"/>
      </w:r>
      <w:r w:rsidR="003053D1">
        <w:t xml:space="preserve">Figure </w:t>
      </w:r>
      <w:r w:rsidR="003053D1">
        <w:rPr>
          <w:noProof/>
        </w:rPr>
        <w:t>12</w:t>
      </w:r>
      <w:r w:rsidR="008A5721">
        <w:fldChar w:fldCharType="end"/>
      </w:r>
      <w:r>
        <w:t xml:space="preserve"> is that the biennial sampling design of both the MMP and LTMP results in some lagged attribution of coral loss. For example, loss of coral cover attributed to cyclone Debbie at three reefs monitored by the LTMP in the Mackay-Whitsunday region impacted attributed to cyclone Debbie were not quantified until 2019. Similarly, while the MMP sampling design includes capacity for contingency sampling in the event of acute disturbances so as to limit this lagged assessment, cyclone and bleaching impacts recorded in 2018 </w:t>
      </w:r>
      <w:r w:rsidR="008A5721">
        <w:t>(</w:t>
      </w:r>
      <w:r w:rsidR="006C7C39">
        <w:fldChar w:fldCharType="begin"/>
      </w:r>
      <w:r w:rsidR="006C7C39">
        <w:instrText xml:space="preserve"> REF _Ref35865354 \h </w:instrText>
      </w:r>
      <w:r w:rsidR="006C7C39">
        <w:fldChar w:fldCharType="separate"/>
      </w:r>
      <w:r w:rsidR="003053D1">
        <w:t xml:space="preserve">Figure </w:t>
      </w:r>
      <w:r w:rsidR="003053D1">
        <w:rPr>
          <w:noProof/>
        </w:rPr>
        <w:t>12</w:t>
      </w:r>
      <w:r w:rsidR="006C7C39">
        <w:fldChar w:fldCharType="end"/>
      </w:r>
      <w:r w:rsidR="008A5721">
        <w:t xml:space="preserve">) </w:t>
      </w:r>
      <w:r>
        <w:t>occurred during 2017.</w:t>
      </w:r>
    </w:p>
    <w:p w14:paraId="53C13C99" w14:textId="77777777" w:rsidR="00BE4138" w:rsidRDefault="00BE4138" w:rsidP="00BE4138">
      <w:r>
        <w:rPr>
          <w:noProof/>
          <w:lang w:eastAsia="en-AU"/>
        </w:rPr>
        <w:drawing>
          <wp:inline distT="0" distB="0" distL="0" distR="0" wp14:anchorId="53C15F42" wp14:editId="2E1ED35B">
            <wp:extent cx="6120765" cy="2295525"/>
            <wp:effectExtent l="0" t="0" r="0" b="9525"/>
            <wp:docPr id="10" name="Picture 10" descr="shows loss as annual bar charts with storms by far the greatest influence accounting for 47.7 percent of losses since 2005" title="hard coral cover loss by distrubance ty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efLevelDistrubance.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6120765" cy="2295525"/>
                    </a:xfrm>
                    <a:prstGeom prst="rect">
                      <a:avLst/>
                    </a:prstGeom>
                  </pic:spPr>
                </pic:pic>
              </a:graphicData>
            </a:graphic>
          </wp:inline>
        </w:drawing>
      </w:r>
    </w:p>
    <w:p w14:paraId="53C13C9A" w14:textId="45CD5BB6" w:rsidR="00BE4138" w:rsidRPr="00DF2CE7" w:rsidRDefault="00BE4138" w:rsidP="002B5296">
      <w:pPr>
        <w:pStyle w:val="Caption"/>
        <w:rPr>
          <w:rFonts w:ascii="Arial" w:hAnsi="Arial" w:cs="Arial"/>
          <w:i/>
          <w:vanish/>
          <w:specVanish/>
        </w:rPr>
      </w:pPr>
      <w:bookmarkStart w:id="279" w:name="_Ref35865354"/>
      <w:bookmarkStart w:id="280" w:name="_Toc35947162"/>
      <w:r>
        <w:t xml:space="preserve">Figure </w:t>
      </w:r>
      <w:r>
        <w:fldChar w:fldCharType="begin"/>
      </w:r>
      <w:r>
        <w:instrText xml:space="preserve"> SEQ Figure \* ARABIC </w:instrText>
      </w:r>
      <w:r>
        <w:fldChar w:fldCharType="separate"/>
      </w:r>
      <w:r w:rsidR="003053D1">
        <w:rPr>
          <w:noProof/>
        </w:rPr>
        <w:t>12</w:t>
      </w:r>
      <w:r>
        <w:fldChar w:fldCharType="end"/>
      </w:r>
      <w:bookmarkEnd w:id="279"/>
      <w:r>
        <w:t xml:space="preserve"> H</w:t>
      </w:r>
      <w:r w:rsidRPr="00CE4E0F">
        <w:t>ard coral cover loss by disturbance type</w:t>
      </w:r>
      <w:r>
        <w:t xml:space="preserve"> across the inshore Reef</w:t>
      </w:r>
      <w:bookmarkEnd w:id="280"/>
    </w:p>
    <w:p w14:paraId="53C13C9B" w14:textId="7F85F1C9" w:rsidR="00BE4138" w:rsidRPr="0094743B" w:rsidRDefault="00BE4138">
      <w:pPr>
        <w:pStyle w:val="Caption"/>
        <w:rPr>
          <w:rStyle w:val="IntenseReference"/>
        </w:rPr>
      </w:pPr>
      <w:r>
        <w:t>.</w:t>
      </w:r>
      <w:r w:rsidRPr="00CE4E0F">
        <w:t xml:space="preserve"> </w:t>
      </w:r>
      <w:r w:rsidRPr="0094743B">
        <w:rPr>
          <w:rStyle w:val="IntenseReference"/>
        </w:rPr>
        <w:t>Length of bars represents the mean loss of cover across all reefs in each year. Colours represent the identified cause of cover loss.</w:t>
      </w:r>
    </w:p>
    <w:p w14:paraId="2DEE844A" w14:textId="77777777" w:rsidR="0022526D" w:rsidRDefault="0022526D" w:rsidP="00BE4138"/>
    <w:p w14:paraId="53C13C9C" w14:textId="1268DCB1" w:rsidR="00BE4138" w:rsidRDefault="009E234D" w:rsidP="00BE4138">
      <w:r>
        <w:t>Thermal b</w:t>
      </w:r>
      <w:r w:rsidR="00BE4138">
        <w:t xml:space="preserve">leaching events have been less frequent although locally severe and caused 13% of coral cover loss </w:t>
      </w:r>
      <w:r w:rsidR="0022526D">
        <w:t>(</w:t>
      </w:r>
      <w:r w:rsidR="0022526D">
        <w:fldChar w:fldCharType="begin"/>
      </w:r>
      <w:r w:rsidR="0022526D">
        <w:instrText xml:space="preserve"> REF _Ref35865354 \h </w:instrText>
      </w:r>
      <w:r w:rsidR="0022526D">
        <w:fldChar w:fldCharType="separate"/>
      </w:r>
      <w:r w:rsidR="003053D1">
        <w:t xml:space="preserve">Figure </w:t>
      </w:r>
      <w:r w:rsidR="003053D1">
        <w:rPr>
          <w:noProof/>
        </w:rPr>
        <w:t>12</w:t>
      </w:r>
      <w:r w:rsidR="0022526D">
        <w:fldChar w:fldCharType="end"/>
      </w:r>
      <w:r w:rsidR="0022526D">
        <w:t xml:space="preserve">). </w:t>
      </w:r>
      <w:r w:rsidR="00BE4138">
        <w:t xml:space="preserve">While crown-of-thorns starfish have caused moderate losses (7%, </w:t>
      </w:r>
      <w:r w:rsidR="0022526D">
        <w:t>(</w:t>
      </w:r>
      <w:r w:rsidR="0022526D">
        <w:fldChar w:fldCharType="begin"/>
      </w:r>
      <w:r w:rsidR="0022526D">
        <w:instrText xml:space="preserve"> REF _Ref35865354 \h </w:instrText>
      </w:r>
      <w:r w:rsidR="0022526D">
        <w:fldChar w:fldCharType="separate"/>
      </w:r>
      <w:r w:rsidR="003053D1">
        <w:t xml:space="preserve">Figure </w:t>
      </w:r>
      <w:r w:rsidR="003053D1">
        <w:rPr>
          <w:noProof/>
        </w:rPr>
        <w:t>12</w:t>
      </w:r>
      <w:r w:rsidR="0022526D">
        <w:fldChar w:fldCharType="end"/>
      </w:r>
      <w:r w:rsidR="0022526D">
        <w:t>),</w:t>
      </w:r>
      <w:r w:rsidR="00BE4138">
        <w:t xml:space="preserve"> their effect has likely been limited by active removal to control populations. These figures contrast more offshore areas where c</w:t>
      </w:r>
      <w:r w:rsidR="00BE4138" w:rsidRPr="00E86CBB">
        <w:t xml:space="preserve">rown-of-thorns starfish (Osborne </w:t>
      </w:r>
      <w:r w:rsidR="00BE4138" w:rsidRPr="00E86CBB">
        <w:rPr>
          <w:i/>
        </w:rPr>
        <w:t>et al.</w:t>
      </w:r>
      <w:r w:rsidR="00BE4138" w:rsidRPr="00E86CBB">
        <w:t xml:space="preserve"> 2011, De’ath </w:t>
      </w:r>
      <w:r w:rsidR="00BE4138" w:rsidRPr="00E86CBB">
        <w:rPr>
          <w:i/>
        </w:rPr>
        <w:t>et al.</w:t>
      </w:r>
      <w:r w:rsidR="00BE4138" w:rsidRPr="00E86CBB">
        <w:t xml:space="preserve"> 2012)</w:t>
      </w:r>
      <w:r w:rsidR="00BE4138">
        <w:t xml:space="preserve"> and more recently </w:t>
      </w:r>
      <w:r>
        <w:t xml:space="preserve">thermal </w:t>
      </w:r>
      <w:r w:rsidR="00BE4138">
        <w:t xml:space="preserve">bleaching (Hughes </w:t>
      </w:r>
      <w:r w:rsidR="00BE4138" w:rsidRPr="00CE63BB">
        <w:rPr>
          <w:i/>
        </w:rPr>
        <w:t>et al.</w:t>
      </w:r>
      <w:r w:rsidR="00BE4138">
        <w:t xml:space="preserve"> 2018) </w:t>
      </w:r>
      <w:r w:rsidR="00BE4138" w:rsidRPr="00E86CBB">
        <w:t>are recognised as major contributor</w:t>
      </w:r>
      <w:r w:rsidR="00BE4138">
        <w:t>s</w:t>
      </w:r>
      <w:r w:rsidR="00BE4138" w:rsidRPr="00E86CBB">
        <w:t xml:space="preserve"> to loss of coral cover</w:t>
      </w:r>
      <w:r w:rsidR="00BE4138">
        <w:t>.</w:t>
      </w:r>
    </w:p>
    <w:p w14:paraId="53C13C9D" w14:textId="77777777" w:rsidR="00BE4138" w:rsidRDefault="00BE4138" w:rsidP="00BE4138">
      <w:r>
        <w:lastRenderedPageBreak/>
        <w:t>Loss of corals due to direct exposure to low salinity flood waters has been limited to two metre depths on reefs most proximal to rivers during major flood events. This is unsurprising as more frequent exposure would be expected to precluded reef development. Indeed, the reefs most impacted, Peak Island and Pelican Island in the Fitzroy region, demonstrate minimal development of a carbonate substrate, questioning their appropriate inclusion as coral reef monitoring locations.</w:t>
      </w:r>
    </w:p>
    <w:p w14:paraId="53C13C9E" w14:textId="77777777" w:rsidR="00BE4138" w:rsidRPr="00E86CBB" w:rsidRDefault="00BE4138" w:rsidP="00BE4138">
      <w:r>
        <w:t>In combination</w:t>
      </w:r>
      <w:r w:rsidR="009E234D">
        <w:t>,</w:t>
      </w:r>
      <w:r>
        <w:t xml:space="preserve"> these acute disturbance events contribute strongly to the declines in the coral cover (Lam </w:t>
      </w:r>
      <w:r w:rsidRPr="4FF5FF20">
        <w:rPr>
          <w:i/>
          <w:iCs/>
        </w:rPr>
        <w:t>et al.</w:t>
      </w:r>
      <w:r>
        <w:t xml:space="preserve"> 2018) and index scores in all regions.</w:t>
      </w:r>
    </w:p>
    <w:p w14:paraId="53C13C9F" w14:textId="20CDB51B" w:rsidR="00BE4138" w:rsidRDefault="00BE4138" w:rsidP="00BE4138">
      <w:pPr>
        <w:rPr>
          <w:color w:val="000000" w:themeColor="text1"/>
          <w:lang w:val="en-US"/>
        </w:rPr>
      </w:pPr>
      <w:r w:rsidRPr="00EA3A98">
        <w:rPr>
          <w:color w:val="000000" w:themeColor="text1"/>
          <w:lang w:val="en-US"/>
        </w:rPr>
        <w:t xml:space="preserve">The losses of coral cover attributed to disease, and chronic (23%, </w:t>
      </w:r>
      <w:r w:rsidR="008A5721">
        <w:fldChar w:fldCharType="begin"/>
      </w:r>
      <w:r w:rsidR="008A5721">
        <w:instrText xml:space="preserve"> REF _Ref35865354 \h </w:instrText>
      </w:r>
      <w:r w:rsidR="008A5721">
        <w:fldChar w:fldCharType="separate"/>
      </w:r>
      <w:r w:rsidR="003053D1">
        <w:t xml:space="preserve">Figure </w:t>
      </w:r>
      <w:r w:rsidR="003053D1">
        <w:rPr>
          <w:noProof/>
        </w:rPr>
        <w:t>12</w:t>
      </w:r>
      <w:r w:rsidR="008A5721">
        <w:fldChar w:fldCharType="end"/>
      </w:r>
      <w:r w:rsidR="008A5721">
        <w:t xml:space="preserve">) </w:t>
      </w:r>
      <w:r w:rsidRPr="00EA3A98">
        <w:rPr>
          <w:color w:val="000000" w:themeColor="text1"/>
          <w:lang w:val="en-US"/>
        </w:rPr>
        <w:t>are more likely to reflect the impacts of water quality. However,</w:t>
      </w:r>
      <w:r>
        <w:rPr>
          <w:color w:val="000000" w:themeColor="text1"/>
          <w:lang w:val="en-US"/>
        </w:rPr>
        <w:t xml:space="preserve"> </w:t>
      </w:r>
      <w:r>
        <w:t>by categorising response to primary disturbance</w:t>
      </w:r>
      <w:r w:rsidR="009E234D">
        <w:t>-</w:t>
      </w:r>
      <w:r>
        <w:t xml:space="preserve">type ignores potential </w:t>
      </w:r>
      <w:r w:rsidRPr="00EA3A98">
        <w:rPr>
          <w:color w:val="000000" w:themeColor="text1"/>
          <w:lang w:val="en-US"/>
        </w:rPr>
        <w:t>compounding of impacts associated with acute disturbances as elevated levels of nutrients may: increase the susceptibility of corals to disease (</w:t>
      </w:r>
      <w:r w:rsidRPr="00EA3A98">
        <w:rPr>
          <w:color w:val="000000" w:themeColor="text1"/>
        </w:rPr>
        <w:t xml:space="preserve">Bruno </w:t>
      </w:r>
      <w:r w:rsidRPr="00EA3A98">
        <w:rPr>
          <w:i/>
          <w:color w:val="000000" w:themeColor="text1"/>
        </w:rPr>
        <w:t>et al.</w:t>
      </w:r>
      <w:r w:rsidRPr="00EA3A98">
        <w:rPr>
          <w:color w:val="000000" w:themeColor="text1"/>
        </w:rPr>
        <w:t xml:space="preserve"> 2003, Haapkylä </w:t>
      </w:r>
      <w:r w:rsidRPr="00EA3A98">
        <w:rPr>
          <w:i/>
          <w:color w:val="000000" w:themeColor="text1"/>
        </w:rPr>
        <w:t>et al</w:t>
      </w:r>
      <w:r w:rsidRPr="00EA3A98">
        <w:rPr>
          <w:color w:val="000000" w:themeColor="text1"/>
        </w:rPr>
        <w:t xml:space="preserve">. 2011, Kline </w:t>
      </w:r>
      <w:r w:rsidRPr="00EA3A98">
        <w:rPr>
          <w:i/>
          <w:color w:val="000000" w:themeColor="text1"/>
        </w:rPr>
        <w:t>et al</w:t>
      </w:r>
      <w:r w:rsidRPr="00EA3A98">
        <w:rPr>
          <w:color w:val="000000" w:themeColor="text1"/>
        </w:rPr>
        <w:t xml:space="preserve">. 2006, Kuntz </w:t>
      </w:r>
      <w:r w:rsidRPr="00EA3A98">
        <w:rPr>
          <w:i/>
          <w:color w:val="000000" w:themeColor="text1"/>
        </w:rPr>
        <w:t>et al</w:t>
      </w:r>
      <w:r w:rsidRPr="00EA3A98">
        <w:rPr>
          <w:color w:val="000000" w:themeColor="text1"/>
        </w:rPr>
        <w:t xml:space="preserve">. 2005, Weber </w:t>
      </w:r>
      <w:r w:rsidRPr="00EA3A98">
        <w:rPr>
          <w:i/>
          <w:color w:val="000000" w:themeColor="text1"/>
        </w:rPr>
        <w:t>et al.</w:t>
      </w:r>
      <w:r w:rsidRPr="00EA3A98">
        <w:rPr>
          <w:color w:val="000000" w:themeColor="text1"/>
        </w:rPr>
        <w:t xml:space="preserve"> 2012, Vega Thurber </w:t>
      </w:r>
      <w:r w:rsidRPr="00EA3A98">
        <w:rPr>
          <w:i/>
          <w:color w:val="000000" w:themeColor="text1"/>
        </w:rPr>
        <w:t>et al.</w:t>
      </w:r>
      <w:r w:rsidRPr="00EA3A98">
        <w:rPr>
          <w:color w:val="000000" w:themeColor="text1"/>
        </w:rPr>
        <w:t xml:space="preserve"> 2013)</w:t>
      </w:r>
      <w:r w:rsidRPr="00EA3A98">
        <w:rPr>
          <w:color w:val="000000" w:themeColor="text1"/>
          <w:lang w:val="en-US"/>
        </w:rPr>
        <w:t>, promot</w:t>
      </w:r>
      <w:r>
        <w:rPr>
          <w:color w:val="000000" w:themeColor="text1"/>
          <w:lang w:val="en-US"/>
        </w:rPr>
        <w:t>e</w:t>
      </w:r>
      <w:r w:rsidRPr="00EA3A98">
        <w:rPr>
          <w:color w:val="000000" w:themeColor="text1"/>
          <w:lang w:val="en-US"/>
        </w:rPr>
        <w:t xml:space="preserve"> outbreaks of crown-of-thorns starfish (Wooldridge &amp; Brodie 2015) and increas</w:t>
      </w:r>
      <w:r>
        <w:rPr>
          <w:color w:val="000000" w:themeColor="text1"/>
          <w:lang w:val="en-US"/>
        </w:rPr>
        <w:t>e</w:t>
      </w:r>
      <w:r w:rsidRPr="00EA3A98">
        <w:rPr>
          <w:color w:val="000000" w:themeColor="text1"/>
          <w:lang w:val="en-US"/>
        </w:rPr>
        <w:t xml:space="preserve"> susceptibility to thermal stress (Wooldridge &amp; Done 2004, Wiedenmann </w:t>
      </w:r>
      <w:r w:rsidRPr="00EA3A98">
        <w:rPr>
          <w:i/>
          <w:color w:val="000000" w:themeColor="text1"/>
          <w:lang w:val="en-US"/>
        </w:rPr>
        <w:t>et al.</w:t>
      </w:r>
      <w:r w:rsidRPr="00EA3A98">
        <w:rPr>
          <w:color w:val="000000" w:themeColor="text1"/>
          <w:lang w:val="en-US"/>
        </w:rPr>
        <w:t xml:space="preserve"> 2013). </w:t>
      </w:r>
    </w:p>
    <w:p w14:paraId="53C13CA0" w14:textId="77777777" w:rsidR="00BE4138" w:rsidRDefault="00BE4138" w:rsidP="00BE4138">
      <w:r w:rsidRPr="00E86CBB">
        <w:t>The transport of coastal nutrients to the mid-shelf Reef remains a plausible factor enhancing the survival of crown-of-thorns starfish larvae</w:t>
      </w:r>
      <w:r>
        <w:t>,</w:t>
      </w:r>
      <w:r w:rsidRPr="00E86CBB">
        <w:t xml:space="preserve"> and so potentially extends the influence of run-off to large tracts of the Reef (</w:t>
      </w:r>
      <w:r w:rsidRPr="00E86CBB" w:rsidDel="00AF7A2E">
        <w:t xml:space="preserve">Brodie </w:t>
      </w:r>
      <w:r w:rsidRPr="00E86CBB" w:rsidDel="00AF7A2E">
        <w:rPr>
          <w:i/>
        </w:rPr>
        <w:t>et al.</w:t>
      </w:r>
      <w:r w:rsidRPr="00E86CBB" w:rsidDel="00AF7A2E">
        <w:t xml:space="preserve"> 2005, Fabricius </w:t>
      </w:r>
      <w:r w:rsidRPr="00E86CBB" w:rsidDel="00AF7A2E">
        <w:rPr>
          <w:i/>
        </w:rPr>
        <w:t>et al.</w:t>
      </w:r>
      <w:r w:rsidRPr="00E86CBB" w:rsidDel="00AF7A2E">
        <w:t xml:space="preserve"> 2010, </w:t>
      </w:r>
      <w:r w:rsidRPr="00E86CBB">
        <w:t xml:space="preserve">Furnas </w:t>
      </w:r>
      <w:r w:rsidRPr="00E86CBB">
        <w:rPr>
          <w:i/>
        </w:rPr>
        <w:t>et al.</w:t>
      </w:r>
      <w:r w:rsidRPr="00E86CBB">
        <w:t xml:space="preserve"> 2013, Pratchett </w:t>
      </w:r>
      <w:r w:rsidRPr="00E86CBB">
        <w:rPr>
          <w:i/>
        </w:rPr>
        <w:t>et al</w:t>
      </w:r>
      <w:r w:rsidRPr="00E86CBB">
        <w:t xml:space="preserve">. 2014, Wooldridge &amp; Brodie 2015, Brodie </w:t>
      </w:r>
      <w:r w:rsidRPr="00E86CBB">
        <w:rPr>
          <w:i/>
        </w:rPr>
        <w:t>et al.</w:t>
      </w:r>
      <w:r w:rsidRPr="00E86CBB">
        <w:t xml:space="preserve"> 2017). However, the role of runoff in crown-of-thorns outbreak dynamics remains unresolved (Pratchett </w:t>
      </w:r>
      <w:r w:rsidRPr="00E86CBB">
        <w:rPr>
          <w:i/>
        </w:rPr>
        <w:t>et al.</w:t>
      </w:r>
      <w:r w:rsidRPr="00E86CBB">
        <w:t xml:space="preserve"> 2017)</w:t>
      </w:r>
      <w:r>
        <w:t xml:space="preserve"> and will not be dwelt on here.</w:t>
      </w:r>
      <w:r w:rsidRPr="00AD0F7C">
        <w:t xml:space="preserve"> </w:t>
      </w:r>
    </w:p>
    <w:p w14:paraId="53C13CA1" w14:textId="77777777" w:rsidR="007705D7" w:rsidRDefault="007705D7">
      <w:pPr>
        <w:jc w:val="left"/>
        <w:rPr>
          <w:color w:val="000000" w:themeColor="text1"/>
          <w:lang w:val="en-US"/>
        </w:rPr>
      </w:pPr>
      <w:r>
        <w:rPr>
          <w:color w:val="000000" w:themeColor="text1"/>
          <w:lang w:val="en-US"/>
        </w:rPr>
        <w:br w:type="page"/>
      </w:r>
    </w:p>
    <w:p w14:paraId="53C13CA2" w14:textId="77777777" w:rsidR="008E67F4" w:rsidRDefault="008E67F4" w:rsidP="006F1D4F">
      <w:pPr>
        <w:pStyle w:val="Heading2"/>
        <w:rPr>
          <w:lang w:val="en-GB"/>
        </w:rPr>
      </w:pPr>
      <w:bookmarkStart w:id="281" w:name="_Ref35860900"/>
      <w:bookmarkStart w:id="282" w:name="_Ref35861728"/>
      <w:bookmarkStart w:id="283" w:name="_Toc35947119"/>
      <w:r>
        <w:rPr>
          <w:lang w:val="en-GB"/>
        </w:rPr>
        <w:lastRenderedPageBreak/>
        <w:t xml:space="preserve">Coral condition and trends in </w:t>
      </w:r>
      <w:r w:rsidR="007705D7">
        <w:rPr>
          <w:lang w:val="en-GB"/>
        </w:rPr>
        <w:t>each (sub-)</w:t>
      </w:r>
      <w:r>
        <w:rPr>
          <w:lang w:val="en-GB"/>
        </w:rPr>
        <w:t>region</w:t>
      </w:r>
      <w:bookmarkEnd w:id="281"/>
      <w:bookmarkEnd w:id="282"/>
      <w:bookmarkEnd w:id="283"/>
    </w:p>
    <w:p w14:paraId="53C13CA3" w14:textId="77777777" w:rsidR="00BE4138" w:rsidRPr="00D268A2" w:rsidRDefault="00BE4138" w:rsidP="00BE4138">
      <w:pPr>
        <w:pStyle w:val="Heading3"/>
      </w:pPr>
      <w:bookmarkStart w:id="284" w:name="_Toc35947120"/>
      <w:bookmarkEnd w:id="271"/>
      <w:bookmarkEnd w:id="272"/>
      <w:bookmarkEnd w:id="273"/>
      <w:bookmarkEnd w:id="274"/>
      <w:r w:rsidRPr="00E02A25">
        <w:t>Wet Tropics region</w:t>
      </w:r>
      <w:bookmarkEnd w:id="284"/>
    </w:p>
    <w:p w14:paraId="53C13CA4" w14:textId="4CBF615A" w:rsidR="007705D7" w:rsidRDefault="007705D7" w:rsidP="007705D7">
      <w:r w:rsidRPr="00003205">
        <w:t xml:space="preserve">Inshore coral remains in </w:t>
      </w:r>
      <w:r>
        <w:t>‘</w:t>
      </w:r>
      <w:r w:rsidRPr="00003205">
        <w:t>moderate</w:t>
      </w:r>
      <w:r>
        <w:t>’</w:t>
      </w:r>
      <w:r w:rsidRPr="00003205">
        <w:t xml:space="preserve"> condition</w:t>
      </w:r>
      <w:r>
        <w:t>. The stable condition observed since 2016 masks differing trends within sub-regions</w:t>
      </w:r>
      <w:r w:rsidR="000741CA">
        <w:t xml:space="preserve"> (</w:t>
      </w:r>
      <w:r w:rsidR="000741CA">
        <w:fldChar w:fldCharType="begin"/>
      </w:r>
      <w:r w:rsidR="000741CA">
        <w:instrText xml:space="preserve"> REF _Ref35442844 \h </w:instrText>
      </w:r>
      <w:r w:rsidR="000741CA">
        <w:fldChar w:fldCharType="separate"/>
      </w:r>
      <w:r w:rsidR="003053D1">
        <w:t xml:space="preserve">Figure </w:t>
      </w:r>
      <w:r w:rsidR="003053D1">
        <w:rPr>
          <w:noProof/>
        </w:rPr>
        <w:t>13</w:t>
      </w:r>
      <w:r w:rsidR="000741CA">
        <w:fldChar w:fldCharType="end"/>
      </w:r>
      <w:r w:rsidR="000741CA">
        <w:t>)</w:t>
      </w:r>
      <w:r>
        <w:t>.</w:t>
      </w:r>
      <w:r w:rsidR="000741CA">
        <w:t xml:space="preserve"> That scores for the cover change indicator have been high in recent years demonstrates the ongoing capacity for coral cover to recover. The stable over-all condition</w:t>
      </w:r>
      <w:r w:rsidR="007A225C">
        <w:t>,</w:t>
      </w:r>
      <w:r w:rsidR="000741CA">
        <w:t xml:space="preserve"> however, reflects a range of minor disturbances that have impacted reefs variously among the sub-regions as detailed in the following sections.</w:t>
      </w:r>
    </w:p>
    <w:p w14:paraId="53C13CA5" w14:textId="77777777" w:rsidR="007705D7" w:rsidRDefault="007705D7" w:rsidP="007705D7"/>
    <w:p w14:paraId="53C13CA6" w14:textId="77777777" w:rsidR="00BE4138" w:rsidRDefault="00BE4138" w:rsidP="000741CA">
      <w:r>
        <w:rPr>
          <w:noProof/>
          <w:lang w:eastAsia="en-AU"/>
        </w:rPr>
        <w:drawing>
          <wp:inline distT="0" distB="0" distL="0" distR="0" wp14:anchorId="53C15F44" wp14:editId="53C15F45">
            <wp:extent cx="6120765" cy="3301637"/>
            <wp:effectExtent l="0" t="0" r="0" b="0"/>
            <wp:docPr id="28" name="Picture 28"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WT.worm.with.indicators.png"/>
                    <pic:cNvPicPr/>
                  </pic:nvPicPr>
                  <pic:blipFill rotWithShape="1">
                    <a:blip r:embed="rId45" cstate="print">
                      <a:extLst>
                        <a:ext uri="{28A0092B-C50C-407E-A947-70E740481C1C}">
                          <a14:useLocalDpi xmlns:a14="http://schemas.microsoft.com/office/drawing/2010/main" val="0"/>
                        </a:ext>
                      </a:extLst>
                    </a:blip>
                    <a:srcRect t="5602"/>
                    <a:stretch/>
                  </pic:blipFill>
                  <pic:spPr bwMode="auto">
                    <a:xfrm>
                      <a:off x="0" y="0"/>
                      <a:ext cx="6120765" cy="3301637"/>
                    </a:xfrm>
                    <a:prstGeom prst="rect">
                      <a:avLst/>
                    </a:prstGeom>
                    <a:ln>
                      <a:noFill/>
                    </a:ln>
                    <a:extLst>
                      <a:ext uri="{53640926-AAD7-44D8-BBD7-CCE9431645EC}">
                        <a14:shadowObscured xmlns:a14="http://schemas.microsoft.com/office/drawing/2010/main"/>
                      </a:ext>
                    </a:extLst>
                  </pic:spPr>
                </pic:pic>
              </a:graphicData>
            </a:graphic>
          </wp:inline>
        </w:drawing>
      </w:r>
    </w:p>
    <w:p w14:paraId="53C13CA7" w14:textId="17472A5B" w:rsidR="002519E5" w:rsidRPr="0062064A" w:rsidRDefault="002519E5" w:rsidP="002B5296">
      <w:pPr>
        <w:pStyle w:val="Caption"/>
        <w:rPr>
          <w:rStyle w:val="FigureChar"/>
          <w:rFonts w:eastAsia="SimSun"/>
          <w:vanish/>
          <w:specVanish/>
        </w:rPr>
      </w:pPr>
      <w:bookmarkStart w:id="285" w:name="_Ref35442844"/>
      <w:bookmarkStart w:id="286" w:name="_Toc35947163"/>
      <w:r>
        <w:t xml:space="preserve">Figure </w:t>
      </w:r>
      <w:r>
        <w:fldChar w:fldCharType="begin"/>
      </w:r>
      <w:r>
        <w:instrText xml:space="preserve"> SEQ Figure \* ARABIC </w:instrText>
      </w:r>
      <w:r>
        <w:fldChar w:fldCharType="separate"/>
      </w:r>
      <w:r w:rsidR="003053D1">
        <w:rPr>
          <w:noProof/>
        </w:rPr>
        <w:t>13</w:t>
      </w:r>
      <w:r>
        <w:fldChar w:fldCharType="end"/>
      </w:r>
      <w:bookmarkEnd w:id="285"/>
      <w:r>
        <w:t xml:space="preserve"> Trends in</w:t>
      </w:r>
      <w:r w:rsidRPr="00AA24BD">
        <w:t xml:space="preserve"> Coral index</w:t>
      </w:r>
      <w:r>
        <w:t xml:space="preserve"> and</w:t>
      </w:r>
      <w:r w:rsidRPr="00AA24BD">
        <w:t xml:space="preserve"> contributing indicator scores</w:t>
      </w:r>
      <w:r>
        <w:t xml:space="preserve"> for the </w:t>
      </w:r>
      <w:r w:rsidR="007705D7">
        <w:t>Wet Tropics region</w:t>
      </w:r>
      <w:bookmarkEnd w:id="286"/>
    </w:p>
    <w:p w14:paraId="53C13CA8" w14:textId="77777777" w:rsidR="002519E5" w:rsidRPr="00AA24BD" w:rsidRDefault="002519E5">
      <w:pPr>
        <w:pStyle w:val="Caption"/>
      </w:pPr>
      <w:r w:rsidRPr="00AA24BD">
        <w:t xml:space="preserve">. </w:t>
      </w:r>
      <w:r>
        <w:t>Coral index scores are coloured by report card categor</w:t>
      </w:r>
      <w:r w:rsidR="007705D7">
        <w:t>y</w:t>
      </w:r>
      <w:r>
        <w:t>: yellow=’moderate’ Error in index score derived from bootstrapped distributions of indicator scores at individual reefs.</w:t>
      </w:r>
    </w:p>
    <w:p w14:paraId="53C13CA9" w14:textId="636AE633" w:rsidR="00427E3C" w:rsidRDefault="00427E3C">
      <w:pPr>
        <w:jc w:val="left"/>
      </w:pPr>
      <w:r>
        <w:br w:type="page"/>
      </w:r>
    </w:p>
    <w:p w14:paraId="53C13CAA" w14:textId="77777777" w:rsidR="00D268A2" w:rsidRPr="00D268A2" w:rsidRDefault="00D268A2" w:rsidP="00727D87">
      <w:pPr>
        <w:pStyle w:val="Heading3"/>
      </w:pPr>
      <w:bookmarkStart w:id="287" w:name="_Toc30596439"/>
      <w:bookmarkStart w:id="288" w:name="_Toc30596440"/>
      <w:bookmarkStart w:id="289" w:name="_Toc35947121"/>
      <w:bookmarkEnd w:id="287"/>
      <w:bookmarkEnd w:id="288"/>
      <w:r w:rsidRPr="00E02A25">
        <w:lastRenderedPageBreak/>
        <w:t>Wet Tropics region: Barron Daintree sub-region</w:t>
      </w:r>
      <w:bookmarkEnd w:id="289"/>
    </w:p>
    <w:p w14:paraId="53C13CAB" w14:textId="71D7AAC2" w:rsidR="00EF533A" w:rsidRDefault="00A84742" w:rsidP="00A84742">
      <w:bookmarkStart w:id="290" w:name="_Ref491178406"/>
      <w:r w:rsidRPr="001A72DC">
        <w:t>In 201</w:t>
      </w:r>
      <w:r w:rsidR="005A7C84" w:rsidRPr="001A72DC">
        <w:t>9</w:t>
      </w:r>
      <w:r w:rsidRPr="001A72DC">
        <w:t xml:space="preserve"> the coral condition index </w:t>
      </w:r>
      <w:r w:rsidR="00C76327" w:rsidRPr="001A72DC">
        <w:t>remains ‘</w:t>
      </w:r>
      <w:r w:rsidR="00C76327" w:rsidRPr="002C206B">
        <w:t>moderate’ (</w:t>
      </w:r>
      <w:r w:rsidR="002C206B" w:rsidRPr="002C206B">
        <w:fldChar w:fldCharType="begin"/>
      </w:r>
      <w:r w:rsidR="002C206B" w:rsidRPr="002C206B">
        <w:instrText xml:space="preserve"> REF _Ref30748933 \h </w:instrText>
      </w:r>
      <w:r w:rsidR="002C206B">
        <w:instrText xml:space="preserve"> \* MERGEFORMAT </w:instrText>
      </w:r>
      <w:r w:rsidR="002C206B" w:rsidRPr="002C206B">
        <w:fldChar w:fldCharType="separate"/>
      </w:r>
      <w:r w:rsidR="003053D1">
        <w:t xml:space="preserve">Figure </w:t>
      </w:r>
      <w:r w:rsidR="003053D1">
        <w:rPr>
          <w:noProof/>
        </w:rPr>
        <w:t>14</w:t>
      </w:r>
      <w:r w:rsidR="002C206B" w:rsidRPr="002C206B">
        <w:fldChar w:fldCharType="end"/>
      </w:r>
      <w:r w:rsidR="00C76327" w:rsidRPr="002C206B">
        <w:t>)</w:t>
      </w:r>
      <w:r w:rsidR="00C76327">
        <w:t xml:space="preserve"> although most indicators </w:t>
      </w:r>
      <w:r w:rsidR="001A72DC" w:rsidRPr="001A72DC">
        <w:t>declined</w:t>
      </w:r>
      <w:r w:rsidRPr="001A72DC">
        <w:t xml:space="preserve"> at both 2 m and 5 m depths (</w:t>
      </w:r>
      <w:r w:rsidRPr="001A72DC">
        <w:fldChar w:fldCharType="begin"/>
      </w:r>
      <w:r w:rsidRPr="001A72DC">
        <w:instrText xml:space="preserve"> REF _Ref527096434 \h </w:instrText>
      </w:r>
      <w:r w:rsidRPr="001A72DC">
        <w:fldChar w:fldCharType="separate"/>
      </w:r>
      <w:r w:rsidR="003053D1" w:rsidRPr="003E79D5">
        <w:t xml:space="preserve">Table </w:t>
      </w:r>
      <w:r w:rsidR="003053D1">
        <w:rPr>
          <w:noProof/>
        </w:rPr>
        <w:t>9</w:t>
      </w:r>
      <w:r w:rsidRPr="001A72DC">
        <w:fldChar w:fldCharType="end"/>
      </w:r>
      <w:r w:rsidRPr="001A72DC">
        <w:t xml:space="preserve">, </w:t>
      </w:r>
      <w:r w:rsidRPr="001A72DC">
        <w:fldChar w:fldCharType="begin"/>
      </w:r>
      <w:r w:rsidRPr="001A72DC">
        <w:instrText xml:space="preserve"> REF _Ref491178290 \h </w:instrText>
      </w:r>
      <w:r w:rsidRPr="001A72DC">
        <w:fldChar w:fldCharType="separate"/>
      </w:r>
      <w:r w:rsidR="003053D1" w:rsidRPr="00AA6FF4" w:rsidDel="00C76327">
        <w:t xml:space="preserve">Figure </w:t>
      </w:r>
      <w:r w:rsidR="003053D1">
        <w:rPr>
          <w:noProof/>
        </w:rPr>
        <w:t>16</w:t>
      </w:r>
      <w:r w:rsidRPr="001A72DC">
        <w:fldChar w:fldCharType="end"/>
      </w:r>
      <w:r w:rsidRPr="001A72DC">
        <w:t xml:space="preserve">a). </w:t>
      </w:r>
    </w:p>
    <w:p w14:paraId="53C13CAC" w14:textId="77777777" w:rsidR="00C76327" w:rsidRDefault="00056503" w:rsidP="00A84742">
      <w:r>
        <w:rPr>
          <w:noProof/>
          <w:lang w:eastAsia="en-AU"/>
        </w:rPr>
        <w:drawing>
          <wp:inline distT="0" distB="0" distL="0" distR="0" wp14:anchorId="53C15F46" wp14:editId="3C6D4913">
            <wp:extent cx="6120765" cy="3268980"/>
            <wp:effectExtent l="0" t="0" r="0" b="7620"/>
            <wp:docPr id="15" name="Picture 15" descr="shows the range since 2005 has been from good to poor at times ending at moderate in this reporting year" title="Trends in Coral index and contributing indicator scores for the Barron Daintree sub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Daintree.worm.with.indicators.png"/>
                    <pic:cNvPicPr/>
                  </pic:nvPicPr>
                  <pic:blipFill rotWithShape="1">
                    <a:blip r:embed="rId46" cstate="print">
                      <a:extLst>
                        <a:ext uri="{28A0092B-C50C-407E-A947-70E740481C1C}">
                          <a14:useLocalDpi xmlns:a14="http://schemas.microsoft.com/office/drawing/2010/main" val="0"/>
                        </a:ext>
                      </a:extLst>
                    </a:blip>
                    <a:srcRect t="6536"/>
                    <a:stretch/>
                  </pic:blipFill>
                  <pic:spPr bwMode="auto">
                    <a:xfrm>
                      <a:off x="0" y="0"/>
                      <a:ext cx="6120765" cy="3268980"/>
                    </a:xfrm>
                    <a:prstGeom prst="rect">
                      <a:avLst/>
                    </a:prstGeom>
                    <a:ln>
                      <a:noFill/>
                    </a:ln>
                    <a:extLst>
                      <a:ext uri="{53640926-AAD7-44D8-BBD7-CCE9431645EC}">
                        <a14:shadowObscured xmlns:a14="http://schemas.microsoft.com/office/drawing/2010/main"/>
                      </a:ext>
                    </a:extLst>
                  </pic:spPr>
                </pic:pic>
              </a:graphicData>
            </a:graphic>
          </wp:inline>
        </w:drawing>
      </w:r>
    </w:p>
    <w:p w14:paraId="53C13CAD" w14:textId="5E8EA2E6" w:rsidR="00F115AB" w:rsidRPr="0062064A" w:rsidRDefault="002C206B" w:rsidP="002B5296">
      <w:pPr>
        <w:pStyle w:val="Caption"/>
        <w:rPr>
          <w:rStyle w:val="FigureChar"/>
          <w:rFonts w:eastAsia="SimSun"/>
          <w:vanish/>
          <w:specVanish/>
        </w:rPr>
      </w:pPr>
      <w:bookmarkStart w:id="291" w:name="_Ref30748933"/>
      <w:bookmarkStart w:id="292" w:name="_Toc35947164"/>
      <w:r>
        <w:t xml:space="preserve">Figure </w:t>
      </w:r>
      <w:r>
        <w:fldChar w:fldCharType="begin"/>
      </w:r>
      <w:r>
        <w:instrText xml:space="preserve"> SEQ Figure \* ARABIC </w:instrText>
      </w:r>
      <w:r>
        <w:fldChar w:fldCharType="separate"/>
      </w:r>
      <w:r w:rsidR="003053D1">
        <w:rPr>
          <w:noProof/>
        </w:rPr>
        <w:t>14</w:t>
      </w:r>
      <w:r>
        <w:fldChar w:fldCharType="end"/>
      </w:r>
      <w:bookmarkEnd w:id="291"/>
      <w:r>
        <w:t xml:space="preserve"> </w:t>
      </w:r>
      <w:r w:rsidR="00F115AB">
        <w:t>Trends in</w:t>
      </w:r>
      <w:r w:rsidR="00F115AB" w:rsidRPr="00AA24BD">
        <w:t xml:space="preserve"> Coral index</w:t>
      </w:r>
      <w:r w:rsidR="00F115AB">
        <w:t xml:space="preserve"> and</w:t>
      </w:r>
      <w:r w:rsidR="00F115AB" w:rsidRPr="00AA24BD">
        <w:t xml:space="preserve"> contributing indicator scores</w:t>
      </w:r>
      <w:r w:rsidR="00F115AB">
        <w:t xml:space="preserve"> for the Barron Daintree subregion</w:t>
      </w:r>
      <w:bookmarkEnd w:id="292"/>
    </w:p>
    <w:p w14:paraId="53C13CAE" w14:textId="77777777" w:rsidR="00F115AB" w:rsidRPr="00AA24BD" w:rsidRDefault="00F115AB">
      <w:pPr>
        <w:pStyle w:val="Caption"/>
      </w:pPr>
      <w:r w:rsidRPr="00AA24BD">
        <w:t xml:space="preserve">. </w:t>
      </w:r>
      <w:r>
        <w:t>Coral index scores are coloured by report card categories: orange = ‘poor’, yellow=’moderate’ and green=’good. Error in index score derived from bootstrapped distributions of indicator scores at individual reefs.</w:t>
      </w:r>
    </w:p>
    <w:p w14:paraId="53C13CAF" w14:textId="1EDDD5AC" w:rsidR="00A84742" w:rsidRPr="00A50F16" w:rsidRDefault="00A84742" w:rsidP="00A84742">
      <w:r w:rsidRPr="00310CD0">
        <w:t xml:space="preserve">At 2 m depth improvement </w:t>
      </w:r>
      <w:r w:rsidR="00EF0142" w:rsidRPr="00310CD0">
        <w:t>in</w:t>
      </w:r>
      <w:r w:rsidRPr="00310CD0">
        <w:t xml:space="preserve"> cover change scores</w:t>
      </w:r>
      <w:r w:rsidR="007B48ED">
        <w:t>,</w:t>
      </w:r>
      <w:r w:rsidR="00EF0142" w:rsidRPr="00310CD0">
        <w:t xml:space="preserve"> and macroalgae scores at </w:t>
      </w:r>
      <w:r w:rsidR="00B739BB">
        <w:t>most</w:t>
      </w:r>
      <w:r w:rsidR="00EF0142" w:rsidRPr="00310CD0">
        <w:t xml:space="preserve"> reefs</w:t>
      </w:r>
      <w:r w:rsidR="007B48ED">
        <w:t>,</w:t>
      </w:r>
      <w:r w:rsidRPr="00310CD0">
        <w:t xml:space="preserve"> </w:t>
      </w:r>
      <w:r w:rsidR="00B739BB">
        <w:t>contrasted decline in composition scores and variable responses for coral cover and Juvenile indicators that combined to reduce condition score</w:t>
      </w:r>
      <w:r w:rsidR="0071332C">
        <w:t xml:space="preserve"> </w:t>
      </w:r>
      <w:r w:rsidR="00EF0142" w:rsidRPr="00310CD0">
        <w:t>relative to</w:t>
      </w:r>
      <w:r w:rsidRPr="00310CD0">
        <w:t xml:space="preserve"> 201</w:t>
      </w:r>
      <w:r w:rsidR="00EF0142" w:rsidRPr="00310CD0">
        <w:t>8</w:t>
      </w:r>
      <w:r w:rsidRPr="00A50F16">
        <w:t>.</w:t>
      </w:r>
      <w:r w:rsidR="00D44A99">
        <w:t xml:space="preserve"> </w:t>
      </w:r>
      <w:r w:rsidR="00B739BB">
        <w:t>At 5 m depth t</w:t>
      </w:r>
      <w:r w:rsidR="00D44A99">
        <w:t xml:space="preserve">he </w:t>
      </w:r>
      <w:r w:rsidR="00BA1284">
        <w:t xml:space="preserve">2019 </w:t>
      </w:r>
      <w:r w:rsidR="00D44A99">
        <w:t xml:space="preserve">results </w:t>
      </w:r>
      <w:r w:rsidR="00310CD0" w:rsidRPr="00A50F16">
        <w:t xml:space="preserve">contrast the consistent improvements in </w:t>
      </w:r>
      <w:r w:rsidR="00D44A99">
        <w:t>most indicators</w:t>
      </w:r>
      <w:r w:rsidR="00310CD0" w:rsidRPr="00A50F16">
        <w:t xml:space="preserve"> between 2014 </w:t>
      </w:r>
      <w:r w:rsidR="00B766D2">
        <w:t>and</w:t>
      </w:r>
      <w:r w:rsidR="00310CD0" w:rsidRPr="00A50F16">
        <w:t xml:space="preserve"> 2018 </w:t>
      </w:r>
      <w:r w:rsidRPr="00A50F16">
        <w:t>(</w:t>
      </w:r>
      <w:r w:rsidRPr="00A50F16">
        <w:fldChar w:fldCharType="begin"/>
      </w:r>
      <w:r w:rsidRPr="00A50F16">
        <w:instrText xml:space="preserve"> REF _Ref527096434 \h </w:instrText>
      </w:r>
      <w:r w:rsidRPr="00A50F16">
        <w:fldChar w:fldCharType="separate"/>
      </w:r>
      <w:r w:rsidR="003053D1" w:rsidRPr="003E79D5">
        <w:t xml:space="preserve">Table </w:t>
      </w:r>
      <w:r w:rsidR="003053D1">
        <w:rPr>
          <w:noProof/>
        </w:rPr>
        <w:t>9</w:t>
      </w:r>
      <w:r w:rsidRPr="00A50F16">
        <w:fldChar w:fldCharType="end"/>
      </w:r>
      <w:r w:rsidR="005F63E4">
        <w:t xml:space="preserve">, </w:t>
      </w:r>
      <w:r w:rsidR="005F63E4" w:rsidRPr="005F63E4">
        <w:fldChar w:fldCharType="begin"/>
      </w:r>
      <w:r w:rsidR="005F63E4" w:rsidRPr="005F63E4">
        <w:instrText xml:space="preserve"> REF _Ref528584218 \h  \* MERGEFORMAT </w:instrText>
      </w:r>
      <w:r w:rsidR="005F63E4" w:rsidRPr="005F63E4">
        <w:fldChar w:fldCharType="separate"/>
      </w:r>
      <w:r w:rsidR="003053D1" w:rsidRPr="002445C4">
        <w:t xml:space="preserve">Figure A </w:t>
      </w:r>
      <w:r w:rsidR="003053D1">
        <w:t>1</w:t>
      </w:r>
      <w:r w:rsidR="005F63E4" w:rsidRPr="005F63E4">
        <w:fldChar w:fldCharType="end"/>
      </w:r>
      <w:r w:rsidR="00583B0E" w:rsidRPr="005F63E4">
        <w:t>)</w:t>
      </w:r>
      <w:r w:rsidR="00583B0E">
        <w:t>.</w:t>
      </w:r>
    </w:p>
    <w:p w14:paraId="53C13CB0" w14:textId="5CA23412" w:rsidR="00056503" w:rsidRPr="00AA6FF4" w:rsidDel="00C76327" w:rsidRDefault="00A84742" w:rsidP="002B5296">
      <w:pPr>
        <w:pStyle w:val="Caption"/>
        <w:rPr>
          <w:rFonts w:ascii="Arial" w:hAnsi="Arial" w:cs="Arial"/>
          <w:i/>
          <w:vanish/>
          <w:specVanish/>
        </w:rPr>
      </w:pPr>
      <w:bookmarkStart w:id="293" w:name="_Ref527096434"/>
      <w:bookmarkStart w:id="294" w:name="_Toc35947195"/>
      <w:bookmarkStart w:id="295" w:name="_Toc528333641"/>
      <w:r w:rsidRPr="003E79D5">
        <w:t xml:space="preserve">Table </w:t>
      </w:r>
      <w:r w:rsidRPr="003E79D5">
        <w:rPr>
          <w:noProof/>
        </w:rPr>
        <w:fldChar w:fldCharType="begin"/>
      </w:r>
      <w:r w:rsidRPr="003E79D5">
        <w:rPr>
          <w:noProof/>
        </w:rPr>
        <w:instrText xml:space="preserve"> SEQ Table \* ARABIC </w:instrText>
      </w:r>
      <w:r w:rsidRPr="003E79D5">
        <w:rPr>
          <w:noProof/>
        </w:rPr>
        <w:fldChar w:fldCharType="separate"/>
      </w:r>
      <w:r w:rsidR="003053D1">
        <w:rPr>
          <w:noProof/>
        </w:rPr>
        <w:t>9</w:t>
      </w:r>
      <w:r w:rsidRPr="003E79D5">
        <w:rPr>
          <w:noProof/>
        </w:rPr>
        <w:fldChar w:fldCharType="end"/>
      </w:r>
      <w:bookmarkEnd w:id="290"/>
      <w:bookmarkEnd w:id="293"/>
      <w:r w:rsidRPr="003E79D5">
        <w:t xml:space="preserve"> Index and indicator score comparisons in the Barren Daintree sub-region</w:t>
      </w:r>
      <w:bookmarkEnd w:id="294"/>
    </w:p>
    <w:p w14:paraId="53C13CB1" w14:textId="77777777" w:rsidR="00A84742" w:rsidRPr="003E1937" w:rsidRDefault="00056503">
      <w:pPr>
        <w:pStyle w:val="Caption"/>
        <w:rPr>
          <w:rStyle w:val="IntenseReference"/>
        </w:rPr>
      </w:pPr>
      <w:r w:rsidRPr="00AA6FF4" w:rsidDel="00C76327">
        <w:t xml:space="preserve">. </w:t>
      </w:r>
      <w:r w:rsidR="00A84742" w:rsidRPr="0094743B">
        <w:rPr>
          <w:rStyle w:val="IntenseReference"/>
        </w:rPr>
        <w:t>Data compare the changes in scores between local maxima and minima in the index time-series. For the index, and each indicator, the observed change in the score and the probability that the change was greater or less than zero (no change) are presented. Shading is used as a visual aid to highlight the magnitude of the probability the score improved (blue shades) or declined (red shades). Probabilities are derived from the posterior distribution of observed score changes at each reef and depth.</w:t>
      </w:r>
      <w:bookmarkEnd w:id="295"/>
    </w:p>
    <w:tbl>
      <w:tblPr>
        <w:tblW w:w="8926"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Caption w:val="Statistical comparison between index and metric scores between local maxima and minima in the time-series of scores in the region"/>
        <w:tblDescription w:val="A table listing the maxima in minima index scores and significance of changes in the index and each metric. The salient results are discussed in the main text. "/>
      </w:tblPr>
      <w:tblGrid>
        <w:gridCol w:w="1074"/>
        <w:gridCol w:w="350"/>
        <w:gridCol w:w="625"/>
        <w:gridCol w:w="625"/>
        <w:gridCol w:w="625"/>
        <w:gridCol w:w="603"/>
        <w:gridCol w:w="647"/>
        <w:gridCol w:w="626"/>
        <w:gridCol w:w="625"/>
        <w:gridCol w:w="625"/>
        <w:gridCol w:w="625"/>
        <w:gridCol w:w="625"/>
        <w:gridCol w:w="625"/>
        <w:gridCol w:w="626"/>
      </w:tblGrid>
      <w:tr w:rsidR="00CE4E0F" w:rsidRPr="003E79D5" w14:paraId="53C13CBA" w14:textId="77777777" w:rsidTr="004F16D3">
        <w:trPr>
          <w:trHeight w:hRule="exact" w:val="301"/>
        </w:trPr>
        <w:tc>
          <w:tcPr>
            <w:tcW w:w="1074" w:type="dxa"/>
            <w:vMerge w:val="restart"/>
            <w:shd w:val="clear" w:color="auto" w:fill="auto"/>
            <w:noWrap/>
            <w:tcMar>
              <w:left w:w="57" w:type="dxa"/>
              <w:right w:w="57" w:type="dxa"/>
            </w:tcMar>
            <w:vAlign w:val="bottom"/>
          </w:tcPr>
          <w:p w14:paraId="53C13CB2" w14:textId="77777777" w:rsidR="00A84742" w:rsidRPr="003E79D5" w:rsidRDefault="00A84742" w:rsidP="00A84742">
            <w:pPr>
              <w:spacing w:after="0"/>
              <w:rPr>
                <w:rFonts w:ascii="Arial Narrow" w:hAnsi="Arial Narrow"/>
                <w:sz w:val="20"/>
                <w:lang w:eastAsia="en-AU"/>
              </w:rPr>
            </w:pPr>
            <w:r w:rsidRPr="003E79D5">
              <w:rPr>
                <w:rFonts w:ascii="Arial Narrow" w:hAnsi="Arial Narrow"/>
                <w:sz w:val="20"/>
                <w:lang w:eastAsia="en-AU"/>
              </w:rPr>
              <w:lastRenderedPageBreak/>
              <w:t>Period</w:t>
            </w:r>
          </w:p>
        </w:tc>
        <w:tc>
          <w:tcPr>
            <w:tcW w:w="350" w:type="dxa"/>
            <w:vMerge w:val="restart"/>
            <w:shd w:val="clear" w:color="auto" w:fill="auto"/>
            <w:noWrap/>
            <w:tcMar>
              <w:left w:w="57" w:type="dxa"/>
              <w:right w:w="57" w:type="dxa"/>
            </w:tcMar>
            <w:textDirection w:val="btLr"/>
            <w:vAlign w:val="bottom"/>
          </w:tcPr>
          <w:p w14:paraId="53C13CB3" w14:textId="77777777" w:rsidR="00A84742" w:rsidRPr="003E79D5" w:rsidRDefault="00A84742" w:rsidP="00A84742">
            <w:pPr>
              <w:spacing w:after="0"/>
              <w:ind w:left="113" w:right="113"/>
              <w:jc w:val="center"/>
              <w:rPr>
                <w:rFonts w:ascii="Arial Narrow" w:hAnsi="Arial Narrow"/>
                <w:sz w:val="20"/>
                <w:lang w:eastAsia="en-AU"/>
              </w:rPr>
            </w:pPr>
            <w:r w:rsidRPr="003E79D5">
              <w:rPr>
                <w:rFonts w:ascii="Arial Narrow" w:hAnsi="Arial Narrow"/>
                <w:sz w:val="20"/>
                <w:lang w:eastAsia="en-AU"/>
              </w:rPr>
              <w:t>Depth</w:t>
            </w:r>
          </w:p>
        </w:tc>
        <w:tc>
          <w:tcPr>
            <w:tcW w:w="1250" w:type="dxa"/>
            <w:gridSpan w:val="2"/>
            <w:shd w:val="clear" w:color="auto" w:fill="auto"/>
            <w:noWrap/>
            <w:tcMar>
              <w:left w:w="57" w:type="dxa"/>
              <w:right w:w="57" w:type="dxa"/>
            </w:tcMar>
            <w:vAlign w:val="bottom"/>
          </w:tcPr>
          <w:p w14:paraId="53C13CB4" w14:textId="77777777" w:rsidR="00A84742" w:rsidRPr="003E79D5" w:rsidRDefault="00A84742" w:rsidP="00A84742">
            <w:pPr>
              <w:spacing w:after="0"/>
              <w:rPr>
                <w:rFonts w:ascii="Arial Narrow" w:hAnsi="Arial Narrow"/>
                <w:sz w:val="20"/>
                <w:lang w:eastAsia="en-AU"/>
              </w:rPr>
            </w:pPr>
            <w:r w:rsidRPr="003E79D5">
              <w:rPr>
                <w:rFonts w:ascii="Arial Narrow" w:hAnsi="Arial Narrow"/>
                <w:sz w:val="20"/>
                <w:lang w:eastAsia="en-AU"/>
              </w:rPr>
              <w:t>Condition Index</w:t>
            </w:r>
          </w:p>
        </w:tc>
        <w:tc>
          <w:tcPr>
            <w:tcW w:w="1228" w:type="dxa"/>
            <w:gridSpan w:val="2"/>
            <w:shd w:val="clear" w:color="auto" w:fill="auto"/>
            <w:noWrap/>
            <w:tcMar>
              <w:left w:w="57" w:type="dxa"/>
              <w:right w:w="57" w:type="dxa"/>
            </w:tcMar>
            <w:vAlign w:val="bottom"/>
          </w:tcPr>
          <w:p w14:paraId="53C13CB5" w14:textId="77777777" w:rsidR="00A84742" w:rsidRPr="003E79D5" w:rsidRDefault="00A84742" w:rsidP="00A84742">
            <w:pPr>
              <w:spacing w:after="0"/>
              <w:rPr>
                <w:rFonts w:ascii="Arial Narrow" w:hAnsi="Arial Narrow"/>
                <w:sz w:val="20"/>
                <w:lang w:eastAsia="en-AU"/>
              </w:rPr>
            </w:pPr>
            <w:r w:rsidRPr="003E79D5">
              <w:rPr>
                <w:rFonts w:ascii="Arial Narrow" w:hAnsi="Arial Narrow"/>
                <w:sz w:val="20"/>
                <w:lang w:eastAsia="en-AU"/>
              </w:rPr>
              <w:t>Coral Cover</w:t>
            </w:r>
          </w:p>
        </w:tc>
        <w:tc>
          <w:tcPr>
            <w:tcW w:w="1273" w:type="dxa"/>
            <w:gridSpan w:val="2"/>
            <w:shd w:val="clear" w:color="auto" w:fill="auto"/>
            <w:noWrap/>
            <w:tcMar>
              <w:left w:w="57" w:type="dxa"/>
              <w:right w:w="57" w:type="dxa"/>
            </w:tcMar>
            <w:vAlign w:val="bottom"/>
          </w:tcPr>
          <w:p w14:paraId="53C13CB6" w14:textId="77777777" w:rsidR="00A84742" w:rsidRPr="003E79D5" w:rsidRDefault="00A84742" w:rsidP="00A84742">
            <w:pPr>
              <w:spacing w:after="0"/>
              <w:rPr>
                <w:rFonts w:ascii="Arial Narrow" w:hAnsi="Arial Narrow"/>
                <w:sz w:val="20"/>
                <w:lang w:eastAsia="en-AU"/>
              </w:rPr>
            </w:pPr>
            <w:r w:rsidRPr="003E79D5">
              <w:rPr>
                <w:rFonts w:ascii="Arial Narrow" w:hAnsi="Arial Narrow"/>
                <w:sz w:val="20"/>
                <w:lang w:eastAsia="en-AU"/>
              </w:rPr>
              <w:t>Macroalgae</w:t>
            </w:r>
          </w:p>
        </w:tc>
        <w:tc>
          <w:tcPr>
            <w:tcW w:w="1250" w:type="dxa"/>
            <w:gridSpan w:val="2"/>
            <w:shd w:val="clear" w:color="auto" w:fill="auto"/>
            <w:noWrap/>
            <w:tcMar>
              <w:left w:w="57" w:type="dxa"/>
              <w:right w:w="57" w:type="dxa"/>
            </w:tcMar>
            <w:vAlign w:val="bottom"/>
          </w:tcPr>
          <w:p w14:paraId="53C13CB7" w14:textId="77777777" w:rsidR="00A84742" w:rsidRPr="003E79D5" w:rsidRDefault="00A84742" w:rsidP="00A84742">
            <w:pPr>
              <w:spacing w:after="0"/>
              <w:rPr>
                <w:rFonts w:ascii="Arial Narrow" w:hAnsi="Arial Narrow"/>
                <w:sz w:val="20"/>
                <w:lang w:eastAsia="en-AU"/>
              </w:rPr>
            </w:pPr>
            <w:r w:rsidRPr="003E79D5">
              <w:rPr>
                <w:rFonts w:ascii="Arial Narrow" w:hAnsi="Arial Narrow"/>
                <w:sz w:val="20"/>
                <w:lang w:eastAsia="en-AU"/>
              </w:rPr>
              <w:t>Juvenile Coral</w:t>
            </w:r>
          </w:p>
        </w:tc>
        <w:tc>
          <w:tcPr>
            <w:tcW w:w="1250" w:type="dxa"/>
            <w:gridSpan w:val="2"/>
            <w:shd w:val="clear" w:color="auto" w:fill="auto"/>
            <w:noWrap/>
            <w:tcMar>
              <w:left w:w="57" w:type="dxa"/>
              <w:right w:w="57" w:type="dxa"/>
            </w:tcMar>
            <w:vAlign w:val="bottom"/>
          </w:tcPr>
          <w:p w14:paraId="53C13CB8" w14:textId="77777777" w:rsidR="00A84742" w:rsidRPr="003E79D5" w:rsidRDefault="00A84742" w:rsidP="00A84742">
            <w:pPr>
              <w:spacing w:after="0"/>
              <w:rPr>
                <w:rFonts w:ascii="Arial Narrow" w:hAnsi="Arial Narrow"/>
                <w:sz w:val="20"/>
                <w:lang w:eastAsia="en-AU"/>
              </w:rPr>
            </w:pPr>
            <w:r w:rsidRPr="003E79D5">
              <w:rPr>
                <w:rFonts w:ascii="Arial Narrow" w:hAnsi="Arial Narrow"/>
                <w:sz w:val="20"/>
                <w:lang w:eastAsia="en-AU"/>
              </w:rPr>
              <w:t>Cover Change</w:t>
            </w:r>
          </w:p>
        </w:tc>
        <w:tc>
          <w:tcPr>
            <w:tcW w:w="1251" w:type="dxa"/>
            <w:gridSpan w:val="2"/>
            <w:shd w:val="clear" w:color="auto" w:fill="auto"/>
            <w:noWrap/>
            <w:tcMar>
              <w:left w:w="57" w:type="dxa"/>
              <w:right w:w="57" w:type="dxa"/>
            </w:tcMar>
            <w:vAlign w:val="bottom"/>
          </w:tcPr>
          <w:p w14:paraId="53C13CB9" w14:textId="77777777" w:rsidR="00A84742" w:rsidRPr="003E79D5" w:rsidRDefault="00A84742" w:rsidP="00A84742">
            <w:pPr>
              <w:spacing w:after="0"/>
              <w:rPr>
                <w:rFonts w:ascii="Arial Narrow" w:hAnsi="Arial Narrow"/>
                <w:sz w:val="20"/>
                <w:lang w:eastAsia="en-AU"/>
              </w:rPr>
            </w:pPr>
            <w:r w:rsidRPr="003E79D5">
              <w:rPr>
                <w:rFonts w:ascii="Arial Narrow" w:hAnsi="Arial Narrow"/>
                <w:sz w:val="20"/>
                <w:lang w:eastAsia="en-AU"/>
              </w:rPr>
              <w:t>Composition</w:t>
            </w:r>
          </w:p>
        </w:tc>
      </w:tr>
      <w:tr w:rsidR="00CE4E0F" w:rsidRPr="003E79D5" w14:paraId="53C13CC9" w14:textId="77777777" w:rsidTr="004F16D3">
        <w:trPr>
          <w:trHeight w:val="520"/>
        </w:trPr>
        <w:tc>
          <w:tcPr>
            <w:tcW w:w="1074" w:type="dxa"/>
            <w:vMerge/>
            <w:tcBorders>
              <w:bottom w:val="single" w:sz="4" w:space="0" w:color="auto"/>
            </w:tcBorders>
            <w:shd w:val="clear" w:color="auto" w:fill="auto"/>
            <w:noWrap/>
            <w:tcMar>
              <w:left w:w="57" w:type="dxa"/>
              <w:right w:w="57" w:type="dxa"/>
            </w:tcMar>
            <w:vAlign w:val="bottom"/>
          </w:tcPr>
          <w:p w14:paraId="53C13CBB" w14:textId="77777777" w:rsidR="00A84742" w:rsidRPr="003E79D5" w:rsidRDefault="00A84742" w:rsidP="00A84742">
            <w:pPr>
              <w:spacing w:after="0"/>
              <w:rPr>
                <w:rFonts w:ascii="Arial Narrow" w:hAnsi="Arial Narrow"/>
                <w:sz w:val="20"/>
                <w:lang w:eastAsia="en-AU"/>
              </w:rPr>
            </w:pPr>
          </w:p>
        </w:tc>
        <w:tc>
          <w:tcPr>
            <w:tcW w:w="350" w:type="dxa"/>
            <w:vMerge/>
            <w:tcBorders>
              <w:bottom w:val="single" w:sz="4" w:space="0" w:color="auto"/>
            </w:tcBorders>
            <w:shd w:val="clear" w:color="auto" w:fill="auto"/>
            <w:noWrap/>
            <w:tcMar>
              <w:left w:w="57" w:type="dxa"/>
              <w:right w:w="57" w:type="dxa"/>
            </w:tcMar>
            <w:vAlign w:val="bottom"/>
          </w:tcPr>
          <w:p w14:paraId="53C13CBC" w14:textId="77777777" w:rsidR="00A84742" w:rsidRPr="003E79D5" w:rsidRDefault="00A84742" w:rsidP="00A84742">
            <w:pPr>
              <w:spacing w:after="0"/>
              <w:jc w:val="center"/>
              <w:rPr>
                <w:rFonts w:ascii="Arial Narrow" w:hAnsi="Arial Narrow"/>
                <w:sz w:val="20"/>
                <w:lang w:eastAsia="en-AU"/>
              </w:rPr>
            </w:pPr>
          </w:p>
        </w:tc>
        <w:tc>
          <w:tcPr>
            <w:tcW w:w="625" w:type="dxa"/>
            <w:tcBorders>
              <w:bottom w:val="single" w:sz="4" w:space="0" w:color="auto"/>
            </w:tcBorders>
            <w:shd w:val="clear" w:color="auto" w:fill="auto"/>
            <w:noWrap/>
            <w:tcMar>
              <w:left w:w="57" w:type="dxa"/>
              <w:right w:w="57" w:type="dxa"/>
            </w:tcMar>
            <w:vAlign w:val="bottom"/>
          </w:tcPr>
          <w:p w14:paraId="53C13CBD" w14:textId="77777777" w:rsidR="00A84742" w:rsidRPr="003E79D5" w:rsidRDefault="00A84742" w:rsidP="00A84742">
            <w:pPr>
              <w:spacing w:after="0"/>
              <w:rPr>
                <w:rFonts w:ascii="Arial Narrow" w:hAnsi="Arial Narrow"/>
                <w:sz w:val="20"/>
                <w:lang w:eastAsia="en-AU"/>
              </w:rPr>
            </w:pPr>
            <w:r w:rsidRPr="003E79D5">
              <w:rPr>
                <w:rFonts w:ascii="Arial Narrow" w:hAnsi="Arial Narrow"/>
                <w:sz w:val="20"/>
                <w:lang w:eastAsia="en-AU"/>
              </w:rPr>
              <w:t>Score</w:t>
            </w:r>
          </w:p>
        </w:tc>
        <w:tc>
          <w:tcPr>
            <w:tcW w:w="625" w:type="dxa"/>
            <w:tcBorders>
              <w:bottom w:val="single" w:sz="4" w:space="0" w:color="auto"/>
            </w:tcBorders>
            <w:shd w:val="clear" w:color="auto" w:fill="auto"/>
            <w:noWrap/>
            <w:tcMar>
              <w:left w:w="57" w:type="dxa"/>
              <w:right w:w="57" w:type="dxa"/>
            </w:tcMar>
            <w:vAlign w:val="bottom"/>
          </w:tcPr>
          <w:p w14:paraId="53C13CBE" w14:textId="77777777" w:rsidR="00A84742" w:rsidRPr="003E79D5" w:rsidRDefault="00A84742" w:rsidP="00A84742">
            <w:pPr>
              <w:spacing w:after="0"/>
              <w:rPr>
                <w:rFonts w:ascii="Arial Narrow" w:hAnsi="Arial Narrow"/>
                <w:sz w:val="20"/>
                <w:lang w:eastAsia="en-AU"/>
              </w:rPr>
            </w:pPr>
            <w:r w:rsidRPr="003E79D5">
              <w:rPr>
                <w:rFonts w:ascii="Arial Narrow" w:hAnsi="Arial Narrow"/>
                <w:sz w:val="20"/>
                <w:lang w:eastAsia="en-AU"/>
              </w:rPr>
              <w:t>P</w:t>
            </w:r>
          </w:p>
        </w:tc>
        <w:tc>
          <w:tcPr>
            <w:tcW w:w="625" w:type="dxa"/>
            <w:tcBorders>
              <w:bottom w:val="single" w:sz="4" w:space="0" w:color="auto"/>
            </w:tcBorders>
            <w:shd w:val="clear" w:color="auto" w:fill="auto"/>
            <w:noWrap/>
            <w:tcMar>
              <w:left w:w="57" w:type="dxa"/>
              <w:right w:w="57" w:type="dxa"/>
            </w:tcMar>
            <w:vAlign w:val="bottom"/>
          </w:tcPr>
          <w:p w14:paraId="53C13CBF" w14:textId="77777777" w:rsidR="00A84742" w:rsidRPr="003E79D5" w:rsidRDefault="00A84742" w:rsidP="00A84742">
            <w:pPr>
              <w:spacing w:after="0"/>
              <w:rPr>
                <w:rFonts w:ascii="Arial Narrow" w:hAnsi="Arial Narrow"/>
                <w:sz w:val="20"/>
                <w:lang w:eastAsia="en-AU"/>
              </w:rPr>
            </w:pPr>
            <w:r w:rsidRPr="003E79D5">
              <w:rPr>
                <w:rFonts w:ascii="Arial Narrow" w:hAnsi="Arial Narrow"/>
                <w:sz w:val="20"/>
                <w:lang w:eastAsia="en-AU"/>
              </w:rPr>
              <w:t>Score</w:t>
            </w:r>
          </w:p>
        </w:tc>
        <w:tc>
          <w:tcPr>
            <w:tcW w:w="603" w:type="dxa"/>
            <w:tcBorders>
              <w:bottom w:val="single" w:sz="4" w:space="0" w:color="auto"/>
            </w:tcBorders>
            <w:shd w:val="clear" w:color="auto" w:fill="auto"/>
            <w:noWrap/>
            <w:tcMar>
              <w:left w:w="57" w:type="dxa"/>
              <w:right w:w="57" w:type="dxa"/>
            </w:tcMar>
            <w:vAlign w:val="bottom"/>
          </w:tcPr>
          <w:p w14:paraId="53C13CC0" w14:textId="77777777" w:rsidR="00A84742" w:rsidRPr="003E79D5" w:rsidRDefault="00A84742" w:rsidP="00A84742">
            <w:pPr>
              <w:spacing w:after="0"/>
              <w:rPr>
                <w:rFonts w:ascii="Arial Narrow" w:hAnsi="Arial Narrow"/>
                <w:sz w:val="20"/>
                <w:lang w:eastAsia="en-AU"/>
              </w:rPr>
            </w:pPr>
            <w:r w:rsidRPr="003E79D5">
              <w:rPr>
                <w:rFonts w:ascii="Arial Narrow" w:hAnsi="Arial Narrow"/>
                <w:sz w:val="20"/>
                <w:lang w:eastAsia="en-AU"/>
              </w:rPr>
              <w:t>P</w:t>
            </w:r>
          </w:p>
        </w:tc>
        <w:tc>
          <w:tcPr>
            <w:tcW w:w="647" w:type="dxa"/>
            <w:tcBorders>
              <w:bottom w:val="single" w:sz="4" w:space="0" w:color="auto"/>
            </w:tcBorders>
            <w:shd w:val="clear" w:color="auto" w:fill="auto"/>
            <w:noWrap/>
            <w:tcMar>
              <w:left w:w="57" w:type="dxa"/>
              <w:right w:w="57" w:type="dxa"/>
            </w:tcMar>
            <w:vAlign w:val="bottom"/>
          </w:tcPr>
          <w:p w14:paraId="53C13CC1" w14:textId="77777777" w:rsidR="00A84742" w:rsidRPr="003E79D5" w:rsidRDefault="00A84742" w:rsidP="00A84742">
            <w:pPr>
              <w:spacing w:after="0"/>
              <w:rPr>
                <w:rFonts w:ascii="Arial Narrow" w:hAnsi="Arial Narrow"/>
                <w:sz w:val="20"/>
                <w:lang w:eastAsia="en-AU"/>
              </w:rPr>
            </w:pPr>
            <w:r w:rsidRPr="003E79D5">
              <w:rPr>
                <w:rFonts w:ascii="Arial Narrow" w:hAnsi="Arial Narrow"/>
                <w:sz w:val="20"/>
                <w:lang w:eastAsia="en-AU"/>
              </w:rPr>
              <w:t>Score</w:t>
            </w:r>
          </w:p>
        </w:tc>
        <w:tc>
          <w:tcPr>
            <w:tcW w:w="626" w:type="dxa"/>
            <w:tcBorders>
              <w:bottom w:val="single" w:sz="4" w:space="0" w:color="auto"/>
            </w:tcBorders>
            <w:shd w:val="clear" w:color="auto" w:fill="auto"/>
            <w:noWrap/>
            <w:tcMar>
              <w:left w:w="57" w:type="dxa"/>
              <w:right w:w="57" w:type="dxa"/>
            </w:tcMar>
            <w:vAlign w:val="bottom"/>
          </w:tcPr>
          <w:p w14:paraId="53C13CC2" w14:textId="77777777" w:rsidR="00A84742" w:rsidRPr="003E79D5" w:rsidRDefault="00A84742" w:rsidP="00A84742">
            <w:pPr>
              <w:spacing w:after="0"/>
              <w:rPr>
                <w:rFonts w:ascii="Arial Narrow" w:hAnsi="Arial Narrow"/>
                <w:sz w:val="20"/>
                <w:lang w:eastAsia="en-AU"/>
              </w:rPr>
            </w:pPr>
            <w:r w:rsidRPr="003E79D5">
              <w:rPr>
                <w:rFonts w:ascii="Arial Narrow" w:hAnsi="Arial Narrow"/>
                <w:sz w:val="20"/>
                <w:lang w:eastAsia="en-AU"/>
              </w:rPr>
              <w:t>P</w:t>
            </w:r>
          </w:p>
        </w:tc>
        <w:tc>
          <w:tcPr>
            <w:tcW w:w="625" w:type="dxa"/>
            <w:tcBorders>
              <w:bottom w:val="single" w:sz="4" w:space="0" w:color="auto"/>
            </w:tcBorders>
            <w:shd w:val="clear" w:color="auto" w:fill="auto"/>
            <w:noWrap/>
            <w:tcMar>
              <w:left w:w="57" w:type="dxa"/>
              <w:right w:w="57" w:type="dxa"/>
            </w:tcMar>
            <w:vAlign w:val="bottom"/>
          </w:tcPr>
          <w:p w14:paraId="53C13CC3" w14:textId="77777777" w:rsidR="00A84742" w:rsidRPr="003E79D5" w:rsidRDefault="00A84742" w:rsidP="00A84742">
            <w:pPr>
              <w:spacing w:after="0"/>
              <w:rPr>
                <w:rFonts w:ascii="Arial Narrow" w:hAnsi="Arial Narrow"/>
                <w:sz w:val="20"/>
                <w:lang w:eastAsia="en-AU"/>
              </w:rPr>
            </w:pPr>
            <w:r w:rsidRPr="003E79D5">
              <w:rPr>
                <w:rFonts w:ascii="Arial Narrow" w:hAnsi="Arial Narrow"/>
                <w:sz w:val="20"/>
                <w:lang w:eastAsia="en-AU"/>
              </w:rPr>
              <w:t>Score</w:t>
            </w:r>
          </w:p>
        </w:tc>
        <w:tc>
          <w:tcPr>
            <w:tcW w:w="625" w:type="dxa"/>
            <w:tcBorders>
              <w:bottom w:val="single" w:sz="4" w:space="0" w:color="auto"/>
            </w:tcBorders>
            <w:shd w:val="clear" w:color="auto" w:fill="auto"/>
            <w:noWrap/>
            <w:tcMar>
              <w:left w:w="57" w:type="dxa"/>
              <w:right w:w="57" w:type="dxa"/>
            </w:tcMar>
            <w:vAlign w:val="bottom"/>
          </w:tcPr>
          <w:p w14:paraId="53C13CC4" w14:textId="77777777" w:rsidR="00A84742" w:rsidRPr="003E79D5" w:rsidRDefault="00A84742" w:rsidP="00A84742">
            <w:pPr>
              <w:spacing w:after="0"/>
              <w:rPr>
                <w:rFonts w:ascii="Arial Narrow" w:hAnsi="Arial Narrow"/>
                <w:sz w:val="20"/>
                <w:lang w:eastAsia="en-AU"/>
              </w:rPr>
            </w:pPr>
            <w:r w:rsidRPr="003E79D5">
              <w:rPr>
                <w:rFonts w:ascii="Arial Narrow" w:hAnsi="Arial Narrow"/>
                <w:sz w:val="20"/>
                <w:lang w:eastAsia="en-AU"/>
              </w:rPr>
              <w:t>P</w:t>
            </w:r>
          </w:p>
        </w:tc>
        <w:tc>
          <w:tcPr>
            <w:tcW w:w="625" w:type="dxa"/>
            <w:tcBorders>
              <w:bottom w:val="single" w:sz="4" w:space="0" w:color="auto"/>
            </w:tcBorders>
            <w:shd w:val="clear" w:color="auto" w:fill="auto"/>
            <w:noWrap/>
            <w:tcMar>
              <w:left w:w="57" w:type="dxa"/>
              <w:right w:w="57" w:type="dxa"/>
            </w:tcMar>
            <w:vAlign w:val="bottom"/>
          </w:tcPr>
          <w:p w14:paraId="53C13CC5" w14:textId="77777777" w:rsidR="00A84742" w:rsidRPr="003E79D5" w:rsidRDefault="00A84742" w:rsidP="00A84742">
            <w:pPr>
              <w:spacing w:after="0"/>
              <w:rPr>
                <w:rFonts w:ascii="Arial Narrow" w:hAnsi="Arial Narrow"/>
                <w:sz w:val="20"/>
                <w:lang w:eastAsia="en-AU"/>
              </w:rPr>
            </w:pPr>
            <w:r w:rsidRPr="003E79D5">
              <w:rPr>
                <w:rFonts w:ascii="Arial Narrow" w:hAnsi="Arial Narrow"/>
                <w:sz w:val="20"/>
                <w:lang w:eastAsia="en-AU"/>
              </w:rPr>
              <w:t>Score</w:t>
            </w:r>
          </w:p>
        </w:tc>
        <w:tc>
          <w:tcPr>
            <w:tcW w:w="625" w:type="dxa"/>
            <w:tcBorders>
              <w:bottom w:val="single" w:sz="4" w:space="0" w:color="auto"/>
            </w:tcBorders>
            <w:shd w:val="clear" w:color="auto" w:fill="auto"/>
            <w:noWrap/>
            <w:tcMar>
              <w:left w:w="57" w:type="dxa"/>
              <w:right w:w="57" w:type="dxa"/>
            </w:tcMar>
            <w:vAlign w:val="bottom"/>
          </w:tcPr>
          <w:p w14:paraId="53C13CC6" w14:textId="77777777" w:rsidR="00A84742" w:rsidRPr="003E79D5" w:rsidRDefault="00A84742" w:rsidP="00A84742">
            <w:pPr>
              <w:spacing w:after="0"/>
              <w:rPr>
                <w:rFonts w:ascii="Arial Narrow" w:hAnsi="Arial Narrow"/>
                <w:sz w:val="20"/>
                <w:lang w:eastAsia="en-AU"/>
              </w:rPr>
            </w:pPr>
            <w:r w:rsidRPr="003E79D5">
              <w:rPr>
                <w:rFonts w:ascii="Arial Narrow" w:hAnsi="Arial Narrow"/>
                <w:sz w:val="20"/>
                <w:lang w:eastAsia="en-AU"/>
              </w:rPr>
              <w:t>P</w:t>
            </w:r>
          </w:p>
        </w:tc>
        <w:tc>
          <w:tcPr>
            <w:tcW w:w="625" w:type="dxa"/>
            <w:tcBorders>
              <w:bottom w:val="single" w:sz="4" w:space="0" w:color="auto"/>
            </w:tcBorders>
            <w:shd w:val="clear" w:color="auto" w:fill="auto"/>
            <w:noWrap/>
            <w:tcMar>
              <w:left w:w="57" w:type="dxa"/>
              <w:right w:w="57" w:type="dxa"/>
            </w:tcMar>
            <w:vAlign w:val="bottom"/>
          </w:tcPr>
          <w:p w14:paraId="53C13CC7" w14:textId="77777777" w:rsidR="00A84742" w:rsidRPr="003E79D5" w:rsidRDefault="00A84742" w:rsidP="00A84742">
            <w:pPr>
              <w:spacing w:after="0"/>
              <w:rPr>
                <w:rFonts w:ascii="Arial Narrow" w:hAnsi="Arial Narrow"/>
                <w:sz w:val="20"/>
                <w:lang w:eastAsia="en-AU"/>
              </w:rPr>
            </w:pPr>
            <w:r w:rsidRPr="003E79D5">
              <w:rPr>
                <w:rFonts w:ascii="Arial Narrow" w:hAnsi="Arial Narrow"/>
                <w:sz w:val="20"/>
                <w:lang w:eastAsia="en-AU"/>
              </w:rPr>
              <w:t>Score</w:t>
            </w:r>
          </w:p>
        </w:tc>
        <w:tc>
          <w:tcPr>
            <w:tcW w:w="626" w:type="dxa"/>
            <w:tcBorders>
              <w:bottom w:val="single" w:sz="4" w:space="0" w:color="auto"/>
            </w:tcBorders>
            <w:shd w:val="clear" w:color="auto" w:fill="auto"/>
            <w:noWrap/>
            <w:tcMar>
              <w:left w:w="57" w:type="dxa"/>
              <w:right w:w="57" w:type="dxa"/>
            </w:tcMar>
            <w:vAlign w:val="bottom"/>
          </w:tcPr>
          <w:p w14:paraId="53C13CC8" w14:textId="77777777" w:rsidR="00A84742" w:rsidRPr="003E79D5" w:rsidRDefault="00A84742" w:rsidP="00A84742">
            <w:pPr>
              <w:spacing w:after="0"/>
              <w:rPr>
                <w:rFonts w:ascii="Arial Narrow" w:hAnsi="Arial Narrow"/>
                <w:sz w:val="20"/>
                <w:lang w:eastAsia="en-AU"/>
              </w:rPr>
            </w:pPr>
            <w:r w:rsidRPr="003E79D5">
              <w:rPr>
                <w:rFonts w:ascii="Arial Narrow" w:hAnsi="Arial Narrow"/>
                <w:sz w:val="20"/>
                <w:lang w:eastAsia="en-AU"/>
              </w:rPr>
              <w:t>P</w:t>
            </w:r>
          </w:p>
        </w:tc>
      </w:tr>
      <w:tr w:rsidR="003E79D5" w:rsidRPr="003E79D5" w14:paraId="53C13CD8" w14:textId="77777777" w:rsidTr="003E79D5">
        <w:trPr>
          <w:trHeight w:val="300"/>
        </w:trPr>
        <w:tc>
          <w:tcPr>
            <w:tcW w:w="1074" w:type="dxa"/>
            <w:vMerge w:val="restart"/>
            <w:tcBorders>
              <w:top w:val="single" w:sz="4" w:space="0" w:color="auto"/>
              <w:left w:val="single" w:sz="4" w:space="0" w:color="auto"/>
            </w:tcBorders>
            <w:shd w:val="clear" w:color="auto" w:fill="auto"/>
            <w:noWrap/>
            <w:tcMar>
              <w:left w:w="57" w:type="dxa"/>
              <w:right w:w="57" w:type="dxa"/>
            </w:tcMar>
            <w:vAlign w:val="center"/>
          </w:tcPr>
          <w:p w14:paraId="53C13CCA" w14:textId="77777777" w:rsidR="00A84742" w:rsidRPr="003E79D5" w:rsidRDefault="00A84742" w:rsidP="00A84742">
            <w:pPr>
              <w:spacing w:after="0"/>
              <w:rPr>
                <w:rFonts w:ascii="Arial Narrow" w:hAnsi="Arial Narrow"/>
                <w:sz w:val="20"/>
                <w:lang w:eastAsia="en-AU"/>
              </w:rPr>
            </w:pPr>
            <w:r w:rsidRPr="003E79D5">
              <w:rPr>
                <w:rFonts w:ascii="Arial Narrow" w:hAnsi="Arial Narrow"/>
                <w:sz w:val="20"/>
                <w:lang w:eastAsia="en-AU"/>
              </w:rPr>
              <w:t>2008 to 2014</w:t>
            </w:r>
          </w:p>
        </w:tc>
        <w:tc>
          <w:tcPr>
            <w:tcW w:w="350" w:type="dxa"/>
            <w:tcBorders>
              <w:top w:val="single" w:sz="4" w:space="0" w:color="auto"/>
            </w:tcBorders>
            <w:shd w:val="clear" w:color="auto" w:fill="auto"/>
            <w:noWrap/>
            <w:tcMar>
              <w:left w:w="57" w:type="dxa"/>
              <w:right w:w="57" w:type="dxa"/>
            </w:tcMar>
            <w:vAlign w:val="center"/>
          </w:tcPr>
          <w:p w14:paraId="53C13CCB" w14:textId="77777777" w:rsidR="00A84742" w:rsidRPr="003E79D5" w:rsidRDefault="00A84742" w:rsidP="00A84742">
            <w:pPr>
              <w:spacing w:after="0"/>
              <w:jc w:val="center"/>
              <w:rPr>
                <w:rFonts w:ascii="Arial Narrow" w:hAnsi="Arial Narrow"/>
                <w:sz w:val="20"/>
                <w:lang w:eastAsia="en-AU"/>
              </w:rPr>
            </w:pPr>
            <w:r w:rsidRPr="003E79D5">
              <w:rPr>
                <w:rFonts w:ascii="Arial Narrow" w:hAnsi="Arial Narrow"/>
                <w:sz w:val="20"/>
                <w:lang w:eastAsia="en-AU"/>
              </w:rPr>
              <w:t>2</w:t>
            </w:r>
          </w:p>
        </w:tc>
        <w:tc>
          <w:tcPr>
            <w:tcW w:w="625" w:type="dxa"/>
            <w:tcBorders>
              <w:top w:val="single" w:sz="4" w:space="0" w:color="auto"/>
            </w:tcBorders>
            <w:shd w:val="clear" w:color="auto" w:fill="E6B8B7"/>
            <w:noWrap/>
            <w:tcMar>
              <w:left w:w="57" w:type="dxa"/>
              <w:right w:w="57" w:type="dxa"/>
            </w:tcMar>
            <w:vAlign w:val="center"/>
          </w:tcPr>
          <w:p w14:paraId="53C13CCC" w14:textId="77777777" w:rsidR="00A84742" w:rsidRPr="003E79D5" w:rsidRDefault="00A84742" w:rsidP="00A84742">
            <w:pPr>
              <w:spacing w:after="0"/>
              <w:jc w:val="center"/>
              <w:rPr>
                <w:rFonts w:ascii="Arial Narrow" w:hAnsi="Arial Narrow"/>
                <w:sz w:val="20"/>
                <w:lang w:eastAsia="en-AU"/>
              </w:rPr>
            </w:pPr>
            <w:r w:rsidRPr="003E79D5">
              <w:rPr>
                <w:rFonts w:ascii="Arial Narrow" w:hAnsi="Arial Narrow"/>
                <w:sz w:val="20"/>
                <w:lang w:eastAsia="en-AU"/>
              </w:rPr>
              <w:t>-0.21</w:t>
            </w:r>
          </w:p>
        </w:tc>
        <w:tc>
          <w:tcPr>
            <w:tcW w:w="625" w:type="dxa"/>
            <w:tcBorders>
              <w:top w:val="single" w:sz="4" w:space="0" w:color="auto"/>
            </w:tcBorders>
            <w:shd w:val="clear" w:color="auto" w:fill="E6B8B7"/>
            <w:noWrap/>
            <w:tcMar>
              <w:left w:w="57" w:type="dxa"/>
              <w:right w:w="57" w:type="dxa"/>
            </w:tcMar>
            <w:vAlign w:val="center"/>
          </w:tcPr>
          <w:p w14:paraId="53C13CCD" w14:textId="77777777" w:rsidR="00A84742" w:rsidRPr="003E79D5" w:rsidRDefault="00A84742" w:rsidP="00A84742">
            <w:pPr>
              <w:spacing w:after="0"/>
              <w:jc w:val="center"/>
              <w:rPr>
                <w:rFonts w:ascii="Arial Narrow" w:hAnsi="Arial Narrow"/>
                <w:sz w:val="20"/>
                <w:lang w:eastAsia="en-AU"/>
              </w:rPr>
            </w:pPr>
            <w:r w:rsidRPr="003E79D5">
              <w:rPr>
                <w:rFonts w:ascii="Arial Narrow" w:hAnsi="Arial Narrow"/>
                <w:sz w:val="20"/>
                <w:lang w:eastAsia="en-AU"/>
              </w:rPr>
              <w:t>0</w:t>
            </w:r>
            <w:r w:rsidRPr="003E79D5">
              <w:rPr>
                <w:rFonts w:ascii="Arial Narrow" w:hAnsi="Arial Narrow"/>
                <w:sz w:val="20"/>
                <w:shd w:val="clear" w:color="auto" w:fill="E6B8B7"/>
                <w:lang w:eastAsia="en-AU"/>
              </w:rPr>
              <w:t>.</w:t>
            </w:r>
            <w:r w:rsidRPr="003E79D5">
              <w:rPr>
                <w:rFonts w:ascii="Arial Narrow" w:hAnsi="Arial Narrow"/>
                <w:sz w:val="20"/>
                <w:lang w:eastAsia="en-AU"/>
              </w:rPr>
              <w:t>89</w:t>
            </w:r>
          </w:p>
        </w:tc>
        <w:tc>
          <w:tcPr>
            <w:tcW w:w="625" w:type="dxa"/>
            <w:tcBorders>
              <w:top w:val="single" w:sz="4" w:space="0" w:color="auto"/>
            </w:tcBorders>
            <w:shd w:val="clear" w:color="auto" w:fill="F2DBDB"/>
            <w:noWrap/>
            <w:tcMar>
              <w:left w:w="57" w:type="dxa"/>
              <w:right w:w="57" w:type="dxa"/>
            </w:tcMar>
            <w:vAlign w:val="center"/>
          </w:tcPr>
          <w:p w14:paraId="53C13CCE" w14:textId="77777777" w:rsidR="00A84742" w:rsidRPr="003E79D5" w:rsidRDefault="00A84742" w:rsidP="00A84742">
            <w:pPr>
              <w:spacing w:after="0"/>
              <w:jc w:val="center"/>
              <w:rPr>
                <w:rFonts w:ascii="Arial Narrow" w:hAnsi="Arial Narrow"/>
                <w:sz w:val="20"/>
                <w:lang w:eastAsia="en-AU"/>
              </w:rPr>
            </w:pPr>
            <w:r w:rsidRPr="003E79D5">
              <w:rPr>
                <w:rFonts w:ascii="Arial Narrow" w:hAnsi="Arial Narrow"/>
                <w:sz w:val="20"/>
                <w:lang w:eastAsia="en-AU"/>
              </w:rPr>
              <w:t>-0.36</w:t>
            </w:r>
          </w:p>
        </w:tc>
        <w:tc>
          <w:tcPr>
            <w:tcW w:w="603" w:type="dxa"/>
            <w:tcBorders>
              <w:top w:val="single" w:sz="4" w:space="0" w:color="auto"/>
            </w:tcBorders>
            <w:shd w:val="clear" w:color="auto" w:fill="F2DBDB" w:themeFill="accent2" w:themeFillTint="33"/>
            <w:noWrap/>
            <w:tcMar>
              <w:left w:w="57" w:type="dxa"/>
              <w:right w:w="57" w:type="dxa"/>
            </w:tcMar>
            <w:vAlign w:val="center"/>
          </w:tcPr>
          <w:p w14:paraId="53C13CCF" w14:textId="77777777" w:rsidR="00A84742" w:rsidRPr="003E79D5" w:rsidRDefault="00A84742" w:rsidP="00A84742">
            <w:pPr>
              <w:spacing w:after="0"/>
              <w:jc w:val="center"/>
              <w:rPr>
                <w:rFonts w:ascii="Arial Narrow" w:hAnsi="Arial Narrow"/>
                <w:sz w:val="20"/>
                <w:lang w:eastAsia="en-AU"/>
              </w:rPr>
            </w:pPr>
            <w:r w:rsidRPr="003E79D5">
              <w:rPr>
                <w:rFonts w:ascii="Arial Narrow" w:hAnsi="Arial Narrow"/>
                <w:sz w:val="20"/>
                <w:lang w:eastAsia="en-AU"/>
              </w:rPr>
              <w:t>0.71</w:t>
            </w:r>
          </w:p>
        </w:tc>
        <w:tc>
          <w:tcPr>
            <w:tcW w:w="647" w:type="dxa"/>
            <w:tcBorders>
              <w:top w:val="single" w:sz="4" w:space="0" w:color="auto"/>
            </w:tcBorders>
            <w:shd w:val="clear" w:color="auto" w:fill="F2DBDB" w:themeFill="accent2" w:themeFillTint="33"/>
            <w:noWrap/>
            <w:tcMar>
              <w:left w:w="57" w:type="dxa"/>
              <w:right w:w="57" w:type="dxa"/>
            </w:tcMar>
            <w:vAlign w:val="center"/>
          </w:tcPr>
          <w:p w14:paraId="53C13CD0" w14:textId="77777777" w:rsidR="00A84742" w:rsidRPr="003E79D5" w:rsidRDefault="00A84742" w:rsidP="00A84742">
            <w:pPr>
              <w:spacing w:after="0"/>
              <w:jc w:val="center"/>
              <w:rPr>
                <w:rFonts w:ascii="Arial Narrow" w:hAnsi="Arial Narrow"/>
                <w:sz w:val="20"/>
                <w:lang w:eastAsia="en-AU"/>
              </w:rPr>
            </w:pPr>
            <w:r w:rsidRPr="003E79D5">
              <w:rPr>
                <w:rFonts w:ascii="Arial Narrow" w:hAnsi="Arial Narrow"/>
                <w:sz w:val="20"/>
                <w:lang w:eastAsia="en-AU"/>
              </w:rPr>
              <w:t>-0.17</w:t>
            </w:r>
          </w:p>
        </w:tc>
        <w:tc>
          <w:tcPr>
            <w:tcW w:w="626" w:type="dxa"/>
            <w:tcBorders>
              <w:top w:val="single" w:sz="4" w:space="0" w:color="auto"/>
              <w:right w:val="single" w:sz="4" w:space="0" w:color="auto"/>
            </w:tcBorders>
            <w:shd w:val="clear" w:color="auto" w:fill="F2DBDB" w:themeFill="accent2" w:themeFillTint="33"/>
            <w:noWrap/>
            <w:tcMar>
              <w:left w:w="57" w:type="dxa"/>
              <w:right w:w="57" w:type="dxa"/>
            </w:tcMar>
            <w:vAlign w:val="center"/>
          </w:tcPr>
          <w:p w14:paraId="53C13CD1" w14:textId="77777777" w:rsidR="00A84742" w:rsidRPr="003E79D5" w:rsidRDefault="00A84742" w:rsidP="00A84742">
            <w:pPr>
              <w:spacing w:after="0"/>
              <w:jc w:val="center"/>
              <w:rPr>
                <w:rFonts w:ascii="Arial Narrow" w:hAnsi="Arial Narrow"/>
                <w:sz w:val="20"/>
                <w:lang w:eastAsia="en-AU"/>
              </w:rPr>
            </w:pPr>
            <w:r w:rsidRPr="003E79D5">
              <w:rPr>
                <w:rFonts w:ascii="Arial Narrow" w:hAnsi="Arial Narrow"/>
                <w:sz w:val="20"/>
                <w:lang w:eastAsia="en-AU"/>
              </w:rPr>
              <w:t>0.76</w:t>
            </w:r>
          </w:p>
        </w:tc>
        <w:tc>
          <w:tcPr>
            <w:tcW w:w="625" w:type="dxa"/>
            <w:tcBorders>
              <w:top w:val="single" w:sz="4" w:space="0" w:color="auto"/>
            </w:tcBorders>
            <w:shd w:val="clear" w:color="auto" w:fill="DA9694"/>
            <w:noWrap/>
            <w:tcMar>
              <w:left w:w="57" w:type="dxa"/>
              <w:right w:w="57" w:type="dxa"/>
            </w:tcMar>
            <w:vAlign w:val="center"/>
          </w:tcPr>
          <w:p w14:paraId="53C13CD2" w14:textId="77777777" w:rsidR="00A84742" w:rsidRPr="003E79D5" w:rsidRDefault="00A84742" w:rsidP="00A84742">
            <w:pPr>
              <w:spacing w:after="0"/>
              <w:jc w:val="center"/>
              <w:rPr>
                <w:rFonts w:ascii="Arial Narrow" w:hAnsi="Arial Narrow"/>
                <w:sz w:val="20"/>
                <w:lang w:eastAsia="en-AU"/>
              </w:rPr>
            </w:pPr>
            <w:r w:rsidRPr="003E79D5">
              <w:rPr>
                <w:rFonts w:ascii="Arial Narrow" w:hAnsi="Arial Narrow"/>
                <w:sz w:val="20"/>
                <w:lang w:eastAsia="en-AU"/>
              </w:rPr>
              <w:t>-0.41</w:t>
            </w:r>
          </w:p>
        </w:tc>
        <w:tc>
          <w:tcPr>
            <w:tcW w:w="625" w:type="dxa"/>
            <w:tcBorders>
              <w:top w:val="single" w:sz="4" w:space="0" w:color="auto"/>
            </w:tcBorders>
            <w:shd w:val="clear" w:color="auto" w:fill="DA9694"/>
            <w:noWrap/>
            <w:tcMar>
              <w:left w:w="57" w:type="dxa"/>
              <w:right w:w="57" w:type="dxa"/>
            </w:tcMar>
            <w:vAlign w:val="center"/>
          </w:tcPr>
          <w:p w14:paraId="53C13CD3" w14:textId="77777777" w:rsidR="00A84742" w:rsidRPr="003E79D5" w:rsidRDefault="00A84742" w:rsidP="00A84742">
            <w:pPr>
              <w:spacing w:after="0"/>
              <w:jc w:val="center"/>
              <w:rPr>
                <w:rFonts w:ascii="Arial Narrow" w:hAnsi="Arial Narrow"/>
                <w:sz w:val="20"/>
                <w:lang w:eastAsia="en-AU"/>
              </w:rPr>
            </w:pPr>
            <w:r w:rsidRPr="003E79D5">
              <w:rPr>
                <w:rFonts w:ascii="Arial Narrow" w:hAnsi="Arial Narrow"/>
                <w:sz w:val="20"/>
                <w:lang w:eastAsia="en-AU"/>
              </w:rPr>
              <w:t>0.93</w:t>
            </w:r>
          </w:p>
        </w:tc>
        <w:tc>
          <w:tcPr>
            <w:tcW w:w="625" w:type="dxa"/>
            <w:tcBorders>
              <w:top w:val="single" w:sz="4" w:space="0" w:color="auto"/>
            </w:tcBorders>
            <w:shd w:val="clear" w:color="auto" w:fill="DA9694"/>
            <w:noWrap/>
            <w:tcMar>
              <w:left w:w="57" w:type="dxa"/>
              <w:right w:w="57" w:type="dxa"/>
            </w:tcMar>
            <w:vAlign w:val="center"/>
          </w:tcPr>
          <w:p w14:paraId="53C13CD4" w14:textId="77777777" w:rsidR="00A84742" w:rsidRPr="003E79D5" w:rsidRDefault="00A84742" w:rsidP="00A84742">
            <w:pPr>
              <w:spacing w:after="0"/>
              <w:jc w:val="center"/>
              <w:rPr>
                <w:rFonts w:ascii="Arial Narrow" w:hAnsi="Arial Narrow"/>
                <w:sz w:val="20"/>
                <w:lang w:eastAsia="en-AU"/>
              </w:rPr>
            </w:pPr>
            <w:r w:rsidRPr="003E79D5">
              <w:rPr>
                <w:rFonts w:ascii="Arial Narrow" w:hAnsi="Arial Narrow"/>
                <w:sz w:val="20"/>
                <w:lang w:eastAsia="en-AU"/>
              </w:rPr>
              <w:t>-0.62</w:t>
            </w:r>
          </w:p>
        </w:tc>
        <w:tc>
          <w:tcPr>
            <w:tcW w:w="625" w:type="dxa"/>
            <w:tcBorders>
              <w:top w:val="single" w:sz="4" w:space="0" w:color="auto"/>
            </w:tcBorders>
            <w:shd w:val="clear" w:color="auto" w:fill="DA9694"/>
            <w:noWrap/>
            <w:tcMar>
              <w:left w:w="57" w:type="dxa"/>
              <w:right w:w="57" w:type="dxa"/>
            </w:tcMar>
            <w:vAlign w:val="center"/>
          </w:tcPr>
          <w:p w14:paraId="53C13CD5" w14:textId="77777777" w:rsidR="00A84742" w:rsidRPr="003E79D5" w:rsidRDefault="00A84742" w:rsidP="00A84742">
            <w:pPr>
              <w:spacing w:after="0"/>
              <w:jc w:val="center"/>
              <w:rPr>
                <w:rFonts w:ascii="Arial Narrow" w:hAnsi="Arial Narrow"/>
                <w:sz w:val="20"/>
                <w:lang w:eastAsia="en-AU"/>
              </w:rPr>
            </w:pPr>
            <w:r w:rsidRPr="003E79D5">
              <w:rPr>
                <w:rFonts w:ascii="Arial Narrow" w:hAnsi="Arial Narrow"/>
                <w:sz w:val="20"/>
                <w:lang w:eastAsia="en-AU"/>
              </w:rPr>
              <w:t>0.99</w:t>
            </w:r>
          </w:p>
        </w:tc>
        <w:tc>
          <w:tcPr>
            <w:tcW w:w="625" w:type="dxa"/>
            <w:tcBorders>
              <w:top w:val="single" w:sz="4" w:space="0" w:color="auto"/>
            </w:tcBorders>
            <w:shd w:val="clear" w:color="auto" w:fill="538DD5"/>
            <w:noWrap/>
            <w:tcMar>
              <w:left w:w="57" w:type="dxa"/>
              <w:right w:w="57" w:type="dxa"/>
            </w:tcMar>
            <w:vAlign w:val="center"/>
          </w:tcPr>
          <w:p w14:paraId="53C13CD6" w14:textId="77777777" w:rsidR="00A84742" w:rsidRPr="003E79D5" w:rsidRDefault="00A84742" w:rsidP="00A84742">
            <w:pPr>
              <w:spacing w:after="0"/>
              <w:jc w:val="center"/>
              <w:rPr>
                <w:rFonts w:ascii="Arial Narrow" w:hAnsi="Arial Narrow"/>
                <w:sz w:val="20"/>
                <w:lang w:eastAsia="en-AU"/>
              </w:rPr>
            </w:pPr>
            <w:r w:rsidRPr="003E79D5">
              <w:rPr>
                <w:rFonts w:ascii="Arial Narrow" w:hAnsi="Arial Narrow"/>
                <w:sz w:val="20"/>
                <w:lang w:eastAsia="en-AU"/>
              </w:rPr>
              <w:t>0.50</w:t>
            </w:r>
          </w:p>
        </w:tc>
        <w:tc>
          <w:tcPr>
            <w:tcW w:w="626" w:type="dxa"/>
            <w:tcBorders>
              <w:top w:val="single" w:sz="4" w:space="0" w:color="auto"/>
            </w:tcBorders>
            <w:shd w:val="clear" w:color="auto" w:fill="538DD5"/>
            <w:noWrap/>
            <w:tcMar>
              <w:left w:w="57" w:type="dxa"/>
              <w:right w:w="57" w:type="dxa"/>
            </w:tcMar>
            <w:vAlign w:val="center"/>
          </w:tcPr>
          <w:p w14:paraId="53C13CD7" w14:textId="77777777" w:rsidR="00A84742" w:rsidRPr="003E79D5" w:rsidRDefault="00A84742" w:rsidP="00A84742">
            <w:pPr>
              <w:spacing w:after="0"/>
              <w:jc w:val="center"/>
              <w:rPr>
                <w:rFonts w:ascii="Arial Narrow" w:hAnsi="Arial Narrow"/>
                <w:sz w:val="20"/>
                <w:lang w:eastAsia="en-AU"/>
              </w:rPr>
            </w:pPr>
            <w:r w:rsidRPr="003E79D5">
              <w:rPr>
                <w:rFonts w:ascii="Arial Narrow" w:hAnsi="Arial Narrow"/>
                <w:sz w:val="20"/>
                <w:lang w:eastAsia="en-AU"/>
              </w:rPr>
              <w:t>1.00</w:t>
            </w:r>
          </w:p>
        </w:tc>
      </w:tr>
      <w:tr w:rsidR="00CE4E0F" w:rsidRPr="003E79D5" w14:paraId="53C13CE7" w14:textId="77777777" w:rsidTr="004F16D3">
        <w:trPr>
          <w:trHeight w:val="300"/>
        </w:trPr>
        <w:tc>
          <w:tcPr>
            <w:tcW w:w="1074" w:type="dxa"/>
            <w:vMerge/>
            <w:tcBorders>
              <w:left w:val="single" w:sz="4" w:space="0" w:color="auto"/>
            </w:tcBorders>
            <w:shd w:val="clear" w:color="auto" w:fill="auto"/>
            <w:noWrap/>
            <w:tcMar>
              <w:left w:w="57" w:type="dxa"/>
              <w:right w:w="57" w:type="dxa"/>
            </w:tcMar>
            <w:vAlign w:val="center"/>
          </w:tcPr>
          <w:p w14:paraId="53C13CD9" w14:textId="77777777" w:rsidR="00A84742" w:rsidRPr="003E79D5" w:rsidRDefault="00A84742" w:rsidP="00A84742">
            <w:pPr>
              <w:spacing w:after="0"/>
              <w:jc w:val="right"/>
              <w:rPr>
                <w:rFonts w:ascii="Arial Narrow" w:hAnsi="Arial Narrow"/>
                <w:sz w:val="20"/>
                <w:lang w:eastAsia="en-AU"/>
              </w:rPr>
            </w:pPr>
          </w:p>
        </w:tc>
        <w:tc>
          <w:tcPr>
            <w:tcW w:w="350" w:type="dxa"/>
            <w:shd w:val="clear" w:color="auto" w:fill="auto"/>
            <w:noWrap/>
            <w:tcMar>
              <w:left w:w="57" w:type="dxa"/>
              <w:right w:w="57" w:type="dxa"/>
            </w:tcMar>
            <w:vAlign w:val="center"/>
          </w:tcPr>
          <w:p w14:paraId="53C13CDA" w14:textId="77777777" w:rsidR="00A84742" w:rsidRPr="003E79D5" w:rsidRDefault="00A84742" w:rsidP="00A84742">
            <w:pPr>
              <w:spacing w:after="0"/>
              <w:jc w:val="center"/>
              <w:rPr>
                <w:rFonts w:ascii="Arial Narrow" w:hAnsi="Arial Narrow"/>
                <w:sz w:val="20"/>
                <w:lang w:eastAsia="en-AU"/>
              </w:rPr>
            </w:pPr>
            <w:r w:rsidRPr="003E79D5">
              <w:rPr>
                <w:rFonts w:ascii="Arial Narrow" w:hAnsi="Arial Narrow"/>
                <w:sz w:val="20"/>
                <w:lang w:eastAsia="en-AU"/>
              </w:rPr>
              <w:t>5</w:t>
            </w:r>
          </w:p>
        </w:tc>
        <w:tc>
          <w:tcPr>
            <w:tcW w:w="625" w:type="dxa"/>
            <w:shd w:val="clear" w:color="auto" w:fill="E6B8B7"/>
            <w:noWrap/>
            <w:tcMar>
              <w:left w:w="57" w:type="dxa"/>
              <w:right w:w="57" w:type="dxa"/>
            </w:tcMar>
            <w:vAlign w:val="center"/>
          </w:tcPr>
          <w:p w14:paraId="53C13CDB" w14:textId="77777777" w:rsidR="00A84742" w:rsidRPr="003E79D5" w:rsidRDefault="00A84742" w:rsidP="00A84742">
            <w:pPr>
              <w:spacing w:after="0"/>
              <w:jc w:val="center"/>
              <w:rPr>
                <w:rFonts w:ascii="Arial Narrow" w:hAnsi="Arial Narrow"/>
                <w:sz w:val="20"/>
                <w:lang w:eastAsia="en-AU"/>
              </w:rPr>
            </w:pPr>
            <w:r w:rsidRPr="003E79D5">
              <w:rPr>
                <w:rFonts w:ascii="Arial Narrow" w:hAnsi="Arial Narrow"/>
                <w:sz w:val="20"/>
                <w:lang w:eastAsia="en-AU"/>
              </w:rPr>
              <w:t>-0.26</w:t>
            </w:r>
          </w:p>
        </w:tc>
        <w:tc>
          <w:tcPr>
            <w:tcW w:w="625" w:type="dxa"/>
            <w:shd w:val="clear" w:color="auto" w:fill="E6B8B7"/>
            <w:noWrap/>
            <w:tcMar>
              <w:left w:w="57" w:type="dxa"/>
              <w:right w:w="57" w:type="dxa"/>
            </w:tcMar>
            <w:vAlign w:val="center"/>
          </w:tcPr>
          <w:p w14:paraId="53C13CDC" w14:textId="77777777" w:rsidR="00A84742" w:rsidRPr="003E79D5" w:rsidRDefault="00A84742" w:rsidP="00A84742">
            <w:pPr>
              <w:spacing w:after="0"/>
              <w:jc w:val="center"/>
              <w:rPr>
                <w:rFonts w:ascii="Arial Narrow" w:hAnsi="Arial Narrow"/>
                <w:sz w:val="20"/>
                <w:lang w:eastAsia="en-AU"/>
              </w:rPr>
            </w:pPr>
            <w:r w:rsidRPr="003E79D5">
              <w:rPr>
                <w:rFonts w:ascii="Arial Narrow" w:hAnsi="Arial Narrow"/>
                <w:sz w:val="20"/>
                <w:lang w:eastAsia="en-AU"/>
              </w:rPr>
              <w:t>0.81</w:t>
            </w:r>
          </w:p>
        </w:tc>
        <w:tc>
          <w:tcPr>
            <w:tcW w:w="625" w:type="dxa"/>
            <w:shd w:val="clear" w:color="auto" w:fill="auto"/>
            <w:noWrap/>
            <w:tcMar>
              <w:left w:w="57" w:type="dxa"/>
              <w:right w:w="57" w:type="dxa"/>
            </w:tcMar>
            <w:vAlign w:val="center"/>
          </w:tcPr>
          <w:p w14:paraId="53C13CDD" w14:textId="77777777" w:rsidR="00A84742" w:rsidRPr="003E79D5" w:rsidRDefault="00A84742" w:rsidP="00A84742">
            <w:pPr>
              <w:spacing w:after="0"/>
              <w:jc w:val="center"/>
              <w:rPr>
                <w:rFonts w:ascii="Arial Narrow" w:hAnsi="Arial Narrow"/>
                <w:sz w:val="20"/>
                <w:lang w:eastAsia="en-AU"/>
              </w:rPr>
            </w:pPr>
            <w:r w:rsidRPr="003E79D5">
              <w:rPr>
                <w:rFonts w:ascii="Arial Narrow" w:hAnsi="Arial Narrow"/>
                <w:sz w:val="20"/>
                <w:lang w:eastAsia="en-AU"/>
              </w:rPr>
              <w:t>-0.13</w:t>
            </w:r>
          </w:p>
        </w:tc>
        <w:tc>
          <w:tcPr>
            <w:tcW w:w="603" w:type="dxa"/>
            <w:shd w:val="clear" w:color="auto" w:fill="auto"/>
            <w:noWrap/>
            <w:tcMar>
              <w:left w:w="57" w:type="dxa"/>
              <w:right w:w="57" w:type="dxa"/>
            </w:tcMar>
            <w:vAlign w:val="center"/>
          </w:tcPr>
          <w:p w14:paraId="53C13CDE" w14:textId="77777777" w:rsidR="00A84742" w:rsidRPr="003E79D5" w:rsidRDefault="00A84742" w:rsidP="00A84742">
            <w:pPr>
              <w:spacing w:after="0"/>
              <w:jc w:val="center"/>
              <w:rPr>
                <w:rFonts w:ascii="Arial Narrow" w:hAnsi="Arial Narrow"/>
                <w:sz w:val="20"/>
                <w:lang w:eastAsia="en-AU"/>
              </w:rPr>
            </w:pPr>
            <w:r w:rsidRPr="003E79D5">
              <w:rPr>
                <w:rFonts w:ascii="Arial Narrow" w:hAnsi="Arial Narrow"/>
                <w:sz w:val="20"/>
                <w:lang w:eastAsia="en-AU"/>
              </w:rPr>
              <w:t>0.61</w:t>
            </w:r>
          </w:p>
        </w:tc>
        <w:tc>
          <w:tcPr>
            <w:tcW w:w="647" w:type="dxa"/>
            <w:shd w:val="clear" w:color="auto" w:fill="E6B8B7"/>
            <w:noWrap/>
            <w:tcMar>
              <w:left w:w="57" w:type="dxa"/>
              <w:right w:w="57" w:type="dxa"/>
            </w:tcMar>
            <w:vAlign w:val="center"/>
          </w:tcPr>
          <w:p w14:paraId="53C13CDF" w14:textId="77777777" w:rsidR="00A84742" w:rsidRPr="003E79D5" w:rsidRDefault="00A84742" w:rsidP="00A84742">
            <w:pPr>
              <w:spacing w:after="0"/>
              <w:jc w:val="center"/>
              <w:rPr>
                <w:rFonts w:ascii="Arial Narrow" w:hAnsi="Arial Narrow"/>
                <w:sz w:val="20"/>
                <w:lang w:eastAsia="en-AU"/>
              </w:rPr>
            </w:pPr>
            <w:r w:rsidRPr="003E79D5">
              <w:rPr>
                <w:rFonts w:ascii="Arial Narrow" w:hAnsi="Arial Narrow"/>
                <w:sz w:val="20"/>
                <w:lang w:eastAsia="en-AU"/>
              </w:rPr>
              <w:t>-0.42</w:t>
            </w:r>
          </w:p>
        </w:tc>
        <w:tc>
          <w:tcPr>
            <w:tcW w:w="626" w:type="dxa"/>
            <w:tcBorders>
              <w:right w:val="single" w:sz="4" w:space="0" w:color="auto"/>
            </w:tcBorders>
            <w:shd w:val="clear" w:color="auto" w:fill="E6B8B7"/>
            <w:noWrap/>
            <w:tcMar>
              <w:left w:w="57" w:type="dxa"/>
              <w:right w:w="57" w:type="dxa"/>
            </w:tcMar>
            <w:vAlign w:val="center"/>
          </w:tcPr>
          <w:p w14:paraId="53C13CE0" w14:textId="77777777" w:rsidR="00A84742" w:rsidRPr="003E79D5" w:rsidRDefault="00A84742" w:rsidP="00A84742">
            <w:pPr>
              <w:spacing w:after="0"/>
              <w:jc w:val="center"/>
              <w:rPr>
                <w:rFonts w:ascii="Arial Narrow" w:hAnsi="Arial Narrow"/>
                <w:sz w:val="20"/>
                <w:lang w:eastAsia="en-AU"/>
              </w:rPr>
            </w:pPr>
            <w:r w:rsidRPr="003E79D5">
              <w:rPr>
                <w:rFonts w:ascii="Arial Narrow" w:hAnsi="Arial Narrow"/>
                <w:sz w:val="20"/>
                <w:lang w:eastAsia="en-AU"/>
              </w:rPr>
              <w:t>0.81</w:t>
            </w:r>
          </w:p>
        </w:tc>
        <w:tc>
          <w:tcPr>
            <w:tcW w:w="625" w:type="dxa"/>
            <w:shd w:val="clear" w:color="auto" w:fill="auto"/>
            <w:noWrap/>
            <w:tcMar>
              <w:left w:w="57" w:type="dxa"/>
              <w:right w:w="57" w:type="dxa"/>
            </w:tcMar>
            <w:vAlign w:val="center"/>
          </w:tcPr>
          <w:p w14:paraId="53C13CE1" w14:textId="77777777" w:rsidR="00A84742" w:rsidRPr="003E79D5" w:rsidRDefault="00A84742" w:rsidP="00A84742">
            <w:pPr>
              <w:spacing w:after="0"/>
              <w:jc w:val="center"/>
              <w:rPr>
                <w:rFonts w:ascii="Arial Narrow" w:hAnsi="Arial Narrow"/>
                <w:sz w:val="20"/>
                <w:lang w:eastAsia="en-AU"/>
              </w:rPr>
            </w:pPr>
            <w:r w:rsidRPr="003E79D5">
              <w:rPr>
                <w:rFonts w:ascii="Arial Narrow" w:hAnsi="Arial Narrow"/>
                <w:sz w:val="20"/>
                <w:lang w:eastAsia="en-AU"/>
              </w:rPr>
              <w:t>-0.04</w:t>
            </w:r>
          </w:p>
        </w:tc>
        <w:tc>
          <w:tcPr>
            <w:tcW w:w="625" w:type="dxa"/>
            <w:shd w:val="clear" w:color="auto" w:fill="auto"/>
            <w:noWrap/>
            <w:tcMar>
              <w:left w:w="57" w:type="dxa"/>
              <w:right w:w="57" w:type="dxa"/>
            </w:tcMar>
            <w:vAlign w:val="center"/>
          </w:tcPr>
          <w:p w14:paraId="53C13CE2" w14:textId="77777777" w:rsidR="00A84742" w:rsidRPr="003E79D5" w:rsidRDefault="00A84742" w:rsidP="00A84742">
            <w:pPr>
              <w:spacing w:after="0"/>
              <w:jc w:val="center"/>
              <w:rPr>
                <w:rFonts w:ascii="Arial Narrow" w:hAnsi="Arial Narrow"/>
                <w:sz w:val="20"/>
                <w:lang w:eastAsia="en-AU"/>
              </w:rPr>
            </w:pPr>
            <w:r w:rsidRPr="003E79D5">
              <w:rPr>
                <w:rFonts w:ascii="Arial Narrow" w:hAnsi="Arial Narrow"/>
                <w:sz w:val="20"/>
                <w:lang w:eastAsia="en-AU"/>
              </w:rPr>
              <w:t>0.58</w:t>
            </w:r>
          </w:p>
        </w:tc>
        <w:tc>
          <w:tcPr>
            <w:tcW w:w="625" w:type="dxa"/>
            <w:shd w:val="clear" w:color="auto" w:fill="F2DBDB" w:themeFill="accent2" w:themeFillTint="33"/>
            <w:noWrap/>
            <w:tcMar>
              <w:left w:w="57" w:type="dxa"/>
              <w:right w:w="57" w:type="dxa"/>
            </w:tcMar>
            <w:vAlign w:val="center"/>
          </w:tcPr>
          <w:p w14:paraId="53C13CE3" w14:textId="77777777" w:rsidR="00A84742" w:rsidRPr="003E79D5" w:rsidRDefault="00A84742" w:rsidP="00A84742">
            <w:pPr>
              <w:spacing w:after="0"/>
              <w:jc w:val="center"/>
              <w:rPr>
                <w:rFonts w:ascii="Arial Narrow" w:hAnsi="Arial Narrow"/>
                <w:sz w:val="20"/>
                <w:lang w:eastAsia="en-AU"/>
              </w:rPr>
            </w:pPr>
            <w:r w:rsidRPr="003E79D5">
              <w:rPr>
                <w:rFonts w:ascii="Arial Narrow" w:hAnsi="Arial Narrow"/>
                <w:sz w:val="20"/>
                <w:lang w:eastAsia="en-AU"/>
              </w:rPr>
              <w:t>-0.21</w:t>
            </w:r>
          </w:p>
        </w:tc>
        <w:tc>
          <w:tcPr>
            <w:tcW w:w="625" w:type="dxa"/>
            <w:shd w:val="clear" w:color="auto" w:fill="F2DBDB" w:themeFill="accent2" w:themeFillTint="33"/>
            <w:noWrap/>
            <w:tcMar>
              <w:left w:w="57" w:type="dxa"/>
              <w:right w:w="57" w:type="dxa"/>
            </w:tcMar>
            <w:vAlign w:val="center"/>
          </w:tcPr>
          <w:p w14:paraId="53C13CE4" w14:textId="77777777" w:rsidR="00A84742" w:rsidRPr="003E79D5" w:rsidRDefault="00A84742" w:rsidP="00A84742">
            <w:pPr>
              <w:spacing w:after="0"/>
              <w:jc w:val="center"/>
              <w:rPr>
                <w:rFonts w:ascii="Arial Narrow" w:hAnsi="Arial Narrow"/>
                <w:sz w:val="20"/>
                <w:lang w:eastAsia="en-AU"/>
              </w:rPr>
            </w:pPr>
            <w:r w:rsidRPr="003E79D5">
              <w:rPr>
                <w:rFonts w:ascii="Arial Narrow" w:hAnsi="Arial Narrow"/>
                <w:sz w:val="20"/>
                <w:lang w:eastAsia="en-AU"/>
              </w:rPr>
              <w:t>0.70</w:t>
            </w:r>
          </w:p>
        </w:tc>
        <w:tc>
          <w:tcPr>
            <w:tcW w:w="625" w:type="dxa"/>
            <w:shd w:val="clear" w:color="auto" w:fill="DA9694"/>
            <w:noWrap/>
            <w:tcMar>
              <w:left w:w="57" w:type="dxa"/>
              <w:right w:w="57" w:type="dxa"/>
            </w:tcMar>
            <w:vAlign w:val="center"/>
          </w:tcPr>
          <w:p w14:paraId="53C13CE5" w14:textId="77777777" w:rsidR="00A84742" w:rsidRPr="003E79D5" w:rsidRDefault="00A84742" w:rsidP="00A84742">
            <w:pPr>
              <w:spacing w:after="0"/>
              <w:jc w:val="center"/>
              <w:rPr>
                <w:rFonts w:ascii="Arial Narrow" w:hAnsi="Arial Narrow"/>
                <w:sz w:val="20"/>
                <w:lang w:eastAsia="en-AU"/>
              </w:rPr>
            </w:pPr>
            <w:r w:rsidRPr="003E79D5">
              <w:rPr>
                <w:rFonts w:ascii="Arial Narrow" w:hAnsi="Arial Narrow"/>
                <w:sz w:val="20"/>
                <w:lang w:eastAsia="en-AU"/>
              </w:rPr>
              <w:t>-0.50</w:t>
            </w:r>
          </w:p>
        </w:tc>
        <w:tc>
          <w:tcPr>
            <w:tcW w:w="626" w:type="dxa"/>
            <w:shd w:val="clear" w:color="auto" w:fill="DA9694"/>
            <w:noWrap/>
            <w:tcMar>
              <w:left w:w="57" w:type="dxa"/>
              <w:right w:w="57" w:type="dxa"/>
            </w:tcMar>
            <w:vAlign w:val="center"/>
          </w:tcPr>
          <w:p w14:paraId="53C13CE6" w14:textId="77777777" w:rsidR="00A84742" w:rsidRPr="003E79D5" w:rsidRDefault="00A84742" w:rsidP="00A84742">
            <w:pPr>
              <w:spacing w:after="0"/>
              <w:jc w:val="center"/>
              <w:rPr>
                <w:rFonts w:ascii="Arial Narrow" w:hAnsi="Arial Narrow"/>
                <w:sz w:val="20"/>
                <w:lang w:eastAsia="en-AU"/>
              </w:rPr>
            </w:pPr>
            <w:r w:rsidRPr="003E79D5">
              <w:rPr>
                <w:rFonts w:ascii="Arial Narrow" w:hAnsi="Arial Narrow"/>
                <w:sz w:val="20"/>
                <w:lang w:eastAsia="en-AU"/>
              </w:rPr>
              <w:t>1.00</w:t>
            </w:r>
          </w:p>
        </w:tc>
      </w:tr>
      <w:tr w:rsidR="00CE4E0F" w:rsidRPr="003E79D5" w14:paraId="53C13CF6" w14:textId="77777777" w:rsidTr="004F16D3">
        <w:trPr>
          <w:trHeight w:val="300"/>
        </w:trPr>
        <w:tc>
          <w:tcPr>
            <w:tcW w:w="1074" w:type="dxa"/>
            <w:vMerge w:val="restart"/>
            <w:tcBorders>
              <w:left w:val="single" w:sz="4" w:space="0" w:color="auto"/>
            </w:tcBorders>
            <w:shd w:val="clear" w:color="auto" w:fill="auto"/>
            <w:noWrap/>
            <w:tcMar>
              <w:left w:w="57" w:type="dxa"/>
              <w:right w:w="57" w:type="dxa"/>
            </w:tcMar>
            <w:vAlign w:val="center"/>
          </w:tcPr>
          <w:p w14:paraId="53C13CE8" w14:textId="77777777" w:rsidR="00A84742" w:rsidRPr="003E79D5" w:rsidRDefault="00A84742" w:rsidP="00A84742">
            <w:pPr>
              <w:spacing w:after="0"/>
              <w:rPr>
                <w:rFonts w:ascii="Arial Narrow" w:hAnsi="Arial Narrow"/>
                <w:sz w:val="20"/>
                <w:lang w:eastAsia="en-AU"/>
              </w:rPr>
            </w:pPr>
            <w:r w:rsidRPr="003E79D5">
              <w:rPr>
                <w:rFonts w:ascii="Arial Narrow" w:hAnsi="Arial Narrow"/>
                <w:sz w:val="20"/>
                <w:lang w:eastAsia="en-AU"/>
              </w:rPr>
              <w:t>2014 to 2018</w:t>
            </w:r>
          </w:p>
        </w:tc>
        <w:tc>
          <w:tcPr>
            <w:tcW w:w="350" w:type="dxa"/>
            <w:shd w:val="clear" w:color="auto" w:fill="auto"/>
            <w:noWrap/>
            <w:tcMar>
              <w:left w:w="57" w:type="dxa"/>
              <w:right w:w="57" w:type="dxa"/>
            </w:tcMar>
            <w:vAlign w:val="center"/>
          </w:tcPr>
          <w:p w14:paraId="53C13CE9" w14:textId="77777777" w:rsidR="00A84742" w:rsidRPr="003E79D5" w:rsidRDefault="00A84742" w:rsidP="00A84742">
            <w:pPr>
              <w:spacing w:after="0"/>
              <w:jc w:val="center"/>
              <w:rPr>
                <w:rFonts w:ascii="Arial Narrow" w:hAnsi="Arial Narrow"/>
                <w:sz w:val="20"/>
                <w:lang w:eastAsia="en-AU"/>
              </w:rPr>
            </w:pPr>
            <w:r w:rsidRPr="003E79D5">
              <w:rPr>
                <w:rFonts w:ascii="Arial Narrow" w:hAnsi="Arial Narrow"/>
                <w:sz w:val="20"/>
                <w:lang w:eastAsia="en-AU"/>
              </w:rPr>
              <w:t>2</w:t>
            </w:r>
          </w:p>
        </w:tc>
        <w:tc>
          <w:tcPr>
            <w:tcW w:w="625" w:type="dxa"/>
            <w:shd w:val="clear" w:color="auto" w:fill="E5B8B7" w:themeFill="accent2" w:themeFillTint="66"/>
            <w:noWrap/>
            <w:tcMar>
              <w:left w:w="57" w:type="dxa"/>
              <w:right w:w="57" w:type="dxa"/>
            </w:tcMar>
            <w:vAlign w:val="center"/>
          </w:tcPr>
          <w:p w14:paraId="53C13CEA" w14:textId="77777777" w:rsidR="00A84742" w:rsidRPr="003E79D5" w:rsidRDefault="00A84742" w:rsidP="00A84742">
            <w:pPr>
              <w:spacing w:after="0"/>
              <w:jc w:val="center"/>
              <w:rPr>
                <w:rFonts w:ascii="Arial Narrow" w:hAnsi="Arial Narrow"/>
                <w:sz w:val="20"/>
                <w:lang w:eastAsia="en-AU"/>
              </w:rPr>
            </w:pPr>
            <w:r w:rsidRPr="003E79D5">
              <w:rPr>
                <w:rFonts w:ascii="Arial Narrow" w:hAnsi="Arial Narrow"/>
                <w:sz w:val="20"/>
                <w:lang w:eastAsia="en-AU"/>
              </w:rPr>
              <w:t>-0.03</w:t>
            </w:r>
          </w:p>
        </w:tc>
        <w:tc>
          <w:tcPr>
            <w:tcW w:w="625" w:type="dxa"/>
            <w:shd w:val="clear" w:color="auto" w:fill="E5B8B7" w:themeFill="accent2" w:themeFillTint="66"/>
            <w:noWrap/>
            <w:tcMar>
              <w:left w:w="57" w:type="dxa"/>
              <w:right w:w="57" w:type="dxa"/>
            </w:tcMar>
            <w:vAlign w:val="center"/>
          </w:tcPr>
          <w:p w14:paraId="53C13CEB" w14:textId="77777777" w:rsidR="00A84742" w:rsidRPr="003E79D5" w:rsidRDefault="00A84742" w:rsidP="00A84742">
            <w:pPr>
              <w:spacing w:after="0"/>
              <w:jc w:val="center"/>
              <w:rPr>
                <w:rFonts w:ascii="Arial Narrow" w:hAnsi="Arial Narrow"/>
                <w:sz w:val="20"/>
                <w:lang w:eastAsia="en-AU"/>
              </w:rPr>
            </w:pPr>
            <w:r w:rsidRPr="003E79D5">
              <w:rPr>
                <w:rFonts w:ascii="Arial Narrow" w:hAnsi="Arial Narrow"/>
                <w:sz w:val="20"/>
                <w:lang w:eastAsia="en-AU"/>
              </w:rPr>
              <w:t>0.87</w:t>
            </w:r>
          </w:p>
        </w:tc>
        <w:tc>
          <w:tcPr>
            <w:tcW w:w="625" w:type="dxa"/>
            <w:shd w:val="clear" w:color="auto" w:fill="538DD5"/>
            <w:noWrap/>
            <w:tcMar>
              <w:left w:w="57" w:type="dxa"/>
              <w:right w:w="57" w:type="dxa"/>
            </w:tcMar>
            <w:vAlign w:val="center"/>
          </w:tcPr>
          <w:p w14:paraId="53C13CEC" w14:textId="77777777" w:rsidR="00A84742" w:rsidRPr="003E79D5" w:rsidRDefault="00A84742" w:rsidP="00A84742">
            <w:pPr>
              <w:spacing w:after="0"/>
              <w:jc w:val="center"/>
              <w:rPr>
                <w:rFonts w:ascii="Arial Narrow" w:hAnsi="Arial Narrow"/>
                <w:sz w:val="20"/>
                <w:lang w:eastAsia="en-AU"/>
              </w:rPr>
            </w:pPr>
            <w:r w:rsidRPr="003E79D5">
              <w:rPr>
                <w:rFonts w:ascii="Arial Narrow" w:hAnsi="Arial Narrow"/>
                <w:sz w:val="20"/>
                <w:lang w:eastAsia="en-AU"/>
              </w:rPr>
              <w:t>0.12</w:t>
            </w:r>
          </w:p>
        </w:tc>
        <w:tc>
          <w:tcPr>
            <w:tcW w:w="603" w:type="dxa"/>
            <w:shd w:val="clear" w:color="auto" w:fill="538DD5"/>
            <w:noWrap/>
            <w:tcMar>
              <w:left w:w="57" w:type="dxa"/>
              <w:right w:w="57" w:type="dxa"/>
            </w:tcMar>
            <w:vAlign w:val="center"/>
          </w:tcPr>
          <w:p w14:paraId="53C13CED" w14:textId="77777777" w:rsidR="00A84742" w:rsidRPr="003E79D5" w:rsidRDefault="00A84742" w:rsidP="00A84742">
            <w:pPr>
              <w:spacing w:after="0"/>
              <w:jc w:val="center"/>
              <w:rPr>
                <w:rFonts w:ascii="Arial Narrow" w:hAnsi="Arial Narrow"/>
                <w:sz w:val="20"/>
                <w:lang w:eastAsia="en-AU"/>
              </w:rPr>
            </w:pPr>
            <w:r w:rsidRPr="003E79D5">
              <w:rPr>
                <w:rFonts w:ascii="Arial Narrow" w:hAnsi="Arial Narrow"/>
                <w:sz w:val="20"/>
                <w:lang w:eastAsia="en-AU"/>
              </w:rPr>
              <w:t>0.93</w:t>
            </w:r>
          </w:p>
        </w:tc>
        <w:tc>
          <w:tcPr>
            <w:tcW w:w="647" w:type="dxa"/>
            <w:shd w:val="clear" w:color="auto" w:fill="F2DBDB" w:themeFill="accent2" w:themeFillTint="33"/>
            <w:noWrap/>
            <w:tcMar>
              <w:left w:w="57" w:type="dxa"/>
              <w:right w:w="57" w:type="dxa"/>
            </w:tcMar>
            <w:vAlign w:val="center"/>
          </w:tcPr>
          <w:p w14:paraId="53C13CEE" w14:textId="77777777" w:rsidR="00A84742" w:rsidRPr="003E79D5" w:rsidRDefault="00A84742" w:rsidP="00A84742">
            <w:pPr>
              <w:spacing w:after="0"/>
              <w:jc w:val="center"/>
              <w:rPr>
                <w:rFonts w:ascii="Arial Narrow" w:hAnsi="Arial Narrow"/>
                <w:sz w:val="20"/>
                <w:lang w:eastAsia="en-AU"/>
              </w:rPr>
            </w:pPr>
            <w:r w:rsidRPr="003E79D5">
              <w:rPr>
                <w:rFonts w:ascii="Arial Narrow" w:hAnsi="Arial Narrow"/>
                <w:sz w:val="20"/>
                <w:lang w:eastAsia="en-AU"/>
              </w:rPr>
              <w:t>-0.18</w:t>
            </w:r>
          </w:p>
        </w:tc>
        <w:tc>
          <w:tcPr>
            <w:tcW w:w="626" w:type="dxa"/>
            <w:tcBorders>
              <w:right w:val="single" w:sz="4" w:space="0" w:color="auto"/>
            </w:tcBorders>
            <w:shd w:val="clear" w:color="auto" w:fill="F2DBDB" w:themeFill="accent2" w:themeFillTint="33"/>
            <w:noWrap/>
            <w:tcMar>
              <w:left w:w="57" w:type="dxa"/>
              <w:right w:w="57" w:type="dxa"/>
            </w:tcMar>
            <w:vAlign w:val="center"/>
          </w:tcPr>
          <w:p w14:paraId="53C13CEF" w14:textId="77777777" w:rsidR="00A84742" w:rsidRPr="003E79D5" w:rsidRDefault="00A84742" w:rsidP="00A84742">
            <w:pPr>
              <w:spacing w:after="0"/>
              <w:jc w:val="center"/>
              <w:rPr>
                <w:rFonts w:ascii="Arial Narrow" w:hAnsi="Arial Narrow"/>
                <w:sz w:val="20"/>
                <w:lang w:eastAsia="en-AU"/>
              </w:rPr>
            </w:pPr>
            <w:r w:rsidRPr="003E79D5">
              <w:rPr>
                <w:rFonts w:ascii="Arial Narrow" w:hAnsi="Arial Narrow"/>
                <w:sz w:val="20"/>
                <w:lang w:eastAsia="en-AU"/>
              </w:rPr>
              <w:t>0.76</w:t>
            </w:r>
          </w:p>
        </w:tc>
        <w:tc>
          <w:tcPr>
            <w:tcW w:w="625" w:type="dxa"/>
            <w:shd w:val="clear" w:color="auto" w:fill="F2DBDB" w:themeFill="accent2" w:themeFillTint="33"/>
            <w:noWrap/>
            <w:tcMar>
              <w:left w:w="57" w:type="dxa"/>
              <w:right w:w="57" w:type="dxa"/>
            </w:tcMar>
            <w:vAlign w:val="center"/>
          </w:tcPr>
          <w:p w14:paraId="53C13CF0" w14:textId="77777777" w:rsidR="00A84742" w:rsidRPr="003E79D5" w:rsidRDefault="00A84742" w:rsidP="00A84742">
            <w:pPr>
              <w:spacing w:after="0"/>
              <w:jc w:val="center"/>
              <w:rPr>
                <w:rFonts w:ascii="Arial Narrow" w:hAnsi="Arial Narrow"/>
                <w:sz w:val="20"/>
                <w:lang w:eastAsia="en-AU"/>
              </w:rPr>
            </w:pPr>
            <w:r w:rsidRPr="003E79D5">
              <w:rPr>
                <w:rFonts w:ascii="Arial Narrow" w:hAnsi="Arial Narrow"/>
                <w:sz w:val="20"/>
                <w:lang w:eastAsia="en-AU"/>
              </w:rPr>
              <w:t>-0.09</w:t>
            </w:r>
          </w:p>
        </w:tc>
        <w:tc>
          <w:tcPr>
            <w:tcW w:w="625" w:type="dxa"/>
            <w:shd w:val="clear" w:color="auto" w:fill="F2DBDB" w:themeFill="accent2" w:themeFillTint="33"/>
            <w:noWrap/>
            <w:tcMar>
              <w:left w:w="57" w:type="dxa"/>
              <w:right w:w="57" w:type="dxa"/>
            </w:tcMar>
            <w:vAlign w:val="center"/>
          </w:tcPr>
          <w:p w14:paraId="53C13CF1" w14:textId="77777777" w:rsidR="00A84742" w:rsidRPr="003E79D5" w:rsidRDefault="00A84742" w:rsidP="00A84742">
            <w:pPr>
              <w:spacing w:after="0"/>
              <w:jc w:val="center"/>
              <w:rPr>
                <w:rFonts w:ascii="Arial Narrow" w:hAnsi="Arial Narrow"/>
                <w:sz w:val="20"/>
                <w:lang w:eastAsia="en-AU"/>
              </w:rPr>
            </w:pPr>
            <w:r w:rsidRPr="003E79D5">
              <w:rPr>
                <w:rFonts w:ascii="Arial Narrow" w:hAnsi="Arial Narrow"/>
                <w:sz w:val="20"/>
                <w:lang w:eastAsia="en-AU"/>
              </w:rPr>
              <w:t>0.73</w:t>
            </w:r>
          </w:p>
        </w:tc>
        <w:tc>
          <w:tcPr>
            <w:tcW w:w="625" w:type="dxa"/>
            <w:shd w:val="clear" w:color="auto" w:fill="538DD5"/>
            <w:noWrap/>
            <w:tcMar>
              <w:left w:w="57" w:type="dxa"/>
              <w:right w:w="57" w:type="dxa"/>
            </w:tcMar>
            <w:vAlign w:val="center"/>
          </w:tcPr>
          <w:p w14:paraId="53C13CF2" w14:textId="77777777" w:rsidR="00A84742" w:rsidRPr="003E79D5" w:rsidRDefault="00A84742" w:rsidP="00A84742">
            <w:pPr>
              <w:spacing w:after="0"/>
              <w:jc w:val="center"/>
              <w:rPr>
                <w:rFonts w:ascii="Arial Narrow" w:hAnsi="Arial Narrow"/>
                <w:sz w:val="20"/>
                <w:lang w:eastAsia="en-AU"/>
              </w:rPr>
            </w:pPr>
            <w:r w:rsidRPr="003E79D5">
              <w:rPr>
                <w:rFonts w:ascii="Arial Narrow" w:hAnsi="Arial Narrow"/>
                <w:sz w:val="20"/>
                <w:lang w:eastAsia="en-AU"/>
              </w:rPr>
              <w:t>0.52</w:t>
            </w:r>
          </w:p>
        </w:tc>
        <w:tc>
          <w:tcPr>
            <w:tcW w:w="625" w:type="dxa"/>
            <w:shd w:val="clear" w:color="auto" w:fill="538DD5"/>
            <w:noWrap/>
            <w:tcMar>
              <w:left w:w="57" w:type="dxa"/>
              <w:right w:w="57" w:type="dxa"/>
            </w:tcMar>
            <w:vAlign w:val="center"/>
          </w:tcPr>
          <w:p w14:paraId="53C13CF3" w14:textId="77777777" w:rsidR="00A84742" w:rsidRPr="003E79D5" w:rsidRDefault="00A84742" w:rsidP="00A84742">
            <w:pPr>
              <w:spacing w:after="0"/>
              <w:jc w:val="center"/>
              <w:rPr>
                <w:rFonts w:ascii="Arial Narrow" w:hAnsi="Arial Narrow"/>
                <w:sz w:val="20"/>
                <w:lang w:eastAsia="en-AU"/>
              </w:rPr>
            </w:pPr>
            <w:r w:rsidRPr="003E79D5">
              <w:rPr>
                <w:rFonts w:ascii="Arial Narrow" w:hAnsi="Arial Narrow"/>
                <w:sz w:val="20"/>
                <w:lang w:eastAsia="en-AU"/>
              </w:rPr>
              <w:t>0.99</w:t>
            </w:r>
          </w:p>
        </w:tc>
        <w:tc>
          <w:tcPr>
            <w:tcW w:w="625" w:type="dxa"/>
            <w:shd w:val="clear" w:color="auto" w:fill="F2DBDB" w:themeFill="accent2" w:themeFillTint="33"/>
            <w:noWrap/>
            <w:tcMar>
              <w:left w:w="57" w:type="dxa"/>
              <w:right w:w="57" w:type="dxa"/>
            </w:tcMar>
            <w:vAlign w:val="center"/>
          </w:tcPr>
          <w:p w14:paraId="53C13CF4" w14:textId="77777777" w:rsidR="00A84742" w:rsidRPr="003E79D5" w:rsidRDefault="00A84742" w:rsidP="00A84742">
            <w:pPr>
              <w:spacing w:after="0"/>
              <w:jc w:val="center"/>
              <w:rPr>
                <w:rFonts w:ascii="Arial Narrow" w:hAnsi="Arial Narrow"/>
                <w:sz w:val="20"/>
                <w:lang w:eastAsia="en-AU"/>
              </w:rPr>
            </w:pPr>
            <w:r w:rsidRPr="003E79D5">
              <w:rPr>
                <w:rFonts w:ascii="Arial Narrow" w:hAnsi="Arial Narrow"/>
                <w:sz w:val="20"/>
                <w:lang w:eastAsia="en-AU"/>
              </w:rPr>
              <w:t>-0.50</w:t>
            </w:r>
          </w:p>
        </w:tc>
        <w:tc>
          <w:tcPr>
            <w:tcW w:w="626" w:type="dxa"/>
            <w:shd w:val="clear" w:color="auto" w:fill="F2DBDB" w:themeFill="accent2" w:themeFillTint="33"/>
            <w:noWrap/>
            <w:tcMar>
              <w:left w:w="57" w:type="dxa"/>
              <w:right w:w="57" w:type="dxa"/>
            </w:tcMar>
            <w:vAlign w:val="center"/>
          </w:tcPr>
          <w:p w14:paraId="53C13CF5" w14:textId="77777777" w:rsidR="00A84742" w:rsidRPr="003E79D5" w:rsidRDefault="00A84742" w:rsidP="00A84742">
            <w:pPr>
              <w:spacing w:after="0"/>
              <w:jc w:val="center"/>
              <w:rPr>
                <w:rFonts w:ascii="Arial Narrow" w:hAnsi="Arial Narrow"/>
                <w:sz w:val="20"/>
                <w:lang w:eastAsia="en-AU"/>
              </w:rPr>
            </w:pPr>
            <w:r w:rsidRPr="003E79D5">
              <w:rPr>
                <w:rFonts w:ascii="Arial Narrow" w:hAnsi="Arial Narrow"/>
                <w:sz w:val="20"/>
                <w:lang w:eastAsia="en-AU"/>
              </w:rPr>
              <w:t>0.76</w:t>
            </w:r>
          </w:p>
        </w:tc>
      </w:tr>
      <w:tr w:rsidR="003E79D5" w:rsidRPr="003E79D5" w14:paraId="53C13D05" w14:textId="77777777" w:rsidTr="00F2000D">
        <w:trPr>
          <w:cantSplit/>
          <w:trHeight w:hRule="exact" w:val="301"/>
        </w:trPr>
        <w:tc>
          <w:tcPr>
            <w:tcW w:w="1074" w:type="dxa"/>
            <w:vMerge/>
            <w:tcBorders>
              <w:left w:val="single" w:sz="4" w:space="0" w:color="auto"/>
              <w:bottom w:val="single" w:sz="4" w:space="0" w:color="auto"/>
            </w:tcBorders>
            <w:shd w:val="clear" w:color="auto" w:fill="auto"/>
            <w:noWrap/>
            <w:tcMar>
              <w:left w:w="57" w:type="dxa"/>
              <w:right w:w="57" w:type="dxa"/>
            </w:tcMar>
            <w:vAlign w:val="center"/>
          </w:tcPr>
          <w:p w14:paraId="53C13CF7" w14:textId="77777777" w:rsidR="00A84742" w:rsidRPr="003E79D5" w:rsidRDefault="00A84742" w:rsidP="00A84742">
            <w:pPr>
              <w:spacing w:after="0"/>
              <w:jc w:val="right"/>
              <w:rPr>
                <w:rFonts w:ascii="Arial Narrow" w:hAnsi="Arial Narrow"/>
                <w:sz w:val="20"/>
                <w:lang w:eastAsia="en-AU"/>
              </w:rPr>
            </w:pPr>
          </w:p>
        </w:tc>
        <w:tc>
          <w:tcPr>
            <w:tcW w:w="350" w:type="dxa"/>
            <w:shd w:val="clear" w:color="auto" w:fill="auto"/>
            <w:noWrap/>
            <w:tcMar>
              <w:left w:w="57" w:type="dxa"/>
              <w:right w:w="57" w:type="dxa"/>
            </w:tcMar>
            <w:vAlign w:val="center"/>
          </w:tcPr>
          <w:p w14:paraId="53C13CF8" w14:textId="77777777" w:rsidR="00A84742" w:rsidRPr="003E79D5" w:rsidRDefault="00A84742" w:rsidP="00A84742">
            <w:pPr>
              <w:spacing w:after="0"/>
              <w:jc w:val="center"/>
              <w:rPr>
                <w:rFonts w:ascii="Arial Narrow" w:hAnsi="Arial Narrow"/>
                <w:sz w:val="20"/>
                <w:lang w:eastAsia="en-AU"/>
              </w:rPr>
            </w:pPr>
            <w:r w:rsidRPr="003E79D5">
              <w:rPr>
                <w:rFonts w:ascii="Arial Narrow" w:hAnsi="Arial Narrow"/>
                <w:sz w:val="20"/>
                <w:lang w:eastAsia="en-AU"/>
              </w:rPr>
              <w:t>5</w:t>
            </w:r>
          </w:p>
        </w:tc>
        <w:tc>
          <w:tcPr>
            <w:tcW w:w="625" w:type="dxa"/>
            <w:shd w:val="clear" w:color="auto" w:fill="8DB3E2" w:themeFill="text2" w:themeFillTint="66"/>
            <w:noWrap/>
            <w:tcMar>
              <w:left w:w="57" w:type="dxa"/>
              <w:right w:w="57" w:type="dxa"/>
            </w:tcMar>
            <w:vAlign w:val="center"/>
          </w:tcPr>
          <w:p w14:paraId="53C13CF9" w14:textId="77777777" w:rsidR="00A84742" w:rsidRPr="003E79D5" w:rsidRDefault="00A84742" w:rsidP="00A84742">
            <w:pPr>
              <w:spacing w:after="0"/>
              <w:jc w:val="center"/>
              <w:rPr>
                <w:rFonts w:ascii="Arial Narrow" w:hAnsi="Arial Narrow"/>
                <w:sz w:val="20"/>
                <w:lang w:eastAsia="en-AU"/>
              </w:rPr>
            </w:pPr>
            <w:r w:rsidRPr="003E79D5">
              <w:rPr>
                <w:rFonts w:ascii="Arial Narrow" w:hAnsi="Arial Narrow"/>
                <w:sz w:val="20"/>
                <w:lang w:eastAsia="en-AU"/>
              </w:rPr>
              <w:t>0.16</w:t>
            </w:r>
          </w:p>
        </w:tc>
        <w:tc>
          <w:tcPr>
            <w:tcW w:w="625" w:type="dxa"/>
            <w:shd w:val="clear" w:color="auto" w:fill="8DB3E2" w:themeFill="text2" w:themeFillTint="66"/>
            <w:noWrap/>
            <w:tcMar>
              <w:left w:w="57" w:type="dxa"/>
              <w:right w:w="57" w:type="dxa"/>
            </w:tcMar>
            <w:vAlign w:val="center"/>
          </w:tcPr>
          <w:p w14:paraId="53C13CFA" w14:textId="77777777" w:rsidR="00A84742" w:rsidRPr="003E79D5" w:rsidRDefault="00A84742" w:rsidP="00A84742">
            <w:pPr>
              <w:spacing w:after="0"/>
              <w:jc w:val="center"/>
              <w:rPr>
                <w:rFonts w:ascii="Arial Narrow" w:hAnsi="Arial Narrow"/>
                <w:sz w:val="20"/>
                <w:lang w:eastAsia="en-AU"/>
              </w:rPr>
            </w:pPr>
            <w:r w:rsidRPr="003E79D5">
              <w:rPr>
                <w:rFonts w:ascii="Arial Narrow" w:hAnsi="Arial Narrow"/>
                <w:sz w:val="20"/>
                <w:lang w:eastAsia="en-AU"/>
              </w:rPr>
              <w:t>0.87</w:t>
            </w:r>
          </w:p>
        </w:tc>
        <w:tc>
          <w:tcPr>
            <w:tcW w:w="625" w:type="dxa"/>
            <w:shd w:val="clear" w:color="auto" w:fill="auto"/>
            <w:noWrap/>
            <w:tcMar>
              <w:left w:w="57" w:type="dxa"/>
              <w:right w:w="57" w:type="dxa"/>
            </w:tcMar>
            <w:vAlign w:val="center"/>
          </w:tcPr>
          <w:p w14:paraId="53C13CFB" w14:textId="77777777" w:rsidR="00A84742" w:rsidRPr="003E79D5" w:rsidRDefault="003E79D5" w:rsidP="00A84742">
            <w:pPr>
              <w:spacing w:after="0"/>
              <w:jc w:val="center"/>
              <w:rPr>
                <w:rFonts w:ascii="Arial Narrow" w:hAnsi="Arial Narrow"/>
                <w:sz w:val="20"/>
                <w:lang w:eastAsia="en-AU"/>
              </w:rPr>
            </w:pPr>
            <w:r>
              <w:rPr>
                <w:rFonts w:ascii="Arial Narrow" w:hAnsi="Arial Narrow"/>
                <w:sz w:val="20"/>
                <w:lang w:eastAsia="en-AU"/>
              </w:rPr>
              <w:t>0.00</w:t>
            </w:r>
          </w:p>
        </w:tc>
        <w:tc>
          <w:tcPr>
            <w:tcW w:w="603" w:type="dxa"/>
            <w:shd w:val="clear" w:color="auto" w:fill="auto"/>
            <w:noWrap/>
            <w:tcMar>
              <w:left w:w="57" w:type="dxa"/>
              <w:right w:w="57" w:type="dxa"/>
            </w:tcMar>
            <w:vAlign w:val="center"/>
          </w:tcPr>
          <w:p w14:paraId="53C13CFC" w14:textId="77777777" w:rsidR="00A84742" w:rsidRPr="003E79D5" w:rsidRDefault="00A84742" w:rsidP="00A84742">
            <w:pPr>
              <w:spacing w:after="0"/>
              <w:jc w:val="center"/>
              <w:rPr>
                <w:rFonts w:ascii="Arial Narrow" w:hAnsi="Arial Narrow"/>
                <w:sz w:val="20"/>
                <w:lang w:eastAsia="en-AU"/>
              </w:rPr>
            </w:pPr>
            <w:r w:rsidRPr="003E79D5">
              <w:rPr>
                <w:rFonts w:ascii="Arial Narrow" w:hAnsi="Arial Narrow"/>
                <w:sz w:val="20"/>
                <w:lang w:eastAsia="en-AU"/>
              </w:rPr>
              <w:t>0.51</w:t>
            </w:r>
          </w:p>
        </w:tc>
        <w:tc>
          <w:tcPr>
            <w:tcW w:w="647" w:type="dxa"/>
            <w:shd w:val="clear" w:color="auto" w:fill="C6D9F1"/>
            <w:noWrap/>
            <w:tcMar>
              <w:left w:w="57" w:type="dxa"/>
              <w:right w:w="57" w:type="dxa"/>
            </w:tcMar>
            <w:vAlign w:val="center"/>
          </w:tcPr>
          <w:p w14:paraId="53C13CFD" w14:textId="77777777" w:rsidR="00A84742" w:rsidRPr="003E79D5" w:rsidRDefault="00A84742" w:rsidP="00A84742">
            <w:pPr>
              <w:spacing w:after="0"/>
              <w:jc w:val="center"/>
              <w:rPr>
                <w:rFonts w:ascii="Arial Narrow" w:hAnsi="Arial Narrow"/>
                <w:sz w:val="20"/>
                <w:lang w:eastAsia="en-AU"/>
              </w:rPr>
            </w:pPr>
            <w:r w:rsidRPr="003E79D5">
              <w:rPr>
                <w:rFonts w:ascii="Arial Narrow" w:hAnsi="Arial Narrow"/>
                <w:sz w:val="20"/>
                <w:lang w:eastAsia="en-AU"/>
              </w:rPr>
              <w:t>0.24</w:t>
            </w:r>
          </w:p>
        </w:tc>
        <w:tc>
          <w:tcPr>
            <w:tcW w:w="626" w:type="dxa"/>
            <w:tcBorders>
              <w:right w:val="single" w:sz="4" w:space="0" w:color="auto"/>
            </w:tcBorders>
            <w:shd w:val="clear" w:color="auto" w:fill="C6D9F1" w:themeFill="text2" w:themeFillTint="33"/>
            <w:noWrap/>
            <w:tcMar>
              <w:left w:w="57" w:type="dxa"/>
              <w:right w:w="57" w:type="dxa"/>
            </w:tcMar>
            <w:vAlign w:val="center"/>
          </w:tcPr>
          <w:p w14:paraId="53C13CFE" w14:textId="77777777" w:rsidR="00A84742" w:rsidRPr="003E79D5" w:rsidRDefault="00A84742" w:rsidP="00A84742">
            <w:pPr>
              <w:spacing w:after="0"/>
              <w:jc w:val="center"/>
              <w:rPr>
                <w:rFonts w:ascii="Arial Narrow" w:hAnsi="Arial Narrow"/>
                <w:sz w:val="20"/>
                <w:lang w:eastAsia="en-AU"/>
              </w:rPr>
            </w:pPr>
            <w:r w:rsidRPr="003E79D5">
              <w:rPr>
                <w:rFonts w:ascii="Arial Narrow" w:hAnsi="Arial Narrow"/>
                <w:sz w:val="20"/>
                <w:lang w:eastAsia="en-AU"/>
              </w:rPr>
              <w:t>0.74</w:t>
            </w:r>
          </w:p>
        </w:tc>
        <w:tc>
          <w:tcPr>
            <w:tcW w:w="625" w:type="dxa"/>
            <w:shd w:val="clear" w:color="auto" w:fill="C6D9F1" w:themeFill="text2" w:themeFillTint="33"/>
            <w:noWrap/>
            <w:tcMar>
              <w:left w:w="57" w:type="dxa"/>
              <w:right w:w="57" w:type="dxa"/>
            </w:tcMar>
            <w:vAlign w:val="center"/>
          </w:tcPr>
          <w:p w14:paraId="53C13CFF" w14:textId="77777777" w:rsidR="00A84742" w:rsidRPr="003E79D5" w:rsidRDefault="00A84742" w:rsidP="00A84742">
            <w:pPr>
              <w:spacing w:after="0"/>
              <w:jc w:val="center"/>
              <w:rPr>
                <w:rFonts w:ascii="Arial Narrow" w:hAnsi="Arial Narrow"/>
                <w:sz w:val="20"/>
                <w:lang w:eastAsia="en-AU"/>
              </w:rPr>
            </w:pPr>
            <w:r w:rsidRPr="003E79D5">
              <w:rPr>
                <w:rFonts w:ascii="Arial Narrow" w:hAnsi="Arial Narrow"/>
                <w:sz w:val="20"/>
                <w:lang w:eastAsia="en-AU"/>
              </w:rPr>
              <w:t>0.09</w:t>
            </w:r>
          </w:p>
        </w:tc>
        <w:tc>
          <w:tcPr>
            <w:tcW w:w="625" w:type="dxa"/>
            <w:shd w:val="clear" w:color="auto" w:fill="C6D9F1" w:themeFill="text2" w:themeFillTint="33"/>
            <w:noWrap/>
            <w:tcMar>
              <w:left w:w="57" w:type="dxa"/>
              <w:right w:w="57" w:type="dxa"/>
            </w:tcMar>
            <w:vAlign w:val="center"/>
          </w:tcPr>
          <w:p w14:paraId="53C13D00" w14:textId="77777777" w:rsidR="00A84742" w:rsidRPr="003E79D5" w:rsidRDefault="00A84742" w:rsidP="00A84742">
            <w:pPr>
              <w:spacing w:after="0"/>
              <w:jc w:val="center"/>
              <w:rPr>
                <w:rFonts w:ascii="Arial Narrow" w:hAnsi="Arial Narrow"/>
                <w:sz w:val="20"/>
                <w:lang w:eastAsia="en-AU"/>
              </w:rPr>
            </w:pPr>
            <w:r w:rsidRPr="003E79D5">
              <w:rPr>
                <w:rFonts w:ascii="Arial Narrow" w:hAnsi="Arial Narrow"/>
                <w:sz w:val="20"/>
                <w:lang w:eastAsia="en-AU"/>
              </w:rPr>
              <w:t>0.70</w:t>
            </w:r>
          </w:p>
        </w:tc>
        <w:tc>
          <w:tcPr>
            <w:tcW w:w="625" w:type="dxa"/>
            <w:shd w:val="clear" w:color="auto" w:fill="C6D9F1" w:themeFill="text2" w:themeFillTint="33"/>
            <w:noWrap/>
            <w:tcMar>
              <w:left w:w="57" w:type="dxa"/>
              <w:right w:w="57" w:type="dxa"/>
            </w:tcMar>
            <w:vAlign w:val="center"/>
          </w:tcPr>
          <w:p w14:paraId="53C13D01" w14:textId="77777777" w:rsidR="00A84742" w:rsidRPr="003E79D5" w:rsidRDefault="00A84742" w:rsidP="00A84742">
            <w:pPr>
              <w:spacing w:after="0"/>
              <w:jc w:val="center"/>
              <w:rPr>
                <w:rFonts w:ascii="Arial Narrow" w:hAnsi="Arial Narrow"/>
                <w:sz w:val="20"/>
                <w:lang w:eastAsia="en-AU"/>
              </w:rPr>
            </w:pPr>
            <w:r w:rsidRPr="003E79D5">
              <w:rPr>
                <w:rFonts w:ascii="Arial Narrow" w:hAnsi="Arial Narrow"/>
                <w:sz w:val="20"/>
                <w:lang w:eastAsia="en-AU"/>
              </w:rPr>
              <w:t>0.28</w:t>
            </w:r>
          </w:p>
        </w:tc>
        <w:tc>
          <w:tcPr>
            <w:tcW w:w="625" w:type="dxa"/>
            <w:shd w:val="clear" w:color="auto" w:fill="C6D9F1" w:themeFill="text2" w:themeFillTint="33"/>
            <w:noWrap/>
            <w:tcMar>
              <w:left w:w="57" w:type="dxa"/>
              <w:right w:w="57" w:type="dxa"/>
            </w:tcMar>
            <w:vAlign w:val="center"/>
          </w:tcPr>
          <w:p w14:paraId="53C13D02" w14:textId="77777777" w:rsidR="00A84742" w:rsidRPr="003E79D5" w:rsidRDefault="00A84742" w:rsidP="00A84742">
            <w:pPr>
              <w:spacing w:after="0"/>
              <w:jc w:val="center"/>
              <w:rPr>
                <w:rFonts w:ascii="Arial Narrow" w:hAnsi="Arial Narrow"/>
                <w:sz w:val="20"/>
                <w:lang w:eastAsia="en-AU"/>
              </w:rPr>
            </w:pPr>
            <w:r w:rsidRPr="003E79D5">
              <w:rPr>
                <w:rFonts w:ascii="Arial Narrow" w:hAnsi="Arial Narrow"/>
                <w:sz w:val="20"/>
                <w:lang w:eastAsia="en-AU"/>
              </w:rPr>
              <w:t>0.79</w:t>
            </w:r>
          </w:p>
        </w:tc>
        <w:tc>
          <w:tcPr>
            <w:tcW w:w="625" w:type="dxa"/>
            <w:shd w:val="clear" w:color="auto" w:fill="C6D9F1" w:themeFill="text2" w:themeFillTint="33"/>
            <w:noWrap/>
            <w:tcMar>
              <w:left w:w="57" w:type="dxa"/>
              <w:right w:w="57" w:type="dxa"/>
            </w:tcMar>
            <w:vAlign w:val="center"/>
          </w:tcPr>
          <w:p w14:paraId="53C13D03" w14:textId="77777777" w:rsidR="00A84742" w:rsidRPr="003E79D5" w:rsidRDefault="00A84742" w:rsidP="00A84742">
            <w:pPr>
              <w:spacing w:after="0"/>
              <w:jc w:val="center"/>
              <w:rPr>
                <w:rFonts w:ascii="Arial Narrow" w:hAnsi="Arial Narrow"/>
                <w:sz w:val="20"/>
                <w:lang w:eastAsia="en-AU"/>
              </w:rPr>
            </w:pPr>
            <w:r w:rsidRPr="003E79D5">
              <w:rPr>
                <w:rFonts w:ascii="Arial Narrow" w:hAnsi="Arial Narrow"/>
                <w:sz w:val="20"/>
                <w:lang w:eastAsia="en-AU"/>
              </w:rPr>
              <w:t>0.17</w:t>
            </w:r>
          </w:p>
        </w:tc>
        <w:tc>
          <w:tcPr>
            <w:tcW w:w="626" w:type="dxa"/>
            <w:shd w:val="clear" w:color="auto" w:fill="C6D9F1" w:themeFill="text2" w:themeFillTint="33"/>
            <w:noWrap/>
            <w:tcMar>
              <w:left w:w="57" w:type="dxa"/>
              <w:right w:w="57" w:type="dxa"/>
            </w:tcMar>
            <w:vAlign w:val="center"/>
          </w:tcPr>
          <w:p w14:paraId="53C13D04" w14:textId="77777777" w:rsidR="00A84742" w:rsidRPr="003E79D5" w:rsidRDefault="00A84742" w:rsidP="00A84742">
            <w:pPr>
              <w:spacing w:after="0"/>
              <w:jc w:val="center"/>
              <w:rPr>
                <w:rFonts w:ascii="Arial Narrow" w:hAnsi="Arial Narrow"/>
                <w:sz w:val="20"/>
                <w:lang w:eastAsia="en-AU"/>
              </w:rPr>
            </w:pPr>
            <w:r w:rsidRPr="003E79D5">
              <w:rPr>
                <w:rFonts w:ascii="Arial Narrow" w:hAnsi="Arial Narrow"/>
                <w:sz w:val="20"/>
                <w:lang w:eastAsia="en-AU"/>
              </w:rPr>
              <w:t>0.73</w:t>
            </w:r>
          </w:p>
        </w:tc>
      </w:tr>
      <w:tr w:rsidR="003E79D5" w:rsidRPr="003E79D5" w14:paraId="53C13D14" w14:textId="77777777" w:rsidTr="00F2000D">
        <w:trPr>
          <w:cantSplit/>
          <w:trHeight w:hRule="exact" w:val="301"/>
        </w:trPr>
        <w:tc>
          <w:tcPr>
            <w:tcW w:w="1074" w:type="dxa"/>
            <w:vMerge w:val="restart"/>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tcPr>
          <w:p w14:paraId="53C13D06" w14:textId="77777777" w:rsidR="003E79D5" w:rsidRPr="003E79D5" w:rsidRDefault="003E79D5" w:rsidP="003E79D5">
            <w:pPr>
              <w:spacing w:after="0"/>
              <w:jc w:val="right"/>
              <w:rPr>
                <w:rFonts w:ascii="Arial Narrow" w:hAnsi="Arial Narrow"/>
                <w:sz w:val="20"/>
                <w:lang w:eastAsia="en-AU"/>
              </w:rPr>
            </w:pPr>
            <w:r w:rsidRPr="003E79D5">
              <w:rPr>
                <w:rFonts w:ascii="Arial Narrow" w:hAnsi="Arial Narrow"/>
                <w:sz w:val="20"/>
                <w:lang w:eastAsia="en-AU"/>
              </w:rPr>
              <w:t>2018 to 2019</w:t>
            </w:r>
          </w:p>
        </w:tc>
        <w:tc>
          <w:tcPr>
            <w:tcW w:w="350" w:type="dxa"/>
            <w:tcBorders>
              <w:left w:val="single" w:sz="4" w:space="0" w:color="auto"/>
            </w:tcBorders>
            <w:shd w:val="clear" w:color="auto" w:fill="auto"/>
            <w:noWrap/>
            <w:tcMar>
              <w:left w:w="57" w:type="dxa"/>
              <w:right w:w="57" w:type="dxa"/>
            </w:tcMar>
            <w:vAlign w:val="center"/>
          </w:tcPr>
          <w:p w14:paraId="53C13D07" w14:textId="77777777" w:rsidR="003E79D5" w:rsidRPr="003E79D5" w:rsidRDefault="003E79D5" w:rsidP="003E79D5">
            <w:pPr>
              <w:spacing w:after="0"/>
              <w:jc w:val="center"/>
              <w:rPr>
                <w:rFonts w:ascii="Arial Narrow" w:hAnsi="Arial Narrow"/>
                <w:sz w:val="20"/>
                <w:lang w:eastAsia="en-AU"/>
              </w:rPr>
            </w:pPr>
            <w:r w:rsidRPr="003E79D5">
              <w:rPr>
                <w:rFonts w:ascii="Arial Narrow" w:hAnsi="Arial Narrow"/>
                <w:sz w:val="20"/>
                <w:lang w:eastAsia="en-AU"/>
              </w:rPr>
              <w:t>2</w:t>
            </w:r>
          </w:p>
        </w:tc>
        <w:tc>
          <w:tcPr>
            <w:tcW w:w="625" w:type="dxa"/>
            <w:shd w:val="clear" w:color="auto" w:fill="F2DBDB"/>
            <w:noWrap/>
            <w:tcMar>
              <w:left w:w="57" w:type="dxa"/>
              <w:right w:w="57" w:type="dxa"/>
            </w:tcMar>
          </w:tcPr>
          <w:p w14:paraId="53C13D08" w14:textId="77777777" w:rsidR="003E79D5" w:rsidRPr="003E79D5" w:rsidRDefault="003E79D5" w:rsidP="003E79D5">
            <w:pPr>
              <w:spacing w:after="0"/>
              <w:jc w:val="center"/>
              <w:rPr>
                <w:rFonts w:ascii="Arial Narrow" w:hAnsi="Arial Narrow"/>
                <w:sz w:val="20"/>
                <w:szCs w:val="20"/>
                <w:lang w:eastAsia="en-AU"/>
              </w:rPr>
            </w:pPr>
            <w:r w:rsidRPr="003E79D5">
              <w:rPr>
                <w:rFonts w:ascii="Arial Narrow" w:hAnsi="Arial Narrow"/>
                <w:sz w:val="20"/>
                <w:szCs w:val="20"/>
              </w:rPr>
              <w:t>-0.07</w:t>
            </w:r>
          </w:p>
        </w:tc>
        <w:tc>
          <w:tcPr>
            <w:tcW w:w="625" w:type="dxa"/>
            <w:shd w:val="clear" w:color="auto" w:fill="F2DBDB"/>
            <w:noWrap/>
            <w:tcMar>
              <w:left w:w="57" w:type="dxa"/>
              <w:right w:w="57" w:type="dxa"/>
            </w:tcMar>
          </w:tcPr>
          <w:p w14:paraId="53C13D09" w14:textId="77777777" w:rsidR="003E79D5" w:rsidRPr="003E79D5" w:rsidRDefault="003E79D5" w:rsidP="003E79D5">
            <w:pPr>
              <w:spacing w:after="0"/>
              <w:jc w:val="center"/>
              <w:rPr>
                <w:rFonts w:ascii="Arial Narrow" w:hAnsi="Arial Narrow"/>
                <w:sz w:val="20"/>
                <w:szCs w:val="20"/>
                <w:lang w:eastAsia="en-AU"/>
              </w:rPr>
            </w:pPr>
            <w:r w:rsidRPr="003E79D5">
              <w:rPr>
                <w:rFonts w:ascii="Arial Narrow" w:hAnsi="Arial Narrow"/>
                <w:sz w:val="20"/>
                <w:szCs w:val="20"/>
              </w:rPr>
              <w:t>0.72</w:t>
            </w:r>
          </w:p>
        </w:tc>
        <w:tc>
          <w:tcPr>
            <w:tcW w:w="625" w:type="dxa"/>
            <w:shd w:val="clear" w:color="auto" w:fill="FFFFFF" w:themeFill="background1"/>
            <w:noWrap/>
            <w:tcMar>
              <w:left w:w="57" w:type="dxa"/>
              <w:right w:w="57" w:type="dxa"/>
            </w:tcMar>
          </w:tcPr>
          <w:p w14:paraId="53C13D0A" w14:textId="77777777" w:rsidR="003E79D5" w:rsidRPr="003E79D5" w:rsidRDefault="003E79D5" w:rsidP="003E79D5">
            <w:pPr>
              <w:spacing w:after="0"/>
              <w:jc w:val="center"/>
              <w:rPr>
                <w:rFonts w:ascii="Arial Narrow" w:hAnsi="Arial Narrow"/>
                <w:sz w:val="20"/>
                <w:szCs w:val="20"/>
              </w:rPr>
            </w:pPr>
            <w:r w:rsidRPr="003E79D5">
              <w:rPr>
                <w:rFonts w:ascii="Arial Narrow" w:hAnsi="Arial Narrow"/>
                <w:sz w:val="20"/>
                <w:szCs w:val="20"/>
              </w:rPr>
              <w:t>-0.10</w:t>
            </w:r>
          </w:p>
        </w:tc>
        <w:tc>
          <w:tcPr>
            <w:tcW w:w="603" w:type="dxa"/>
            <w:shd w:val="clear" w:color="auto" w:fill="FFFFFF" w:themeFill="background1"/>
            <w:noWrap/>
            <w:tcMar>
              <w:left w:w="57" w:type="dxa"/>
              <w:right w:w="57" w:type="dxa"/>
            </w:tcMar>
          </w:tcPr>
          <w:p w14:paraId="53C13D0B" w14:textId="77777777" w:rsidR="003E79D5" w:rsidRPr="003E79D5" w:rsidRDefault="003E79D5" w:rsidP="003E79D5">
            <w:pPr>
              <w:spacing w:after="0"/>
              <w:jc w:val="center"/>
              <w:rPr>
                <w:rFonts w:ascii="Arial Narrow" w:hAnsi="Arial Narrow"/>
                <w:sz w:val="20"/>
                <w:szCs w:val="20"/>
              </w:rPr>
            </w:pPr>
            <w:r w:rsidRPr="003E79D5">
              <w:rPr>
                <w:rFonts w:ascii="Arial Narrow" w:hAnsi="Arial Narrow"/>
                <w:sz w:val="20"/>
                <w:szCs w:val="20"/>
              </w:rPr>
              <w:t>0.69</w:t>
            </w:r>
          </w:p>
        </w:tc>
        <w:tc>
          <w:tcPr>
            <w:tcW w:w="647" w:type="dxa"/>
            <w:shd w:val="clear" w:color="auto" w:fill="C6D9F1"/>
            <w:noWrap/>
            <w:tcMar>
              <w:left w:w="57" w:type="dxa"/>
              <w:right w:w="57" w:type="dxa"/>
            </w:tcMar>
          </w:tcPr>
          <w:p w14:paraId="53C13D0C" w14:textId="77777777" w:rsidR="003E79D5" w:rsidRPr="003E79D5" w:rsidRDefault="003E79D5" w:rsidP="003E79D5">
            <w:pPr>
              <w:spacing w:after="0"/>
              <w:jc w:val="center"/>
              <w:rPr>
                <w:rFonts w:ascii="Arial Narrow" w:hAnsi="Arial Narrow"/>
                <w:sz w:val="20"/>
                <w:szCs w:val="20"/>
              </w:rPr>
            </w:pPr>
            <w:r w:rsidRPr="003E79D5">
              <w:rPr>
                <w:rFonts w:ascii="Arial Narrow" w:hAnsi="Arial Narrow"/>
                <w:sz w:val="20"/>
                <w:szCs w:val="20"/>
              </w:rPr>
              <w:t>0.18</w:t>
            </w:r>
          </w:p>
        </w:tc>
        <w:tc>
          <w:tcPr>
            <w:tcW w:w="626" w:type="dxa"/>
            <w:tcBorders>
              <w:right w:val="single" w:sz="4" w:space="0" w:color="auto"/>
            </w:tcBorders>
            <w:shd w:val="clear" w:color="auto" w:fill="C6D9F1"/>
            <w:noWrap/>
            <w:tcMar>
              <w:left w:w="57" w:type="dxa"/>
              <w:right w:w="57" w:type="dxa"/>
            </w:tcMar>
          </w:tcPr>
          <w:p w14:paraId="53C13D0D" w14:textId="77777777" w:rsidR="003E79D5" w:rsidRPr="003E79D5" w:rsidRDefault="003E79D5" w:rsidP="003E79D5">
            <w:pPr>
              <w:spacing w:after="0"/>
              <w:jc w:val="center"/>
              <w:rPr>
                <w:rFonts w:ascii="Arial Narrow" w:hAnsi="Arial Narrow"/>
                <w:sz w:val="20"/>
                <w:szCs w:val="20"/>
                <w:lang w:eastAsia="en-AU"/>
              </w:rPr>
            </w:pPr>
            <w:r w:rsidRPr="003E79D5">
              <w:rPr>
                <w:rFonts w:ascii="Arial Narrow" w:hAnsi="Arial Narrow"/>
                <w:sz w:val="20"/>
                <w:szCs w:val="20"/>
              </w:rPr>
              <w:t>0.77</w:t>
            </w:r>
          </w:p>
        </w:tc>
        <w:tc>
          <w:tcPr>
            <w:tcW w:w="625" w:type="dxa"/>
            <w:shd w:val="clear" w:color="auto" w:fill="FFFFFF" w:themeFill="background1"/>
            <w:noWrap/>
            <w:tcMar>
              <w:left w:w="57" w:type="dxa"/>
              <w:right w:w="57" w:type="dxa"/>
            </w:tcMar>
          </w:tcPr>
          <w:p w14:paraId="53C13D0E" w14:textId="77777777" w:rsidR="003E79D5" w:rsidRPr="003E79D5" w:rsidRDefault="003E79D5" w:rsidP="003E79D5">
            <w:pPr>
              <w:spacing w:after="0"/>
              <w:jc w:val="center"/>
              <w:rPr>
                <w:rFonts w:ascii="Arial Narrow" w:hAnsi="Arial Narrow"/>
                <w:sz w:val="20"/>
                <w:szCs w:val="20"/>
              </w:rPr>
            </w:pPr>
            <w:r w:rsidRPr="003E79D5">
              <w:rPr>
                <w:rFonts w:ascii="Arial Narrow" w:hAnsi="Arial Narrow"/>
                <w:sz w:val="20"/>
                <w:szCs w:val="20"/>
              </w:rPr>
              <w:t>-0.02</w:t>
            </w:r>
          </w:p>
        </w:tc>
        <w:tc>
          <w:tcPr>
            <w:tcW w:w="625" w:type="dxa"/>
            <w:shd w:val="clear" w:color="auto" w:fill="FFFFFF" w:themeFill="background1"/>
            <w:noWrap/>
            <w:tcMar>
              <w:left w:w="57" w:type="dxa"/>
              <w:right w:w="57" w:type="dxa"/>
            </w:tcMar>
          </w:tcPr>
          <w:p w14:paraId="53C13D0F" w14:textId="77777777" w:rsidR="003E79D5" w:rsidRPr="003E79D5" w:rsidRDefault="003E79D5" w:rsidP="003E79D5">
            <w:pPr>
              <w:spacing w:after="0"/>
              <w:jc w:val="center"/>
              <w:rPr>
                <w:rFonts w:ascii="Arial Narrow" w:hAnsi="Arial Narrow"/>
                <w:sz w:val="20"/>
                <w:szCs w:val="20"/>
                <w:lang w:eastAsia="en-AU"/>
              </w:rPr>
            </w:pPr>
            <w:r w:rsidRPr="003E79D5">
              <w:rPr>
                <w:rFonts w:ascii="Arial Narrow" w:hAnsi="Arial Narrow"/>
                <w:sz w:val="20"/>
                <w:szCs w:val="20"/>
              </w:rPr>
              <w:t>0.65</w:t>
            </w:r>
          </w:p>
        </w:tc>
        <w:tc>
          <w:tcPr>
            <w:tcW w:w="625" w:type="dxa"/>
            <w:shd w:val="clear" w:color="auto" w:fill="548DD4" w:themeFill="text2" w:themeFillTint="99"/>
            <w:noWrap/>
            <w:tcMar>
              <w:left w:w="57" w:type="dxa"/>
              <w:right w:w="57" w:type="dxa"/>
            </w:tcMar>
          </w:tcPr>
          <w:p w14:paraId="53C13D10" w14:textId="77777777" w:rsidR="003E79D5" w:rsidRPr="003E79D5" w:rsidRDefault="003E79D5" w:rsidP="003E79D5">
            <w:pPr>
              <w:spacing w:after="0"/>
              <w:jc w:val="center"/>
              <w:rPr>
                <w:rFonts w:ascii="Arial Narrow" w:hAnsi="Arial Narrow"/>
                <w:sz w:val="20"/>
                <w:szCs w:val="20"/>
              </w:rPr>
            </w:pPr>
            <w:r w:rsidRPr="003E79D5">
              <w:rPr>
                <w:rFonts w:ascii="Arial Narrow" w:hAnsi="Arial Narrow"/>
                <w:sz w:val="20"/>
                <w:szCs w:val="20"/>
              </w:rPr>
              <w:t>0.08</w:t>
            </w:r>
          </w:p>
        </w:tc>
        <w:tc>
          <w:tcPr>
            <w:tcW w:w="625" w:type="dxa"/>
            <w:shd w:val="clear" w:color="auto" w:fill="548DD4" w:themeFill="text2" w:themeFillTint="99"/>
            <w:noWrap/>
            <w:tcMar>
              <w:left w:w="57" w:type="dxa"/>
              <w:right w:w="57" w:type="dxa"/>
            </w:tcMar>
          </w:tcPr>
          <w:p w14:paraId="53C13D11" w14:textId="77777777" w:rsidR="003E79D5" w:rsidRPr="003E79D5" w:rsidRDefault="003E79D5" w:rsidP="003E79D5">
            <w:pPr>
              <w:spacing w:after="0"/>
              <w:jc w:val="center"/>
              <w:rPr>
                <w:rFonts w:ascii="Arial Narrow" w:hAnsi="Arial Narrow"/>
                <w:sz w:val="20"/>
                <w:szCs w:val="20"/>
              </w:rPr>
            </w:pPr>
            <w:r w:rsidRPr="003E79D5">
              <w:rPr>
                <w:rFonts w:ascii="Arial Narrow" w:hAnsi="Arial Narrow"/>
                <w:sz w:val="20"/>
                <w:szCs w:val="20"/>
              </w:rPr>
              <w:t>0.90</w:t>
            </w:r>
          </w:p>
        </w:tc>
        <w:tc>
          <w:tcPr>
            <w:tcW w:w="625" w:type="dxa"/>
            <w:shd w:val="clear" w:color="auto" w:fill="F2DBDB"/>
            <w:noWrap/>
            <w:tcMar>
              <w:left w:w="57" w:type="dxa"/>
              <w:right w:w="57" w:type="dxa"/>
            </w:tcMar>
          </w:tcPr>
          <w:p w14:paraId="53C13D12" w14:textId="77777777" w:rsidR="003E79D5" w:rsidRPr="003E79D5" w:rsidRDefault="003E79D5" w:rsidP="003E79D5">
            <w:pPr>
              <w:spacing w:after="0"/>
              <w:jc w:val="center"/>
              <w:rPr>
                <w:rFonts w:ascii="Arial Narrow" w:hAnsi="Arial Narrow"/>
                <w:sz w:val="20"/>
                <w:szCs w:val="20"/>
              </w:rPr>
            </w:pPr>
            <w:r w:rsidRPr="003E79D5">
              <w:rPr>
                <w:rFonts w:ascii="Arial Narrow" w:hAnsi="Arial Narrow"/>
                <w:sz w:val="20"/>
                <w:szCs w:val="20"/>
              </w:rPr>
              <w:t>-0.50</w:t>
            </w:r>
          </w:p>
        </w:tc>
        <w:tc>
          <w:tcPr>
            <w:tcW w:w="626" w:type="dxa"/>
            <w:shd w:val="clear" w:color="auto" w:fill="F2DBDB"/>
            <w:noWrap/>
            <w:tcMar>
              <w:left w:w="57" w:type="dxa"/>
              <w:right w:w="57" w:type="dxa"/>
            </w:tcMar>
          </w:tcPr>
          <w:p w14:paraId="53C13D13" w14:textId="77777777" w:rsidR="003E79D5" w:rsidRPr="003E79D5" w:rsidRDefault="003E79D5" w:rsidP="003E79D5">
            <w:pPr>
              <w:spacing w:after="0"/>
              <w:jc w:val="center"/>
              <w:rPr>
                <w:rFonts w:ascii="Arial Narrow" w:hAnsi="Arial Narrow"/>
                <w:sz w:val="20"/>
                <w:szCs w:val="20"/>
                <w:lang w:eastAsia="en-AU"/>
              </w:rPr>
            </w:pPr>
            <w:r w:rsidRPr="003E79D5">
              <w:rPr>
                <w:rFonts w:ascii="Arial Narrow" w:hAnsi="Arial Narrow"/>
                <w:sz w:val="20"/>
                <w:szCs w:val="20"/>
              </w:rPr>
              <w:t>0.76</w:t>
            </w:r>
          </w:p>
        </w:tc>
      </w:tr>
      <w:tr w:rsidR="003E79D5" w:rsidRPr="003E79D5" w14:paraId="53C13D23" w14:textId="77777777" w:rsidTr="00F2000D">
        <w:trPr>
          <w:cantSplit/>
          <w:trHeight w:hRule="exact" w:val="301"/>
        </w:trPr>
        <w:tc>
          <w:tcPr>
            <w:tcW w:w="1074" w:type="dxa"/>
            <w:vMerge/>
            <w:tcBorders>
              <w:left w:val="single" w:sz="4" w:space="0" w:color="auto"/>
              <w:bottom w:val="single" w:sz="4" w:space="0" w:color="auto"/>
              <w:right w:val="single" w:sz="4" w:space="0" w:color="auto"/>
            </w:tcBorders>
            <w:shd w:val="clear" w:color="auto" w:fill="auto"/>
            <w:noWrap/>
            <w:tcMar>
              <w:left w:w="57" w:type="dxa"/>
              <w:right w:w="57" w:type="dxa"/>
            </w:tcMar>
            <w:vAlign w:val="center"/>
          </w:tcPr>
          <w:p w14:paraId="53C13D15" w14:textId="77777777" w:rsidR="003E79D5" w:rsidRPr="003E79D5" w:rsidRDefault="003E79D5" w:rsidP="003E79D5">
            <w:pPr>
              <w:spacing w:after="0"/>
              <w:jc w:val="right"/>
              <w:rPr>
                <w:rFonts w:ascii="Arial Narrow" w:hAnsi="Arial Narrow"/>
                <w:sz w:val="20"/>
                <w:lang w:eastAsia="en-AU"/>
              </w:rPr>
            </w:pPr>
          </w:p>
        </w:tc>
        <w:tc>
          <w:tcPr>
            <w:tcW w:w="350" w:type="dxa"/>
            <w:tcBorders>
              <w:left w:val="single" w:sz="4" w:space="0" w:color="auto"/>
              <w:bottom w:val="single" w:sz="4" w:space="0" w:color="auto"/>
            </w:tcBorders>
            <w:shd w:val="clear" w:color="auto" w:fill="auto"/>
            <w:noWrap/>
            <w:tcMar>
              <w:left w:w="57" w:type="dxa"/>
              <w:right w:w="57" w:type="dxa"/>
            </w:tcMar>
            <w:vAlign w:val="center"/>
          </w:tcPr>
          <w:p w14:paraId="53C13D16" w14:textId="77777777" w:rsidR="003E79D5" w:rsidRPr="003E79D5" w:rsidRDefault="003E79D5" w:rsidP="003E79D5">
            <w:pPr>
              <w:spacing w:after="0"/>
              <w:jc w:val="center"/>
              <w:rPr>
                <w:rFonts w:ascii="Arial Narrow" w:hAnsi="Arial Narrow"/>
                <w:sz w:val="20"/>
                <w:lang w:eastAsia="en-AU"/>
              </w:rPr>
            </w:pPr>
            <w:r w:rsidRPr="003E79D5">
              <w:rPr>
                <w:rFonts w:ascii="Arial Narrow" w:hAnsi="Arial Narrow"/>
                <w:sz w:val="20"/>
                <w:lang w:eastAsia="en-AU"/>
              </w:rPr>
              <w:t>5</w:t>
            </w:r>
          </w:p>
        </w:tc>
        <w:tc>
          <w:tcPr>
            <w:tcW w:w="625" w:type="dxa"/>
            <w:tcBorders>
              <w:bottom w:val="single" w:sz="4" w:space="0" w:color="auto"/>
            </w:tcBorders>
            <w:shd w:val="clear" w:color="auto" w:fill="F2DBDB"/>
            <w:noWrap/>
            <w:tcMar>
              <w:left w:w="57" w:type="dxa"/>
              <w:right w:w="57" w:type="dxa"/>
            </w:tcMar>
          </w:tcPr>
          <w:p w14:paraId="53C13D17" w14:textId="77777777" w:rsidR="003E79D5" w:rsidRPr="003E79D5" w:rsidRDefault="003E79D5" w:rsidP="003E79D5">
            <w:pPr>
              <w:spacing w:after="0"/>
              <w:jc w:val="center"/>
              <w:rPr>
                <w:rFonts w:ascii="Arial Narrow" w:hAnsi="Arial Narrow"/>
                <w:sz w:val="20"/>
                <w:szCs w:val="20"/>
                <w:lang w:eastAsia="en-AU"/>
              </w:rPr>
            </w:pPr>
            <w:r w:rsidRPr="003E79D5">
              <w:rPr>
                <w:rFonts w:ascii="Arial Narrow" w:hAnsi="Arial Narrow"/>
                <w:sz w:val="20"/>
                <w:szCs w:val="20"/>
              </w:rPr>
              <w:t>-0.07</w:t>
            </w:r>
          </w:p>
        </w:tc>
        <w:tc>
          <w:tcPr>
            <w:tcW w:w="625" w:type="dxa"/>
            <w:tcBorders>
              <w:bottom w:val="single" w:sz="4" w:space="0" w:color="auto"/>
            </w:tcBorders>
            <w:shd w:val="clear" w:color="auto" w:fill="F2DBDB"/>
            <w:noWrap/>
            <w:tcMar>
              <w:left w:w="57" w:type="dxa"/>
              <w:right w:w="57" w:type="dxa"/>
            </w:tcMar>
          </w:tcPr>
          <w:p w14:paraId="53C13D18" w14:textId="77777777" w:rsidR="003E79D5" w:rsidRPr="003E79D5" w:rsidRDefault="003E79D5" w:rsidP="003E79D5">
            <w:pPr>
              <w:spacing w:after="0"/>
              <w:jc w:val="center"/>
              <w:rPr>
                <w:rFonts w:ascii="Arial Narrow" w:hAnsi="Arial Narrow"/>
                <w:sz w:val="20"/>
                <w:szCs w:val="20"/>
                <w:lang w:eastAsia="en-AU"/>
              </w:rPr>
            </w:pPr>
            <w:r w:rsidRPr="003E79D5">
              <w:rPr>
                <w:rFonts w:ascii="Arial Narrow" w:hAnsi="Arial Narrow"/>
                <w:sz w:val="20"/>
                <w:szCs w:val="20"/>
              </w:rPr>
              <w:t>0.76</w:t>
            </w:r>
          </w:p>
        </w:tc>
        <w:tc>
          <w:tcPr>
            <w:tcW w:w="625" w:type="dxa"/>
            <w:tcBorders>
              <w:bottom w:val="single" w:sz="4" w:space="0" w:color="auto"/>
            </w:tcBorders>
            <w:shd w:val="clear" w:color="auto" w:fill="FFFFFF" w:themeFill="background1"/>
            <w:noWrap/>
            <w:tcMar>
              <w:left w:w="57" w:type="dxa"/>
              <w:right w:w="57" w:type="dxa"/>
            </w:tcMar>
          </w:tcPr>
          <w:p w14:paraId="53C13D19" w14:textId="77777777" w:rsidR="003E79D5" w:rsidRPr="003E79D5" w:rsidRDefault="003E79D5" w:rsidP="003E79D5">
            <w:pPr>
              <w:spacing w:after="0"/>
              <w:jc w:val="center"/>
              <w:rPr>
                <w:rFonts w:ascii="Arial Narrow" w:hAnsi="Arial Narrow"/>
                <w:sz w:val="20"/>
                <w:szCs w:val="20"/>
              </w:rPr>
            </w:pPr>
            <w:r w:rsidRPr="003E79D5">
              <w:rPr>
                <w:rFonts w:ascii="Arial Narrow" w:hAnsi="Arial Narrow"/>
                <w:sz w:val="20"/>
                <w:szCs w:val="20"/>
              </w:rPr>
              <w:t>-0.02</w:t>
            </w:r>
          </w:p>
        </w:tc>
        <w:tc>
          <w:tcPr>
            <w:tcW w:w="603" w:type="dxa"/>
            <w:tcBorders>
              <w:bottom w:val="single" w:sz="4" w:space="0" w:color="auto"/>
            </w:tcBorders>
            <w:shd w:val="clear" w:color="auto" w:fill="FFFFFF" w:themeFill="background1"/>
            <w:noWrap/>
            <w:tcMar>
              <w:left w:w="57" w:type="dxa"/>
              <w:right w:w="57" w:type="dxa"/>
            </w:tcMar>
          </w:tcPr>
          <w:p w14:paraId="53C13D1A" w14:textId="77777777" w:rsidR="003E79D5" w:rsidRPr="003E79D5" w:rsidRDefault="003E79D5" w:rsidP="003E79D5">
            <w:pPr>
              <w:spacing w:after="0"/>
              <w:jc w:val="center"/>
              <w:rPr>
                <w:rFonts w:ascii="Arial Narrow" w:hAnsi="Arial Narrow"/>
                <w:sz w:val="20"/>
                <w:szCs w:val="20"/>
              </w:rPr>
            </w:pPr>
            <w:r w:rsidRPr="003E79D5">
              <w:rPr>
                <w:rFonts w:ascii="Arial Narrow" w:hAnsi="Arial Narrow"/>
                <w:sz w:val="20"/>
                <w:szCs w:val="20"/>
              </w:rPr>
              <w:t>0.55</w:t>
            </w:r>
          </w:p>
        </w:tc>
        <w:tc>
          <w:tcPr>
            <w:tcW w:w="647" w:type="dxa"/>
            <w:tcBorders>
              <w:bottom w:val="single" w:sz="4" w:space="0" w:color="auto"/>
            </w:tcBorders>
            <w:shd w:val="clear" w:color="auto" w:fill="E5B8B7"/>
            <w:noWrap/>
            <w:tcMar>
              <w:left w:w="57" w:type="dxa"/>
              <w:right w:w="57" w:type="dxa"/>
            </w:tcMar>
          </w:tcPr>
          <w:p w14:paraId="53C13D1B" w14:textId="77777777" w:rsidR="003E79D5" w:rsidRPr="003E79D5" w:rsidRDefault="003E79D5" w:rsidP="003E79D5">
            <w:pPr>
              <w:spacing w:after="0"/>
              <w:jc w:val="center"/>
              <w:rPr>
                <w:rFonts w:ascii="Arial Narrow" w:hAnsi="Arial Narrow"/>
                <w:sz w:val="20"/>
                <w:szCs w:val="20"/>
              </w:rPr>
            </w:pPr>
            <w:r w:rsidRPr="003E79D5">
              <w:rPr>
                <w:rFonts w:ascii="Arial Narrow" w:hAnsi="Arial Narrow"/>
                <w:sz w:val="20"/>
                <w:szCs w:val="20"/>
              </w:rPr>
              <w:t>-0.23</w:t>
            </w:r>
          </w:p>
        </w:tc>
        <w:tc>
          <w:tcPr>
            <w:tcW w:w="626" w:type="dxa"/>
            <w:tcBorders>
              <w:bottom w:val="single" w:sz="4" w:space="0" w:color="auto"/>
              <w:right w:val="single" w:sz="4" w:space="0" w:color="auto"/>
            </w:tcBorders>
            <w:shd w:val="clear" w:color="auto" w:fill="E5B8B7"/>
            <w:noWrap/>
            <w:tcMar>
              <w:left w:w="57" w:type="dxa"/>
              <w:right w:w="57" w:type="dxa"/>
            </w:tcMar>
          </w:tcPr>
          <w:p w14:paraId="53C13D1C" w14:textId="77777777" w:rsidR="003E79D5" w:rsidRPr="003E79D5" w:rsidRDefault="003E79D5" w:rsidP="003E79D5">
            <w:pPr>
              <w:spacing w:after="0"/>
              <w:jc w:val="center"/>
              <w:rPr>
                <w:rFonts w:ascii="Arial Narrow" w:hAnsi="Arial Narrow"/>
                <w:sz w:val="20"/>
                <w:szCs w:val="20"/>
                <w:lang w:eastAsia="en-AU"/>
              </w:rPr>
            </w:pPr>
            <w:r w:rsidRPr="003E79D5">
              <w:rPr>
                <w:rFonts w:ascii="Arial Narrow" w:hAnsi="Arial Narrow"/>
                <w:sz w:val="20"/>
                <w:szCs w:val="20"/>
              </w:rPr>
              <w:t>0.85</w:t>
            </w:r>
          </w:p>
        </w:tc>
        <w:tc>
          <w:tcPr>
            <w:tcW w:w="625" w:type="dxa"/>
            <w:tcBorders>
              <w:bottom w:val="single" w:sz="4" w:space="0" w:color="auto"/>
            </w:tcBorders>
            <w:shd w:val="clear" w:color="auto" w:fill="FFFFFF" w:themeFill="background1"/>
            <w:noWrap/>
            <w:tcMar>
              <w:left w:w="57" w:type="dxa"/>
              <w:right w:w="57" w:type="dxa"/>
            </w:tcMar>
          </w:tcPr>
          <w:p w14:paraId="53C13D1D" w14:textId="77777777" w:rsidR="003E79D5" w:rsidRPr="003E79D5" w:rsidRDefault="003E79D5" w:rsidP="003E79D5">
            <w:pPr>
              <w:spacing w:after="0"/>
              <w:jc w:val="center"/>
              <w:rPr>
                <w:rFonts w:ascii="Arial Narrow" w:hAnsi="Arial Narrow"/>
                <w:sz w:val="20"/>
                <w:szCs w:val="20"/>
              </w:rPr>
            </w:pPr>
            <w:r w:rsidRPr="003E79D5">
              <w:rPr>
                <w:rFonts w:ascii="Arial Narrow" w:hAnsi="Arial Narrow"/>
                <w:sz w:val="20"/>
                <w:szCs w:val="20"/>
              </w:rPr>
              <w:t>-0.08</w:t>
            </w:r>
          </w:p>
        </w:tc>
        <w:tc>
          <w:tcPr>
            <w:tcW w:w="625" w:type="dxa"/>
            <w:tcBorders>
              <w:bottom w:val="single" w:sz="4" w:space="0" w:color="auto"/>
            </w:tcBorders>
            <w:shd w:val="clear" w:color="auto" w:fill="FFFFFF" w:themeFill="background1"/>
            <w:noWrap/>
            <w:tcMar>
              <w:left w:w="57" w:type="dxa"/>
              <w:right w:w="57" w:type="dxa"/>
            </w:tcMar>
          </w:tcPr>
          <w:p w14:paraId="53C13D1E" w14:textId="77777777" w:rsidR="003E79D5" w:rsidRPr="003E79D5" w:rsidRDefault="003E79D5" w:rsidP="003E79D5">
            <w:pPr>
              <w:spacing w:after="0"/>
              <w:jc w:val="center"/>
              <w:rPr>
                <w:rFonts w:ascii="Arial Narrow" w:hAnsi="Arial Narrow"/>
                <w:sz w:val="20"/>
                <w:szCs w:val="20"/>
                <w:lang w:eastAsia="en-AU"/>
              </w:rPr>
            </w:pPr>
            <w:r w:rsidRPr="003E79D5">
              <w:rPr>
                <w:rFonts w:ascii="Arial Narrow" w:hAnsi="Arial Narrow"/>
                <w:sz w:val="20"/>
                <w:szCs w:val="20"/>
              </w:rPr>
              <w:t>0.66</w:t>
            </w:r>
          </w:p>
        </w:tc>
        <w:tc>
          <w:tcPr>
            <w:tcW w:w="625" w:type="dxa"/>
            <w:tcBorders>
              <w:bottom w:val="single" w:sz="4" w:space="0" w:color="auto"/>
            </w:tcBorders>
            <w:shd w:val="clear" w:color="auto" w:fill="auto"/>
            <w:noWrap/>
            <w:tcMar>
              <w:left w:w="57" w:type="dxa"/>
              <w:right w:w="57" w:type="dxa"/>
            </w:tcMar>
          </w:tcPr>
          <w:p w14:paraId="53C13D1F" w14:textId="77777777" w:rsidR="003E79D5" w:rsidRPr="003E79D5" w:rsidRDefault="003E79D5" w:rsidP="003E79D5">
            <w:pPr>
              <w:spacing w:after="0"/>
              <w:jc w:val="center"/>
              <w:rPr>
                <w:rFonts w:ascii="Arial Narrow" w:hAnsi="Arial Narrow"/>
                <w:sz w:val="20"/>
                <w:szCs w:val="20"/>
              </w:rPr>
            </w:pPr>
            <w:r w:rsidRPr="003E79D5">
              <w:rPr>
                <w:rFonts w:ascii="Arial Narrow" w:hAnsi="Arial Narrow"/>
                <w:sz w:val="20"/>
                <w:szCs w:val="20"/>
              </w:rPr>
              <w:t>-0.02</w:t>
            </w:r>
          </w:p>
        </w:tc>
        <w:tc>
          <w:tcPr>
            <w:tcW w:w="625" w:type="dxa"/>
            <w:tcBorders>
              <w:bottom w:val="single" w:sz="4" w:space="0" w:color="auto"/>
            </w:tcBorders>
            <w:shd w:val="clear" w:color="auto" w:fill="auto"/>
            <w:noWrap/>
            <w:tcMar>
              <w:left w:w="57" w:type="dxa"/>
              <w:right w:w="57" w:type="dxa"/>
            </w:tcMar>
          </w:tcPr>
          <w:p w14:paraId="53C13D20" w14:textId="77777777" w:rsidR="003E79D5" w:rsidRPr="003E79D5" w:rsidRDefault="003E79D5" w:rsidP="003E79D5">
            <w:pPr>
              <w:spacing w:after="0"/>
              <w:jc w:val="center"/>
              <w:rPr>
                <w:rFonts w:ascii="Arial Narrow" w:hAnsi="Arial Narrow"/>
                <w:sz w:val="20"/>
                <w:szCs w:val="20"/>
              </w:rPr>
            </w:pPr>
            <w:r w:rsidRPr="003E79D5">
              <w:rPr>
                <w:rFonts w:ascii="Arial Narrow" w:hAnsi="Arial Narrow"/>
                <w:sz w:val="20"/>
                <w:szCs w:val="20"/>
              </w:rPr>
              <w:t>0.55</w:t>
            </w:r>
          </w:p>
        </w:tc>
        <w:tc>
          <w:tcPr>
            <w:tcW w:w="625" w:type="dxa"/>
            <w:tcBorders>
              <w:bottom w:val="single" w:sz="4" w:space="0" w:color="auto"/>
            </w:tcBorders>
            <w:shd w:val="clear" w:color="auto" w:fill="auto"/>
            <w:noWrap/>
            <w:tcMar>
              <w:left w:w="57" w:type="dxa"/>
              <w:right w:w="57" w:type="dxa"/>
            </w:tcMar>
          </w:tcPr>
          <w:p w14:paraId="53C13D21" w14:textId="77777777" w:rsidR="003E79D5" w:rsidRPr="003E79D5" w:rsidRDefault="003E79D5" w:rsidP="003E79D5">
            <w:pPr>
              <w:spacing w:after="0"/>
              <w:jc w:val="center"/>
              <w:rPr>
                <w:rFonts w:ascii="Arial Narrow" w:hAnsi="Arial Narrow"/>
                <w:sz w:val="20"/>
                <w:szCs w:val="20"/>
              </w:rPr>
            </w:pPr>
            <w:r w:rsidRPr="003E79D5">
              <w:rPr>
                <w:rFonts w:ascii="Arial Narrow" w:hAnsi="Arial Narrow"/>
                <w:sz w:val="20"/>
                <w:szCs w:val="20"/>
              </w:rPr>
              <w:t>0.00</w:t>
            </w:r>
          </w:p>
        </w:tc>
        <w:tc>
          <w:tcPr>
            <w:tcW w:w="626" w:type="dxa"/>
            <w:tcBorders>
              <w:bottom w:val="single" w:sz="4" w:space="0" w:color="auto"/>
            </w:tcBorders>
            <w:shd w:val="clear" w:color="auto" w:fill="auto"/>
            <w:noWrap/>
            <w:tcMar>
              <w:left w:w="57" w:type="dxa"/>
              <w:right w:w="57" w:type="dxa"/>
            </w:tcMar>
          </w:tcPr>
          <w:p w14:paraId="53C13D22" w14:textId="77777777" w:rsidR="003E79D5" w:rsidRPr="003E79D5" w:rsidRDefault="003E79D5" w:rsidP="003E79D5">
            <w:pPr>
              <w:spacing w:after="0"/>
              <w:jc w:val="center"/>
              <w:rPr>
                <w:rFonts w:ascii="Arial Narrow" w:hAnsi="Arial Narrow"/>
                <w:sz w:val="20"/>
                <w:szCs w:val="20"/>
                <w:lang w:eastAsia="en-AU"/>
              </w:rPr>
            </w:pPr>
            <w:r w:rsidRPr="003E79D5">
              <w:rPr>
                <w:rFonts w:ascii="Arial Narrow" w:hAnsi="Arial Narrow"/>
                <w:sz w:val="20"/>
                <w:szCs w:val="20"/>
              </w:rPr>
              <w:t>0.00</w:t>
            </w:r>
          </w:p>
        </w:tc>
      </w:tr>
    </w:tbl>
    <w:p w14:paraId="53C13D24" w14:textId="77777777" w:rsidR="00A84742" w:rsidRPr="004B2398" w:rsidRDefault="00A84742" w:rsidP="00A84742">
      <w:pPr>
        <w:rPr>
          <w:color w:val="000000" w:themeColor="text1"/>
        </w:rPr>
      </w:pPr>
    </w:p>
    <w:p w14:paraId="53C13D25" w14:textId="4C10D0A6" w:rsidR="00C02FA1" w:rsidRDefault="00B07BC7" w:rsidP="00D10540">
      <w:r w:rsidRPr="005518AF">
        <w:t xml:space="preserve">The decline in the </w:t>
      </w:r>
      <w:r w:rsidR="00F02AB7">
        <w:t xml:space="preserve">index reflects a combination of </w:t>
      </w:r>
      <w:r w:rsidRPr="005518AF">
        <w:t xml:space="preserve">disturbances in recent years. </w:t>
      </w:r>
      <w:r w:rsidR="00F02AB7">
        <w:t xml:space="preserve">The recent survey of </w:t>
      </w:r>
      <w:r w:rsidRPr="005518AF">
        <w:t xml:space="preserve">Low Isles, </w:t>
      </w:r>
      <w:r w:rsidR="00F02AB7">
        <w:t xml:space="preserve">was the first resurvey </w:t>
      </w:r>
      <w:r w:rsidR="00D44A99">
        <w:t xml:space="preserve">since late 2016 and documents </w:t>
      </w:r>
      <w:r w:rsidR="00D44A99" w:rsidRPr="005518AF">
        <w:t xml:space="preserve">a 24% reduction in coral cover </w:t>
      </w:r>
      <w:r w:rsidR="00D44A99">
        <w:t xml:space="preserve">due to the cumulative impact of </w:t>
      </w:r>
      <w:r w:rsidR="007C063D">
        <w:t xml:space="preserve">thermal </w:t>
      </w:r>
      <w:r w:rsidR="00D44A99">
        <w:t xml:space="preserve">bleaching in </w:t>
      </w:r>
      <w:r w:rsidRPr="005518AF">
        <w:t xml:space="preserve">2017 </w:t>
      </w:r>
      <w:r w:rsidR="00D44A99">
        <w:t>and</w:t>
      </w:r>
      <w:r w:rsidRPr="005518AF">
        <w:t xml:space="preserve"> the ongoing presence of </w:t>
      </w:r>
      <w:r w:rsidR="009C4378">
        <w:t>c</w:t>
      </w:r>
      <w:r w:rsidR="00461BC3">
        <w:t>rown-of-thorns-</w:t>
      </w:r>
      <w:r w:rsidR="009C4378">
        <w:t>starfish</w:t>
      </w:r>
      <w:r w:rsidR="00D10540">
        <w:t xml:space="preserve"> (</w:t>
      </w:r>
      <w:r w:rsidR="00F02AB7">
        <w:fldChar w:fldCharType="begin"/>
      </w:r>
      <w:r w:rsidR="00F02AB7">
        <w:instrText xml:space="preserve"> REF _Ref528584218 \h </w:instrText>
      </w:r>
      <w:r w:rsidR="00D10540">
        <w:instrText xml:space="preserve"> \* MERGEFORMAT </w:instrText>
      </w:r>
      <w:r w:rsidR="00F02AB7">
        <w:fldChar w:fldCharType="separate"/>
      </w:r>
      <w:r w:rsidR="003053D1" w:rsidRPr="002445C4">
        <w:t xml:space="preserve">Figure A </w:t>
      </w:r>
      <w:r w:rsidR="003053D1">
        <w:rPr>
          <w:noProof/>
        </w:rPr>
        <w:t>1</w:t>
      </w:r>
      <w:r w:rsidR="00F02AB7">
        <w:fldChar w:fldCharType="end"/>
      </w:r>
      <w:r w:rsidR="005518AF" w:rsidRPr="005518AF">
        <w:t xml:space="preserve">). </w:t>
      </w:r>
      <w:r w:rsidR="00F02AB7">
        <w:t>Coral cover also declined at the 2 m sites at Snapper Island where exposure to low salinity flood waters during record discharge from the Daintree River</w:t>
      </w:r>
      <w:r w:rsidR="00D44A99">
        <w:t>, and</w:t>
      </w:r>
      <w:r w:rsidR="00F02AB7">
        <w:t xml:space="preserve"> wave damage attributed to pre-cyclone Owen (</w:t>
      </w:r>
      <w:r w:rsidR="00275E3B">
        <w:fldChar w:fldCharType="begin"/>
      </w:r>
      <w:r w:rsidR="00275E3B">
        <w:instrText xml:space="preserve"> REF _Ref25168720 \h </w:instrText>
      </w:r>
      <w:r w:rsidR="00D10540">
        <w:instrText xml:space="preserve"> \* MERGEFORMAT </w:instrText>
      </w:r>
      <w:r w:rsidR="00275E3B">
        <w:fldChar w:fldCharType="separate"/>
      </w:r>
      <w:r w:rsidR="003053D1">
        <w:t xml:space="preserve">Figure </w:t>
      </w:r>
      <w:r w:rsidR="003053D1">
        <w:rPr>
          <w:noProof/>
        </w:rPr>
        <w:t>8</w:t>
      </w:r>
      <w:r w:rsidR="00275E3B">
        <w:fldChar w:fldCharType="end"/>
      </w:r>
      <w:r w:rsidR="00F02AB7">
        <w:t xml:space="preserve">) </w:t>
      </w:r>
      <w:r w:rsidR="005518AF" w:rsidRPr="005518AF">
        <w:t xml:space="preserve">resulted in a 38% loss of coral cover </w:t>
      </w:r>
      <w:r w:rsidR="0022526D" w:rsidRPr="005518AF">
        <w:t>(</w:t>
      </w:r>
      <w:r w:rsidR="00427E3C">
        <w:fldChar w:fldCharType="begin"/>
      </w:r>
      <w:r w:rsidR="00427E3C">
        <w:instrText xml:space="preserve"> REF _Ref30660433 \h </w:instrText>
      </w:r>
      <w:r w:rsidR="00427E3C">
        <w:fldChar w:fldCharType="separate"/>
      </w:r>
      <w:r w:rsidR="003053D1">
        <w:t xml:space="preserve">Table A </w:t>
      </w:r>
      <w:r w:rsidR="003053D1">
        <w:rPr>
          <w:noProof/>
        </w:rPr>
        <w:t>7</w:t>
      </w:r>
      <w:r w:rsidR="00427E3C">
        <w:fldChar w:fldCharType="end"/>
      </w:r>
      <w:r w:rsidR="0022526D">
        <w:t xml:space="preserve">, </w:t>
      </w:r>
      <w:r w:rsidR="0022526D">
        <w:fldChar w:fldCharType="begin"/>
      </w:r>
      <w:r w:rsidR="0022526D">
        <w:instrText xml:space="preserve"> REF _Ref528584218 \h  \* MERGEFORMAT </w:instrText>
      </w:r>
      <w:r w:rsidR="0022526D">
        <w:fldChar w:fldCharType="separate"/>
      </w:r>
      <w:r w:rsidR="003053D1" w:rsidRPr="002445C4">
        <w:t xml:space="preserve">Figure A </w:t>
      </w:r>
      <w:r w:rsidR="003053D1">
        <w:rPr>
          <w:noProof/>
        </w:rPr>
        <w:t>1</w:t>
      </w:r>
      <w:r w:rsidR="0022526D">
        <w:fldChar w:fldCharType="end"/>
      </w:r>
      <w:r w:rsidR="0022526D" w:rsidRPr="005518AF">
        <w:t>).</w:t>
      </w:r>
      <w:r w:rsidR="0022526D">
        <w:rPr>
          <w:color w:val="548DD4" w:themeColor="text2" w:themeTint="99"/>
        </w:rPr>
        <w:t xml:space="preserve"> </w:t>
      </w:r>
      <w:r w:rsidR="007C2D20" w:rsidRPr="007C2D20">
        <w:t xml:space="preserve">Elsewhere, recovery of the coral communities </w:t>
      </w:r>
      <w:r w:rsidR="00AE6F4E">
        <w:t>is</w:t>
      </w:r>
      <w:r w:rsidR="007C2D20" w:rsidRPr="007C2D20">
        <w:t xml:space="preserve"> continuing</w:t>
      </w:r>
      <w:r w:rsidR="00B739BB">
        <w:t xml:space="preserve"> in the absence of acute pressures</w:t>
      </w:r>
      <w:r w:rsidR="007C2D20" w:rsidRPr="007C2D20">
        <w:t>.</w:t>
      </w:r>
    </w:p>
    <w:p w14:paraId="53C13D26" w14:textId="7FBECF08" w:rsidR="005A56E8" w:rsidRPr="00411DFF" w:rsidRDefault="007C2D20" w:rsidP="007C2D20">
      <w:r w:rsidRPr="007C2D20">
        <w:t>Sub-regional coral cover reached a low in 2015 (</w:t>
      </w:r>
      <w:r w:rsidR="002C206B">
        <w:fldChar w:fldCharType="begin"/>
      </w:r>
      <w:r w:rsidR="002C206B">
        <w:instrText xml:space="preserve"> REF _Ref30748933 \h </w:instrText>
      </w:r>
      <w:r w:rsidR="002C206B">
        <w:fldChar w:fldCharType="separate"/>
      </w:r>
      <w:r w:rsidR="003053D1">
        <w:t xml:space="preserve">Figure </w:t>
      </w:r>
      <w:r w:rsidR="003053D1">
        <w:rPr>
          <w:noProof/>
        </w:rPr>
        <w:t>14</w:t>
      </w:r>
      <w:r w:rsidR="002C206B">
        <w:fldChar w:fldCharType="end"/>
      </w:r>
      <w:r w:rsidR="00AE6F4E">
        <w:t xml:space="preserve">, </w:t>
      </w:r>
      <w:r w:rsidRPr="007C2D20">
        <w:fldChar w:fldCharType="begin"/>
      </w:r>
      <w:r w:rsidRPr="007C2D20">
        <w:instrText xml:space="preserve"> REF _Ref491178290 \h </w:instrText>
      </w:r>
      <w:r w:rsidRPr="007C2D20">
        <w:fldChar w:fldCharType="separate"/>
      </w:r>
      <w:r w:rsidR="003053D1" w:rsidRPr="00AA6FF4" w:rsidDel="00C76327">
        <w:t xml:space="preserve">Figure </w:t>
      </w:r>
      <w:r w:rsidR="003053D1">
        <w:rPr>
          <w:noProof/>
        </w:rPr>
        <w:t>16</w:t>
      </w:r>
      <w:r w:rsidRPr="007C2D20">
        <w:fldChar w:fldCharType="end"/>
      </w:r>
      <w:r w:rsidRPr="007C2D20">
        <w:t>)</w:t>
      </w:r>
      <w:r w:rsidR="006D0064">
        <w:t>, reflecting</w:t>
      </w:r>
      <w:r w:rsidRPr="007C2D20">
        <w:t xml:space="preserve"> the cumulative impacts of crown-of-thorns starfish, cyclone Ita</w:t>
      </w:r>
      <w:r w:rsidR="00777433">
        <w:t xml:space="preserve">, </w:t>
      </w:r>
      <w:r w:rsidRPr="007C2D20">
        <w:t>and losses attributed to disease and chronic pressures that coincided with relatively high discharge from the Barron and Daintree rivers (</w:t>
      </w:r>
      <w:r w:rsidRPr="007C2D20">
        <w:fldChar w:fldCharType="begin"/>
      </w:r>
      <w:r w:rsidRPr="007C2D20">
        <w:instrText xml:space="preserve"> REF _Ref491178261 \h </w:instrText>
      </w:r>
      <w:r w:rsidRPr="007C2D20">
        <w:fldChar w:fldCharType="separate"/>
      </w:r>
      <w:r w:rsidR="003053D1" w:rsidRPr="00CE4E0F">
        <w:t xml:space="preserve">Figure </w:t>
      </w:r>
      <w:r w:rsidR="003053D1">
        <w:rPr>
          <w:noProof/>
        </w:rPr>
        <w:t>15</w:t>
      </w:r>
      <w:r w:rsidRPr="007C2D20">
        <w:fldChar w:fldCharType="end"/>
      </w:r>
      <w:r w:rsidRPr="007C2D20">
        <w:t xml:space="preserve">c, d, e). </w:t>
      </w:r>
      <w:r w:rsidR="005A56E8" w:rsidRPr="00411DFF">
        <w:t xml:space="preserve">The influence of chronic pressures and disease is </w:t>
      </w:r>
      <w:r w:rsidR="00411DFF">
        <w:t>evident</w:t>
      </w:r>
      <w:r w:rsidR="005A56E8" w:rsidRPr="00411DFF">
        <w:t xml:space="preserve"> in the decline in cover change scores through to 2014 (</w:t>
      </w:r>
      <w:r w:rsidR="005A56E8" w:rsidRPr="00411DFF">
        <w:fldChar w:fldCharType="begin"/>
      </w:r>
      <w:r w:rsidR="005A56E8" w:rsidRPr="00411DFF">
        <w:instrText xml:space="preserve"> REF _Ref491178290 \h </w:instrText>
      </w:r>
      <w:r w:rsidR="005A56E8" w:rsidRPr="00411DFF">
        <w:fldChar w:fldCharType="separate"/>
      </w:r>
      <w:r w:rsidR="003053D1" w:rsidRPr="00AA6FF4" w:rsidDel="00C76327">
        <w:t xml:space="preserve">Figure </w:t>
      </w:r>
      <w:r w:rsidR="003053D1">
        <w:rPr>
          <w:noProof/>
        </w:rPr>
        <w:t>16</w:t>
      </w:r>
      <w:r w:rsidR="005A56E8" w:rsidRPr="00411DFF">
        <w:fldChar w:fldCharType="end"/>
      </w:r>
      <w:r w:rsidR="005A56E8" w:rsidRPr="00411DFF">
        <w:t xml:space="preserve">e). </w:t>
      </w:r>
      <w:r w:rsidR="00BA1284">
        <w:t>During</w:t>
      </w:r>
      <w:r w:rsidR="00BA1284" w:rsidRPr="00411DFF">
        <w:t xml:space="preserve"> </w:t>
      </w:r>
      <w:r w:rsidR="00BA1284">
        <w:t>that</w:t>
      </w:r>
      <w:r w:rsidR="00BA1284" w:rsidRPr="00411DFF">
        <w:t xml:space="preserve"> </w:t>
      </w:r>
      <w:r w:rsidR="005A56E8" w:rsidRPr="00411DFF">
        <w:t xml:space="preserve">time, there was an increase in the cover of macroalgae at Snapper North in 2011 (peaks at 2 m and 5 m reefs, </w:t>
      </w:r>
      <w:r w:rsidR="005A56E8" w:rsidRPr="00411DFF">
        <w:fldChar w:fldCharType="begin"/>
      </w:r>
      <w:r w:rsidR="005A56E8" w:rsidRPr="00411DFF">
        <w:instrText xml:space="preserve"> REF _Ref491178290 \h </w:instrText>
      </w:r>
      <w:r w:rsidR="005A56E8" w:rsidRPr="00411DFF">
        <w:fldChar w:fldCharType="separate"/>
      </w:r>
      <w:r w:rsidR="003053D1" w:rsidRPr="00AA6FF4" w:rsidDel="00C76327">
        <w:t xml:space="preserve">Figure </w:t>
      </w:r>
      <w:r w:rsidR="003053D1">
        <w:rPr>
          <w:noProof/>
        </w:rPr>
        <w:t>16</w:t>
      </w:r>
      <w:r w:rsidR="005A56E8" w:rsidRPr="00411DFF">
        <w:fldChar w:fldCharType="end"/>
      </w:r>
      <w:r w:rsidR="005A56E8" w:rsidRPr="00411DFF">
        <w:t xml:space="preserve">c, </w:t>
      </w:r>
      <w:r w:rsidR="005A56E8" w:rsidRPr="00411DFF">
        <w:fldChar w:fldCharType="begin"/>
      </w:r>
      <w:r w:rsidR="005A56E8" w:rsidRPr="00411DFF">
        <w:instrText xml:space="preserve"> REF _Ref528584218 \h </w:instrText>
      </w:r>
      <w:r w:rsidR="005A56E8" w:rsidRPr="00411DFF">
        <w:fldChar w:fldCharType="separate"/>
      </w:r>
      <w:r w:rsidR="003053D1" w:rsidRPr="002445C4">
        <w:t xml:space="preserve">Figure A </w:t>
      </w:r>
      <w:r w:rsidR="003053D1">
        <w:rPr>
          <w:noProof/>
        </w:rPr>
        <w:t>1</w:t>
      </w:r>
      <w:r w:rsidR="005A56E8" w:rsidRPr="00411DFF">
        <w:fldChar w:fldCharType="end"/>
      </w:r>
      <w:r w:rsidR="005A56E8" w:rsidRPr="00411DFF">
        <w:t>) implicating pressures associated with nutrient availability</w:t>
      </w:r>
      <w:r w:rsidR="00C75207">
        <w:t xml:space="preserve">, </w:t>
      </w:r>
      <w:r w:rsidR="005A56E8" w:rsidRPr="00411DFF">
        <w:t xml:space="preserve">consistent with the </w:t>
      </w:r>
      <w:r w:rsidR="00C75207">
        <w:t xml:space="preserve">long-term </w:t>
      </w:r>
      <w:r w:rsidR="005A56E8" w:rsidRPr="00411DFF">
        <w:t xml:space="preserve">exposure to above guideline concentrations of Chl </w:t>
      </w:r>
      <w:r w:rsidR="005A56E8" w:rsidRPr="00411DFF">
        <w:rPr>
          <w:i/>
        </w:rPr>
        <w:t>a</w:t>
      </w:r>
      <w:r w:rsidR="005A56E8" w:rsidRPr="00411DFF">
        <w:t xml:space="preserve"> at Snapper Island (</w:t>
      </w:r>
      <w:r w:rsidR="005A56E8" w:rsidRPr="00411DFF">
        <w:fldChar w:fldCharType="begin"/>
      </w:r>
      <w:r w:rsidR="005A56E8" w:rsidRPr="00411DFF">
        <w:instrText xml:space="preserve"> REF _Ref491178261 \h </w:instrText>
      </w:r>
      <w:r w:rsidR="005A56E8" w:rsidRPr="00411DFF">
        <w:fldChar w:fldCharType="separate"/>
      </w:r>
      <w:r w:rsidR="003053D1" w:rsidRPr="00CE4E0F">
        <w:t xml:space="preserve">Figure </w:t>
      </w:r>
      <w:r w:rsidR="003053D1">
        <w:rPr>
          <w:noProof/>
        </w:rPr>
        <w:t>15</w:t>
      </w:r>
      <w:r w:rsidR="005A56E8" w:rsidRPr="00411DFF">
        <w:fldChar w:fldCharType="end"/>
      </w:r>
      <w:r w:rsidR="005A56E8" w:rsidRPr="00411DFF">
        <w:t>a). In 2019 the proportion of macroalgae in the algal communities remained elevated at Snapper North and is likely l</w:t>
      </w:r>
      <w:r w:rsidR="00F02AB7">
        <w:t xml:space="preserve">imiting the recovery process </w:t>
      </w:r>
      <w:r w:rsidR="005A56E8" w:rsidRPr="00411DFF">
        <w:t>(</w:t>
      </w:r>
      <w:r w:rsidR="005A56E8" w:rsidRPr="00411DFF">
        <w:fldChar w:fldCharType="begin"/>
      </w:r>
      <w:r w:rsidR="005A56E8" w:rsidRPr="00411DFF">
        <w:instrText xml:space="preserve"> REF _Ref491178290 \h </w:instrText>
      </w:r>
      <w:r w:rsidR="005A56E8" w:rsidRPr="00411DFF">
        <w:fldChar w:fldCharType="separate"/>
      </w:r>
      <w:r w:rsidR="003053D1" w:rsidRPr="00AA6FF4" w:rsidDel="00C76327">
        <w:t xml:space="preserve">Figure </w:t>
      </w:r>
      <w:r w:rsidR="003053D1">
        <w:rPr>
          <w:noProof/>
        </w:rPr>
        <w:t>16</w:t>
      </w:r>
      <w:r w:rsidR="005A56E8" w:rsidRPr="00411DFF">
        <w:fldChar w:fldCharType="end"/>
      </w:r>
      <w:r w:rsidR="00275E3B">
        <w:t>c</w:t>
      </w:r>
      <w:r w:rsidR="005A56E8" w:rsidRPr="00411DFF">
        <w:t>,</w:t>
      </w:r>
      <w:r w:rsidR="00275E3B">
        <w:t xml:space="preserve"> </w:t>
      </w:r>
      <w:r w:rsidR="005A56E8" w:rsidRPr="00411DFF">
        <w:fldChar w:fldCharType="begin"/>
      </w:r>
      <w:r w:rsidR="005A56E8" w:rsidRPr="00411DFF">
        <w:instrText xml:space="preserve"> REF _Ref528584218 \h  \* MERGEFORMAT </w:instrText>
      </w:r>
      <w:r w:rsidR="005A56E8" w:rsidRPr="00411DFF">
        <w:fldChar w:fldCharType="separate"/>
      </w:r>
      <w:r w:rsidR="003053D1" w:rsidRPr="002445C4">
        <w:t xml:space="preserve">Figure A </w:t>
      </w:r>
      <w:r w:rsidR="003053D1">
        <w:t>1</w:t>
      </w:r>
      <w:r w:rsidR="005A56E8" w:rsidRPr="00411DFF">
        <w:fldChar w:fldCharType="end"/>
      </w:r>
      <w:r w:rsidR="005A56E8" w:rsidRPr="00411DFF">
        <w:t>)</w:t>
      </w:r>
      <w:r w:rsidR="000101F9">
        <w:t xml:space="preserve"> despite Chl </w:t>
      </w:r>
      <w:r w:rsidR="000101F9">
        <w:rPr>
          <w:i/>
        </w:rPr>
        <w:t>a</w:t>
      </w:r>
      <w:r w:rsidR="000101F9">
        <w:t xml:space="preserve"> concentrations returning to </w:t>
      </w:r>
      <w:r w:rsidR="000D6583">
        <w:t>below</w:t>
      </w:r>
      <w:r w:rsidR="000101F9">
        <w:t xml:space="preserve"> guideline</w:t>
      </w:r>
      <w:r w:rsidR="000D6583">
        <w:t xml:space="preserve"> values</w:t>
      </w:r>
      <w:r w:rsidR="005A56E8" w:rsidRPr="00411DFF">
        <w:t>.</w:t>
      </w:r>
      <w:r w:rsidR="00C974A7">
        <w:t xml:space="preserve"> </w:t>
      </w:r>
    </w:p>
    <w:p w14:paraId="53C13D27" w14:textId="6EDA1972" w:rsidR="00411DFF" w:rsidRPr="007A225C" w:rsidRDefault="00307E36" w:rsidP="00411DFF">
      <w:pPr>
        <w:rPr>
          <w:color w:val="000000" w:themeColor="text1"/>
        </w:rPr>
      </w:pPr>
      <w:r>
        <w:t>S</w:t>
      </w:r>
      <w:r w:rsidRPr="00411DFF">
        <w:t>cores for</w:t>
      </w:r>
      <w:r>
        <w:t xml:space="preserve"> the juvenile indicator remain poor </w:t>
      </w:r>
      <w:r w:rsidR="00ED6DD0">
        <w:t xml:space="preserve">at </w:t>
      </w:r>
      <w:r w:rsidRPr="00411DFF">
        <w:t xml:space="preserve">Snapper </w:t>
      </w:r>
      <w:r w:rsidR="00EB429F">
        <w:t>Island</w:t>
      </w:r>
      <w:r w:rsidRPr="00411DFF">
        <w:t xml:space="preserve"> </w:t>
      </w:r>
      <w:r w:rsidR="005A56E8" w:rsidRPr="00411DFF">
        <w:t>(</w:t>
      </w:r>
      <w:r w:rsidR="005A56E8" w:rsidRPr="00411DFF">
        <w:fldChar w:fldCharType="begin"/>
      </w:r>
      <w:r w:rsidR="005A56E8" w:rsidRPr="00411DFF">
        <w:instrText xml:space="preserve"> REF _Ref491178290 \h </w:instrText>
      </w:r>
      <w:r w:rsidR="005A56E8" w:rsidRPr="00411DFF">
        <w:fldChar w:fldCharType="separate"/>
      </w:r>
      <w:r w:rsidR="003053D1" w:rsidRPr="00AA6FF4" w:rsidDel="00C76327">
        <w:t xml:space="preserve">Figure </w:t>
      </w:r>
      <w:r w:rsidR="003053D1">
        <w:rPr>
          <w:noProof/>
        </w:rPr>
        <w:t>16</w:t>
      </w:r>
      <w:r w:rsidR="005A56E8" w:rsidRPr="00411DFF">
        <w:fldChar w:fldCharType="end"/>
      </w:r>
      <w:r w:rsidR="00AE6F4E">
        <w:t xml:space="preserve">, </w:t>
      </w:r>
      <w:r w:rsidR="002C206B">
        <w:fldChar w:fldCharType="begin"/>
      </w:r>
      <w:r w:rsidR="002C206B">
        <w:instrText xml:space="preserve"> REF _Ref30749162 \h </w:instrText>
      </w:r>
      <w:r w:rsidR="002C206B">
        <w:fldChar w:fldCharType="separate"/>
      </w:r>
      <w:r w:rsidR="003053D1">
        <w:t xml:space="preserve">Table A </w:t>
      </w:r>
      <w:r w:rsidR="003053D1">
        <w:rPr>
          <w:noProof/>
        </w:rPr>
        <w:t>8</w:t>
      </w:r>
      <w:r w:rsidR="002C206B">
        <w:fldChar w:fldCharType="end"/>
      </w:r>
      <w:r w:rsidR="005A56E8" w:rsidRPr="00411DFF">
        <w:t>).</w:t>
      </w:r>
      <w:r w:rsidR="00411DFF" w:rsidRPr="00411DFF">
        <w:t xml:space="preserve"> It is reasonable to consider that </w:t>
      </w:r>
      <w:r w:rsidR="00EB429F">
        <w:t xml:space="preserve">the high macroalgae cover and regional </w:t>
      </w:r>
      <w:r w:rsidR="00EB429F">
        <w:lastRenderedPageBreak/>
        <w:t xml:space="preserve">declines in coral cover </w:t>
      </w:r>
      <w:r w:rsidR="00687377">
        <w:t xml:space="preserve">following </w:t>
      </w:r>
      <w:r w:rsidR="00EB429F">
        <w:t>c</w:t>
      </w:r>
      <w:r w:rsidR="00411DFF" w:rsidRPr="00411DFF">
        <w:t xml:space="preserve">onsecutive </w:t>
      </w:r>
      <w:r w:rsidR="00C15968">
        <w:t xml:space="preserve">thermal </w:t>
      </w:r>
      <w:r w:rsidR="00411DFF" w:rsidRPr="00411DFF">
        <w:t>bleaching events in 2016 and 2017 across the northern Great Barrier</w:t>
      </w:r>
      <w:r w:rsidR="00EB429F">
        <w:t xml:space="preserve"> Reef contribute to this result</w:t>
      </w:r>
      <w:r w:rsidR="00411DFF" w:rsidRPr="007A225C">
        <w:rPr>
          <w:color w:val="000000" w:themeColor="text1"/>
        </w:rPr>
        <w:t>.</w:t>
      </w:r>
    </w:p>
    <w:p w14:paraId="53C13D28" w14:textId="3CD4BB31" w:rsidR="00A84742" w:rsidRPr="007A225C" w:rsidRDefault="00A84742" w:rsidP="00A84742">
      <w:pPr>
        <w:rPr>
          <w:color w:val="000000" w:themeColor="text1"/>
        </w:rPr>
      </w:pPr>
      <w:r w:rsidRPr="007A225C">
        <w:rPr>
          <w:color w:val="000000" w:themeColor="text1"/>
        </w:rPr>
        <w:t xml:space="preserve">Despite </w:t>
      </w:r>
      <w:r w:rsidR="002C206B" w:rsidRPr="007A225C">
        <w:rPr>
          <w:color w:val="000000" w:themeColor="text1"/>
        </w:rPr>
        <w:t>high</w:t>
      </w:r>
      <w:r w:rsidR="005B09D6" w:rsidRPr="007A225C">
        <w:rPr>
          <w:color w:val="000000" w:themeColor="text1"/>
        </w:rPr>
        <w:t xml:space="preserve"> </w:t>
      </w:r>
      <w:r w:rsidRPr="007A225C">
        <w:rPr>
          <w:color w:val="000000" w:themeColor="text1"/>
        </w:rPr>
        <w:t>discharge (</w:t>
      </w:r>
      <w:r w:rsidRPr="007A225C">
        <w:rPr>
          <w:color w:val="000000" w:themeColor="text1"/>
        </w:rPr>
        <w:fldChar w:fldCharType="begin"/>
      </w:r>
      <w:r w:rsidRPr="007A225C">
        <w:rPr>
          <w:color w:val="000000" w:themeColor="text1"/>
        </w:rPr>
        <w:instrText xml:space="preserve"> REF _Ref491178261 \h </w:instrText>
      </w:r>
      <w:r w:rsidRPr="007A225C">
        <w:rPr>
          <w:color w:val="000000" w:themeColor="text1"/>
        </w:rPr>
      </w:r>
      <w:r w:rsidRPr="007A225C">
        <w:rPr>
          <w:color w:val="000000" w:themeColor="text1"/>
        </w:rPr>
        <w:fldChar w:fldCharType="separate"/>
      </w:r>
      <w:r w:rsidR="003053D1" w:rsidRPr="00CE4E0F">
        <w:t xml:space="preserve">Figure </w:t>
      </w:r>
      <w:r w:rsidR="003053D1">
        <w:rPr>
          <w:noProof/>
        </w:rPr>
        <w:t>15</w:t>
      </w:r>
      <w:r w:rsidRPr="007A225C">
        <w:rPr>
          <w:color w:val="000000" w:themeColor="text1"/>
        </w:rPr>
        <w:fldChar w:fldCharType="end"/>
      </w:r>
      <w:r w:rsidRPr="007A225C">
        <w:rPr>
          <w:color w:val="000000" w:themeColor="text1"/>
        </w:rPr>
        <w:t>d), and associated</w:t>
      </w:r>
      <w:r w:rsidR="005B09D6" w:rsidRPr="007A225C">
        <w:rPr>
          <w:color w:val="000000" w:themeColor="text1"/>
        </w:rPr>
        <w:t xml:space="preserve"> high</w:t>
      </w:r>
      <w:r w:rsidRPr="007A225C">
        <w:rPr>
          <w:color w:val="000000" w:themeColor="text1"/>
        </w:rPr>
        <w:t xml:space="preserve"> loads of nutrients and sediments delivered from adjacent catchments (</w:t>
      </w:r>
      <w:r w:rsidR="005B09D6" w:rsidRPr="007A225C">
        <w:rPr>
          <w:color w:val="000000" w:themeColor="text1"/>
        </w:rPr>
        <w:t xml:space="preserve">Gruber </w:t>
      </w:r>
      <w:r w:rsidRPr="007A225C">
        <w:rPr>
          <w:i/>
          <w:color w:val="000000" w:themeColor="text1"/>
        </w:rPr>
        <w:t>et al.</w:t>
      </w:r>
      <w:r w:rsidR="005B09D6" w:rsidRPr="007A225C">
        <w:rPr>
          <w:color w:val="000000" w:themeColor="text1"/>
        </w:rPr>
        <w:t xml:space="preserve"> 2020</w:t>
      </w:r>
      <w:r w:rsidRPr="007A225C">
        <w:rPr>
          <w:color w:val="000000" w:themeColor="text1"/>
        </w:rPr>
        <w:t xml:space="preserve">), the water quality index </w:t>
      </w:r>
      <w:r w:rsidR="005B09D6" w:rsidRPr="007A225C">
        <w:rPr>
          <w:color w:val="000000" w:themeColor="text1"/>
        </w:rPr>
        <w:t>returned to ‘good’ condition in 2019 following two slightly lower years</w:t>
      </w:r>
      <w:r w:rsidRPr="007A225C">
        <w:rPr>
          <w:color w:val="000000" w:themeColor="text1"/>
        </w:rPr>
        <w:t xml:space="preserve"> (</w:t>
      </w:r>
      <w:r w:rsidRPr="007A225C">
        <w:rPr>
          <w:color w:val="000000" w:themeColor="text1"/>
        </w:rPr>
        <w:fldChar w:fldCharType="begin"/>
      </w:r>
      <w:r w:rsidRPr="007A225C">
        <w:rPr>
          <w:color w:val="000000" w:themeColor="text1"/>
        </w:rPr>
        <w:instrText xml:space="preserve"> REF _Ref528585319 \h </w:instrText>
      </w:r>
      <w:r w:rsidRPr="007A225C">
        <w:rPr>
          <w:color w:val="000000" w:themeColor="text1"/>
        </w:rPr>
      </w:r>
      <w:r w:rsidRPr="007A225C">
        <w:rPr>
          <w:color w:val="000000" w:themeColor="text1"/>
        </w:rPr>
        <w:fldChar w:fldCharType="separate"/>
      </w:r>
      <w:r w:rsidR="003053D1" w:rsidRPr="00D758C6">
        <w:t xml:space="preserve">Figure A </w:t>
      </w:r>
      <w:r w:rsidR="003053D1">
        <w:rPr>
          <w:noProof/>
        </w:rPr>
        <w:t>10</w:t>
      </w:r>
      <w:r w:rsidRPr="007A225C">
        <w:rPr>
          <w:color w:val="000000" w:themeColor="text1"/>
        </w:rPr>
        <w:fldChar w:fldCharType="end"/>
      </w:r>
      <w:r w:rsidRPr="007A225C">
        <w:rPr>
          <w:color w:val="000000" w:themeColor="text1"/>
        </w:rPr>
        <w:t>).</w:t>
      </w:r>
      <w:r w:rsidR="00C27439" w:rsidRPr="007A225C">
        <w:rPr>
          <w:color w:val="000000" w:themeColor="text1"/>
        </w:rPr>
        <w:t xml:space="preserve"> Not included in the index are concentrations of dissolved organic carbon and NOx, both of which show substantial increase since 2005 (</w:t>
      </w:r>
      <w:r w:rsidR="00C27439" w:rsidRPr="007A225C">
        <w:rPr>
          <w:color w:val="000000" w:themeColor="text1"/>
        </w:rPr>
        <w:fldChar w:fldCharType="begin"/>
      </w:r>
      <w:r w:rsidR="00C27439" w:rsidRPr="007A225C">
        <w:rPr>
          <w:color w:val="000000" w:themeColor="text1"/>
        </w:rPr>
        <w:instrText xml:space="preserve"> REF _Ref528585319 \h </w:instrText>
      </w:r>
      <w:r w:rsidR="00C27439" w:rsidRPr="007A225C">
        <w:rPr>
          <w:color w:val="000000" w:themeColor="text1"/>
        </w:rPr>
      </w:r>
      <w:r w:rsidR="00C27439" w:rsidRPr="007A225C">
        <w:rPr>
          <w:color w:val="000000" w:themeColor="text1"/>
        </w:rPr>
        <w:fldChar w:fldCharType="separate"/>
      </w:r>
      <w:r w:rsidR="003053D1" w:rsidRPr="00D758C6">
        <w:t xml:space="preserve">Figure A </w:t>
      </w:r>
      <w:r w:rsidR="003053D1">
        <w:rPr>
          <w:noProof/>
        </w:rPr>
        <w:t>10</w:t>
      </w:r>
      <w:r w:rsidR="00C27439" w:rsidRPr="007A225C">
        <w:rPr>
          <w:color w:val="000000" w:themeColor="text1"/>
        </w:rPr>
        <w:fldChar w:fldCharType="end"/>
      </w:r>
      <w:r w:rsidR="00C27439" w:rsidRPr="007A225C">
        <w:rPr>
          <w:color w:val="000000" w:themeColor="text1"/>
        </w:rPr>
        <w:t xml:space="preserve">). It remains unclear what has caused this increase and what the ramifications for corals might be (Gruber </w:t>
      </w:r>
      <w:r w:rsidR="00C27439" w:rsidRPr="007A225C">
        <w:rPr>
          <w:i/>
          <w:color w:val="000000" w:themeColor="text1"/>
        </w:rPr>
        <w:t>et al. 2020</w:t>
      </w:r>
      <w:r w:rsidR="00C27439" w:rsidRPr="007A225C">
        <w:rPr>
          <w:color w:val="000000" w:themeColor="text1"/>
        </w:rPr>
        <w:t>).</w:t>
      </w:r>
      <w:r w:rsidRPr="007A225C">
        <w:rPr>
          <w:color w:val="000000" w:themeColor="text1"/>
        </w:rPr>
        <w:br w:type="page"/>
      </w:r>
    </w:p>
    <w:p w14:paraId="53C13D29" w14:textId="77777777" w:rsidR="00A84742" w:rsidRPr="004B2398" w:rsidRDefault="00400C25" w:rsidP="00A84742">
      <w:pPr>
        <w:rPr>
          <w:color w:val="000000" w:themeColor="text1"/>
        </w:rPr>
      </w:pPr>
      <w:bookmarkStart w:id="296" w:name="_Ref438119398"/>
      <w:bookmarkStart w:id="297" w:name="_Toc437423849"/>
      <w:bookmarkStart w:id="298" w:name="_Toc437424028"/>
      <w:bookmarkStart w:id="299" w:name="_Toc437424294"/>
      <w:bookmarkStart w:id="300" w:name="_Toc437597628"/>
      <w:r>
        <w:rPr>
          <w:noProof/>
          <w:color w:val="548DD4" w:themeColor="text2" w:themeTint="99"/>
          <w:lang w:eastAsia="en-AU"/>
        </w:rPr>
        <w:lastRenderedPageBreak/>
        <w:drawing>
          <wp:inline distT="0" distB="0" distL="0" distR="0" wp14:anchorId="53C15F48" wp14:editId="73F6BF52">
            <wp:extent cx="6120765" cy="6120765"/>
            <wp:effectExtent l="0" t="0" r="0" b="0"/>
            <wp:docPr id="35" name="Picture 35" descr="shows distribution of pressures since 2005. Includes temperature, river discharge and hard coral cover loss attribution. Body text provides details" title="Barron Daintree sub-region environmental press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Env_Daintree.pn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6120765" cy="6120765"/>
                    </a:xfrm>
                    <a:prstGeom prst="rect">
                      <a:avLst/>
                    </a:prstGeom>
                  </pic:spPr>
                </pic:pic>
              </a:graphicData>
            </a:graphic>
          </wp:inline>
        </w:drawing>
      </w:r>
    </w:p>
    <w:p w14:paraId="53C13D2A" w14:textId="1B28DBC1" w:rsidR="00056503" w:rsidRPr="00AA6FF4" w:rsidDel="00C76327" w:rsidRDefault="00A84742" w:rsidP="002B5296">
      <w:pPr>
        <w:pStyle w:val="Caption"/>
        <w:rPr>
          <w:rFonts w:ascii="Arial" w:hAnsi="Arial" w:cs="Arial"/>
          <w:i/>
          <w:vanish/>
          <w:specVanish/>
        </w:rPr>
      </w:pPr>
      <w:bookmarkStart w:id="301" w:name="_Ref491178261"/>
      <w:bookmarkStart w:id="302" w:name="_Toc35947165"/>
      <w:bookmarkStart w:id="303" w:name="_Ref469687738"/>
      <w:bookmarkStart w:id="304" w:name="_Toc530654911"/>
      <w:bookmarkStart w:id="305" w:name="_Toc534965119"/>
      <w:r w:rsidRPr="00CE4E0F">
        <w:lastRenderedPageBreak/>
        <w:t xml:space="preserve">Figure </w:t>
      </w:r>
      <w:r w:rsidR="005D7AC6" w:rsidRPr="00CE4E0F">
        <w:rPr>
          <w:noProof/>
        </w:rPr>
        <w:fldChar w:fldCharType="begin"/>
      </w:r>
      <w:r w:rsidR="005D7AC6" w:rsidRPr="00CE4E0F">
        <w:rPr>
          <w:noProof/>
        </w:rPr>
        <w:instrText xml:space="preserve"> SEQ Figure \* ARABIC </w:instrText>
      </w:r>
      <w:r w:rsidR="005D7AC6" w:rsidRPr="00CE4E0F">
        <w:rPr>
          <w:noProof/>
        </w:rPr>
        <w:fldChar w:fldCharType="separate"/>
      </w:r>
      <w:r w:rsidR="003053D1">
        <w:rPr>
          <w:noProof/>
        </w:rPr>
        <w:t>15</w:t>
      </w:r>
      <w:r w:rsidR="005D7AC6" w:rsidRPr="00CE4E0F">
        <w:rPr>
          <w:noProof/>
        </w:rPr>
        <w:fldChar w:fldCharType="end"/>
      </w:r>
      <w:bookmarkEnd w:id="301"/>
      <w:r w:rsidRPr="00CE4E0F">
        <w:t xml:space="preserve"> Barron Daintree sub-region environmental pressures</w:t>
      </w:r>
      <w:bookmarkEnd w:id="302"/>
    </w:p>
    <w:p w14:paraId="53C13D2B" w14:textId="77777777" w:rsidR="00A84742" w:rsidRPr="00CE4E0F" w:rsidRDefault="00056503">
      <w:pPr>
        <w:pStyle w:val="Caption"/>
      </w:pPr>
      <w:r w:rsidRPr="00AA6FF4" w:rsidDel="00C76327">
        <w:t>.</w:t>
      </w:r>
      <w:bookmarkEnd w:id="296"/>
      <w:bookmarkEnd w:id="297"/>
      <w:bookmarkEnd w:id="298"/>
      <w:bookmarkEnd w:id="299"/>
      <w:bookmarkEnd w:id="300"/>
      <w:bookmarkEnd w:id="303"/>
      <w:r w:rsidR="00A84742" w:rsidRPr="00CE4E0F">
        <w:t xml:space="preserve"> </w:t>
      </w:r>
      <w:r w:rsidR="00A84742" w:rsidRPr="0094743B">
        <w:rPr>
          <w:rStyle w:val="IntenseReference"/>
        </w:rPr>
        <w:t xml:space="preserve">Maps show location of monitoring sites, red symbols MMP, yellow symbols LTMP along with a) mean chlorophyll a exceedance of wet season Guideline (0.63ugL-1) and b) mean Non Algal Particulate concentrations. Water quality data are mean levels over the period 2003-2018. c) Seasonally adjusted temperature deviation, timing of cyclones and storms indicated by black arrows, accumulated degree heating days over the summer period (1st of December – 31st March) as reported by BoM (black symbols) and derived from in situ loggers (grey symbols) d) Combined daily (blue) and annual water year – October to September (red) discharge for the Daintree and Barron </w:t>
      </w:r>
      <w:r w:rsidR="000D69E1" w:rsidRPr="0094743B">
        <w:rPr>
          <w:rStyle w:val="IntenseReference"/>
        </w:rPr>
        <w:t>basins</w:t>
      </w:r>
      <w:r w:rsidR="00A84742" w:rsidRPr="0094743B">
        <w:rPr>
          <w:rStyle w:val="IntenseReference"/>
        </w:rPr>
        <w:t>, red dashed line represents long-term median discharge (1986–2016). e) break-down of hard coral cover loss by disturbance type; length of bars represents the mean loss of cover across all reefs in the sub-region.</w:t>
      </w:r>
      <w:bookmarkEnd w:id="304"/>
      <w:bookmarkEnd w:id="305"/>
    </w:p>
    <w:p w14:paraId="53C13D2C" w14:textId="77777777" w:rsidR="00C76327" w:rsidRPr="004B2398" w:rsidRDefault="00C76327">
      <w:pPr>
        <w:jc w:val="left"/>
        <w:rPr>
          <w:color w:val="000000" w:themeColor="text1"/>
        </w:rPr>
      </w:pPr>
      <w:r>
        <w:rPr>
          <w:color w:val="548DD4" w:themeColor="text2" w:themeTint="99"/>
        </w:rPr>
        <w:br w:type="page"/>
      </w:r>
    </w:p>
    <w:p w14:paraId="53C13D2D" w14:textId="77777777" w:rsidR="00A84742" w:rsidRPr="004B2398" w:rsidRDefault="00A84742" w:rsidP="00A84742">
      <w:pPr>
        <w:rPr>
          <w:color w:val="000000" w:themeColor="text1"/>
        </w:rPr>
      </w:pPr>
    </w:p>
    <w:p w14:paraId="53C13D2E" w14:textId="77777777" w:rsidR="00A84742" w:rsidRPr="004B2398" w:rsidDel="00C76327" w:rsidRDefault="003E1937" w:rsidP="00A84742">
      <w:pPr>
        <w:rPr>
          <w:noProof/>
          <w:color w:val="000000" w:themeColor="text1"/>
          <w:lang w:eastAsia="en-AU"/>
        </w:rPr>
      </w:pPr>
      <w:bookmarkStart w:id="306" w:name="_Toc30596443"/>
      <w:bookmarkEnd w:id="306"/>
      <w:r>
        <w:rPr>
          <w:noProof/>
          <w:color w:val="548DD4" w:themeColor="text2" w:themeTint="99"/>
          <w:lang w:eastAsia="en-AU"/>
        </w:rPr>
        <w:drawing>
          <wp:inline distT="0" distB="0" distL="0" distR="0" wp14:anchorId="53C15F4A" wp14:editId="5C5BED88">
            <wp:extent cx="6120765" cy="5353050"/>
            <wp:effectExtent l="0" t="0" r="0" b="0"/>
            <wp:docPr id="7434" name="Picture 7434" descr="shows range in individual indicators since 2005" title="Barron Daintree sub-region index and indicator tre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4" name="Daintree_plots_noWQ.pn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6120765" cy="5353050"/>
                    </a:xfrm>
                    <a:prstGeom prst="rect">
                      <a:avLst/>
                    </a:prstGeom>
                  </pic:spPr>
                </pic:pic>
              </a:graphicData>
            </a:graphic>
          </wp:inline>
        </w:drawing>
      </w:r>
    </w:p>
    <w:p w14:paraId="53C13D2F" w14:textId="0BF7C863" w:rsidR="00B43DA3" w:rsidRPr="00AA6FF4" w:rsidDel="00C76327" w:rsidRDefault="00A84742" w:rsidP="002B5296">
      <w:pPr>
        <w:pStyle w:val="Caption"/>
        <w:rPr>
          <w:rFonts w:ascii="Arial" w:hAnsi="Arial" w:cs="Arial"/>
          <w:i/>
          <w:vanish/>
          <w:specVanish/>
        </w:rPr>
      </w:pPr>
      <w:bookmarkStart w:id="307" w:name="_Ref491178290"/>
      <w:bookmarkStart w:id="308" w:name="_Toc35947166"/>
      <w:bookmarkStart w:id="309" w:name="_Ref438119411"/>
      <w:bookmarkStart w:id="310" w:name="_Toc437423850"/>
      <w:bookmarkStart w:id="311" w:name="_Toc437424029"/>
      <w:bookmarkStart w:id="312" w:name="_Toc437424295"/>
      <w:bookmarkStart w:id="313" w:name="_Toc437597629"/>
      <w:bookmarkStart w:id="314" w:name="_Toc530654912"/>
      <w:bookmarkStart w:id="315" w:name="_Toc534965120"/>
      <w:r w:rsidRPr="00AA6FF4" w:rsidDel="00C76327">
        <w:t xml:space="preserve">Figure </w:t>
      </w:r>
      <w:r w:rsidR="005D7AC6" w:rsidRPr="00AA6FF4" w:rsidDel="00C76327">
        <w:rPr>
          <w:noProof/>
        </w:rPr>
        <w:fldChar w:fldCharType="begin"/>
      </w:r>
      <w:r w:rsidR="005D7AC6" w:rsidRPr="00AA6FF4" w:rsidDel="00C76327">
        <w:rPr>
          <w:noProof/>
        </w:rPr>
        <w:instrText xml:space="preserve"> SEQ Figure \* ARABIC </w:instrText>
      </w:r>
      <w:r w:rsidR="005D7AC6" w:rsidRPr="00AA6FF4" w:rsidDel="00C76327">
        <w:rPr>
          <w:noProof/>
        </w:rPr>
        <w:fldChar w:fldCharType="separate"/>
      </w:r>
      <w:r w:rsidR="003053D1">
        <w:rPr>
          <w:noProof/>
        </w:rPr>
        <w:t>16</w:t>
      </w:r>
      <w:r w:rsidR="005D7AC6" w:rsidRPr="00AA6FF4" w:rsidDel="00C76327">
        <w:rPr>
          <w:noProof/>
        </w:rPr>
        <w:fldChar w:fldCharType="end"/>
      </w:r>
      <w:bookmarkEnd w:id="307"/>
      <w:r w:rsidRPr="00AA6FF4" w:rsidDel="00C76327">
        <w:t xml:space="preserve"> Barron Daintree sub-region index and indicator trends</w:t>
      </w:r>
      <w:bookmarkStart w:id="316" w:name="_Toc30596444"/>
      <w:bookmarkEnd w:id="308"/>
      <w:bookmarkEnd w:id="316"/>
    </w:p>
    <w:p w14:paraId="53C13D30" w14:textId="77777777" w:rsidR="00A84742" w:rsidRPr="0094743B" w:rsidDel="00C76327" w:rsidRDefault="00B43DA3">
      <w:pPr>
        <w:pStyle w:val="Caption"/>
        <w:rPr>
          <w:rStyle w:val="IntenseReference"/>
        </w:rPr>
      </w:pPr>
      <w:r w:rsidRPr="00AA6FF4" w:rsidDel="00C76327">
        <w:t>.</w:t>
      </w:r>
      <w:bookmarkEnd w:id="309"/>
      <w:bookmarkEnd w:id="310"/>
      <w:bookmarkEnd w:id="311"/>
      <w:bookmarkEnd w:id="312"/>
      <w:bookmarkEnd w:id="313"/>
      <w:r w:rsidR="00A84742" w:rsidRPr="00AA6FF4" w:rsidDel="00C76327">
        <w:t xml:space="preserve"> </w:t>
      </w:r>
      <w:r w:rsidR="00A84742" w:rsidRPr="0094743B" w:rsidDel="00C76327">
        <w:rPr>
          <w:rStyle w:val="IntenseReference"/>
        </w:rPr>
        <w:t>a</w:t>
      </w:r>
      <w:bookmarkStart w:id="317" w:name="_Toc437424296"/>
      <w:bookmarkStart w:id="318" w:name="_Toc437432349"/>
      <w:bookmarkStart w:id="319" w:name="_Toc437597630"/>
      <w:r w:rsidR="00A84742" w:rsidRPr="0094743B" w:rsidDel="00C76327">
        <w:rPr>
          <w:rStyle w:val="IntenseReference"/>
        </w:rPr>
        <w:t xml:space="preserve"> – </w:t>
      </w:r>
      <w:r w:rsidR="003E1937" w:rsidRPr="0094743B">
        <w:rPr>
          <w:rStyle w:val="IntenseReference"/>
        </w:rPr>
        <w:t>e</w:t>
      </w:r>
      <w:r w:rsidR="00A84742" w:rsidRPr="0094743B" w:rsidDel="00C76327">
        <w:rPr>
          <w:rStyle w:val="IntenseReference"/>
        </w:rPr>
        <w:t>) trends in individual indicators, (blue lines) bound by 95% confidence intervals of those trends (shading), grey lines represent observed profiles at 5 m (dashed) and 2 m (solid) depths for individual reefs</w:t>
      </w:r>
      <w:bookmarkStart w:id="320" w:name="_Toc437424407"/>
      <w:bookmarkStart w:id="321" w:name="_Toc437424531"/>
      <w:bookmarkStart w:id="322" w:name="_Toc437432462"/>
      <w:bookmarkStart w:id="323" w:name="_Toc437432535"/>
      <w:bookmarkEnd w:id="314"/>
      <w:bookmarkEnd w:id="317"/>
      <w:bookmarkEnd w:id="318"/>
      <w:bookmarkEnd w:id="319"/>
      <w:r w:rsidR="00A84742" w:rsidRPr="0094743B" w:rsidDel="00C76327">
        <w:rPr>
          <w:rStyle w:val="IntenseReference"/>
        </w:rPr>
        <w:t>.</w:t>
      </w:r>
      <w:bookmarkStart w:id="324" w:name="_Toc30596445"/>
      <w:bookmarkEnd w:id="315"/>
      <w:bookmarkEnd w:id="324"/>
    </w:p>
    <w:p w14:paraId="53C13D31" w14:textId="77777777" w:rsidR="00F2000D" w:rsidRPr="004B2398" w:rsidDel="00C76327" w:rsidRDefault="00F2000D">
      <w:pPr>
        <w:jc w:val="left"/>
        <w:rPr>
          <w:rFonts w:eastAsia="SimSun"/>
          <w:color w:val="000000" w:themeColor="text1"/>
        </w:rPr>
      </w:pPr>
      <w:r w:rsidDel="00C76327">
        <w:rPr>
          <w:rFonts w:eastAsia="SimSun"/>
          <w:color w:val="548DD4" w:themeColor="text2" w:themeTint="99"/>
        </w:rPr>
        <w:br w:type="page"/>
      </w:r>
    </w:p>
    <w:p w14:paraId="53C13D32" w14:textId="77777777" w:rsidR="00A84742" w:rsidRPr="004102A6" w:rsidRDefault="0096490D" w:rsidP="00727D87">
      <w:pPr>
        <w:pStyle w:val="Heading3"/>
      </w:pPr>
      <w:bookmarkStart w:id="325" w:name="_Toc526246915"/>
      <w:bookmarkStart w:id="326" w:name="_Toc530654968"/>
      <w:bookmarkStart w:id="327" w:name="_Toc35947122"/>
      <w:r w:rsidRPr="004102A6">
        <w:lastRenderedPageBreak/>
        <w:t>Wet Tropics r</w:t>
      </w:r>
      <w:r w:rsidR="00A84742" w:rsidRPr="004102A6">
        <w:t>egion: Johnstone Russell-Mulgrave sub-region</w:t>
      </w:r>
      <w:bookmarkEnd w:id="320"/>
      <w:bookmarkEnd w:id="321"/>
      <w:bookmarkEnd w:id="322"/>
      <w:bookmarkEnd w:id="323"/>
      <w:bookmarkEnd w:id="325"/>
      <w:bookmarkEnd w:id="326"/>
      <w:bookmarkEnd w:id="327"/>
    </w:p>
    <w:p w14:paraId="53C13D33" w14:textId="0A83D728" w:rsidR="003B3438" w:rsidRDefault="00A84742" w:rsidP="00A84742">
      <w:r w:rsidRPr="00754C99">
        <w:t xml:space="preserve">The </w:t>
      </w:r>
      <w:r w:rsidR="009A7236" w:rsidRPr="00754C99">
        <w:t xml:space="preserve">2019 </w:t>
      </w:r>
      <w:r w:rsidRPr="00754C99">
        <w:t xml:space="preserve">coral index </w:t>
      </w:r>
      <w:r w:rsidR="009B06E9">
        <w:t xml:space="preserve">score was categorised as </w:t>
      </w:r>
      <w:r w:rsidR="00D040CA">
        <w:t>‘</w:t>
      </w:r>
      <w:r w:rsidR="00754C99" w:rsidRPr="00754C99">
        <w:t>moderate</w:t>
      </w:r>
      <w:r w:rsidR="00D040CA">
        <w:t>’</w:t>
      </w:r>
      <w:r w:rsidR="00754C99" w:rsidRPr="00754C99">
        <w:t xml:space="preserve">, </w:t>
      </w:r>
      <w:r w:rsidR="009A7236" w:rsidRPr="00754C99">
        <w:t xml:space="preserve">a </w:t>
      </w:r>
      <w:r w:rsidR="009B06E9">
        <w:t xml:space="preserve">very slight </w:t>
      </w:r>
      <w:r w:rsidR="009A7236" w:rsidRPr="00754C99">
        <w:t>dec</w:t>
      </w:r>
      <w:r w:rsidR="00754C99" w:rsidRPr="00754C99">
        <w:t>line</w:t>
      </w:r>
      <w:r w:rsidR="009A7236" w:rsidRPr="00754C99">
        <w:t xml:space="preserve"> from</w:t>
      </w:r>
      <w:r w:rsidR="00162495">
        <w:t xml:space="preserve"> the </w:t>
      </w:r>
      <w:r w:rsidR="00B53707">
        <w:t>‘</w:t>
      </w:r>
      <w:r w:rsidR="009A7236" w:rsidRPr="00754C99">
        <w:t>good</w:t>
      </w:r>
      <w:r w:rsidR="00B53707">
        <w:t>’</w:t>
      </w:r>
      <w:r w:rsidR="009A7236" w:rsidRPr="00754C99">
        <w:t xml:space="preserve"> </w:t>
      </w:r>
      <w:r w:rsidR="009B06E9">
        <w:t xml:space="preserve">score observed in </w:t>
      </w:r>
      <w:r w:rsidR="009A7236" w:rsidRPr="00754C99">
        <w:t xml:space="preserve">2018 </w:t>
      </w:r>
      <w:r w:rsidRPr="00754C99">
        <w:t>(</w:t>
      </w:r>
      <w:r w:rsidRPr="00754C99">
        <w:fldChar w:fldCharType="begin"/>
      </w:r>
      <w:r w:rsidRPr="00754C99">
        <w:instrText xml:space="preserve"> REF _Ref491181369 \h </w:instrText>
      </w:r>
      <w:r w:rsidRPr="00754C99">
        <w:fldChar w:fldCharType="separate"/>
      </w:r>
      <w:r w:rsidR="003053D1" w:rsidRPr="00AA6FF4">
        <w:t xml:space="preserve">Figure </w:t>
      </w:r>
      <w:r w:rsidR="003053D1">
        <w:rPr>
          <w:noProof/>
        </w:rPr>
        <w:t>19</w:t>
      </w:r>
      <w:r w:rsidRPr="00754C99">
        <w:fldChar w:fldCharType="end"/>
      </w:r>
      <w:r w:rsidRPr="00754C99">
        <w:t xml:space="preserve">a). </w:t>
      </w:r>
    </w:p>
    <w:p w14:paraId="53C13D34" w14:textId="77777777" w:rsidR="00056503" w:rsidRDefault="00056503" w:rsidP="00A84742">
      <w:r>
        <w:rPr>
          <w:noProof/>
          <w:lang w:eastAsia="en-AU"/>
        </w:rPr>
        <w:drawing>
          <wp:inline distT="0" distB="0" distL="0" distR="0" wp14:anchorId="53C15F4C" wp14:editId="1CE8D3CA">
            <wp:extent cx="6120765" cy="3268980"/>
            <wp:effectExtent l="0" t="0" r="0" b="7620"/>
            <wp:docPr id="20" name="Picture 20" descr="shows range from good to moderate at times ending at moderate in this monitoring year" title="Trends in Coral index and contributing indicator scores for the Johnstone Russell-Mulgrave sub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Johnstone.worm.with.indicators.png"/>
                    <pic:cNvPicPr/>
                  </pic:nvPicPr>
                  <pic:blipFill rotWithShape="1">
                    <a:blip r:embed="rId49" cstate="print">
                      <a:extLst>
                        <a:ext uri="{28A0092B-C50C-407E-A947-70E740481C1C}">
                          <a14:useLocalDpi xmlns:a14="http://schemas.microsoft.com/office/drawing/2010/main" val="0"/>
                        </a:ext>
                      </a:extLst>
                    </a:blip>
                    <a:srcRect t="6536"/>
                    <a:stretch/>
                  </pic:blipFill>
                  <pic:spPr bwMode="auto">
                    <a:xfrm>
                      <a:off x="0" y="0"/>
                      <a:ext cx="6120765" cy="3268980"/>
                    </a:xfrm>
                    <a:prstGeom prst="rect">
                      <a:avLst/>
                    </a:prstGeom>
                    <a:ln>
                      <a:noFill/>
                    </a:ln>
                    <a:extLst>
                      <a:ext uri="{53640926-AAD7-44D8-BBD7-CCE9431645EC}">
                        <a14:shadowObscured xmlns:a14="http://schemas.microsoft.com/office/drawing/2010/main"/>
                      </a:ext>
                    </a:extLst>
                  </pic:spPr>
                </pic:pic>
              </a:graphicData>
            </a:graphic>
          </wp:inline>
        </w:drawing>
      </w:r>
    </w:p>
    <w:p w14:paraId="53C13D35" w14:textId="755DF64C" w:rsidR="00F115AB" w:rsidRPr="0062064A" w:rsidRDefault="006A3002" w:rsidP="002B5296">
      <w:pPr>
        <w:pStyle w:val="Caption"/>
        <w:rPr>
          <w:rStyle w:val="FigureChar"/>
          <w:rFonts w:eastAsia="SimSun"/>
          <w:vanish/>
          <w:specVanish/>
        </w:rPr>
      </w:pPr>
      <w:bookmarkStart w:id="328" w:name="_Toc35947167"/>
      <w:r>
        <w:t xml:space="preserve">Figure </w:t>
      </w:r>
      <w:r>
        <w:fldChar w:fldCharType="begin"/>
      </w:r>
      <w:r>
        <w:instrText xml:space="preserve"> SEQ Figure \* ARABIC </w:instrText>
      </w:r>
      <w:r>
        <w:fldChar w:fldCharType="separate"/>
      </w:r>
      <w:r w:rsidR="003053D1">
        <w:rPr>
          <w:noProof/>
        </w:rPr>
        <w:t>17</w:t>
      </w:r>
      <w:r>
        <w:fldChar w:fldCharType="end"/>
      </w:r>
      <w:r>
        <w:t xml:space="preserve"> </w:t>
      </w:r>
      <w:r w:rsidR="00F115AB">
        <w:t>Trends in</w:t>
      </w:r>
      <w:r w:rsidR="00F115AB" w:rsidRPr="00AA24BD">
        <w:t xml:space="preserve"> Coral index</w:t>
      </w:r>
      <w:r w:rsidR="00F115AB">
        <w:t xml:space="preserve"> and</w:t>
      </w:r>
      <w:r w:rsidR="00F115AB" w:rsidRPr="00AA24BD">
        <w:t xml:space="preserve"> contributing indicator scores</w:t>
      </w:r>
      <w:r w:rsidR="00F115AB">
        <w:t xml:space="preserve"> for the Johnstone Russell-Mulgrave subregion</w:t>
      </w:r>
      <w:bookmarkEnd w:id="328"/>
    </w:p>
    <w:p w14:paraId="53C13D36" w14:textId="77777777" w:rsidR="00F115AB" w:rsidRPr="00AA24BD" w:rsidRDefault="00F115AB">
      <w:pPr>
        <w:pStyle w:val="Caption"/>
      </w:pPr>
      <w:r w:rsidRPr="00AA24BD">
        <w:t xml:space="preserve">. </w:t>
      </w:r>
      <w:r>
        <w:t>Coral index scores are coloured by report card categories: orange = ‘poor’, yellow=’moderate’ and green=’good. Error in index score derived from bootstrapped distributions of indicator scores at individual reefs.</w:t>
      </w:r>
    </w:p>
    <w:p w14:paraId="53C13D37" w14:textId="77777777" w:rsidR="00F115AB" w:rsidRDefault="00F115AB" w:rsidP="00A84742"/>
    <w:p w14:paraId="53C13D38" w14:textId="2DEFAB8D" w:rsidR="00AB2D14" w:rsidRPr="00F2000D" w:rsidRDefault="00F572D1" w:rsidP="00A84742">
      <w:r w:rsidRPr="00754C99">
        <w:t xml:space="preserve">Contributing to this decline are decreased juvenile scores at two of the </w:t>
      </w:r>
      <w:r w:rsidR="007C3317">
        <w:t>eight</w:t>
      </w:r>
      <w:r w:rsidR="007C3317" w:rsidRPr="00754C99">
        <w:t xml:space="preserve"> </w:t>
      </w:r>
      <w:r w:rsidRPr="00754C99">
        <w:t>reefs in the region (</w:t>
      </w:r>
      <w:r w:rsidRPr="00754C99">
        <w:fldChar w:fldCharType="begin"/>
      </w:r>
      <w:r w:rsidRPr="00754C99">
        <w:instrText xml:space="preserve"> REF _Ref491181369 \h </w:instrText>
      </w:r>
      <w:r w:rsidRPr="00754C99">
        <w:fldChar w:fldCharType="separate"/>
      </w:r>
      <w:r w:rsidR="003053D1" w:rsidRPr="00AA6FF4">
        <w:t xml:space="preserve">Figure </w:t>
      </w:r>
      <w:r w:rsidR="003053D1">
        <w:rPr>
          <w:noProof/>
        </w:rPr>
        <w:t>19</w:t>
      </w:r>
      <w:r w:rsidRPr="00754C99">
        <w:fldChar w:fldCharType="end"/>
      </w:r>
      <w:r w:rsidR="006A3002">
        <w:t>c</w:t>
      </w:r>
      <w:r w:rsidRPr="00754C99">
        <w:t>) and a drop in macroalgae scores at High East and High Wes</w:t>
      </w:r>
      <w:r w:rsidR="00AB2D14" w:rsidRPr="00754C99">
        <w:t>t (</w:t>
      </w:r>
      <w:r w:rsidR="0071112C">
        <w:fldChar w:fldCharType="begin"/>
      </w:r>
      <w:r w:rsidR="0071112C">
        <w:instrText xml:space="preserve"> REF _Ref491181369 \h </w:instrText>
      </w:r>
      <w:r w:rsidR="0071112C">
        <w:fldChar w:fldCharType="separate"/>
      </w:r>
      <w:r w:rsidR="003053D1" w:rsidRPr="00AA6FF4">
        <w:t xml:space="preserve">Figure </w:t>
      </w:r>
      <w:r w:rsidR="003053D1">
        <w:rPr>
          <w:noProof/>
        </w:rPr>
        <w:t>19</w:t>
      </w:r>
      <w:r w:rsidR="0071112C">
        <w:fldChar w:fldCharType="end"/>
      </w:r>
      <w:r w:rsidR="00AB2D14" w:rsidRPr="00754C99">
        <w:fldChar w:fldCharType="begin"/>
      </w:r>
      <w:r w:rsidR="00AB2D14" w:rsidRPr="00754C99">
        <w:instrText xml:space="preserve"> REF _Ref491180328 \h  \* MERGEFORMAT </w:instrText>
      </w:r>
      <w:r w:rsidR="00AB2D14" w:rsidRPr="00754C99">
        <w:fldChar w:fldCharType="separate"/>
      </w:r>
      <w:r w:rsidR="003053D1" w:rsidRPr="00CE4E0F">
        <w:t xml:space="preserve">Figure </w:t>
      </w:r>
      <w:r w:rsidR="003053D1">
        <w:rPr>
          <w:noProof/>
        </w:rPr>
        <w:t>18</w:t>
      </w:r>
      <w:r w:rsidR="00AB2D14" w:rsidRPr="00754C99">
        <w:fldChar w:fldCharType="end"/>
      </w:r>
      <w:r w:rsidR="00AB2D14" w:rsidRPr="00754C99">
        <w:t xml:space="preserve">a). </w:t>
      </w:r>
      <w:r w:rsidR="009B06E9">
        <w:t>While c</w:t>
      </w:r>
      <w:r w:rsidRPr="00754C99">
        <w:t xml:space="preserve">oral cover </w:t>
      </w:r>
      <w:r w:rsidR="009B06E9">
        <w:t xml:space="preserve">has </w:t>
      </w:r>
      <w:r w:rsidRPr="00754C99">
        <w:t>generally increased across the region</w:t>
      </w:r>
      <w:r w:rsidR="00AE4291">
        <w:t xml:space="preserve">, </w:t>
      </w:r>
      <w:r w:rsidR="009B06E9">
        <w:t xml:space="preserve">the rate of increase was low leading to reduced scores for the </w:t>
      </w:r>
      <w:r w:rsidRPr="00754C99">
        <w:t>cover change indicator at several reefs (</w:t>
      </w:r>
      <w:r w:rsidRPr="00754C99">
        <w:fldChar w:fldCharType="begin"/>
      </w:r>
      <w:r w:rsidRPr="00754C99">
        <w:instrText xml:space="preserve"> REF _Ref491181369 \h </w:instrText>
      </w:r>
      <w:r w:rsidRPr="00754C99">
        <w:fldChar w:fldCharType="separate"/>
      </w:r>
      <w:r w:rsidR="003053D1" w:rsidRPr="00AA6FF4">
        <w:t xml:space="preserve">Figure </w:t>
      </w:r>
      <w:r w:rsidR="003053D1">
        <w:rPr>
          <w:noProof/>
        </w:rPr>
        <w:t>19</w:t>
      </w:r>
      <w:r w:rsidRPr="00754C99">
        <w:fldChar w:fldCharType="end"/>
      </w:r>
      <w:r w:rsidRPr="00754C99">
        <w:t>f)</w:t>
      </w:r>
      <w:r w:rsidR="009B06E9">
        <w:t xml:space="preserve">. Overall the index has improved </w:t>
      </w:r>
      <w:r w:rsidR="009B06E9" w:rsidRPr="00754C99">
        <w:t>since the low levels of 2012 (</w:t>
      </w:r>
      <w:r w:rsidR="009B06E9" w:rsidRPr="00754C99">
        <w:fldChar w:fldCharType="begin"/>
      </w:r>
      <w:r w:rsidR="009B06E9" w:rsidRPr="00754C99">
        <w:instrText xml:space="preserve"> REF _Ref496105214 \h </w:instrText>
      </w:r>
      <w:r w:rsidR="009B06E9" w:rsidRPr="00754C99">
        <w:fldChar w:fldCharType="separate"/>
      </w:r>
      <w:r w:rsidR="003053D1" w:rsidRPr="00233BE2">
        <w:t xml:space="preserve">Table </w:t>
      </w:r>
      <w:r w:rsidR="003053D1">
        <w:rPr>
          <w:noProof/>
        </w:rPr>
        <w:t>10</w:t>
      </w:r>
      <w:r w:rsidR="009B06E9" w:rsidRPr="00754C99">
        <w:fldChar w:fldCharType="end"/>
      </w:r>
      <w:r w:rsidR="009B06E9" w:rsidRPr="00754C99">
        <w:t>)</w:t>
      </w:r>
      <w:r w:rsidR="009B06E9">
        <w:t xml:space="preserve"> and has fluctuated about the threshold between ‘moderate’ and ‘good’ scores since 2016</w:t>
      </w:r>
      <w:r w:rsidR="00AB2D14" w:rsidRPr="00754C99">
        <w:t>.</w:t>
      </w:r>
    </w:p>
    <w:p w14:paraId="53C13D39" w14:textId="20D72E20" w:rsidR="0094743B" w:rsidRPr="00233BE2" w:rsidRDefault="00A84742" w:rsidP="002B5296">
      <w:pPr>
        <w:pStyle w:val="Caption"/>
        <w:rPr>
          <w:rFonts w:ascii="Arial" w:hAnsi="Arial" w:cs="Arial"/>
          <w:i/>
          <w:vanish/>
          <w:specVanish/>
        </w:rPr>
      </w:pPr>
      <w:bookmarkStart w:id="329" w:name="_Ref491180360"/>
      <w:bookmarkStart w:id="330" w:name="_Ref496105214"/>
      <w:bookmarkStart w:id="331" w:name="_Toc35947196"/>
      <w:bookmarkStart w:id="332" w:name="_Ref496105205"/>
      <w:bookmarkStart w:id="333" w:name="_Toc528333642"/>
      <w:r w:rsidRPr="00233BE2">
        <w:lastRenderedPageBreak/>
        <w:t xml:space="preserve">Table </w:t>
      </w:r>
      <w:r w:rsidRPr="00233BE2">
        <w:rPr>
          <w:noProof/>
        </w:rPr>
        <w:fldChar w:fldCharType="begin"/>
      </w:r>
      <w:r w:rsidRPr="00233BE2">
        <w:rPr>
          <w:noProof/>
        </w:rPr>
        <w:instrText xml:space="preserve"> SEQ Table \* ARABIC </w:instrText>
      </w:r>
      <w:r w:rsidRPr="00233BE2">
        <w:rPr>
          <w:noProof/>
        </w:rPr>
        <w:fldChar w:fldCharType="separate"/>
      </w:r>
      <w:r w:rsidR="003053D1">
        <w:rPr>
          <w:noProof/>
        </w:rPr>
        <w:t>10</w:t>
      </w:r>
      <w:r w:rsidRPr="00233BE2">
        <w:rPr>
          <w:noProof/>
        </w:rPr>
        <w:fldChar w:fldCharType="end"/>
      </w:r>
      <w:bookmarkEnd w:id="329"/>
      <w:bookmarkEnd w:id="330"/>
      <w:r w:rsidRPr="00233BE2">
        <w:t xml:space="preserve"> Index and indicator score comparisons in the Johnstone Russell-Mulgrave sub-region.</w:t>
      </w:r>
      <w:bookmarkEnd w:id="331"/>
    </w:p>
    <w:p w14:paraId="53C13D3A" w14:textId="77777777" w:rsidR="00A84742" w:rsidRPr="0094743B" w:rsidRDefault="0094743B">
      <w:pPr>
        <w:pStyle w:val="Caption"/>
        <w:rPr>
          <w:rStyle w:val="IntenseReference"/>
        </w:rPr>
      </w:pPr>
      <w:r>
        <w:t xml:space="preserve"> </w:t>
      </w:r>
      <w:r w:rsidR="00A84742" w:rsidRPr="00233BE2">
        <w:t xml:space="preserve"> </w:t>
      </w:r>
      <w:r w:rsidR="00A84742" w:rsidRPr="0094743B">
        <w:rPr>
          <w:rStyle w:val="IntenseReference"/>
        </w:rPr>
        <w:t>Data compare the changes in scores between local maxima and minima in the index time-series</w:t>
      </w:r>
      <w:r w:rsidR="00B43DA3" w:rsidRPr="0094743B">
        <w:rPr>
          <w:rStyle w:val="IntenseReference"/>
        </w:rPr>
        <w:t>.</w:t>
      </w:r>
      <w:r w:rsidR="00A84742" w:rsidRPr="0094743B">
        <w:rPr>
          <w:rStyle w:val="IntenseReference"/>
        </w:rPr>
        <w:t xml:space="preserve"> For the index, and each indicator, the observed change in the sub-regional score and the probability that the change was greater or less than zero (no change) are presented. Shading is used as a visual aid to highlight the magnitude of the probability the score improved (blue shades) or declined (red shades). Probabilities are derived from the posterior distribution of observed score changes at each reef and depth.</w:t>
      </w:r>
      <w:bookmarkEnd w:id="332"/>
      <w:bookmarkEnd w:id="333"/>
    </w:p>
    <w:tbl>
      <w:tblPr>
        <w:tblW w:w="8926"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Caption w:val="Statistical comparison between index and metric scores between local maxima and minima in the time-series of scores in the region"/>
        <w:tblDescription w:val="A table listing the maxima in minima index scores and significance of changes in the index and each metric. The salient results are discussed in the main text. &#10;"/>
      </w:tblPr>
      <w:tblGrid>
        <w:gridCol w:w="1074"/>
        <w:gridCol w:w="350"/>
        <w:gridCol w:w="625"/>
        <w:gridCol w:w="625"/>
        <w:gridCol w:w="625"/>
        <w:gridCol w:w="625"/>
        <w:gridCol w:w="625"/>
        <w:gridCol w:w="626"/>
        <w:gridCol w:w="625"/>
        <w:gridCol w:w="625"/>
        <w:gridCol w:w="625"/>
        <w:gridCol w:w="625"/>
        <w:gridCol w:w="625"/>
        <w:gridCol w:w="626"/>
      </w:tblGrid>
      <w:tr w:rsidR="00CE4E0F" w:rsidRPr="00233BE2" w14:paraId="53C13D43" w14:textId="77777777" w:rsidTr="004F16D3">
        <w:trPr>
          <w:trHeight w:val="300"/>
        </w:trPr>
        <w:tc>
          <w:tcPr>
            <w:tcW w:w="1074" w:type="dxa"/>
            <w:vMerge w:val="restart"/>
            <w:shd w:val="clear" w:color="auto" w:fill="auto"/>
            <w:noWrap/>
            <w:tcMar>
              <w:left w:w="57" w:type="dxa"/>
              <w:right w:w="57" w:type="dxa"/>
            </w:tcMar>
            <w:vAlign w:val="bottom"/>
          </w:tcPr>
          <w:p w14:paraId="53C13D3B" w14:textId="77777777" w:rsidR="00A84742" w:rsidRPr="00233BE2" w:rsidRDefault="00A84742" w:rsidP="00A84742">
            <w:pPr>
              <w:spacing w:after="0"/>
              <w:rPr>
                <w:rFonts w:ascii="Arial Narrow" w:hAnsi="Arial Narrow"/>
                <w:sz w:val="20"/>
                <w:lang w:eastAsia="en-AU"/>
              </w:rPr>
            </w:pPr>
            <w:r w:rsidRPr="00233BE2">
              <w:rPr>
                <w:rFonts w:ascii="Arial Narrow" w:hAnsi="Arial Narrow"/>
                <w:sz w:val="20"/>
                <w:lang w:eastAsia="en-AU"/>
              </w:rPr>
              <w:t>Period</w:t>
            </w:r>
          </w:p>
        </w:tc>
        <w:tc>
          <w:tcPr>
            <w:tcW w:w="350" w:type="dxa"/>
            <w:vMerge w:val="restart"/>
            <w:shd w:val="clear" w:color="auto" w:fill="auto"/>
            <w:noWrap/>
            <w:tcMar>
              <w:left w:w="57" w:type="dxa"/>
              <w:right w:w="57" w:type="dxa"/>
            </w:tcMar>
            <w:textDirection w:val="btLr"/>
            <w:vAlign w:val="bottom"/>
          </w:tcPr>
          <w:p w14:paraId="53C13D3C" w14:textId="77777777" w:rsidR="00A84742" w:rsidRPr="00233BE2" w:rsidRDefault="00A84742" w:rsidP="00A84742">
            <w:pPr>
              <w:spacing w:after="0"/>
              <w:ind w:left="113" w:right="113"/>
              <w:jc w:val="center"/>
              <w:rPr>
                <w:rFonts w:ascii="Arial Narrow" w:hAnsi="Arial Narrow"/>
                <w:sz w:val="20"/>
                <w:lang w:eastAsia="en-AU"/>
              </w:rPr>
            </w:pPr>
            <w:r w:rsidRPr="00233BE2">
              <w:rPr>
                <w:rFonts w:ascii="Arial Narrow" w:hAnsi="Arial Narrow"/>
                <w:sz w:val="20"/>
                <w:lang w:eastAsia="en-AU"/>
              </w:rPr>
              <w:t>Depth</w:t>
            </w:r>
          </w:p>
        </w:tc>
        <w:tc>
          <w:tcPr>
            <w:tcW w:w="1250" w:type="dxa"/>
            <w:gridSpan w:val="2"/>
            <w:shd w:val="clear" w:color="auto" w:fill="auto"/>
            <w:noWrap/>
            <w:tcMar>
              <w:left w:w="57" w:type="dxa"/>
              <w:right w:w="57" w:type="dxa"/>
            </w:tcMar>
            <w:vAlign w:val="bottom"/>
          </w:tcPr>
          <w:p w14:paraId="53C13D3D" w14:textId="77777777" w:rsidR="00A84742" w:rsidRPr="00233BE2" w:rsidRDefault="00A84742" w:rsidP="00A84742">
            <w:pPr>
              <w:spacing w:after="0"/>
              <w:jc w:val="center"/>
              <w:rPr>
                <w:rFonts w:ascii="Arial Narrow" w:hAnsi="Arial Narrow"/>
                <w:sz w:val="20"/>
                <w:lang w:eastAsia="en-AU"/>
              </w:rPr>
            </w:pPr>
            <w:r w:rsidRPr="00233BE2">
              <w:rPr>
                <w:rFonts w:ascii="Arial Narrow" w:hAnsi="Arial Narrow"/>
                <w:sz w:val="20"/>
                <w:lang w:eastAsia="en-AU"/>
              </w:rPr>
              <w:t>Condition Index</w:t>
            </w:r>
          </w:p>
        </w:tc>
        <w:tc>
          <w:tcPr>
            <w:tcW w:w="1250" w:type="dxa"/>
            <w:gridSpan w:val="2"/>
            <w:shd w:val="clear" w:color="auto" w:fill="auto"/>
            <w:noWrap/>
            <w:tcMar>
              <w:left w:w="57" w:type="dxa"/>
              <w:right w:w="57" w:type="dxa"/>
            </w:tcMar>
            <w:vAlign w:val="bottom"/>
          </w:tcPr>
          <w:p w14:paraId="53C13D3E" w14:textId="77777777" w:rsidR="00A84742" w:rsidRPr="00233BE2" w:rsidRDefault="00A84742" w:rsidP="00A84742">
            <w:pPr>
              <w:spacing w:after="0"/>
              <w:jc w:val="center"/>
              <w:rPr>
                <w:rFonts w:ascii="Arial Narrow" w:hAnsi="Arial Narrow"/>
                <w:sz w:val="20"/>
                <w:lang w:eastAsia="en-AU"/>
              </w:rPr>
            </w:pPr>
            <w:r w:rsidRPr="00233BE2">
              <w:rPr>
                <w:rFonts w:ascii="Arial Narrow" w:hAnsi="Arial Narrow"/>
                <w:sz w:val="20"/>
                <w:lang w:eastAsia="en-AU"/>
              </w:rPr>
              <w:t>Coral Cover</w:t>
            </w:r>
          </w:p>
        </w:tc>
        <w:tc>
          <w:tcPr>
            <w:tcW w:w="1251" w:type="dxa"/>
            <w:gridSpan w:val="2"/>
            <w:shd w:val="clear" w:color="auto" w:fill="auto"/>
            <w:noWrap/>
            <w:tcMar>
              <w:left w:w="57" w:type="dxa"/>
              <w:right w:w="57" w:type="dxa"/>
            </w:tcMar>
            <w:vAlign w:val="bottom"/>
          </w:tcPr>
          <w:p w14:paraId="53C13D3F" w14:textId="77777777" w:rsidR="00A84742" w:rsidRPr="00233BE2" w:rsidRDefault="00A84742" w:rsidP="00A84742">
            <w:pPr>
              <w:spacing w:after="0"/>
              <w:jc w:val="center"/>
              <w:rPr>
                <w:rFonts w:ascii="Arial Narrow" w:hAnsi="Arial Narrow"/>
                <w:sz w:val="20"/>
                <w:lang w:eastAsia="en-AU"/>
              </w:rPr>
            </w:pPr>
            <w:r w:rsidRPr="00233BE2">
              <w:rPr>
                <w:rFonts w:ascii="Arial Narrow" w:hAnsi="Arial Narrow"/>
                <w:sz w:val="20"/>
                <w:lang w:eastAsia="en-AU"/>
              </w:rPr>
              <w:t>Macroalgae</w:t>
            </w:r>
          </w:p>
        </w:tc>
        <w:tc>
          <w:tcPr>
            <w:tcW w:w="1250" w:type="dxa"/>
            <w:gridSpan w:val="2"/>
            <w:shd w:val="clear" w:color="auto" w:fill="auto"/>
            <w:noWrap/>
            <w:tcMar>
              <w:left w:w="57" w:type="dxa"/>
              <w:right w:w="57" w:type="dxa"/>
            </w:tcMar>
            <w:vAlign w:val="bottom"/>
          </w:tcPr>
          <w:p w14:paraId="53C13D40" w14:textId="77777777" w:rsidR="00A84742" w:rsidRPr="00233BE2" w:rsidRDefault="00A84742" w:rsidP="00A84742">
            <w:pPr>
              <w:spacing w:after="0"/>
              <w:jc w:val="center"/>
              <w:rPr>
                <w:rFonts w:ascii="Arial Narrow" w:hAnsi="Arial Narrow"/>
                <w:sz w:val="20"/>
                <w:lang w:eastAsia="en-AU"/>
              </w:rPr>
            </w:pPr>
            <w:r w:rsidRPr="00233BE2">
              <w:rPr>
                <w:rFonts w:ascii="Arial Narrow" w:hAnsi="Arial Narrow"/>
                <w:sz w:val="20"/>
                <w:lang w:eastAsia="en-AU"/>
              </w:rPr>
              <w:t>Juvenile</w:t>
            </w:r>
          </w:p>
        </w:tc>
        <w:tc>
          <w:tcPr>
            <w:tcW w:w="1250" w:type="dxa"/>
            <w:gridSpan w:val="2"/>
            <w:shd w:val="clear" w:color="auto" w:fill="auto"/>
            <w:noWrap/>
            <w:tcMar>
              <w:left w:w="57" w:type="dxa"/>
              <w:right w:w="57" w:type="dxa"/>
            </w:tcMar>
            <w:vAlign w:val="bottom"/>
          </w:tcPr>
          <w:p w14:paraId="53C13D41" w14:textId="77777777" w:rsidR="00A84742" w:rsidRPr="00233BE2" w:rsidRDefault="00A84742" w:rsidP="00A84742">
            <w:pPr>
              <w:spacing w:after="0"/>
              <w:jc w:val="center"/>
              <w:rPr>
                <w:rFonts w:ascii="Arial Narrow" w:hAnsi="Arial Narrow"/>
                <w:sz w:val="20"/>
                <w:lang w:eastAsia="en-AU"/>
              </w:rPr>
            </w:pPr>
            <w:r w:rsidRPr="00233BE2">
              <w:rPr>
                <w:rFonts w:ascii="Arial Narrow" w:hAnsi="Arial Narrow"/>
                <w:sz w:val="20"/>
                <w:lang w:eastAsia="en-AU"/>
              </w:rPr>
              <w:t>Cover Change</w:t>
            </w:r>
          </w:p>
        </w:tc>
        <w:tc>
          <w:tcPr>
            <w:tcW w:w="1251" w:type="dxa"/>
            <w:gridSpan w:val="2"/>
            <w:shd w:val="clear" w:color="auto" w:fill="auto"/>
            <w:noWrap/>
            <w:tcMar>
              <w:left w:w="57" w:type="dxa"/>
              <w:right w:w="57" w:type="dxa"/>
            </w:tcMar>
            <w:vAlign w:val="bottom"/>
          </w:tcPr>
          <w:p w14:paraId="53C13D42" w14:textId="77777777" w:rsidR="00A84742" w:rsidRPr="00233BE2" w:rsidRDefault="00A84742" w:rsidP="00A84742">
            <w:pPr>
              <w:spacing w:after="0"/>
              <w:jc w:val="center"/>
              <w:rPr>
                <w:rFonts w:ascii="Arial Narrow" w:hAnsi="Arial Narrow"/>
                <w:sz w:val="20"/>
                <w:lang w:eastAsia="en-AU"/>
              </w:rPr>
            </w:pPr>
            <w:r w:rsidRPr="00233BE2">
              <w:rPr>
                <w:rFonts w:ascii="Arial Narrow" w:hAnsi="Arial Narrow"/>
                <w:sz w:val="20"/>
                <w:lang w:eastAsia="en-AU"/>
              </w:rPr>
              <w:t>Composition</w:t>
            </w:r>
          </w:p>
        </w:tc>
      </w:tr>
      <w:tr w:rsidR="00CE4E0F" w:rsidRPr="00233BE2" w14:paraId="53C13D52" w14:textId="77777777" w:rsidTr="004F16D3">
        <w:trPr>
          <w:trHeight w:val="520"/>
        </w:trPr>
        <w:tc>
          <w:tcPr>
            <w:tcW w:w="1074" w:type="dxa"/>
            <w:vMerge/>
            <w:shd w:val="clear" w:color="auto" w:fill="auto"/>
            <w:noWrap/>
            <w:tcMar>
              <w:left w:w="57" w:type="dxa"/>
              <w:right w:w="57" w:type="dxa"/>
            </w:tcMar>
            <w:vAlign w:val="bottom"/>
          </w:tcPr>
          <w:p w14:paraId="53C13D44" w14:textId="77777777" w:rsidR="00A84742" w:rsidRPr="00233BE2" w:rsidRDefault="00A84742" w:rsidP="00A84742">
            <w:pPr>
              <w:spacing w:after="0"/>
              <w:rPr>
                <w:rFonts w:ascii="Arial Narrow" w:hAnsi="Arial Narrow"/>
                <w:sz w:val="20"/>
                <w:lang w:eastAsia="en-AU"/>
              </w:rPr>
            </w:pPr>
          </w:p>
        </w:tc>
        <w:tc>
          <w:tcPr>
            <w:tcW w:w="350" w:type="dxa"/>
            <w:vMerge/>
            <w:shd w:val="clear" w:color="auto" w:fill="auto"/>
            <w:noWrap/>
            <w:tcMar>
              <w:left w:w="57" w:type="dxa"/>
              <w:right w:w="57" w:type="dxa"/>
            </w:tcMar>
            <w:vAlign w:val="bottom"/>
          </w:tcPr>
          <w:p w14:paraId="53C13D45" w14:textId="77777777" w:rsidR="00A84742" w:rsidRPr="00233BE2" w:rsidRDefault="00A84742" w:rsidP="00A84742">
            <w:pPr>
              <w:spacing w:after="0"/>
              <w:jc w:val="center"/>
              <w:rPr>
                <w:rFonts w:ascii="Arial Narrow" w:hAnsi="Arial Narrow"/>
                <w:sz w:val="20"/>
                <w:lang w:eastAsia="en-AU"/>
              </w:rPr>
            </w:pPr>
          </w:p>
        </w:tc>
        <w:tc>
          <w:tcPr>
            <w:tcW w:w="625" w:type="dxa"/>
            <w:shd w:val="clear" w:color="auto" w:fill="auto"/>
            <w:noWrap/>
            <w:tcMar>
              <w:left w:w="57" w:type="dxa"/>
              <w:right w:w="57" w:type="dxa"/>
            </w:tcMar>
            <w:vAlign w:val="bottom"/>
          </w:tcPr>
          <w:p w14:paraId="53C13D46" w14:textId="77777777" w:rsidR="00A84742" w:rsidRPr="00233BE2" w:rsidRDefault="00A84742" w:rsidP="00A84742">
            <w:pPr>
              <w:spacing w:after="0"/>
              <w:jc w:val="center"/>
              <w:rPr>
                <w:rFonts w:ascii="Arial Narrow" w:hAnsi="Arial Narrow"/>
                <w:sz w:val="20"/>
                <w:lang w:eastAsia="en-AU"/>
              </w:rPr>
            </w:pPr>
            <w:r w:rsidRPr="00233BE2">
              <w:rPr>
                <w:rFonts w:ascii="Arial Narrow" w:hAnsi="Arial Narrow"/>
                <w:sz w:val="20"/>
                <w:lang w:eastAsia="en-AU"/>
              </w:rPr>
              <w:t>Score</w:t>
            </w:r>
          </w:p>
        </w:tc>
        <w:tc>
          <w:tcPr>
            <w:tcW w:w="625" w:type="dxa"/>
            <w:shd w:val="clear" w:color="auto" w:fill="auto"/>
            <w:noWrap/>
            <w:tcMar>
              <w:left w:w="57" w:type="dxa"/>
              <w:right w:w="57" w:type="dxa"/>
            </w:tcMar>
            <w:vAlign w:val="bottom"/>
          </w:tcPr>
          <w:p w14:paraId="53C13D47" w14:textId="77777777" w:rsidR="00A84742" w:rsidRPr="00233BE2" w:rsidRDefault="00A84742" w:rsidP="00A84742">
            <w:pPr>
              <w:spacing w:after="0"/>
              <w:jc w:val="center"/>
              <w:rPr>
                <w:rFonts w:ascii="Arial Narrow" w:hAnsi="Arial Narrow"/>
                <w:sz w:val="20"/>
                <w:lang w:eastAsia="en-AU"/>
              </w:rPr>
            </w:pPr>
            <w:r w:rsidRPr="00233BE2">
              <w:rPr>
                <w:rFonts w:ascii="Arial Narrow" w:hAnsi="Arial Narrow"/>
                <w:sz w:val="20"/>
                <w:lang w:eastAsia="en-AU"/>
              </w:rPr>
              <w:t>P</w:t>
            </w:r>
          </w:p>
        </w:tc>
        <w:tc>
          <w:tcPr>
            <w:tcW w:w="625" w:type="dxa"/>
            <w:shd w:val="clear" w:color="auto" w:fill="auto"/>
            <w:noWrap/>
            <w:tcMar>
              <w:left w:w="57" w:type="dxa"/>
              <w:right w:w="57" w:type="dxa"/>
            </w:tcMar>
            <w:vAlign w:val="bottom"/>
          </w:tcPr>
          <w:p w14:paraId="53C13D48" w14:textId="77777777" w:rsidR="00A84742" w:rsidRPr="00233BE2" w:rsidRDefault="00A84742" w:rsidP="00A84742">
            <w:pPr>
              <w:spacing w:after="0"/>
              <w:jc w:val="center"/>
              <w:rPr>
                <w:rFonts w:ascii="Arial Narrow" w:hAnsi="Arial Narrow"/>
                <w:sz w:val="20"/>
                <w:lang w:eastAsia="en-AU"/>
              </w:rPr>
            </w:pPr>
            <w:r w:rsidRPr="00233BE2">
              <w:rPr>
                <w:rFonts w:ascii="Arial Narrow" w:hAnsi="Arial Narrow"/>
                <w:sz w:val="20"/>
                <w:lang w:eastAsia="en-AU"/>
              </w:rPr>
              <w:t>Score</w:t>
            </w:r>
          </w:p>
        </w:tc>
        <w:tc>
          <w:tcPr>
            <w:tcW w:w="625" w:type="dxa"/>
            <w:shd w:val="clear" w:color="auto" w:fill="auto"/>
            <w:noWrap/>
            <w:tcMar>
              <w:left w:w="57" w:type="dxa"/>
              <w:right w:w="57" w:type="dxa"/>
            </w:tcMar>
            <w:vAlign w:val="bottom"/>
          </w:tcPr>
          <w:p w14:paraId="53C13D49" w14:textId="77777777" w:rsidR="00A84742" w:rsidRPr="00233BE2" w:rsidRDefault="00A84742" w:rsidP="00A84742">
            <w:pPr>
              <w:spacing w:after="0"/>
              <w:jc w:val="center"/>
              <w:rPr>
                <w:rFonts w:ascii="Arial Narrow" w:hAnsi="Arial Narrow"/>
                <w:sz w:val="20"/>
                <w:lang w:eastAsia="en-AU"/>
              </w:rPr>
            </w:pPr>
            <w:r w:rsidRPr="00233BE2">
              <w:rPr>
                <w:rFonts w:ascii="Arial Narrow" w:hAnsi="Arial Narrow"/>
                <w:sz w:val="20"/>
                <w:lang w:eastAsia="en-AU"/>
              </w:rPr>
              <w:t>P</w:t>
            </w:r>
          </w:p>
        </w:tc>
        <w:tc>
          <w:tcPr>
            <w:tcW w:w="625" w:type="dxa"/>
            <w:shd w:val="clear" w:color="auto" w:fill="auto"/>
            <w:noWrap/>
            <w:tcMar>
              <w:left w:w="57" w:type="dxa"/>
              <w:right w:w="57" w:type="dxa"/>
            </w:tcMar>
            <w:vAlign w:val="bottom"/>
          </w:tcPr>
          <w:p w14:paraId="53C13D4A" w14:textId="77777777" w:rsidR="00A84742" w:rsidRPr="00233BE2" w:rsidRDefault="00A84742" w:rsidP="00A84742">
            <w:pPr>
              <w:spacing w:after="0"/>
              <w:jc w:val="center"/>
              <w:rPr>
                <w:rFonts w:ascii="Arial Narrow" w:hAnsi="Arial Narrow"/>
                <w:sz w:val="20"/>
                <w:lang w:eastAsia="en-AU"/>
              </w:rPr>
            </w:pPr>
            <w:r w:rsidRPr="00233BE2">
              <w:rPr>
                <w:rFonts w:ascii="Arial Narrow" w:hAnsi="Arial Narrow"/>
                <w:sz w:val="20"/>
                <w:lang w:eastAsia="en-AU"/>
              </w:rPr>
              <w:t>Score</w:t>
            </w:r>
          </w:p>
        </w:tc>
        <w:tc>
          <w:tcPr>
            <w:tcW w:w="626" w:type="dxa"/>
            <w:shd w:val="clear" w:color="auto" w:fill="auto"/>
            <w:noWrap/>
            <w:tcMar>
              <w:left w:w="57" w:type="dxa"/>
              <w:right w:w="57" w:type="dxa"/>
            </w:tcMar>
            <w:vAlign w:val="bottom"/>
          </w:tcPr>
          <w:p w14:paraId="53C13D4B" w14:textId="77777777" w:rsidR="00A84742" w:rsidRPr="00233BE2" w:rsidRDefault="00A84742" w:rsidP="00A84742">
            <w:pPr>
              <w:spacing w:after="0"/>
              <w:jc w:val="center"/>
              <w:rPr>
                <w:rFonts w:ascii="Arial Narrow" w:hAnsi="Arial Narrow"/>
                <w:sz w:val="20"/>
                <w:lang w:eastAsia="en-AU"/>
              </w:rPr>
            </w:pPr>
            <w:r w:rsidRPr="00233BE2">
              <w:rPr>
                <w:rFonts w:ascii="Arial Narrow" w:hAnsi="Arial Narrow"/>
                <w:sz w:val="20"/>
                <w:lang w:eastAsia="en-AU"/>
              </w:rPr>
              <w:t>P</w:t>
            </w:r>
          </w:p>
        </w:tc>
        <w:tc>
          <w:tcPr>
            <w:tcW w:w="625" w:type="dxa"/>
            <w:shd w:val="clear" w:color="auto" w:fill="auto"/>
            <w:noWrap/>
            <w:tcMar>
              <w:left w:w="57" w:type="dxa"/>
              <w:right w:w="57" w:type="dxa"/>
            </w:tcMar>
            <w:vAlign w:val="bottom"/>
          </w:tcPr>
          <w:p w14:paraId="53C13D4C" w14:textId="77777777" w:rsidR="00A84742" w:rsidRPr="00233BE2" w:rsidRDefault="00A84742" w:rsidP="00A84742">
            <w:pPr>
              <w:spacing w:after="0"/>
              <w:jc w:val="center"/>
              <w:rPr>
                <w:rFonts w:ascii="Arial Narrow" w:hAnsi="Arial Narrow"/>
                <w:sz w:val="20"/>
                <w:lang w:eastAsia="en-AU"/>
              </w:rPr>
            </w:pPr>
            <w:r w:rsidRPr="00233BE2">
              <w:rPr>
                <w:rFonts w:ascii="Arial Narrow" w:hAnsi="Arial Narrow"/>
                <w:sz w:val="20"/>
                <w:lang w:eastAsia="en-AU"/>
              </w:rPr>
              <w:t>Score</w:t>
            </w:r>
          </w:p>
        </w:tc>
        <w:tc>
          <w:tcPr>
            <w:tcW w:w="625" w:type="dxa"/>
            <w:shd w:val="clear" w:color="auto" w:fill="auto"/>
            <w:noWrap/>
            <w:tcMar>
              <w:left w:w="57" w:type="dxa"/>
              <w:right w:w="57" w:type="dxa"/>
            </w:tcMar>
            <w:vAlign w:val="bottom"/>
          </w:tcPr>
          <w:p w14:paraId="53C13D4D" w14:textId="77777777" w:rsidR="00A84742" w:rsidRPr="00233BE2" w:rsidRDefault="00A84742" w:rsidP="00A84742">
            <w:pPr>
              <w:spacing w:after="0"/>
              <w:jc w:val="center"/>
              <w:rPr>
                <w:rFonts w:ascii="Arial Narrow" w:hAnsi="Arial Narrow"/>
                <w:sz w:val="20"/>
                <w:lang w:eastAsia="en-AU"/>
              </w:rPr>
            </w:pPr>
            <w:r w:rsidRPr="00233BE2">
              <w:rPr>
                <w:rFonts w:ascii="Arial Narrow" w:hAnsi="Arial Narrow"/>
                <w:sz w:val="20"/>
                <w:lang w:eastAsia="en-AU"/>
              </w:rPr>
              <w:t>P</w:t>
            </w:r>
          </w:p>
        </w:tc>
        <w:tc>
          <w:tcPr>
            <w:tcW w:w="625" w:type="dxa"/>
            <w:shd w:val="clear" w:color="auto" w:fill="auto"/>
            <w:noWrap/>
            <w:tcMar>
              <w:left w:w="57" w:type="dxa"/>
              <w:right w:w="57" w:type="dxa"/>
            </w:tcMar>
            <w:vAlign w:val="bottom"/>
          </w:tcPr>
          <w:p w14:paraId="53C13D4E" w14:textId="77777777" w:rsidR="00A84742" w:rsidRPr="00233BE2" w:rsidRDefault="00A84742" w:rsidP="00A84742">
            <w:pPr>
              <w:spacing w:after="0"/>
              <w:jc w:val="center"/>
              <w:rPr>
                <w:rFonts w:ascii="Arial Narrow" w:hAnsi="Arial Narrow"/>
                <w:sz w:val="20"/>
                <w:lang w:eastAsia="en-AU"/>
              </w:rPr>
            </w:pPr>
            <w:r w:rsidRPr="00233BE2">
              <w:rPr>
                <w:rFonts w:ascii="Arial Narrow" w:hAnsi="Arial Narrow"/>
                <w:sz w:val="20"/>
                <w:lang w:eastAsia="en-AU"/>
              </w:rPr>
              <w:t>Score</w:t>
            </w:r>
          </w:p>
        </w:tc>
        <w:tc>
          <w:tcPr>
            <w:tcW w:w="625" w:type="dxa"/>
            <w:shd w:val="clear" w:color="auto" w:fill="auto"/>
            <w:noWrap/>
            <w:tcMar>
              <w:left w:w="57" w:type="dxa"/>
              <w:right w:w="57" w:type="dxa"/>
            </w:tcMar>
            <w:vAlign w:val="bottom"/>
          </w:tcPr>
          <w:p w14:paraId="53C13D4F" w14:textId="77777777" w:rsidR="00A84742" w:rsidRPr="00233BE2" w:rsidRDefault="00A84742" w:rsidP="00A84742">
            <w:pPr>
              <w:spacing w:after="0"/>
              <w:jc w:val="center"/>
              <w:rPr>
                <w:rFonts w:ascii="Arial Narrow" w:hAnsi="Arial Narrow"/>
                <w:sz w:val="20"/>
                <w:lang w:eastAsia="en-AU"/>
              </w:rPr>
            </w:pPr>
            <w:r w:rsidRPr="00233BE2">
              <w:rPr>
                <w:rFonts w:ascii="Arial Narrow" w:hAnsi="Arial Narrow"/>
                <w:sz w:val="20"/>
                <w:lang w:eastAsia="en-AU"/>
              </w:rPr>
              <w:t>P</w:t>
            </w:r>
          </w:p>
        </w:tc>
        <w:tc>
          <w:tcPr>
            <w:tcW w:w="625" w:type="dxa"/>
            <w:shd w:val="clear" w:color="auto" w:fill="auto"/>
            <w:noWrap/>
            <w:tcMar>
              <w:left w:w="57" w:type="dxa"/>
              <w:right w:w="57" w:type="dxa"/>
            </w:tcMar>
            <w:vAlign w:val="bottom"/>
          </w:tcPr>
          <w:p w14:paraId="53C13D50" w14:textId="77777777" w:rsidR="00A84742" w:rsidRPr="00233BE2" w:rsidRDefault="00A84742" w:rsidP="00A84742">
            <w:pPr>
              <w:spacing w:after="0"/>
              <w:jc w:val="center"/>
              <w:rPr>
                <w:rFonts w:ascii="Arial Narrow" w:hAnsi="Arial Narrow"/>
                <w:sz w:val="20"/>
                <w:lang w:eastAsia="en-AU"/>
              </w:rPr>
            </w:pPr>
            <w:r w:rsidRPr="00233BE2">
              <w:rPr>
                <w:rFonts w:ascii="Arial Narrow" w:hAnsi="Arial Narrow"/>
                <w:sz w:val="20"/>
                <w:lang w:eastAsia="en-AU"/>
              </w:rPr>
              <w:t>Score</w:t>
            </w:r>
          </w:p>
        </w:tc>
        <w:tc>
          <w:tcPr>
            <w:tcW w:w="626" w:type="dxa"/>
            <w:shd w:val="clear" w:color="auto" w:fill="auto"/>
            <w:noWrap/>
            <w:tcMar>
              <w:left w:w="57" w:type="dxa"/>
              <w:right w:w="57" w:type="dxa"/>
            </w:tcMar>
            <w:vAlign w:val="bottom"/>
          </w:tcPr>
          <w:p w14:paraId="53C13D51" w14:textId="77777777" w:rsidR="00A84742" w:rsidRPr="00233BE2" w:rsidRDefault="00A84742" w:rsidP="00A84742">
            <w:pPr>
              <w:spacing w:after="0"/>
              <w:jc w:val="center"/>
              <w:rPr>
                <w:rFonts w:ascii="Arial Narrow" w:hAnsi="Arial Narrow"/>
                <w:sz w:val="20"/>
                <w:lang w:eastAsia="en-AU"/>
              </w:rPr>
            </w:pPr>
            <w:r w:rsidRPr="00233BE2">
              <w:rPr>
                <w:rFonts w:ascii="Arial Narrow" w:hAnsi="Arial Narrow"/>
                <w:sz w:val="20"/>
                <w:lang w:eastAsia="en-AU"/>
              </w:rPr>
              <w:t>P</w:t>
            </w:r>
          </w:p>
        </w:tc>
      </w:tr>
      <w:tr w:rsidR="00CE4E0F" w:rsidRPr="00233BE2" w14:paraId="53C13D61" w14:textId="77777777" w:rsidTr="004F16D3">
        <w:trPr>
          <w:cantSplit/>
          <w:trHeight w:hRule="exact" w:val="301"/>
        </w:trPr>
        <w:tc>
          <w:tcPr>
            <w:tcW w:w="1074" w:type="dxa"/>
            <w:vMerge w:val="restart"/>
            <w:shd w:val="clear" w:color="auto" w:fill="auto"/>
            <w:noWrap/>
            <w:tcMar>
              <w:left w:w="57" w:type="dxa"/>
              <w:right w:w="57" w:type="dxa"/>
            </w:tcMar>
            <w:vAlign w:val="center"/>
          </w:tcPr>
          <w:p w14:paraId="53C13D53" w14:textId="77777777" w:rsidR="00A84742" w:rsidRPr="00233BE2" w:rsidRDefault="00A84742" w:rsidP="00A84742">
            <w:pPr>
              <w:spacing w:after="0"/>
              <w:rPr>
                <w:rFonts w:ascii="Arial Narrow" w:hAnsi="Arial Narrow"/>
                <w:bCs/>
                <w:sz w:val="20"/>
              </w:rPr>
            </w:pPr>
            <w:r w:rsidRPr="00233BE2">
              <w:rPr>
                <w:rFonts w:ascii="Arial Narrow" w:hAnsi="Arial Narrow"/>
                <w:bCs/>
                <w:sz w:val="20"/>
              </w:rPr>
              <w:t>2009 to 2012</w:t>
            </w:r>
          </w:p>
        </w:tc>
        <w:tc>
          <w:tcPr>
            <w:tcW w:w="350" w:type="dxa"/>
            <w:shd w:val="clear" w:color="auto" w:fill="auto"/>
            <w:noWrap/>
            <w:tcMar>
              <w:left w:w="57" w:type="dxa"/>
              <w:right w:w="57" w:type="dxa"/>
            </w:tcMar>
            <w:vAlign w:val="center"/>
          </w:tcPr>
          <w:p w14:paraId="53C13D54" w14:textId="77777777" w:rsidR="00A84742" w:rsidRPr="00233BE2" w:rsidRDefault="00A84742" w:rsidP="00A84742">
            <w:pPr>
              <w:spacing w:after="0"/>
              <w:jc w:val="center"/>
              <w:rPr>
                <w:rFonts w:ascii="Arial Narrow" w:hAnsi="Arial Narrow"/>
                <w:bCs/>
                <w:sz w:val="20"/>
              </w:rPr>
            </w:pPr>
            <w:r w:rsidRPr="00233BE2">
              <w:rPr>
                <w:rFonts w:ascii="Arial Narrow" w:hAnsi="Arial Narrow"/>
                <w:bCs/>
                <w:sz w:val="20"/>
              </w:rPr>
              <w:t>2</w:t>
            </w:r>
          </w:p>
        </w:tc>
        <w:tc>
          <w:tcPr>
            <w:tcW w:w="625" w:type="dxa"/>
            <w:shd w:val="clear" w:color="auto" w:fill="D99594" w:themeFill="accent2" w:themeFillTint="99"/>
            <w:noWrap/>
            <w:tcMar>
              <w:left w:w="57" w:type="dxa"/>
              <w:right w:w="57" w:type="dxa"/>
            </w:tcMar>
            <w:vAlign w:val="center"/>
          </w:tcPr>
          <w:p w14:paraId="53C13D55" w14:textId="77777777" w:rsidR="00A84742" w:rsidRPr="00233BE2" w:rsidRDefault="00A84742" w:rsidP="00A84742">
            <w:pPr>
              <w:spacing w:after="0"/>
              <w:jc w:val="center"/>
              <w:rPr>
                <w:rFonts w:ascii="Arial Narrow" w:hAnsi="Arial Narrow"/>
                <w:bCs/>
                <w:sz w:val="20"/>
              </w:rPr>
            </w:pPr>
            <w:r w:rsidRPr="00233BE2">
              <w:rPr>
                <w:rFonts w:ascii="Arial Narrow" w:hAnsi="Arial Narrow"/>
                <w:bCs/>
                <w:sz w:val="20"/>
              </w:rPr>
              <w:t>-0.21</w:t>
            </w:r>
          </w:p>
        </w:tc>
        <w:tc>
          <w:tcPr>
            <w:tcW w:w="625" w:type="dxa"/>
            <w:shd w:val="clear" w:color="auto" w:fill="D99594" w:themeFill="accent2" w:themeFillTint="99"/>
            <w:noWrap/>
            <w:tcMar>
              <w:left w:w="57" w:type="dxa"/>
              <w:right w:w="57" w:type="dxa"/>
            </w:tcMar>
            <w:vAlign w:val="center"/>
          </w:tcPr>
          <w:p w14:paraId="53C13D56" w14:textId="77777777" w:rsidR="00A84742" w:rsidRPr="00233BE2" w:rsidRDefault="00A84742" w:rsidP="00A84742">
            <w:pPr>
              <w:spacing w:after="0"/>
              <w:jc w:val="center"/>
              <w:rPr>
                <w:rFonts w:ascii="Arial Narrow" w:hAnsi="Arial Narrow"/>
                <w:bCs/>
                <w:sz w:val="20"/>
              </w:rPr>
            </w:pPr>
            <w:r w:rsidRPr="00233BE2">
              <w:rPr>
                <w:rFonts w:ascii="Arial Narrow" w:hAnsi="Arial Narrow"/>
                <w:bCs/>
                <w:sz w:val="20"/>
              </w:rPr>
              <w:t>0.93</w:t>
            </w:r>
          </w:p>
        </w:tc>
        <w:tc>
          <w:tcPr>
            <w:tcW w:w="625" w:type="dxa"/>
            <w:shd w:val="clear" w:color="auto" w:fill="E5B8B7" w:themeFill="accent2" w:themeFillTint="66"/>
            <w:noWrap/>
            <w:tcMar>
              <w:left w:w="57" w:type="dxa"/>
              <w:right w:w="57" w:type="dxa"/>
            </w:tcMar>
            <w:vAlign w:val="center"/>
          </w:tcPr>
          <w:p w14:paraId="53C13D57" w14:textId="77777777" w:rsidR="00A84742" w:rsidRPr="00233BE2" w:rsidRDefault="00A84742" w:rsidP="00A84742">
            <w:pPr>
              <w:spacing w:after="0"/>
              <w:jc w:val="center"/>
              <w:rPr>
                <w:rFonts w:ascii="Arial Narrow" w:hAnsi="Arial Narrow"/>
                <w:bCs/>
                <w:sz w:val="20"/>
              </w:rPr>
            </w:pPr>
            <w:r w:rsidRPr="00233BE2">
              <w:rPr>
                <w:rFonts w:ascii="Arial Narrow" w:hAnsi="Arial Narrow"/>
                <w:bCs/>
                <w:sz w:val="20"/>
              </w:rPr>
              <w:t>-0.24</w:t>
            </w:r>
          </w:p>
        </w:tc>
        <w:tc>
          <w:tcPr>
            <w:tcW w:w="625" w:type="dxa"/>
            <w:shd w:val="clear" w:color="auto" w:fill="E5B8B7" w:themeFill="accent2" w:themeFillTint="66"/>
            <w:noWrap/>
            <w:tcMar>
              <w:left w:w="57" w:type="dxa"/>
              <w:right w:w="57" w:type="dxa"/>
            </w:tcMar>
            <w:vAlign w:val="center"/>
          </w:tcPr>
          <w:p w14:paraId="53C13D58" w14:textId="77777777" w:rsidR="00A84742" w:rsidRPr="00233BE2" w:rsidRDefault="00A84742" w:rsidP="00A84742">
            <w:pPr>
              <w:spacing w:after="0"/>
              <w:jc w:val="center"/>
              <w:rPr>
                <w:rFonts w:ascii="Arial Narrow" w:hAnsi="Arial Narrow"/>
                <w:bCs/>
                <w:sz w:val="20"/>
              </w:rPr>
            </w:pPr>
            <w:r w:rsidRPr="00233BE2">
              <w:rPr>
                <w:rFonts w:ascii="Arial Narrow" w:hAnsi="Arial Narrow"/>
                <w:bCs/>
                <w:sz w:val="20"/>
              </w:rPr>
              <w:t>0.85</w:t>
            </w:r>
          </w:p>
        </w:tc>
        <w:tc>
          <w:tcPr>
            <w:tcW w:w="625" w:type="dxa"/>
            <w:shd w:val="clear" w:color="auto" w:fill="F2DBDB" w:themeFill="accent2" w:themeFillTint="33"/>
            <w:noWrap/>
            <w:tcMar>
              <w:left w:w="57" w:type="dxa"/>
              <w:right w:w="57" w:type="dxa"/>
            </w:tcMar>
            <w:vAlign w:val="center"/>
          </w:tcPr>
          <w:p w14:paraId="53C13D59" w14:textId="77777777" w:rsidR="00A84742" w:rsidRPr="00233BE2" w:rsidRDefault="00A84742" w:rsidP="00A84742">
            <w:pPr>
              <w:spacing w:after="0"/>
              <w:jc w:val="center"/>
              <w:rPr>
                <w:rFonts w:ascii="Arial Narrow" w:hAnsi="Arial Narrow"/>
                <w:bCs/>
                <w:sz w:val="20"/>
              </w:rPr>
            </w:pPr>
            <w:r w:rsidRPr="00233BE2">
              <w:rPr>
                <w:rFonts w:ascii="Arial Narrow" w:hAnsi="Arial Narrow"/>
                <w:bCs/>
                <w:sz w:val="20"/>
              </w:rPr>
              <w:t>-0.21</w:t>
            </w:r>
          </w:p>
        </w:tc>
        <w:tc>
          <w:tcPr>
            <w:tcW w:w="626" w:type="dxa"/>
            <w:shd w:val="clear" w:color="auto" w:fill="F2DBDB" w:themeFill="accent2" w:themeFillTint="33"/>
            <w:noWrap/>
            <w:tcMar>
              <w:left w:w="57" w:type="dxa"/>
              <w:right w:w="57" w:type="dxa"/>
            </w:tcMar>
            <w:vAlign w:val="center"/>
          </w:tcPr>
          <w:p w14:paraId="53C13D5A" w14:textId="77777777" w:rsidR="00A84742" w:rsidRPr="00233BE2" w:rsidRDefault="00A84742" w:rsidP="00A84742">
            <w:pPr>
              <w:spacing w:after="0"/>
              <w:jc w:val="center"/>
              <w:rPr>
                <w:rFonts w:ascii="Arial Narrow" w:hAnsi="Arial Narrow"/>
                <w:bCs/>
                <w:sz w:val="20"/>
              </w:rPr>
            </w:pPr>
            <w:r w:rsidRPr="00233BE2">
              <w:rPr>
                <w:rFonts w:ascii="Arial Narrow" w:hAnsi="Arial Narrow"/>
                <w:bCs/>
                <w:sz w:val="20"/>
              </w:rPr>
              <w:t>0.70</w:t>
            </w:r>
          </w:p>
        </w:tc>
        <w:tc>
          <w:tcPr>
            <w:tcW w:w="625" w:type="dxa"/>
            <w:shd w:val="clear" w:color="auto" w:fill="E6B8B7"/>
            <w:noWrap/>
            <w:tcMar>
              <w:left w:w="57" w:type="dxa"/>
              <w:right w:w="57" w:type="dxa"/>
            </w:tcMar>
            <w:vAlign w:val="center"/>
          </w:tcPr>
          <w:p w14:paraId="53C13D5B" w14:textId="77777777" w:rsidR="00A84742" w:rsidRPr="00233BE2" w:rsidRDefault="00A84742" w:rsidP="00A84742">
            <w:pPr>
              <w:spacing w:after="0"/>
              <w:jc w:val="center"/>
              <w:rPr>
                <w:rFonts w:ascii="Arial Narrow" w:hAnsi="Arial Narrow"/>
                <w:bCs/>
                <w:sz w:val="20"/>
              </w:rPr>
            </w:pPr>
            <w:r w:rsidRPr="00233BE2">
              <w:rPr>
                <w:rFonts w:ascii="Arial Narrow" w:hAnsi="Arial Narrow"/>
                <w:bCs/>
                <w:sz w:val="20"/>
              </w:rPr>
              <w:t>-0.12</w:t>
            </w:r>
          </w:p>
        </w:tc>
        <w:tc>
          <w:tcPr>
            <w:tcW w:w="625" w:type="dxa"/>
            <w:shd w:val="clear" w:color="auto" w:fill="E6B8B7"/>
            <w:noWrap/>
            <w:tcMar>
              <w:left w:w="57" w:type="dxa"/>
              <w:right w:w="57" w:type="dxa"/>
            </w:tcMar>
            <w:vAlign w:val="center"/>
          </w:tcPr>
          <w:p w14:paraId="53C13D5C" w14:textId="77777777" w:rsidR="00A84742" w:rsidRPr="00233BE2" w:rsidRDefault="00A84742" w:rsidP="00A84742">
            <w:pPr>
              <w:spacing w:after="0"/>
              <w:jc w:val="center"/>
              <w:rPr>
                <w:rFonts w:ascii="Arial Narrow" w:hAnsi="Arial Narrow"/>
                <w:bCs/>
                <w:sz w:val="20"/>
              </w:rPr>
            </w:pPr>
            <w:r w:rsidRPr="00233BE2">
              <w:rPr>
                <w:rFonts w:ascii="Arial Narrow" w:hAnsi="Arial Narrow"/>
                <w:bCs/>
                <w:sz w:val="20"/>
              </w:rPr>
              <w:t>0.80</w:t>
            </w:r>
          </w:p>
        </w:tc>
        <w:tc>
          <w:tcPr>
            <w:tcW w:w="625" w:type="dxa"/>
            <w:shd w:val="clear" w:color="auto" w:fill="F2DBDB" w:themeFill="accent2" w:themeFillTint="33"/>
            <w:noWrap/>
            <w:tcMar>
              <w:left w:w="57" w:type="dxa"/>
              <w:right w:w="57" w:type="dxa"/>
            </w:tcMar>
            <w:vAlign w:val="center"/>
          </w:tcPr>
          <w:p w14:paraId="53C13D5D" w14:textId="77777777" w:rsidR="00A84742" w:rsidRPr="00233BE2" w:rsidRDefault="00A84742" w:rsidP="00A84742">
            <w:pPr>
              <w:spacing w:after="0"/>
              <w:jc w:val="center"/>
              <w:rPr>
                <w:rFonts w:ascii="Arial Narrow" w:hAnsi="Arial Narrow"/>
                <w:bCs/>
                <w:sz w:val="20"/>
              </w:rPr>
            </w:pPr>
            <w:r w:rsidRPr="00233BE2">
              <w:rPr>
                <w:rFonts w:ascii="Arial Narrow" w:hAnsi="Arial Narrow"/>
                <w:bCs/>
                <w:sz w:val="20"/>
              </w:rPr>
              <w:t>-0.21</w:t>
            </w:r>
          </w:p>
        </w:tc>
        <w:tc>
          <w:tcPr>
            <w:tcW w:w="625" w:type="dxa"/>
            <w:shd w:val="clear" w:color="auto" w:fill="F2DBDB" w:themeFill="accent2" w:themeFillTint="33"/>
            <w:noWrap/>
            <w:tcMar>
              <w:left w:w="57" w:type="dxa"/>
              <w:right w:w="57" w:type="dxa"/>
            </w:tcMar>
            <w:vAlign w:val="center"/>
          </w:tcPr>
          <w:p w14:paraId="53C13D5E" w14:textId="77777777" w:rsidR="00A84742" w:rsidRPr="00233BE2" w:rsidRDefault="00A84742" w:rsidP="00A84742">
            <w:pPr>
              <w:spacing w:after="0"/>
              <w:jc w:val="center"/>
              <w:rPr>
                <w:rFonts w:ascii="Arial Narrow" w:hAnsi="Arial Narrow"/>
                <w:bCs/>
                <w:sz w:val="20"/>
              </w:rPr>
            </w:pPr>
            <w:r w:rsidRPr="00233BE2">
              <w:rPr>
                <w:rFonts w:ascii="Arial Narrow" w:hAnsi="Arial Narrow"/>
                <w:bCs/>
                <w:sz w:val="20"/>
              </w:rPr>
              <w:t>0.70</w:t>
            </w:r>
          </w:p>
        </w:tc>
        <w:tc>
          <w:tcPr>
            <w:tcW w:w="625" w:type="dxa"/>
            <w:shd w:val="clear" w:color="auto" w:fill="F2DBDB" w:themeFill="accent2" w:themeFillTint="33"/>
            <w:noWrap/>
            <w:tcMar>
              <w:left w:w="57" w:type="dxa"/>
              <w:right w:w="57" w:type="dxa"/>
            </w:tcMar>
            <w:vAlign w:val="center"/>
          </w:tcPr>
          <w:p w14:paraId="53C13D5F" w14:textId="77777777" w:rsidR="00A84742" w:rsidRPr="00233BE2" w:rsidRDefault="00A84742" w:rsidP="00A84742">
            <w:pPr>
              <w:spacing w:after="0"/>
              <w:jc w:val="center"/>
              <w:rPr>
                <w:rFonts w:ascii="Arial Narrow" w:hAnsi="Arial Narrow"/>
                <w:bCs/>
                <w:sz w:val="20"/>
              </w:rPr>
            </w:pPr>
            <w:r w:rsidRPr="00233BE2">
              <w:rPr>
                <w:rFonts w:ascii="Arial Narrow" w:hAnsi="Arial Narrow"/>
                <w:bCs/>
                <w:sz w:val="20"/>
              </w:rPr>
              <w:t>-0.25</w:t>
            </w:r>
          </w:p>
        </w:tc>
        <w:tc>
          <w:tcPr>
            <w:tcW w:w="626" w:type="dxa"/>
            <w:shd w:val="clear" w:color="auto" w:fill="F2DBDB" w:themeFill="accent2" w:themeFillTint="33"/>
            <w:noWrap/>
            <w:tcMar>
              <w:left w:w="57" w:type="dxa"/>
              <w:right w:w="57" w:type="dxa"/>
            </w:tcMar>
            <w:vAlign w:val="center"/>
          </w:tcPr>
          <w:p w14:paraId="53C13D60" w14:textId="77777777" w:rsidR="00A84742" w:rsidRPr="00233BE2" w:rsidRDefault="00A84742" w:rsidP="00A84742">
            <w:pPr>
              <w:spacing w:after="0"/>
              <w:jc w:val="center"/>
              <w:rPr>
                <w:rFonts w:ascii="Arial Narrow" w:hAnsi="Arial Narrow"/>
                <w:bCs/>
                <w:sz w:val="20"/>
              </w:rPr>
            </w:pPr>
            <w:r w:rsidRPr="00233BE2">
              <w:rPr>
                <w:rFonts w:ascii="Arial Narrow" w:hAnsi="Arial Narrow"/>
                <w:bCs/>
                <w:sz w:val="20"/>
              </w:rPr>
              <w:t>0.73</w:t>
            </w:r>
          </w:p>
        </w:tc>
      </w:tr>
      <w:tr w:rsidR="00CE4E0F" w:rsidRPr="00233BE2" w14:paraId="53C13D70" w14:textId="77777777" w:rsidTr="00F2000D">
        <w:trPr>
          <w:cantSplit/>
          <w:trHeight w:hRule="exact" w:val="301"/>
        </w:trPr>
        <w:tc>
          <w:tcPr>
            <w:tcW w:w="1074" w:type="dxa"/>
            <w:vMerge/>
            <w:tcBorders>
              <w:bottom w:val="single" w:sz="4" w:space="0" w:color="auto"/>
            </w:tcBorders>
            <w:shd w:val="clear" w:color="auto" w:fill="auto"/>
            <w:noWrap/>
            <w:tcMar>
              <w:left w:w="57" w:type="dxa"/>
              <w:right w:w="57" w:type="dxa"/>
            </w:tcMar>
            <w:vAlign w:val="center"/>
          </w:tcPr>
          <w:p w14:paraId="53C13D62" w14:textId="77777777" w:rsidR="00A84742" w:rsidRPr="00233BE2" w:rsidRDefault="00A84742" w:rsidP="00A84742">
            <w:pPr>
              <w:spacing w:after="0"/>
              <w:jc w:val="right"/>
              <w:rPr>
                <w:rFonts w:ascii="Arial Narrow" w:hAnsi="Arial Narrow"/>
                <w:bCs/>
                <w:sz w:val="20"/>
              </w:rPr>
            </w:pPr>
          </w:p>
        </w:tc>
        <w:tc>
          <w:tcPr>
            <w:tcW w:w="350" w:type="dxa"/>
            <w:shd w:val="clear" w:color="auto" w:fill="auto"/>
            <w:noWrap/>
            <w:tcMar>
              <w:left w:w="57" w:type="dxa"/>
              <w:right w:w="57" w:type="dxa"/>
            </w:tcMar>
            <w:vAlign w:val="center"/>
          </w:tcPr>
          <w:p w14:paraId="53C13D63" w14:textId="77777777" w:rsidR="00A84742" w:rsidRPr="00233BE2" w:rsidRDefault="00A84742" w:rsidP="00A84742">
            <w:pPr>
              <w:spacing w:after="0"/>
              <w:jc w:val="center"/>
              <w:rPr>
                <w:rFonts w:ascii="Arial Narrow" w:hAnsi="Arial Narrow"/>
                <w:bCs/>
                <w:sz w:val="20"/>
              </w:rPr>
            </w:pPr>
            <w:r w:rsidRPr="00233BE2">
              <w:rPr>
                <w:rFonts w:ascii="Arial Narrow" w:hAnsi="Arial Narrow"/>
                <w:bCs/>
                <w:sz w:val="20"/>
              </w:rPr>
              <w:t>5</w:t>
            </w:r>
          </w:p>
        </w:tc>
        <w:tc>
          <w:tcPr>
            <w:tcW w:w="625" w:type="dxa"/>
            <w:shd w:val="clear" w:color="auto" w:fill="F2DBDB" w:themeFill="accent2" w:themeFillTint="33"/>
            <w:noWrap/>
            <w:tcMar>
              <w:left w:w="57" w:type="dxa"/>
              <w:right w:w="57" w:type="dxa"/>
            </w:tcMar>
            <w:vAlign w:val="center"/>
          </w:tcPr>
          <w:p w14:paraId="53C13D64" w14:textId="77777777" w:rsidR="00A84742" w:rsidRPr="00233BE2" w:rsidRDefault="00A84742" w:rsidP="00A84742">
            <w:pPr>
              <w:spacing w:after="0"/>
              <w:jc w:val="center"/>
              <w:rPr>
                <w:rFonts w:ascii="Arial Narrow" w:hAnsi="Arial Narrow"/>
                <w:bCs/>
                <w:sz w:val="20"/>
              </w:rPr>
            </w:pPr>
            <w:r w:rsidRPr="00233BE2">
              <w:rPr>
                <w:rFonts w:ascii="Arial Narrow" w:hAnsi="Arial Narrow"/>
                <w:bCs/>
                <w:sz w:val="20"/>
              </w:rPr>
              <w:t>-0.13</w:t>
            </w:r>
          </w:p>
        </w:tc>
        <w:tc>
          <w:tcPr>
            <w:tcW w:w="625" w:type="dxa"/>
            <w:shd w:val="clear" w:color="auto" w:fill="F2DBDB" w:themeFill="accent2" w:themeFillTint="33"/>
            <w:noWrap/>
            <w:tcMar>
              <w:left w:w="57" w:type="dxa"/>
              <w:right w:w="57" w:type="dxa"/>
            </w:tcMar>
            <w:vAlign w:val="center"/>
          </w:tcPr>
          <w:p w14:paraId="53C13D65" w14:textId="77777777" w:rsidR="00A84742" w:rsidRPr="00233BE2" w:rsidRDefault="00A84742" w:rsidP="00A84742">
            <w:pPr>
              <w:spacing w:after="0"/>
              <w:jc w:val="center"/>
              <w:rPr>
                <w:rFonts w:ascii="Arial Narrow" w:hAnsi="Arial Narrow"/>
                <w:bCs/>
                <w:sz w:val="20"/>
              </w:rPr>
            </w:pPr>
            <w:r w:rsidRPr="00233BE2">
              <w:rPr>
                <w:rFonts w:ascii="Arial Narrow" w:hAnsi="Arial Narrow"/>
                <w:bCs/>
                <w:sz w:val="20"/>
              </w:rPr>
              <w:t>0.79</w:t>
            </w:r>
          </w:p>
        </w:tc>
        <w:tc>
          <w:tcPr>
            <w:tcW w:w="625" w:type="dxa"/>
            <w:shd w:val="clear" w:color="auto" w:fill="E5B8B7" w:themeFill="accent2" w:themeFillTint="66"/>
            <w:noWrap/>
            <w:tcMar>
              <w:left w:w="57" w:type="dxa"/>
              <w:right w:w="57" w:type="dxa"/>
            </w:tcMar>
            <w:vAlign w:val="center"/>
          </w:tcPr>
          <w:p w14:paraId="53C13D66" w14:textId="77777777" w:rsidR="00A84742" w:rsidRPr="00233BE2" w:rsidRDefault="00A84742" w:rsidP="00A84742">
            <w:pPr>
              <w:spacing w:after="0"/>
              <w:jc w:val="center"/>
              <w:rPr>
                <w:rFonts w:ascii="Arial Narrow" w:hAnsi="Arial Narrow"/>
                <w:bCs/>
                <w:sz w:val="20"/>
              </w:rPr>
            </w:pPr>
            <w:r w:rsidRPr="00233BE2">
              <w:rPr>
                <w:rFonts w:ascii="Arial Narrow" w:hAnsi="Arial Narrow"/>
                <w:bCs/>
                <w:sz w:val="20"/>
              </w:rPr>
              <w:t>-0.14</w:t>
            </w:r>
          </w:p>
        </w:tc>
        <w:tc>
          <w:tcPr>
            <w:tcW w:w="625" w:type="dxa"/>
            <w:shd w:val="clear" w:color="auto" w:fill="E5B8B7" w:themeFill="accent2" w:themeFillTint="66"/>
            <w:noWrap/>
            <w:tcMar>
              <w:left w:w="57" w:type="dxa"/>
              <w:right w:w="57" w:type="dxa"/>
            </w:tcMar>
            <w:vAlign w:val="center"/>
          </w:tcPr>
          <w:p w14:paraId="53C13D67" w14:textId="77777777" w:rsidR="00A84742" w:rsidRPr="00233BE2" w:rsidRDefault="00A84742" w:rsidP="00A84742">
            <w:pPr>
              <w:spacing w:after="0"/>
              <w:jc w:val="center"/>
              <w:rPr>
                <w:rFonts w:ascii="Arial Narrow" w:hAnsi="Arial Narrow"/>
                <w:bCs/>
                <w:sz w:val="20"/>
              </w:rPr>
            </w:pPr>
            <w:r w:rsidRPr="00233BE2">
              <w:rPr>
                <w:rFonts w:ascii="Arial Narrow" w:hAnsi="Arial Narrow"/>
                <w:bCs/>
                <w:sz w:val="20"/>
              </w:rPr>
              <w:t>0.87</w:t>
            </w:r>
          </w:p>
        </w:tc>
        <w:tc>
          <w:tcPr>
            <w:tcW w:w="625" w:type="dxa"/>
            <w:shd w:val="clear" w:color="auto" w:fill="FFFFFF" w:themeFill="background1"/>
            <w:noWrap/>
            <w:tcMar>
              <w:left w:w="57" w:type="dxa"/>
              <w:right w:w="57" w:type="dxa"/>
            </w:tcMar>
            <w:vAlign w:val="center"/>
          </w:tcPr>
          <w:p w14:paraId="53C13D68" w14:textId="77777777" w:rsidR="00A84742" w:rsidRPr="00233BE2" w:rsidRDefault="00A84742" w:rsidP="00A84742">
            <w:pPr>
              <w:spacing w:after="0"/>
              <w:jc w:val="center"/>
              <w:rPr>
                <w:rFonts w:ascii="Arial Narrow" w:hAnsi="Arial Narrow"/>
                <w:bCs/>
                <w:sz w:val="20"/>
              </w:rPr>
            </w:pPr>
            <w:r w:rsidRPr="00233BE2">
              <w:rPr>
                <w:rFonts w:ascii="Arial Narrow" w:hAnsi="Arial Narrow"/>
                <w:bCs/>
                <w:sz w:val="20"/>
              </w:rPr>
              <w:t>-0.03</w:t>
            </w:r>
          </w:p>
        </w:tc>
        <w:tc>
          <w:tcPr>
            <w:tcW w:w="626" w:type="dxa"/>
            <w:shd w:val="clear" w:color="auto" w:fill="FFFFFF" w:themeFill="background1"/>
            <w:noWrap/>
            <w:tcMar>
              <w:left w:w="57" w:type="dxa"/>
              <w:right w:w="57" w:type="dxa"/>
            </w:tcMar>
            <w:vAlign w:val="center"/>
          </w:tcPr>
          <w:p w14:paraId="53C13D69" w14:textId="77777777" w:rsidR="00A84742" w:rsidRPr="00233BE2" w:rsidRDefault="00A84742" w:rsidP="00A84742">
            <w:pPr>
              <w:spacing w:after="0"/>
              <w:jc w:val="center"/>
              <w:rPr>
                <w:rFonts w:ascii="Arial Narrow" w:hAnsi="Arial Narrow"/>
                <w:bCs/>
                <w:sz w:val="20"/>
              </w:rPr>
            </w:pPr>
            <w:r w:rsidRPr="00233BE2">
              <w:rPr>
                <w:rFonts w:ascii="Arial Narrow" w:hAnsi="Arial Narrow"/>
                <w:bCs/>
                <w:sz w:val="20"/>
              </w:rPr>
              <w:t>0.55</w:t>
            </w:r>
          </w:p>
        </w:tc>
        <w:tc>
          <w:tcPr>
            <w:tcW w:w="625" w:type="dxa"/>
            <w:shd w:val="clear" w:color="auto" w:fill="E5B8B7" w:themeFill="accent2" w:themeFillTint="66"/>
            <w:noWrap/>
            <w:tcMar>
              <w:left w:w="57" w:type="dxa"/>
              <w:right w:w="57" w:type="dxa"/>
            </w:tcMar>
            <w:vAlign w:val="center"/>
          </w:tcPr>
          <w:p w14:paraId="53C13D6A" w14:textId="77777777" w:rsidR="00A84742" w:rsidRPr="00233BE2" w:rsidRDefault="00A84742" w:rsidP="00A84742">
            <w:pPr>
              <w:spacing w:after="0"/>
              <w:jc w:val="center"/>
              <w:rPr>
                <w:rFonts w:ascii="Arial Narrow" w:hAnsi="Arial Narrow"/>
                <w:bCs/>
                <w:sz w:val="20"/>
              </w:rPr>
            </w:pPr>
            <w:r w:rsidRPr="00233BE2">
              <w:rPr>
                <w:rFonts w:ascii="Arial Narrow" w:hAnsi="Arial Narrow"/>
                <w:bCs/>
                <w:sz w:val="20"/>
              </w:rPr>
              <w:t>-0.12</w:t>
            </w:r>
          </w:p>
        </w:tc>
        <w:tc>
          <w:tcPr>
            <w:tcW w:w="625" w:type="dxa"/>
            <w:shd w:val="clear" w:color="auto" w:fill="E5B8B7" w:themeFill="accent2" w:themeFillTint="66"/>
            <w:noWrap/>
            <w:tcMar>
              <w:left w:w="57" w:type="dxa"/>
              <w:right w:w="57" w:type="dxa"/>
            </w:tcMar>
            <w:vAlign w:val="center"/>
          </w:tcPr>
          <w:p w14:paraId="53C13D6B" w14:textId="77777777" w:rsidR="00A84742" w:rsidRPr="00233BE2" w:rsidRDefault="00A84742" w:rsidP="00A84742">
            <w:pPr>
              <w:spacing w:after="0"/>
              <w:jc w:val="center"/>
              <w:rPr>
                <w:rFonts w:ascii="Arial Narrow" w:hAnsi="Arial Narrow"/>
                <w:bCs/>
                <w:sz w:val="20"/>
              </w:rPr>
            </w:pPr>
            <w:r w:rsidRPr="00233BE2">
              <w:rPr>
                <w:rFonts w:ascii="Arial Narrow" w:hAnsi="Arial Narrow"/>
                <w:bCs/>
                <w:sz w:val="20"/>
              </w:rPr>
              <w:t>0.82</w:t>
            </w:r>
          </w:p>
        </w:tc>
        <w:tc>
          <w:tcPr>
            <w:tcW w:w="625" w:type="dxa"/>
            <w:shd w:val="clear" w:color="auto" w:fill="FFFFFF" w:themeFill="background1"/>
            <w:noWrap/>
            <w:tcMar>
              <w:left w:w="57" w:type="dxa"/>
              <w:right w:w="57" w:type="dxa"/>
            </w:tcMar>
            <w:vAlign w:val="center"/>
          </w:tcPr>
          <w:p w14:paraId="53C13D6C" w14:textId="77777777" w:rsidR="00A84742" w:rsidRPr="00233BE2" w:rsidRDefault="00A84742" w:rsidP="00A84742">
            <w:pPr>
              <w:spacing w:after="0"/>
              <w:jc w:val="center"/>
              <w:rPr>
                <w:rFonts w:ascii="Arial Narrow" w:hAnsi="Arial Narrow"/>
                <w:bCs/>
                <w:sz w:val="20"/>
              </w:rPr>
            </w:pPr>
            <w:r w:rsidRPr="00233BE2">
              <w:rPr>
                <w:rFonts w:ascii="Arial Narrow" w:hAnsi="Arial Narrow"/>
                <w:bCs/>
                <w:sz w:val="20"/>
              </w:rPr>
              <w:t>-0.10</w:t>
            </w:r>
          </w:p>
        </w:tc>
        <w:tc>
          <w:tcPr>
            <w:tcW w:w="625" w:type="dxa"/>
            <w:shd w:val="clear" w:color="auto" w:fill="FFFFFF" w:themeFill="background1"/>
            <w:noWrap/>
            <w:tcMar>
              <w:left w:w="57" w:type="dxa"/>
              <w:right w:w="57" w:type="dxa"/>
            </w:tcMar>
            <w:vAlign w:val="center"/>
          </w:tcPr>
          <w:p w14:paraId="53C13D6D" w14:textId="77777777" w:rsidR="00A84742" w:rsidRPr="00233BE2" w:rsidRDefault="00A84742" w:rsidP="00A84742">
            <w:pPr>
              <w:spacing w:after="0"/>
              <w:jc w:val="center"/>
              <w:rPr>
                <w:rFonts w:ascii="Arial Narrow" w:hAnsi="Arial Narrow"/>
                <w:bCs/>
                <w:sz w:val="20"/>
              </w:rPr>
            </w:pPr>
            <w:r w:rsidRPr="00233BE2">
              <w:rPr>
                <w:rFonts w:ascii="Arial Narrow" w:hAnsi="Arial Narrow"/>
                <w:bCs/>
                <w:sz w:val="20"/>
              </w:rPr>
              <w:t>0.60</w:t>
            </w:r>
          </w:p>
        </w:tc>
        <w:tc>
          <w:tcPr>
            <w:tcW w:w="625" w:type="dxa"/>
            <w:shd w:val="clear" w:color="auto" w:fill="F2DBDB" w:themeFill="accent2" w:themeFillTint="33"/>
            <w:noWrap/>
            <w:tcMar>
              <w:left w:w="57" w:type="dxa"/>
              <w:right w:w="57" w:type="dxa"/>
            </w:tcMar>
            <w:vAlign w:val="center"/>
          </w:tcPr>
          <w:p w14:paraId="53C13D6E" w14:textId="77777777" w:rsidR="00A84742" w:rsidRPr="00233BE2" w:rsidRDefault="00A84742" w:rsidP="00A84742">
            <w:pPr>
              <w:spacing w:after="0"/>
              <w:jc w:val="center"/>
              <w:rPr>
                <w:rFonts w:ascii="Arial Narrow" w:hAnsi="Arial Narrow"/>
                <w:bCs/>
                <w:sz w:val="20"/>
              </w:rPr>
            </w:pPr>
            <w:r w:rsidRPr="00233BE2">
              <w:rPr>
                <w:rFonts w:ascii="Arial Narrow" w:hAnsi="Arial Narrow"/>
                <w:bCs/>
                <w:sz w:val="20"/>
              </w:rPr>
              <w:t>-0.25</w:t>
            </w:r>
          </w:p>
        </w:tc>
        <w:tc>
          <w:tcPr>
            <w:tcW w:w="626" w:type="dxa"/>
            <w:shd w:val="clear" w:color="auto" w:fill="F2DBDB" w:themeFill="accent2" w:themeFillTint="33"/>
            <w:noWrap/>
            <w:tcMar>
              <w:left w:w="57" w:type="dxa"/>
              <w:right w:w="57" w:type="dxa"/>
            </w:tcMar>
            <w:vAlign w:val="center"/>
          </w:tcPr>
          <w:p w14:paraId="53C13D6F" w14:textId="77777777" w:rsidR="00A84742" w:rsidRPr="00233BE2" w:rsidRDefault="00A84742" w:rsidP="00A84742">
            <w:pPr>
              <w:spacing w:after="0"/>
              <w:jc w:val="center"/>
              <w:rPr>
                <w:rFonts w:ascii="Arial Narrow" w:hAnsi="Arial Narrow"/>
                <w:bCs/>
                <w:sz w:val="20"/>
              </w:rPr>
            </w:pPr>
            <w:r w:rsidRPr="00233BE2">
              <w:rPr>
                <w:rFonts w:ascii="Arial Narrow" w:hAnsi="Arial Narrow"/>
                <w:bCs/>
                <w:sz w:val="20"/>
              </w:rPr>
              <w:t>0.71</w:t>
            </w:r>
          </w:p>
        </w:tc>
      </w:tr>
      <w:tr w:rsidR="00233BE2" w:rsidRPr="00233BE2" w14:paraId="53C13D7F" w14:textId="77777777" w:rsidTr="00397E94">
        <w:trPr>
          <w:cantSplit/>
          <w:trHeight w:hRule="exact" w:val="301"/>
        </w:trPr>
        <w:tc>
          <w:tcPr>
            <w:tcW w:w="1074" w:type="dxa"/>
            <w:vMerge w:val="restart"/>
            <w:shd w:val="clear" w:color="auto" w:fill="auto"/>
            <w:noWrap/>
            <w:tcMar>
              <w:left w:w="57" w:type="dxa"/>
              <w:right w:w="57" w:type="dxa"/>
            </w:tcMar>
            <w:vAlign w:val="center"/>
          </w:tcPr>
          <w:p w14:paraId="53C13D71" w14:textId="77777777" w:rsidR="003E79D5" w:rsidRPr="00233BE2" w:rsidRDefault="003E79D5" w:rsidP="003E79D5">
            <w:pPr>
              <w:spacing w:after="0"/>
              <w:rPr>
                <w:rFonts w:ascii="Arial Narrow" w:hAnsi="Arial Narrow"/>
                <w:bCs/>
                <w:sz w:val="20"/>
              </w:rPr>
            </w:pPr>
            <w:r w:rsidRPr="00233BE2">
              <w:rPr>
                <w:rFonts w:ascii="Arial Narrow" w:hAnsi="Arial Narrow"/>
                <w:bCs/>
                <w:sz w:val="20"/>
              </w:rPr>
              <w:t>2012 to 2019</w:t>
            </w:r>
          </w:p>
        </w:tc>
        <w:tc>
          <w:tcPr>
            <w:tcW w:w="350" w:type="dxa"/>
            <w:shd w:val="clear" w:color="auto" w:fill="auto"/>
            <w:noWrap/>
            <w:tcMar>
              <w:left w:w="57" w:type="dxa"/>
              <w:right w:w="57" w:type="dxa"/>
            </w:tcMar>
            <w:vAlign w:val="center"/>
          </w:tcPr>
          <w:p w14:paraId="53C13D72" w14:textId="77777777" w:rsidR="003E79D5" w:rsidRPr="00233BE2" w:rsidRDefault="003E79D5" w:rsidP="003E79D5">
            <w:pPr>
              <w:spacing w:after="0"/>
              <w:jc w:val="center"/>
              <w:rPr>
                <w:rFonts w:ascii="Arial Narrow" w:hAnsi="Arial Narrow"/>
                <w:bCs/>
                <w:sz w:val="20"/>
              </w:rPr>
            </w:pPr>
            <w:r w:rsidRPr="00233BE2">
              <w:rPr>
                <w:rFonts w:ascii="Arial Narrow" w:hAnsi="Arial Narrow"/>
                <w:bCs/>
                <w:sz w:val="20"/>
              </w:rPr>
              <w:t>2</w:t>
            </w:r>
          </w:p>
        </w:tc>
        <w:tc>
          <w:tcPr>
            <w:tcW w:w="625" w:type="dxa"/>
            <w:shd w:val="clear" w:color="auto" w:fill="8DB3E2"/>
            <w:noWrap/>
            <w:tcMar>
              <w:left w:w="57" w:type="dxa"/>
              <w:right w:w="57" w:type="dxa"/>
            </w:tcMar>
          </w:tcPr>
          <w:p w14:paraId="53C13D73" w14:textId="77777777" w:rsidR="003E79D5" w:rsidRPr="00233BE2" w:rsidRDefault="003E79D5" w:rsidP="003E79D5">
            <w:pPr>
              <w:spacing w:after="0"/>
              <w:jc w:val="center"/>
              <w:rPr>
                <w:rFonts w:ascii="Arial Narrow" w:hAnsi="Arial Narrow"/>
                <w:bCs/>
                <w:sz w:val="20"/>
                <w:szCs w:val="20"/>
              </w:rPr>
            </w:pPr>
            <w:r w:rsidRPr="00233BE2">
              <w:rPr>
                <w:rFonts w:ascii="Arial Narrow" w:hAnsi="Arial Narrow"/>
                <w:sz w:val="20"/>
                <w:szCs w:val="20"/>
              </w:rPr>
              <w:t>0.15</w:t>
            </w:r>
          </w:p>
        </w:tc>
        <w:tc>
          <w:tcPr>
            <w:tcW w:w="625" w:type="dxa"/>
            <w:shd w:val="clear" w:color="auto" w:fill="8DB3E2"/>
            <w:noWrap/>
            <w:tcMar>
              <w:left w:w="57" w:type="dxa"/>
              <w:right w:w="57" w:type="dxa"/>
            </w:tcMar>
          </w:tcPr>
          <w:p w14:paraId="53C13D74" w14:textId="77777777" w:rsidR="003E79D5" w:rsidRPr="00233BE2" w:rsidRDefault="003E79D5" w:rsidP="003E79D5">
            <w:pPr>
              <w:spacing w:after="0"/>
              <w:jc w:val="center"/>
              <w:rPr>
                <w:rFonts w:ascii="Arial Narrow" w:hAnsi="Arial Narrow"/>
                <w:bCs/>
                <w:sz w:val="20"/>
                <w:szCs w:val="20"/>
              </w:rPr>
            </w:pPr>
            <w:r w:rsidRPr="00233BE2">
              <w:rPr>
                <w:rFonts w:ascii="Arial Narrow" w:hAnsi="Arial Narrow"/>
                <w:sz w:val="20"/>
                <w:szCs w:val="20"/>
              </w:rPr>
              <w:t>0.83</w:t>
            </w:r>
          </w:p>
        </w:tc>
        <w:tc>
          <w:tcPr>
            <w:tcW w:w="625" w:type="dxa"/>
            <w:shd w:val="clear" w:color="auto" w:fill="8DB3E2"/>
            <w:noWrap/>
            <w:tcMar>
              <w:left w:w="57" w:type="dxa"/>
              <w:right w:w="57" w:type="dxa"/>
            </w:tcMar>
          </w:tcPr>
          <w:p w14:paraId="53C13D75" w14:textId="77777777" w:rsidR="003E79D5" w:rsidRPr="00233BE2" w:rsidRDefault="003E79D5" w:rsidP="003E79D5">
            <w:pPr>
              <w:spacing w:after="0"/>
              <w:jc w:val="center"/>
              <w:rPr>
                <w:rFonts w:ascii="Arial Narrow" w:hAnsi="Arial Narrow"/>
                <w:bCs/>
                <w:sz w:val="20"/>
                <w:szCs w:val="20"/>
              </w:rPr>
            </w:pPr>
            <w:r w:rsidRPr="00233BE2">
              <w:rPr>
                <w:rFonts w:ascii="Arial Narrow" w:hAnsi="Arial Narrow"/>
                <w:sz w:val="20"/>
                <w:szCs w:val="20"/>
              </w:rPr>
              <w:t>0.24</w:t>
            </w:r>
          </w:p>
        </w:tc>
        <w:tc>
          <w:tcPr>
            <w:tcW w:w="625" w:type="dxa"/>
            <w:shd w:val="clear" w:color="auto" w:fill="8DB3E2"/>
            <w:noWrap/>
            <w:tcMar>
              <w:left w:w="57" w:type="dxa"/>
              <w:right w:w="57" w:type="dxa"/>
            </w:tcMar>
          </w:tcPr>
          <w:p w14:paraId="53C13D76" w14:textId="77777777" w:rsidR="003E79D5" w:rsidRPr="00233BE2" w:rsidRDefault="003E79D5" w:rsidP="003E79D5">
            <w:pPr>
              <w:spacing w:after="0"/>
              <w:jc w:val="center"/>
              <w:rPr>
                <w:rFonts w:ascii="Arial Narrow" w:hAnsi="Arial Narrow"/>
                <w:bCs/>
                <w:sz w:val="20"/>
                <w:szCs w:val="20"/>
              </w:rPr>
            </w:pPr>
            <w:r w:rsidRPr="00233BE2">
              <w:rPr>
                <w:rFonts w:ascii="Arial Narrow" w:hAnsi="Arial Narrow"/>
                <w:sz w:val="20"/>
                <w:szCs w:val="20"/>
              </w:rPr>
              <w:t>0.83</w:t>
            </w:r>
          </w:p>
        </w:tc>
        <w:tc>
          <w:tcPr>
            <w:tcW w:w="625" w:type="dxa"/>
            <w:shd w:val="clear" w:color="auto" w:fill="FFFFFF" w:themeFill="background1"/>
            <w:noWrap/>
            <w:tcMar>
              <w:left w:w="57" w:type="dxa"/>
              <w:right w:w="57" w:type="dxa"/>
            </w:tcMar>
          </w:tcPr>
          <w:p w14:paraId="53C13D77" w14:textId="77777777" w:rsidR="003E79D5" w:rsidRPr="00233BE2" w:rsidRDefault="003E79D5" w:rsidP="003E79D5">
            <w:pPr>
              <w:spacing w:after="0"/>
              <w:jc w:val="center"/>
              <w:rPr>
                <w:rFonts w:ascii="Arial Narrow" w:hAnsi="Arial Narrow"/>
                <w:bCs/>
                <w:sz w:val="20"/>
                <w:szCs w:val="20"/>
              </w:rPr>
            </w:pPr>
            <w:r w:rsidRPr="00233BE2">
              <w:rPr>
                <w:rFonts w:ascii="Arial Narrow" w:hAnsi="Arial Narrow"/>
                <w:sz w:val="20"/>
                <w:szCs w:val="20"/>
              </w:rPr>
              <w:t>-0.06</w:t>
            </w:r>
          </w:p>
        </w:tc>
        <w:tc>
          <w:tcPr>
            <w:tcW w:w="626" w:type="dxa"/>
            <w:shd w:val="clear" w:color="auto" w:fill="FFFFFF" w:themeFill="background1"/>
            <w:noWrap/>
            <w:tcMar>
              <w:left w:w="57" w:type="dxa"/>
              <w:right w:w="57" w:type="dxa"/>
            </w:tcMar>
          </w:tcPr>
          <w:p w14:paraId="53C13D78" w14:textId="77777777" w:rsidR="003E79D5" w:rsidRPr="00233BE2" w:rsidRDefault="003E79D5" w:rsidP="003E79D5">
            <w:pPr>
              <w:spacing w:after="0"/>
              <w:jc w:val="center"/>
              <w:rPr>
                <w:rFonts w:ascii="Arial Narrow" w:hAnsi="Arial Narrow"/>
                <w:bCs/>
                <w:sz w:val="20"/>
                <w:szCs w:val="20"/>
              </w:rPr>
            </w:pPr>
            <w:r w:rsidRPr="00233BE2">
              <w:rPr>
                <w:rFonts w:ascii="Arial Narrow" w:hAnsi="Arial Narrow"/>
                <w:sz w:val="20"/>
                <w:szCs w:val="20"/>
              </w:rPr>
              <w:t>0.53</w:t>
            </w:r>
          </w:p>
        </w:tc>
        <w:tc>
          <w:tcPr>
            <w:tcW w:w="625" w:type="dxa"/>
            <w:shd w:val="clear" w:color="auto" w:fill="8DB3E2"/>
            <w:noWrap/>
            <w:tcMar>
              <w:left w:w="57" w:type="dxa"/>
              <w:right w:w="57" w:type="dxa"/>
            </w:tcMar>
          </w:tcPr>
          <w:p w14:paraId="53C13D79" w14:textId="77777777" w:rsidR="003E79D5" w:rsidRPr="00233BE2" w:rsidRDefault="003E79D5" w:rsidP="003E79D5">
            <w:pPr>
              <w:spacing w:after="0"/>
              <w:jc w:val="center"/>
              <w:rPr>
                <w:rFonts w:ascii="Arial Narrow" w:hAnsi="Arial Narrow"/>
                <w:bCs/>
                <w:sz w:val="20"/>
                <w:szCs w:val="20"/>
              </w:rPr>
            </w:pPr>
            <w:r w:rsidRPr="00233BE2">
              <w:rPr>
                <w:rFonts w:ascii="Arial Narrow" w:hAnsi="Arial Narrow"/>
                <w:sz w:val="20"/>
                <w:szCs w:val="20"/>
              </w:rPr>
              <w:t>0.14</w:t>
            </w:r>
          </w:p>
        </w:tc>
        <w:tc>
          <w:tcPr>
            <w:tcW w:w="625" w:type="dxa"/>
            <w:shd w:val="clear" w:color="auto" w:fill="8DB3E2"/>
            <w:noWrap/>
            <w:tcMar>
              <w:left w:w="57" w:type="dxa"/>
              <w:right w:w="57" w:type="dxa"/>
            </w:tcMar>
          </w:tcPr>
          <w:p w14:paraId="53C13D7A" w14:textId="77777777" w:rsidR="003E79D5" w:rsidRPr="00233BE2" w:rsidRDefault="003E79D5" w:rsidP="003E79D5">
            <w:pPr>
              <w:spacing w:after="0"/>
              <w:jc w:val="center"/>
              <w:rPr>
                <w:rFonts w:ascii="Arial Narrow" w:hAnsi="Arial Narrow"/>
                <w:bCs/>
                <w:sz w:val="20"/>
                <w:szCs w:val="20"/>
              </w:rPr>
            </w:pPr>
            <w:r w:rsidRPr="00233BE2">
              <w:rPr>
                <w:rFonts w:ascii="Arial Narrow" w:hAnsi="Arial Narrow"/>
                <w:sz w:val="20"/>
                <w:szCs w:val="20"/>
              </w:rPr>
              <w:t>0.82</w:t>
            </w:r>
          </w:p>
        </w:tc>
        <w:tc>
          <w:tcPr>
            <w:tcW w:w="625" w:type="dxa"/>
            <w:shd w:val="clear" w:color="auto" w:fill="C6D9F1"/>
            <w:noWrap/>
            <w:tcMar>
              <w:left w:w="57" w:type="dxa"/>
              <w:right w:w="57" w:type="dxa"/>
            </w:tcMar>
          </w:tcPr>
          <w:p w14:paraId="53C13D7B" w14:textId="77777777" w:rsidR="003E79D5" w:rsidRPr="00233BE2" w:rsidRDefault="003E79D5" w:rsidP="003E79D5">
            <w:pPr>
              <w:spacing w:after="0"/>
              <w:jc w:val="center"/>
              <w:rPr>
                <w:rFonts w:ascii="Arial Narrow" w:hAnsi="Arial Narrow"/>
                <w:bCs/>
                <w:sz w:val="20"/>
                <w:szCs w:val="20"/>
              </w:rPr>
            </w:pPr>
            <w:r w:rsidRPr="00233BE2">
              <w:rPr>
                <w:rFonts w:ascii="Arial Narrow" w:hAnsi="Arial Narrow"/>
                <w:sz w:val="20"/>
                <w:szCs w:val="20"/>
              </w:rPr>
              <w:t>0.28</w:t>
            </w:r>
          </w:p>
        </w:tc>
        <w:tc>
          <w:tcPr>
            <w:tcW w:w="625" w:type="dxa"/>
            <w:shd w:val="clear" w:color="auto" w:fill="C6D9F1"/>
            <w:noWrap/>
            <w:tcMar>
              <w:left w:w="57" w:type="dxa"/>
              <w:right w:w="57" w:type="dxa"/>
            </w:tcMar>
          </w:tcPr>
          <w:p w14:paraId="53C13D7C" w14:textId="77777777" w:rsidR="003E79D5" w:rsidRPr="00233BE2" w:rsidRDefault="003E79D5" w:rsidP="003E79D5">
            <w:pPr>
              <w:spacing w:after="0"/>
              <w:jc w:val="center"/>
              <w:rPr>
                <w:rFonts w:ascii="Arial Narrow" w:hAnsi="Arial Narrow"/>
                <w:bCs/>
                <w:sz w:val="20"/>
                <w:szCs w:val="20"/>
              </w:rPr>
            </w:pPr>
            <w:r w:rsidRPr="00233BE2">
              <w:rPr>
                <w:rFonts w:ascii="Arial Narrow" w:hAnsi="Arial Narrow"/>
                <w:sz w:val="20"/>
                <w:szCs w:val="20"/>
              </w:rPr>
              <w:t>0.76</w:t>
            </w:r>
          </w:p>
        </w:tc>
        <w:tc>
          <w:tcPr>
            <w:tcW w:w="625" w:type="dxa"/>
            <w:shd w:val="clear" w:color="auto" w:fill="C6D9F1"/>
            <w:noWrap/>
            <w:tcMar>
              <w:left w:w="57" w:type="dxa"/>
              <w:right w:w="57" w:type="dxa"/>
            </w:tcMar>
          </w:tcPr>
          <w:p w14:paraId="53C13D7D" w14:textId="77777777" w:rsidR="003E79D5" w:rsidRPr="00233BE2" w:rsidRDefault="003E79D5" w:rsidP="003E79D5">
            <w:pPr>
              <w:spacing w:after="0"/>
              <w:jc w:val="center"/>
              <w:rPr>
                <w:rFonts w:ascii="Arial Narrow" w:hAnsi="Arial Narrow"/>
                <w:bCs/>
                <w:sz w:val="20"/>
                <w:szCs w:val="20"/>
              </w:rPr>
            </w:pPr>
            <w:r w:rsidRPr="00233BE2">
              <w:rPr>
                <w:rFonts w:ascii="Arial Narrow" w:hAnsi="Arial Narrow"/>
                <w:sz w:val="20"/>
                <w:szCs w:val="20"/>
              </w:rPr>
              <w:t>0.17</w:t>
            </w:r>
          </w:p>
        </w:tc>
        <w:tc>
          <w:tcPr>
            <w:tcW w:w="626" w:type="dxa"/>
            <w:shd w:val="clear" w:color="auto" w:fill="C6D9F1"/>
            <w:noWrap/>
            <w:tcMar>
              <w:left w:w="57" w:type="dxa"/>
              <w:right w:w="57" w:type="dxa"/>
            </w:tcMar>
          </w:tcPr>
          <w:p w14:paraId="53C13D7E" w14:textId="77777777" w:rsidR="003E79D5" w:rsidRPr="00233BE2" w:rsidRDefault="003E79D5" w:rsidP="003E79D5">
            <w:pPr>
              <w:spacing w:after="0"/>
              <w:jc w:val="center"/>
              <w:rPr>
                <w:rFonts w:ascii="Arial Narrow" w:hAnsi="Arial Narrow"/>
                <w:bCs/>
                <w:sz w:val="20"/>
                <w:szCs w:val="20"/>
              </w:rPr>
            </w:pPr>
            <w:r w:rsidRPr="00233BE2">
              <w:rPr>
                <w:rFonts w:ascii="Arial Narrow" w:hAnsi="Arial Narrow"/>
                <w:sz w:val="20"/>
                <w:szCs w:val="20"/>
              </w:rPr>
              <w:t>0.76</w:t>
            </w:r>
          </w:p>
        </w:tc>
      </w:tr>
      <w:tr w:rsidR="00233BE2" w:rsidRPr="00233BE2" w14:paraId="53C13D8E" w14:textId="77777777" w:rsidTr="00F2000D">
        <w:trPr>
          <w:cantSplit/>
          <w:trHeight w:hRule="exact" w:val="301"/>
        </w:trPr>
        <w:tc>
          <w:tcPr>
            <w:tcW w:w="1074" w:type="dxa"/>
            <w:vMerge/>
            <w:tcBorders>
              <w:top w:val="nil"/>
            </w:tcBorders>
            <w:shd w:val="clear" w:color="auto" w:fill="auto"/>
            <w:noWrap/>
            <w:tcMar>
              <w:left w:w="57" w:type="dxa"/>
              <w:right w:w="57" w:type="dxa"/>
            </w:tcMar>
            <w:vAlign w:val="center"/>
          </w:tcPr>
          <w:p w14:paraId="53C13D80" w14:textId="77777777" w:rsidR="003E79D5" w:rsidRPr="00233BE2" w:rsidRDefault="003E79D5" w:rsidP="003E79D5">
            <w:pPr>
              <w:spacing w:after="0"/>
              <w:jc w:val="right"/>
              <w:rPr>
                <w:rFonts w:ascii="Arial Narrow" w:hAnsi="Arial Narrow"/>
                <w:bCs/>
                <w:sz w:val="20"/>
              </w:rPr>
            </w:pPr>
          </w:p>
        </w:tc>
        <w:tc>
          <w:tcPr>
            <w:tcW w:w="350" w:type="dxa"/>
            <w:shd w:val="clear" w:color="auto" w:fill="auto"/>
            <w:noWrap/>
            <w:tcMar>
              <w:left w:w="57" w:type="dxa"/>
              <w:right w:w="57" w:type="dxa"/>
            </w:tcMar>
            <w:vAlign w:val="center"/>
          </w:tcPr>
          <w:p w14:paraId="53C13D81" w14:textId="77777777" w:rsidR="003E79D5" w:rsidRPr="00233BE2" w:rsidRDefault="003E79D5" w:rsidP="003E79D5">
            <w:pPr>
              <w:spacing w:after="0"/>
              <w:jc w:val="center"/>
              <w:rPr>
                <w:rFonts w:ascii="Arial Narrow" w:hAnsi="Arial Narrow"/>
                <w:bCs/>
                <w:sz w:val="20"/>
              </w:rPr>
            </w:pPr>
            <w:r w:rsidRPr="00233BE2">
              <w:rPr>
                <w:rFonts w:ascii="Arial Narrow" w:hAnsi="Arial Narrow"/>
                <w:bCs/>
                <w:sz w:val="20"/>
              </w:rPr>
              <w:t>5</w:t>
            </w:r>
          </w:p>
        </w:tc>
        <w:tc>
          <w:tcPr>
            <w:tcW w:w="625" w:type="dxa"/>
            <w:shd w:val="clear" w:color="auto" w:fill="C6D9F1" w:themeFill="text2" w:themeFillTint="33"/>
            <w:noWrap/>
            <w:tcMar>
              <w:left w:w="57" w:type="dxa"/>
              <w:right w:w="57" w:type="dxa"/>
            </w:tcMar>
          </w:tcPr>
          <w:p w14:paraId="53C13D82" w14:textId="77777777" w:rsidR="003E79D5" w:rsidRPr="00233BE2" w:rsidRDefault="003E79D5" w:rsidP="003E79D5">
            <w:pPr>
              <w:spacing w:after="0"/>
              <w:jc w:val="center"/>
              <w:rPr>
                <w:rFonts w:ascii="Arial Narrow" w:hAnsi="Arial Narrow"/>
                <w:bCs/>
                <w:sz w:val="20"/>
                <w:szCs w:val="20"/>
              </w:rPr>
            </w:pPr>
            <w:r w:rsidRPr="00233BE2">
              <w:rPr>
                <w:rFonts w:ascii="Arial Narrow" w:hAnsi="Arial Narrow"/>
                <w:sz w:val="20"/>
                <w:szCs w:val="20"/>
              </w:rPr>
              <w:t>0.09</w:t>
            </w:r>
          </w:p>
        </w:tc>
        <w:tc>
          <w:tcPr>
            <w:tcW w:w="625" w:type="dxa"/>
            <w:shd w:val="clear" w:color="auto" w:fill="C6D9F1" w:themeFill="text2" w:themeFillTint="33"/>
            <w:noWrap/>
            <w:tcMar>
              <w:left w:w="57" w:type="dxa"/>
              <w:right w:w="57" w:type="dxa"/>
            </w:tcMar>
          </w:tcPr>
          <w:p w14:paraId="53C13D83" w14:textId="77777777" w:rsidR="003E79D5" w:rsidRPr="00233BE2" w:rsidRDefault="003E79D5" w:rsidP="003E79D5">
            <w:pPr>
              <w:spacing w:after="0"/>
              <w:jc w:val="center"/>
              <w:rPr>
                <w:rFonts w:ascii="Arial Narrow" w:hAnsi="Arial Narrow"/>
                <w:bCs/>
                <w:sz w:val="20"/>
                <w:szCs w:val="20"/>
              </w:rPr>
            </w:pPr>
            <w:r w:rsidRPr="00233BE2">
              <w:rPr>
                <w:rFonts w:ascii="Arial Narrow" w:hAnsi="Arial Narrow"/>
                <w:sz w:val="20"/>
                <w:szCs w:val="20"/>
              </w:rPr>
              <w:t>0.76</w:t>
            </w:r>
          </w:p>
        </w:tc>
        <w:tc>
          <w:tcPr>
            <w:tcW w:w="625" w:type="dxa"/>
            <w:shd w:val="clear" w:color="auto" w:fill="auto"/>
            <w:noWrap/>
            <w:tcMar>
              <w:left w:w="57" w:type="dxa"/>
              <w:right w:w="57" w:type="dxa"/>
            </w:tcMar>
          </w:tcPr>
          <w:p w14:paraId="53C13D84" w14:textId="77777777" w:rsidR="003E79D5" w:rsidRPr="00233BE2" w:rsidRDefault="003E79D5" w:rsidP="003E79D5">
            <w:pPr>
              <w:spacing w:after="0"/>
              <w:jc w:val="center"/>
              <w:rPr>
                <w:rFonts w:ascii="Arial Narrow" w:hAnsi="Arial Narrow"/>
                <w:bCs/>
                <w:sz w:val="20"/>
                <w:szCs w:val="20"/>
              </w:rPr>
            </w:pPr>
            <w:r w:rsidRPr="00233BE2">
              <w:rPr>
                <w:rFonts w:ascii="Arial Narrow" w:hAnsi="Arial Narrow"/>
                <w:sz w:val="20"/>
                <w:szCs w:val="20"/>
              </w:rPr>
              <w:t>0.08</w:t>
            </w:r>
          </w:p>
        </w:tc>
        <w:tc>
          <w:tcPr>
            <w:tcW w:w="625" w:type="dxa"/>
            <w:shd w:val="clear" w:color="auto" w:fill="auto"/>
            <w:noWrap/>
            <w:tcMar>
              <w:left w:w="57" w:type="dxa"/>
              <w:right w:w="57" w:type="dxa"/>
            </w:tcMar>
          </w:tcPr>
          <w:p w14:paraId="53C13D85" w14:textId="77777777" w:rsidR="003E79D5" w:rsidRPr="00233BE2" w:rsidRDefault="003E79D5" w:rsidP="003E79D5">
            <w:pPr>
              <w:spacing w:after="0"/>
              <w:jc w:val="center"/>
              <w:rPr>
                <w:rFonts w:ascii="Arial Narrow" w:hAnsi="Arial Narrow"/>
                <w:bCs/>
                <w:sz w:val="20"/>
                <w:szCs w:val="20"/>
              </w:rPr>
            </w:pPr>
            <w:r w:rsidRPr="00233BE2">
              <w:rPr>
                <w:rFonts w:ascii="Arial Narrow" w:hAnsi="Arial Narrow"/>
                <w:sz w:val="20"/>
                <w:szCs w:val="20"/>
              </w:rPr>
              <w:t>0.66</w:t>
            </w:r>
          </w:p>
        </w:tc>
        <w:tc>
          <w:tcPr>
            <w:tcW w:w="625" w:type="dxa"/>
            <w:shd w:val="clear" w:color="auto" w:fill="auto"/>
            <w:noWrap/>
            <w:tcMar>
              <w:left w:w="57" w:type="dxa"/>
              <w:right w:w="57" w:type="dxa"/>
            </w:tcMar>
          </w:tcPr>
          <w:p w14:paraId="53C13D86" w14:textId="77777777" w:rsidR="003E79D5" w:rsidRPr="00233BE2" w:rsidRDefault="003E79D5" w:rsidP="003E79D5">
            <w:pPr>
              <w:spacing w:after="0"/>
              <w:jc w:val="center"/>
              <w:rPr>
                <w:rFonts w:ascii="Arial Narrow" w:hAnsi="Arial Narrow"/>
                <w:bCs/>
                <w:sz w:val="20"/>
                <w:szCs w:val="20"/>
              </w:rPr>
            </w:pPr>
            <w:r w:rsidRPr="00233BE2">
              <w:rPr>
                <w:rFonts w:ascii="Arial Narrow" w:hAnsi="Arial Narrow"/>
                <w:sz w:val="20"/>
                <w:szCs w:val="20"/>
              </w:rPr>
              <w:t>-0.09</w:t>
            </w:r>
          </w:p>
        </w:tc>
        <w:tc>
          <w:tcPr>
            <w:tcW w:w="626" w:type="dxa"/>
            <w:shd w:val="clear" w:color="auto" w:fill="auto"/>
            <w:noWrap/>
            <w:tcMar>
              <w:left w:w="57" w:type="dxa"/>
              <w:right w:w="57" w:type="dxa"/>
            </w:tcMar>
          </w:tcPr>
          <w:p w14:paraId="53C13D87" w14:textId="77777777" w:rsidR="003E79D5" w:rsidRPr="00233BE2" w:rsidRDefault="003E79D5" w:rsidP="003E79D5">
            <w:pPr>
              <w:spacing w:after="0"/>
              <w:jc w:val="center"/>
              <w:rPr>
                <w:rFonts w:ascii="Arial Narrow" w:hAnsi="Arial Narrow"/>
                <w:bCs/>
                <w:sz w:val="20"/>
                <w:szCs w:val="20"/>
              </w:rPr>
            </w:pPr>
            <w:r w:rsidRPr="00233BE2">
              <w:rPr>
                <w:rFonts w:ascii="Arial Narrow" w:hAnsi="Arial Narrow"/>
                <w:sz w:val="20"/>
                <w:szCs w:val="20"/>
              </w:rPr>
              <w:t>0.69</w:t>
            </w:r>
          </w:p>
        </w:tc>
        <w:tc>
          <w:tcPr>
            <w:tcW w:w="625" w:type="dxa"/>
            <w:shd w:val="clear" w:color="auto" w:fill="8DB3E2"/>
            <w:noWrap/>
            <w:tcMar>
              <w:left w:w="57" w:type="dxa"/>
              <w:right w:w="57" w:type="dxa"/>
            </w:tcMar>
          </w:tcPr>
          <w:p w14:paraId="53C13D88" w14:textId="77777777" w:rsidR="003E79D5" w:rsidRPr="00233BE2" w:rsidRDefault="003E79D5" w:rsidP="003E79D5">
            <w:pPr>
              <w:spacing w:after="0"/>
              <w:jc w:val="center"/>
              <w:rPr>
                <w:rFonts w:ascii="Arial Narrow" w:hAnsi="Arial Narrow"/>
                <w:bCs/>
                <w:sz w:val="20"/>
                <w:szCs w:val="20"/>
              </w:rPr>
            </w:pPr>
            <w:r w:rsidRPr="00233BE2">
              <w:rPr>
                <w:rFonts w:ascii="Arial Narrow" w:hAnsi="Arial Narrow"/>
                <w:sz w:val="20"/>
                <w:szCs w:val="20"/>
              </w:rPr>
              <w:t>0.12</w:t>
            </w:r>
          </w:p>
        </w:tc>
        <w:tc>
          <w:tcPr>
            <w:tcW w:w="625" w:type="dxa"/>
            <w:shd w:val="clear" w:color="auto" w:fill="8DB3E2"/>
            <w:noWrap/>
            <w:tcMar>
              <w:left w:w="57" w:type="dxa"/>
              <w:right w:w="57" w:type="dxa"/>
            </w:tcMar>
          </w:tcPr>
          <w:p w14:paraId="53C13D89" w14:textId="77777777" w:rsidR="003E79D5" w:rsidRPr="00233BE2" w:rsidRDefault="003E79D5" w:rsidP="003E79D5">
            <w:pPr>
              <w:spacing w:after="0"/>
              <w:jc w:val="center"/>
              <w:rPr>
                <w:rFonts w:ascii="Arial Narrow" w:hAnsi="Arial Narrow"/>
                <w:bCs/>
                <w:sz w:val="20"/>
                <w:szCs w:val="20"/>
              </w:rPr>
            </w:pPr>
            <w:r w:rsidRPr="00233BE2">
              <w:rPr>
                <w:rFonts w:ascii="Arial Narrow" w:hAnsi="Arial Narrow"/>
                <w:sz w:val="20"/>
                <w:szCs w:val="20"/>
              </w:rPr>
              <w:t>0.86</w:t>
            </w:r>
          </w:p>
        </w:tc>
        <w:tc>
          <w:tcPr>
            <w:tcW w:w="625" w:type="dxa"/>
            <w:shd w:val="clear" w:color="auto" w:fill="auto"/>
            <w:noWrap/>
            <w:tcMar>
              <w:left w:w="57" w:type="dxa"/>
              <w:right w:w="57" w:type="dxa"/>
            </w:tcMar>
          </w:tcPr>
          <w:p w14:paraId="53C13D8A" w14:textId="77777777" w:rsidR="003E79D5" w:rsidRPr="00233BE2" w:rsidRDefault="003E79D5" w:rsidP="003E79D5">
            <w:pPr>
              <w:spacing w:after="0"/>
              <w:jc w:val="center"/>
              <w:rPr>
                <w:rFonts w:ascii="Arial Narrow" w:hAnsi="Arial Narrow"/>
                <w:bCs/>
                <w:sz w:val="20"/>
                <w:szCs w:val="20"/>
              </w:rPr>
            </w:pPr>
            <w:r w:rsidRPr="00233BE2">
              <w:rPr>
                <w:rFonts w:ascii="Arial Narrow" w:hAnsi="Arial Narrow"/>
                <w:sz w:val="20"/>
                <w:szCs w:val="20"/>
              </w:rPr>
              <w:t>0.16</w:t>
            </w:r>
          </w:p>
        </w:tc>
        <w:tc>
          <w:tcPr>
            <w:tcW w:w="625" w:type="dxa"/>
            <w:shd w:val="clear" w:color="auto" w:fill="auto"/>
            <w:noWrap/>
            <w:tcMar>
              <w:left w:w="57" w:type="dxa"/>
              <w:right w:w="57" w:type="dxa"/>
            </w:tcMar>
          </w:tcPr>
          <w:p w14:paraId="53C13D8B" w14:textId="77777777" w:rsidR="003E79D5" w:rsidRPr="00233BE2" w:rsidRDefault="003E79D5" w:rsidP="003E79D5">
            <w:pPr>
              <w:spacing w:after="0"/>
              <w:jc w:val="center"/>
              <w:rPr>
                <w:rFonts w:ascii="Arial Narrow" w:hAnsi="Arial Narrow"/>
                <w:bCs/>
                <w:sz w:val="20"/>
                <w:szCs w:val="20"/>
              </w:rPr>
            </w:pPr>
            <w:r w:rsidRPr="00233BE2">
              <w:rPr>
                <w:rFonts w:ascii="Arial Narrow" w:hAnsi="Arial Narrow"/>
                <w:sz w:val="20"/>
                <w:szCs w:val="20"/>
              </w:rPr>
              <w:t>0.64</w:t>
            </w:r>
          </w:p>
        </w:tc>
        <w:tc>
          <w:tcPr>
            <w:tcW w:w="625" w:type="dxa"/>
            <w:shd w:val="clear" w:color="auto" w:fill="auto"/>
            <w:noWrap/>
            <w:tcMar>
              <w:left w:w="57" w:type="dxa"/>
              <w:right w:w="57" w:type="dxa"/>
            </w:tcMar>
          </w:tcPr>
          <w:p w14:paraId="53C13D8C" w14:textId="77777777" w:rsidR="003E79D5" w:rsidRPr="00233BE2" w:rsidRDefault="003E79D5" w:rsidP="003E79D5">
            <w:pPr>
              <w:spacing w:after="0"/>
              <w:jc w:val="center"/>
              <w:rPr>
                <w:rFonts w:ascii="Arial Narrow" w:hAnsi="Arial Narrow"/>
                <w:bCs/>
                <w:sz w:val="20"/>
                <w:szCs w:val="20"/>
              </w:rPr>
            </w:pPr>
            <w:r w:rsidRPr="00233BE2">
              <w:rPr>
                <w:rFonts w:ascii="Arial Narrow" w:hAnsi="Arial Narrow"/>
                <w:sz w:val="20"/>
                <w:szCs w:val="20"/>
              </w:rPr>
              <w:t>0.19</w:t>
            </w:r>
          </w:p>
        </w:tc>
        <w:tc>
          <w:tcPr>
            <w:tcW w:w="626" w:type="dxa"/>
            <w:shd w:val="clear" w:color="auto" w:fill="auto"/>
            <w:noWrap/>
            <w:tcMar>
              <w:left w:w="57" w:type="dxa"/>
              <w:right w:w="57" w:type="dxa"/>
            </w:tcMar>
          </w:tcPr>
          <w:p w14:paraId="53C13D8D" w14:textId="77777777" w:rsidR="003E79D5" w:rsidRPr="00233BE2" w:rsidRDefault="003E79D5" w:rsidP="003E79D5">
            <w:pPr>
              <w:spacing w:after="0"/>
              <w:jc w:val="center"/>
              <w:rPr>
                <w:rFonts w:ascii="Arial Narrow" w:hAnsi="Arial Narrow"/>
                <w:bCs/>
                <w:sz w:val="20"/>
                <w:szCs w:val="20"/>
              </w:rPr>
            </w:pPr>
            <w:r w:rsidRPr="00233BE2">
              <w:rPr>
                <w:rFonts w:ascii="Arial Narrow" w:hAnsi="Arial Narrow"/>
                <w:sz w:val="20"/>
                <w:szCs w:val="20"/>
              </w:rPr>
              <w:t>0.67</w:t>
            </w:r>
          </w:p>
        </w:tc>
      </w:tr>
    </w:tbl>
    <w:p w14:paraId="53C13D8F" w14:textId="77777777" w:rsidR="00A84742" w:rsidRPr="00233BE2" w:rsidRDefault="00A84742" w:rsidP="00A84742"/>
    <w:p w14:paraId="53C13D90" w14:textId="5CAF4D56" w:rsidR="00CF191A" w:rsidRPr="004B2398" w:rsidRDefault="001A5F06" w:rsidP="003E1937">
      <w:pPr>
        <w:rPr>
          <w:color w:val="000000" w:themeColor="text1"/>
        </w:rPr>
      </w:pPr>
      <w:r w:rsidRPr="00415469">
        <w:t>In general, the trend in the coral index in the sub-region reflects the impact</w:t>
      </w:r>
      <w:r w:rsidR="00687377">
        <w:t xml:space="preserve">, and subsequent recovery, </w:t>
      </w:r>
      <w:r w:rsidRPr="00415469">
        <w:t>of coral communities following the severe impacts associated with cyclones Tasha and Yasi in 2011 (</w:t>
      </w:r>
      <w:r w:rsidRPr="00415469">
        <w:fldChar w:fldCharType="begin"/>
      </w:r>
      <w:r w:rsidRPr="00415469">
        <w:instrText xml:space="preserve"> REF _Ref491180328 \h </w:instrText>
      </w:r>
      <w:r w:rsidR="00C974A7">
        <w:instrText xml:space="preserve"> \* MERGEFORMAT </w:instrText>
      </w:r>
      <w:r w:rsidRPr="00415469">
        <w:fldChar w:fldCharType="separate"/>
      </w:r>
      <w:r w:rsidR="003053D1" w:rsidRPr="00CE4E0F">
        <w:t xml:space="preserve">Figure </w:t>
      </w:r>
      <w:r w:rsidR="003053D1">
        <w:rPr>
          <w:noProof/>
        </w:rPr>
        <w:t>18</w:t>
      </w:r>
      <w:r w:rsidRPr="00415469">
        <w:fldChar w:fldCharType="end"/>
      </w:r>
      <w:r w:rsidRPr="00415469">
        <w:t xml:space="preserve">). These cyclones caused substantial damage to coral communities at Franklands East, Franklands West and High East. At High West, loss of coral cover at </w:t>
      </w:r>
      <w:r w:rsidRPr="00415469" w:rsidDel="006F1464">
        <w:t>2 m</w:t>
      </w:r>
      <w:r w:rsidRPr="00415469">
        <w:t xml:space="preserve"> depth following these cyclones was attributed to low salinity floodwaters (</w:t>
      </w:r>
      <w:r w:rsidRPr="00415469">
        <w:fldChar w:fldCharType="begin"/>
      </w:r>
      <w:r w:rsidRPr="00415469">
        <w:instrText xml:space="preserve"> REF _Ref528585641 \h </w:instrText>
      </w:r>
      <w:r w:rsidR="00C974A7">
        <w:instrText xml:space="preserve"> \* MERGEFORMAT </w:instrText>
      </w:r>
      <w:r w:rsidRPr="00415469">
        <w:fldChar w:fldCharType="separate"/>
      </w:r>
      <w:r w:rsidR="003053D1" w:rsidRPr="002445C4">
        <w:t xml:space="preserve">Figure A </w:t>
      </w:r>
      <w:r w:rsidR="003053D1">
        <w:rPr>
          <w:noProof/>
        </w:rPr>
        <w:t>2</w:t>
      </w:r>
      <w:r w:rsidRPr="00415469">
        <w:fldChar w:fldCharType="end"/>
      </w:r>
      <w:r w:rsidRPr="00415469">
        <w:t>,</w:t>
      </w:r>
      <w:r w:rsidR="006A3002">
        <w:t xml:space="preserve"> </w:t>
      </w:r>
      <w:r w:rsidR="006A3002">
        <w:fldChar w:fldCharType="begin"/>
      </w:r>
      <w:r w:rsidR="006A3002">
        <w:instrText xml:space="preserve"> REF _Ref30660433 \h </w:instrText>
      </w:r>
      <w:r w:rsidR="006A3002">
        <w:fldChar w:fldCharType="separate"/>
      </w:r>
      <w:r w:rsidR="003053D1">
        <w:t xml:space="preserve">Table A </w:t>
      </w:r>
      <w:r w:rsidR="003053D1">
        <w:rPr>
          <w:noProof/>
        </w:rPr>
        <w:t>7</w:t>
      </w:r>
      <w:r w:rsidR="006A3002">
        <w:fldChar w:fldCharType="end"/>
      </w:r>
      <w:r w:rsidRPr="00415469">
        <w:t>). The effects of cyclones were further compounded by the increased prevalence of disease in 2011 (</w:t>
      </w:r>
      <w:r w:rsidRPr="00415469">
        <w:fldChar w:fldCharType="begin"/>
      </w:r>
      <w:r w:rsidRPr="00415469">
        <w:instrText xml:space="preserve"> REF _Ref491180328 \h </w:instrText>
      </w:r>
      <w:r w:rsidR="00C974A7">
        <w:instrText xml:space="preserve"> \* MERGEFORMAT </w:instrText>
      </w:r>
      <w:r w:rsidRPr="00415469">
        <w:fldChar w:fldCharType="separate"/>
      </w:r>
      <w:r w:rsidR="003053D1" w:rsidRPr="00CE4E0F">
        <w:t xml:space="preserve">Figure </w:t>
      </w:r>
      <w:r w:rsidR="003053D1">
        <w:rPr>
          <w:noProof/>
        </w:rPr>
        <w:t>18</w:t>
      </w:r>
      <w:r w:rsidRPr="00415469">
        <w:fldChar w:fldCharType="end"/>
      </w:r>
      <w:r w:rsidRPr="00415469">
        <w:t xml:space="preserve">e). Fitzroy Island, which had escaped serious damage from </w:t>
      </w:r>
      <w:r w:rsidR="00D7043B">
        <w:t xml:space="preserve">the </w:t>
      </w:r>
      <w:r w:rsidR="00EF533A">
        <w:t xml:space="preserve">cyclones </w:t>
      </w:r>
      <w:r w:rsidR="00D7043B">
        <w:t xml:space="preserve">lost a substantial proportion of the coral cover </w:t>
      </w:r>
      <w:r w:rsidRPr="00415469">
        <w:t>to disease; at Fitzroy East between 60% (</w:t>
      </w:r>
      <w:r w:rsidRPr="00415469" w:rsidDel="006F1464">
        <w:t>2 m</w:t>
      </w:r>
      <w:r w:rsidRPr="00415469">
        <w:t>) and 42% (</w:t>
      </w:r>
      <w:r w:rsidRPr="00415469" w:rsidDel="006F1464">
        <w:t>5 m</w:t>
      </w:r>
      <w:r w:rsidRPr="00415469">
        <w:t xml:space="preserve">) of the cover of hard corals, predominantly </w:t>
      </w:r>
      <w:r w:rsidRPr="00415469">
        <w:rPr>
          <w:i/>
        </w:rPr>
        <w:t>Acropora</w:t>
      </w:r>
      <w:r w:rsidRPr="00415469">
        <w:t xml:space="preserve">, was lost </w:t>
      </w:r>
      <w:r w:rsidR="00F234C6" w:rsidRPr="00415469">
        <w:t>(</w:t>
      </w:r>
      <w:r w:rsidR="00F234C6">
        <w:fldChar w:fldCharType="begin"/>
      </w:r>
      <w:r w:rsidR="00F234C6">
        <w:instrText xml:space="preserve"> REF _Ref30660433 \h </w:instrText>
      </w:r>
      <w:r w:rsidR="00F234C6">
        <w:fldChar w:fldCharType="separate"/>
      </w:r>
      <w:r w:rsidR="003053D1">
        <w:t xml:space="preserve">Table A </w:t>
      </w:r>
      <w:r w:rsidR="003053D1">
        <w:rPr>
          <w:noProof/>
        </w:rPr>
        <w:t>7</w:t>
      </w:r>
      <w:r w:rsidR="00F234C6">
        <w:fldChar w:fldCharType="end"/>
      </w:r>
      <w:r w:rsidR="00F234C6">
        <w:t>,</w:t>
      </w:r>
      <w:r w:rsidR="00427E3C">
        <w:t xml:space="preserve"> </w:t>
      </w:r>
      <w:r w:rsidR="00427E3C">
        <w:fldChar w:fldCharType="begin"/>
      </w:r>
      <w:r w:rsidR="00427E3C">
        <w:instrText xml:space="preserve"> REF _Ref528585641 \h </w:instrText>
      </w:r>
      <w:r w:rsidR="00427E3C">
        <w:fldChar w:fldCharType="separate"/>
      </w:r>
      <w:r w:rsidR="003053D1" w:rsidRPr="002445C4">
        <w:t xml:space="preserve">Figure A </w:t>
      </w:r>
      <w:r w:rsidR="003053D1">
        <w:rPr>
          <w:noProof/>
        </w:rPr>
        <w:t>2</w:t>
      </w:r>
      <w:r w:rsidR="00427E3C">
        <w:fldChar w:fldCharType="end"/>
      </w:r>
      <w:r w:rsidR="00F234C6" w:rsidRPr="00415469">
        <w:t xml:space="preserve">). </w:t>
      </w:r>
      <w:r w:rsidRPr="00415469">
        <w:t>Th</w:t>
      </w:r>
      <w:r w:rsidR="00D7043B">
        <w:t xml:space="preserve">is outbreak of </w:t>
      </w:r>
      <w:r w:rsidRPr="00415469">
        <w:t>disease coincided with high discharge from local rivers (</w:t>
      </w:r>
      <w:r w:rsidRPr="00415469">
        <w:fldChar w:fldCharType="begin"/>
      </w:r>
      <w:r w:rsidRPr="00415469">
        <w:instrText xml:space="preserve"> REF _Ref491180328 \h </w:instrText>
      </w:r>
      <w:r w:rsidR="00C974A7">
        <w:instrText xml:space="preserve"> \* MERGEFORMAT </w:instrText>
      </w:r>
      <w:r w:rsidRPr="00415469">
        <w:fldChar w:fldCharType="separate"/>
      </w:r>
      <w:r w:rsidR="003053D1" w:rsidRPr="00CE4E0F">
        <w:t xml:space="preserve">Figure </w:t>
      </w:r>
      <w:r w:rsidR="003053D1">
        <w:rPr>
          <w:noProof/>
        </w:rPr>
        <w:t>18</w:t>
      </w:r>
      <w:r w:rsidRPr="00415469">
        <w:fldChar w:fldCharType="end"/>
      </w:r>
      <w:r w:rsidRPr="00415469">
        <w:t>d). The low point in the index reached in 2012 reflects decline in the cover change score in 2012 compounding reductions in other indicator scores in direct response to the cyclones in 2011 (</w:t>
      </w:r>
      <w:r w:rsidRPr="00415469">
        <w:fldChar w:fldCharType="begin"/>
      </w:r>
      <w:r w:rsidRPr="00415469">
        <w:instrText xml:space="preserve"> REF _Ref496105214 \h </w:instrText>
      </w:r>
      <w:r w:rsidR="00C974A7">
        <w:instrText xml:space="preserve"> \* MERGEFORMAT </w:instrText>
      </w:r>
      <w:r w:rsidRPr="00415469">
        <w:fldChar w:fldCharType="separate"/>
      </w:r>
      <w:r w:rsidR="003053D1" w:rsidRPr="00233BE2">
        <w:t xml:space="preserve">Table </w:t>
      </w:r>
      <w:r w:rsidR="003053D1">
        <w:rPr>
          <w:noProof/>
        </w:rPr>
        <w:t>10</w:t>
      </w:r>
      <w:r w:rsidRPr="00415469">
        <w:fldChar w:fldCharType="end"/>
      </w:r>
      <w:r w:rsidRPr="00415469">
        <w:t xml:space="preserve">, </w:t>
      </w:r>
      <w:r w:rsidRPr="00415469">
        <w:fldChar w:fldCharType="begin"/>
      </w:r>
      <w:r w:rsidRPr="00415469">
        <w:instrText xml:space="preserve"> REF _Ref491181369 \h </w:instrText>
      </w:r>
      <w:r w:rsidR="00C974A7">
        <w:instrText xml:space="preserve"> \* MERGEFORMAT </w:instrText>
      </w:r>
      <w:r w:rsidRPr="00415469">
        <w:fldChar w:fldCharType="separate"/>
      </w:r>
      <w:r w:rsidR="003053D1" w:rsidRPr="00AA6FF4">
        <w:t xml:space="preserve">Figure </w:t>
      </w:r>
      <w:r w:rsidR="003053D1">
        <w:rPr>
          <w:noProof/>
        </w:rPr>
        <w:t>19</w:t>
      </w:r>
      <w:r w:rsidRPr="00415469">
        <w:fldChar w:fldCharType="end"/>
      </w:r>
      <w:r w:rsidRPr="00415469">
        <w:t>).</w:t>
      </w:r>
      <w:r w:rsidR="005B4EBA">
        <w:t xml:space="preserve"> </w:t>
      </w:r>
      <w:r w:rsidR="00D7043B">
        <w:t xml:space="preserve">The plateau in </w:t>
      </w:r>
      <w:r w:rsidR="00CF191A" w:rsidRPr="00CF191A">
        <w:t xml:space="preserve">recovery of the coral communities </w:t>
      </w:r>
      <w:r w:rsidR="00D7043B">
        <w:t xml:space="preserve">in recent years has been influenced by </w:t>
      </w:r>
      <w:r w:rsidR="00C15968">
        <w:t xml:space="preserve">thermal </w:t>
      </w:r>
      <w:r w:rsidR="00D7043B">
        <w:t xml:space="preserve">bleaching </w:t>
      </w:r>
      <w:r w:rsidR="00EF533A">
        <w:t xml:space="preserve">in </w:t>
      </w:r>
      <w:r w:rsidR="00D7043B">
        <w:t>the 2016-</w:t>
      </w:r>
      <w:r w:rsidR="00EF533A">
        <w:t>20</w:t>
      </w:r>
      <w:r w:rsidR="00D7043B">
        <w:t xml:space="preserve">17 </w:t>
      </w:r>
      <w:r w:rsidR="00EF533A">
        <w:t xml:space="preserve">years </w:t>
      </w:r>
      <w:r w:rsidR="00D7043B">
        <w:t>when up to</w:t>
      </w:r>
      <w:r w:rsidR="00A66C58">
        <w:t xml:space="preserve"> </w:t>
      </w:r>
      <w:r w:rsidR="00CF191A" w:rsidRPr="00CF191A">
        <w:t>23% of the cover of hard corals was lost at individual reefs (</w:t>
      </w:r>
      <w:r w:rsidR="00CF191A" w:rsidRPr="00CF191A">
        <w:fldChar w:fldCharType="begin"/>
      </w:r>
      <w:r w:rsidR="00CF191A" w:rsidRPr="00CF191A">
        <w:instrText xml:space="preserve"> REF _Ref491181369 \h </w:instrText>
      </w:r>
      <w:r w:rsidR="00C974A7">
        <w:instrText xml:space="preserve"> \* MERGEFORMAT </w:instrText>
      </w:r>
      <w:r w:rsidR="00CF191A" w:rsidRPr="00CF191A">
        <w:fldChar w:fldCharType="separate"/>
      </w:r>
      <w:r w:rsidR="003053D1" w:rsidRPr="00AA6FF4">
        <w:t xml:space="preserve">Figure </w:t>
      </w:r>
      <w:r w:rsidR="003053D1">
        <w:rPr>
          <w:noProof/>
        </w:rPr>
        <w:t>19</w:t>
      </w:r>
      <w:r w:rsidR="00CF191A" w:rsidRPr="00CF191A">
        <w:fldChar w:fldCharType="end"/>
      </w:r>
      <w:r w:rsidR="00CF191A" w:rsidRPr="00CF191A">
        <w:t>a</w:t>
      </w:r>
      <w:r w:rsidR="007F49EF">
        <w:t xml:space="preserve">, </w:t>
      </w:r>
      <w:r w:rsidR="007F49EF">
        <w:fldChar w:fldCharType="begin"/>
      </w:r>
      <w:r w:rsidR="007F49EF">
        <w:instrText xml:space="preserve"> REF _Ref528585641 \h </w:instrText>
      </w:r>
      <w:r w:rsidR="007F49EF">
        <w:fldChar w:fldCharType="separate"/>
      </w:r>
      <w:r w:rsidR="003053D1" w:rsidRPr="002445C4">
        <w:t xml:space="preserve">Figure A </w:t>
      </w:r>
      <w:r w:rsidR="003053D1">
        <w:rPr>
          <w:noProof/>
        </w:rPr>
        <w:t>2</w:t>
      </w:r>
      <w:r w:rsidR="007F49EF">
        <w:fldChar w:fldCharType="end"/>
      </w:r>
      <w:r w:rsidR="00CF191A" w:rsidRPr="004B2398">
        <w:rPr>
          <w:color w:val="000000" w:themeColor="text1"/>
        </w:rPr>
        <w:t xml:space="preserve">). </w:t>
      </w:r>
    </w:p>
    <w:p w14:paraId="53C13D91" w14:textId="2E5503D3" w:rsidR="00EF533A" w:rsidRDefault="007F49EF" w:rsidP="00C974A7">
      <w:r>
        <w:t>C</w:t>
      </w:r>
      <w:r w:rsidR="001A5F06" w:rsidRPr="0026272B">
        <w:t xml:space="preserve">rown-of-thorns starfish </w:t>
      </w:r>
      <w:r>
        <w:t>populations peaked in 2012 (</w:t>
      </w:r>
      <w:r>
        <w:fldChar w:fldCharType="begin"/>
      </w:r>
      <w:r>
        <w:instrText xml:space="preserve"> REF _Ref22821743 \h </w:instrText>
      </w:r>
      <w:r>
        <w:fldChar w:fldCharType="separate"/>
      </w:r>
      <w:r w:rsidR="003053D1">
        <w:t xml:space="preserve">Figure A </w:t>
      </w:r>
      <w:r w:rsidR="003053D1">
        <w:rPr>
          <w:noProof/>
        </w:rPr>
        <w:t>8</w:t>
      </w:r>
      <w:r>
        <w:fldChar w:fldCharType="end"/>
      </w:r>
      <w:r>
        <w:t xml:space="preserve">) and were the primary cause of </w:t>
      </w:r>
      <w:r w:rsidR="0015687B">
        <w:t>coral loss at</w:t>
      </w:r>
      <w:r>
        <w:t xml:space="preserve"> </w:t>
      </w:r>
      <w:r w:rsidR="0015687B" w:rsidRPr="0026272B">
        <w:t xml:space="preserve">Fitzroy Island and Green Island </w:t>
      </w:r>
      <w:r>
        <w:t>over the period 2012-</w:t>
      </w:r>
      <w:r w:rsidR="0015687B">
        <w:t>2015 (</w:t>
      </w:r>
      <w:r w:rsidR="0015687B">
        <w:fldChar w:fldCharType="begin"/>
      </w:r>
      <w:r w:rsidR="0015687B">
        <w:instrText xml:space="preserve"> REF _Ref491180328 \h </w:instrText>
      </w:r>
      <w:r w:rsidR="0015687B">
        <w:fldChar w:fldCharType="separate"/>
      </w:r>
      <w:r w:rsidR="003053D1" w:rsidRPr="00CE4E0F">
        <w:t xml:space="preserve">Figure </w:t>
      </w:r>
      <w:r w:rsidR="003053D1">
        <w:rPr>
          <w:noProof/>
        </w:rPr>
        <w:t>18</w:t>
      </w:r>
      <w:r w:rsidR="0015687B">
        <w:fldChar w:fldCharType="end"/>
      </w:r>
      <w:r w:rsidR="0015687B">
        <w:t xml:space="preserve">e, </w:t>
      </w:r>
      <w:r w:rsidR="0015687B">
        <w:fldChar w:fldCharType="begin"/>
      </w:r>
      <w:r w:rsidR="0015687B">
        <w:instrText xml:space="preserve"> REF _Ref528585641 \h </w:instrText>
      </w:r>
      <w:r w:rsidR="0015687B">
        <w:fldChar w:fldCharType="separate"/>
      </w:r>
      <w:r w:rsidR="003053D1" w:rsidRPr="002445C4">
        <w:t xml:space="preserve">Figure A </w:t>
      </w:r>
      <w:r w:rsidR="003053D1">
        <w:rPr>
          <w:noProof/>
        </w:rPr>
        <w:t>2</w:t>
      </w:r>
      <w:r w:rsidR="0015687B">
        <w:fldChar w:fldCharType="end"/>
      </w:r>
      <w:r w:rsidR="0015687B">
        <w:t xml:space="preserve">). The impact of crown-o-thorns feeding over </w:t>
      </w:r>
      <w:r w:rsidR="0015687B">
        <w:lastRenderedPageBreak/>
        <w:t xml:space="preserve">this period was almost certainly reduce by the Authorities crown-of-thorns control program. </w:t>
      </w:r>
      <w:r w:rsidR="001A5F06" w:rsidRPr="0026272B">
        <w:t xml:space="preserve">It is possible that the losses of coral cover attributed to </w:t>
      </w:r>
      <w:r w:rsidR="00C15968">
        <w:t xml:space="preserve">thermal </w:t>
      </w:r>
      <w:r w:rsidR="001A5F06" w:rsidRPr="0026272B">
        <w:t>bleaching in 2017 included some loss due to crown-of-thorns starfish. In 201</w:t>
      </w:r>
      <w:r w:rsidR="00FE49A5" w:rsidRPr="0026272B">
        <w:t>9</w:t>
      </w:r>
      <w:r w:rsidR="001A5F06" w:rsidRPr="0026272B">
        <w:t xml:space="preserve"> numbers of crown-of-thorns starfish were </w:t>
      </w:r>
      <w:r w:rsidR="006E5592" w:rsidRPr="0026272B">
        <w:t>variable between reefs</w:t>
      </w:r>
      <w:r w:rsidR="00687377">
        <w:t>. A</w:t>
      </w:r>
      <w:r w:rsidR="001A5F06" w:rsidRPr="0026272B">
        <w:t xml:space="preserve"> maximum density of </w:t>
      </w:r>
      <w:r w:rsidR="006E5592" w:rsidRPr="0026272B">
        <w:t>75</w:t>
      </w:r>
      <w:r w:rsidR="001A5F06" w:rsidRPr="0026272B">
        <w:t xml:space="preserve"> per ha </w:t>
      </w:r>
      <w:r w:rsidR="00EF533A">
        <w:t xml:space="preserve">was </w:t>
      </w:r>
      <w:r w:rsidR="006E5592" w:rsidRPr="0026272B">
        <w:t xml:space="preserve">recorded </w:t>
      </w:r>
      <w:r w:rsidR="001A5F06" w:rsidRPr="0026272B">
        <w:t xml:space="preserve">at </w:t>
      </w:r>
      <w:r w:rsidR="006E5592" w:rsidRPr="0026272B">
        <w:t>Frankland Island</w:t>
      </w:r>
      <w:r w:rsidR="001A5F06" w:rsidRPr="0026272B">
        <w:t xml:space="preserve"> East</w:t>
      </w:r>
      <w:r w:rsidR="00056C15">
        <w:t xml:space="preserve"> (</w:t>
      </w:r>
      <w:r w:rsidR="00056C15">
        <w:fldChar w:fldCharType="begin"/>
      </w:r>
      <w:r w:rsidR="00056C15">
        <w:instrText xml:space="preserve"> REF _Ref22821743 \h </w:instrText>
      </w:r>
      <w:r w:rsidR="00056C15">
        <w:fldChar w:fldCharType="separate"/>
      </w:r>
      <w:r w:rsidR="003053D1">
        <w:t xml:space="preserve">Figure A </w:t>
      </w:r>
      <w:r w:rsidR="003053D1">
        <w:rPr>
          <w:noProof/>
        </w:rPr>
        <w:t>8</w:t>
      </w:r>
      <w:r w:rsidR="00056C15">
        <w:fldChar w:fldCharType="end"/>
      </w:r>
      <w:r w:rsidR="00056C15">
        <w:t>)</w:t>
      </w:r>
      <w:r w:rsidR="00687377">
        <w:t>, however their</w:t>
      </w:r>
      <w:r w:rsidR="00AA2EB1">
        <w:t xml:space="preserve"> i</w:t>
      </w:r>
      <w:r w:rsidR="00624892">
        <w:t xml:space="preserve">mpact </w:t>
      </w:r>
      <w:r w:rsidR="00687377">
        <w:t xml:space="preserve">of </w:t>
      </w:r>
      <w:r w:rsidR="00624892">
        <w:t>appears to be minimal at this stage</w:t>
      </w:r>
      <w:r w:rsidR="00AB2D14">
        <w:t xml:space="preserve"> with coral cover generally high</w:t>
      </w:r>
      <w:r w:rsidR="00AA2EB1">
        <w:t xml:space="preserve"> at affected reefs</w:t>
      </w:r>
      <w:r w:rsidR="00687377">
        <w:t>.</w:t>
      </w:r>
    </w:p>
    <w:p w14:paraId="53C13D92" w14:textId="29B9EB84" w:rsidR="001A5F06" w:rsidRDefault="00687377" w:rsidP="00A84742">
      <w:r>
        <w:t xml:space="preserve">Coral consumed by </w:t>
      </w:r>
      <w:r w:rsidR="00AA2EB1" w:rsidRPr="0026272B">
        <w:t>crown-of-thorns starfish</w:t>
      </w:r>
      <w:r w:rsidR="00AB2D14">
        <w:t xml:space="preserve"> </w:t>
      </w:r>
      <w:r w:rsidR="00DA6B93">
        <w:t xml:space="preserve">will have </w:t>
      </w:r>
      <w:r w:rsidR="00917835">
        <w:t xml:space="preserve">contributed to </w:t>
      </w:r>
      <w:r w:rsidR="00AB2D14">
        <w:t>the reduced coral change scores in the region (</w:t>
      </w:r>
      <w:r w:rsidR="00AB2D14" w:rsidRPr="00CF191A">
        <w:fldChar w:fldCharType="begin"/>
      </w:r>
      <w:r w:rsidR="00AB2D14" w:rsidRPr="00CF191A">
        <w:instrText xml:space="preserve"> REF _Ref491181369 \h </w:instrText>
      </w:r>
      <w:r w:rsidR="00AB2D14" w:rsidRPr="00CF191A">
        <w:fldChar w:fldCharType="separate"/>
      </w:r>
      <w:r w:rsidR="003053D1" w:rsidRPr="00AA6FF4">
        <w:t xml:space="preserve">Figure </w:t>
      </w:r>
      <w:r w:rsidR="003053D1">
        <w:rPr>
          <w:noProof/>
        </w:rPr>
        <w:t>19</w:t>
      </w:r>
      <w:r w:rsidR="00AB2D14" w:rsidRPr="00CF191A">
        <w:fldChar w:fldCharType="end"/>
      </w:r>
      <w:r w:rsidR="0015687B">
        <w:t>d</w:t>
      </w:r>
      <w:r w:rsidR="00AB2D14">
        <w:t>)</w:t>
      </w:r>
      <w:r w:rsidR="00624892">
        <w:t>.</w:t>
      </w:r>
      <w:r w:rsidR="00AA2EB1">
        <w:t xml:space="preserve"> Previously</w:t>
      </w:r>
      <w:r w:rsidR="00DA6B93">
        <w:t>,</w:t>
      </w:r>
      <w:r w:rsidR="00AA2EB1">
        <w:t xml:space="preserve"> active control programs have </w:t>
      </w:r>
      <w:r w:rsidR="00754C99">
        <w:t>helped mitigate the impact from</w:t>
      </w:r>
      <w:r w:rsidR="00AA2EB1">
        <w:t xml:space="preserve"> </w:t>
      </w:r>
      <w:r w:rsidR="00AA2EB1" w:rsidRPr="0026272B">
        <w:t>crown-of-thorns starfish</w:t>
      </w:r>
      <w:r w:rsidR="00754C99">
        <w:t>,</w:t>
      </w:r>
      <w:r w:rsidR="00AA2EB1">
        <w:t xml:space="preserve"> however n</w:t>
      </w:r>
      <w:r w:rsidR="00624892">
        <w:t xml:space="preserve">o </w:t>
      </w:r>
      <w:r w:rsidR="002021A5">
        <w:t>population control has been conducted at any of our monitoring sites over 2018 –19</w:t>
      </w:r>
      <w:r w:rsidR="005B09D6">
        <w:t xml:space="preserve"> (</w:t>
      </w:r>
      <w:r w:rsidR="005B09D6">
        <w:fldChar w:fldCharType="begin"/>
      </w:r>
      <w:r w:rsidR="005B09D6">
        <w:instrText xml:space="preserve"> REF _Ref25048736 \h </w:instrText>
      </w:r>
      <w:r w:rsidR="005B09D6">
        <w:fldChar w:fldCharType="separate"/>
      </w:r>
      <w:r w:rsidR="003053D1">
        <w:t xml:space="preserve">Table </w:t>
      </w:r>
      <w:r w:rsidR="003053D1">
        <w:rPr>
          <w:noProof/>
        </w:rPr>
        <w:t>7</w:t>
      </w:r>
      <w:r w:rsidR="005B09D6">
        <w:fldChar w:fldCharType="end"/>
      </w:r>
      <w:r w:rsidR="005B09D6">
        <w:t>)</w:t>
      </w:r>
      <w:r w:rsidR="002021A5">
        <w:t>.</w:t>
      </w:r>
    </w:p>
    <w:p w14:paraId="53C13D93" w14:textId="4A5F9309" w:rsidR="0015687B" w:rsidRDefault="0015687B" w:rsidP="0015687B">
      <w:r>
        <w:t>D</w:t>
      </w:r>
      <w:r w:rsidRPr="005B4EBA">
        <w:t>ischarge from rivers in the sub-region was above median levels over the 2019 water</w:t>
      </w:r>
      <w:r>
        <w:t xml:space="preserve"> </w:t>
      </w:r>
      <w:r w:rsidRPr="005B4EBA">
        <w:t>year</w:t>
      </w:r>
      <w:r>
        <w:t xml:space="preserve">. However, </w:t>
      </w:r>
      <w:r w:rsidRPr="005B4EBA">
        <w:t>peak flows remained relatively low (</w:t>
      </w:r>
      <w:r w:rsidRPr="005B4EBA">
        <w:fldChar w:fldCharType="begin"/>
      </w:r>
      <w:r w:rsidRPr="005B4EBA">
        <w:instrText xml:space="preserve"> REF _Ref491180328 \h </w:instrText>
      </w:r>
      <w:r w:rsidRPr="005B4EBA">
        <w:fldChar w:fldCharType="separate"/>
      </w:r>
      <w:r w:rsidR="003053D1" w:rsidRPr="00CE4E0F">
        <w:t xml:space="preserve">Figure </w:t>
      </w:r>
      <w:r w:rsidR="003053D1">
        <w:rPr>
          <w:noProof/>
        </w:rPr>
        <w:t>18</w:t>
      </w:r>
      <w:r w:rsidRPr="005B4EBA">
        <w:fldChar w:fldCharType="end"/>
      </w:r>
      <w:r w:rsidRPr="005B4EBA">
        <w:t xml:space="preserve">d) and evidence </w:t>
      </w:r>
      <w:r>
        <w:t xml:space="preserve">of </w:t>
      </w:r>
      <w:r w:rsidRPr="005B4EBA">
        <w:t xml:space="preserve">direct impacts due to exposure to </w:t>
      </w:r>
      <w:r>
        <w:t xml:space="preserve">low salinity </w:t>
      </w:r>
      <w:r w:rsidRPr="005B4EBA">
        <w:t>plume waters</w:t>
      </w:r>
      <w:r>
        <w:t xml:space="preserve"> was limited to minimal damage suspected at 2 m depth at High West. </w:t>
      </w:r>
      <w:r w:rsidRPr="005B4EBA">
        <w:t>Prior to 2018, discharge had been at, or below, median levels since 201</w:t>
      </w:r>
      <w:r>
        <w:t>2</w:t>
      </w:r>
      <w:r w:rsidRPr="005B4EBA">
        <w:t xml:space="preserve"> (</w:t>
      </w:r>
      <w:r w:rsidRPr="005B4EBA">
        <w:fldChar w:fldCharType="begin"/>
      </w:r>
      <w:r w:rsidRPr="005B4EBA">
        <w:instrText xml:space="preserve"> REF _Ref491180328 \h </w:instrText>
      </w:r>
      <w:r w:rsidRPr="005B4EBA">
        <w:fldChar w:fldCharType="separate"/>
      </w:r>
      <w:r w:rsidR="003053D1" w:rsidRPr="00CE4E0F">
        <w:t xml:space="preserve">Figure </w:t>
      </w:r>
      <w:r w:rsidR="003053D1">
        <w:rPr>
          <w:noProof/>
        </w:rPr>
        <w:t>18</w:t>
      </w:r>
      <w:r w:rsidRPr="005B4EBA">
        <w:fldChar w:fldCharType="end"/>
      </w:r>
      <w:r w:rsidRPr="005B4EBA">
        <w:t xml:space="preserve">d) and under these conditions the coral communities demonstrated a clear </w:t>
      </w:r>
      <w:r>
        <w:t>recovery</w:t>
      </w:r>
      <w:r w:rsidRPr="005B4EBA">
        <w:t>.</w:t>
      </w:r>
    </w:p>
    <w:p w14:paraId="53C13D94" w14:textId="5B512F0B" w:rsidR="0015687B" w:rsidRPr="004B2398" w:rsidRDefault="0015687B" w:rsidP="0015687B">
      <w:pPr>
        <w:rPr>
          <w:color w:val="000000" w:themeColor="text1"/>
        </w:rPr>
      </w:pPr>
      <w:r>
        <w:t xml:space="preserve">The long-term water quality index in this sub-region has remained in ‘good’ condition and although there appears to be a slight declining trend in the long-term index the short-term index suggested improved conditions in </w:t>
      </w:r>
      <w:r w:rsidRPr="005B09D6">
        <w:rPr>
          <w:color w:val="000000" w:themeColor="text1"/>
        </w:rPr>
        <w:t>2018-2019 (</w:t>
      </w:r>
      <w:r w:rsidRPr="005B09D6">
        <w:rPr>
          <w:color w:val="000000" w:themeColor="text1"/>
        </w:rPr>
        <w:fldChar w:fldCharType="begin"/>
      </w:r>
      <w:r w:rsidRPr="005B09D6">
        <w:rPr>
          <w:color w:val="000000" w:themeColor="text1"/>
        </w:rPr>
        <w:instrText xml:space="preserve"> REF _Ref528596213 \h </w:instrText>
      </w:r>
      <w:r w:rsidRPr="005B09D6">
        <w:rPr>
          <w:color w:val="000000" w:themeColor="text1"/>
        </w:rPr>
      </w:r>
      <w:r w:rsidRPr="005B09D6">
        <w:rPr>
          <w:color w:val="000000" w:themeColor="text1"/>
        </w:rPr>
        <w:fldChar w:fldCharType="separate"/>
      </w:r>
      <w:r w:rsidR="003053D1" w:rsidRPr="00D758C6">
        <w:t xml:space="preserve">Figure A </w:t>
      </w:r>
      <w:r w:rsidR="003053D1">
        <w:rPr>
          <w:noProof/>
        </w:rPr>
        <w:t>11</w:t>
      </w:r>
      <w:r w:rsidRPr="005B09D6">
        <w:rPr>
          <w:color w:val="000000" w:themeColor="text1"/>
        </w:rPr>
        <w:fldChar w:fldCharType="end"/>
      </w:r>
      <w:r w:rsidRPr="005B09D6">
        <w:rPr>
          <w:color w:val="000000" w:themeColor="text1"/>
        </w:rPr>
        <w:t>). Not included in the index are concentrations of dissolved and particulate organic carbon, both of which show substantial increase since 2005 (</w:t>
      </w:r>
      <w:r w:rsidRPr="005B09D6">
        <w:rPr>
          <w:color w:val="000000" w:themeColor="text1"/>
        </w:rPr>
        <w:fldChar w:fldCharType="begin"/>
      </w:r>
      <w:r w:rsidRPr="005B09D6">
        <w:rPr>
          <w:color w:val="000000" w:themeColor="text1"/>
        </w:rPr>
        <w:instrText xml:space="preserve"> REF _Ref528596213 \h </w:instrText>
      </w:r>
      <w:r w:rsidRPr="005B09D6">
        <w:rPr>
          <w:color w:val="000000" w:themeColor="text1"/>
        </w:rPr>
      </w:r>
      <w:r w:rsidRPr="005B09D6">
        <w:rPr>
          <w:color w:val="000000" w:themeColor="text1"/>
        </w:rPr>
        <w:fldChar w:fldCharType="separate"/>
      </w:r>
      <w:r w:rsidR="003053D1" w:rsidRPr="00D758C6">
        <w:t xml:space="preserve">Figure A </w:t>
      </w:r>
      <w:r w:rsidR="003053D1">
        <w:rPr>
          <w:noProof/>
        </w:rPr>
        <w:t>11</w:t>
      </w:r>
      <w:r w:rsidRPr="005B09D6">
        <w:rPr>
          <w:color w:val="000000" w:themeColor="text1"/>
        </w:rPr>
        <w:fldChar w:fldCharType="end"/>
      </w:r>
      <w:r w:rsidRPr="005B09D6">
        <w:rPr>
          <w:color w:val="000000" w:themeColor="text1"/>
        </w:rPr>
        <w:t xml:space="preserve">). It remains unclear what has caused this increase and what the ramifications for corals might be (Gruber </w:t>
      </w:r>
      <w:r w:rsidRPr="005B09D6">
        <w:rPr>
          <w:i/>
          <w:color w:val="000000" w:themeColor="text1"/>
        </w:rPr>
        <w:t>et al. 2020</w:t>
      </w:r>
      <w:r w:rsidRPr="005B09D6">
        <w:rPr>
          <w:color w:val="000000" w:themeColor="text1"/>
        </w:rPr>
        <w:t>).</w:t>
      </w:r>
    </w:p>
    <w:p w14:paraId="53C13D95" w14:textId="77777777" w:rsidR="00A84742" w:rsidRPr="004B2398" w:rsidRDefault="00400C25" w:rsidP="00A84742">
      <w:pPr>
        <w:rPr>
          <w:color w:val="000000" w:themeColor="text1"/>
        </w:rPr>
      </w:pPr>
      <w:r>
        <w:rPr>
          <w:noProof/>
          <w:color w:val="548DD4" w:themeColor="text2" w:themeTint="99"/>
          <w:lang w:eastAsia="en-AU"/>
        </w:rPr>
        <w:lastRenderedPageBreak/>
        <w:drawing>
          <wp:inline distT="0" distB="0" distL="0" distR="0" wp14:anchorId="53C15F4E" wp14:editId="25B9B68E">
            <wp:extent cx="6120765" cy="6120765"/>
            <wp:effectExtent l="0" t="0" r="0" b="0"/>
            <wp:docPr id="33" name="Picture 33" descr="shows distribution of pressures since 2005. Includes temperature, river discharge and hard coral cover loss attribution. Body text provides details" title="Johnstone Russell-Mulgrave sub-region environmental press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Env_johnstone.pn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6120765" cy="6120765"/>
                    </a:xfrm>
                    <a:prstGeom prst="rect">
                      <a:avLst/>
                    </a:prstGeom>
                  </pic:spPr>
                </pic:pic>
              </a:graphicData>
            </a:graphic>
          </wp:inline>
        </w:drawing>
      </w:r>
    </w:p>
    <w:p w14:paraId="53C13D96" w14:textId="212B9CC1" w:rsidR="00B43DA3" w:rsidRPr="00CE4E0F" w:rsidRDefault="00A84742" w:rsidP="002B5296">
      <w:pPr>
        <w:pStyle w:val="Caption"/>
        <w:rPr>
          <w:rFonts w:ascii="Arial" w:hAnsi="Arial" w:cs="Arial"/>
          <w:i/>
          <w:vanish/>
          <w:specVanish/>
        </w:rPr>
      </w:pPr>
      <w:bookmarkStart w:id="334" w:name="_Ref491180328"/>
      <w:bookmarkStart w:id="335" w:name="_Toc35947168"/>
      <w:bookmarkStart w:id="336" w:name="_Toc530654913"/>
      <w:bookmarkStart w:id="337" w:name="_Toc534965121"/>
      <w:r w:rsidRPr="00CE4E0F">
        <w:lastRenderedPageBreak/>
        <w:t xml:space="preserve">Figure </w:t>
      </w:r>
      <w:r w:rsidR="005D7AC6" w:rsidRPr="00CE4E0F">
        <w:rPr>
          <w:noProof/>
        </w:rPr>
        <w:fldChar w:fldCharType="begin"/>
      </w:r>
      <w:r w:rsidR="005D7AC6" w:rsidRPr="00CE4E0F">
        <w:rPr>
          <w:noProof/>
        </w:rPr>
        <w:instrText xml:space="preserve"> SEQ Figure \* ARABIC </w:instrText>
      </w:r>
      <w:r w:rsidR="005D7AC6" w:rsidRPr="00CE4E0F">
        <w:rPr>
          <w:noProof/>
        </w:rPr>
        <w:fldChar w:fldCharType="separate"/>
      </w:r>
      <w:r w:rsidR="003053D1">
        <w:rPr>
          <w:noProof/>
        </w:rPr>
        <w:t>18</w:t>
      </w:r>
      <w:r w:rsidR="005D7AC6" w:rsidRPr="00CE4E0F">
        <w:rPr>
          <w:noProof/>
        </w:rPr>
        <w:fldChar w:fldCharType="end"/>
      </w:r>
      <w:bookmarkEnd w:id="334"/>
      <w:r w:rsidRPr="00CE4E0F">
        <w:t xml:space="preserve"> Johnstone Russell-Mulgrave sub-region environmental pressures</w:t>
      </w:r>
      <w:bookmarkEnd w:id="335"/>
    </w:p>
    <w:p w14:paraId="53C13D97" w14:textId="77777777" w:rsidR="00A84742" w:rsidRPr="0094743B" w:rsidRDefault="00B43DA3">
      <w:pPr>
        <w:pStyle w:val="Caption"/>
        <w:rPr>
          <w:rStyle w:val="IntenseReference"/>
        </w:rPr>
      </w:pPr>
      <w:r w:rsidRPr="0094743B">
        <w:rPr>
          <w:rStyle w:val="IntenseReference"/>
        </w:rPr>
        <w:t>.</w:t>
      </w:r>
      <w:r w:rsidR="00A84742" w:rsidRPr="0094743B">
        <w:rPr>
          <w:rStyle w:val="IntenseReference"/>
        </w:rPr>
        <w:t xml:space="preserve"> Maps show location of monitoring sites, red symbols MMP, yellow symbols LTMP along with a) mean chlorophyll a exceedance of wet season Guideline (0.63ugL-1) and b) mean Non Algal Particulate concentrations. Water quality data are mean levels over the period 2003–2018 (Chl) and 2003-2018 (NAP). c) Seasonally adjusted temperature deviation, timing of cyclones and storms indicated by black arrows, accumulated degree heating days over the summer period (1st of December – 31st March) as reported by BoM (black symbols) and derived from in situ loggers (grey symbols) d) Combined daily (blue) and annual water year – October to September (red) discharge for the North Johnstone, South Johnstone, Russell and Mulgrave </w:t>
      </w:r>
      <w:r w:rsidR="000D69E1" w:rsidRPr="0094743B">
        <w:rPr>
          <w:rStyle w:val="IntenseReference"/>
        </w:rPr>
        <w:t>basins</w:t>
      </w:r>
      <w:r w:rsidR="00A84742" w:rsidRPr="0094743B">
        <w:rPr>
          <w:rStyle w:val="IntenseReference"/>
        </w:rPr>
        <w:t>, red dashed line represents long-term median discharge (1986–2016). e) break-down of hard coral cover loss by disturbance type; length of bars represents the mean loss of cover across all.</w:t>
      </w:r>
      <w:bookmarkEnd w:id="336"/>
      <w:bookmarkEnd w:id="337"/>
    </w:p>
    <w:p w14:paraId="53C13D98" w14:textId="77777777" w:rsidR="00A84742" w:rsidRPr="004B2398" w:rsidRDefault="00A84742" w:rsidP="00A84742">
      <w:pPr>
        <w:jc w:val="left"/>
        <w:rPr>
          <w:color w:val="000000" w:themeColor="text1"/>
        </w:rPr>
      </w:pPr>
      <w:r w:rsidRPr="00CE4E0F">
        <w:rPr>
          <w:color w:val="548DD4" w:themeColor="text2" w:themeTint="99"/>
        </w:rPr>
        <w:br w:type="page"/>
      </w:r>
    </w:p>
    <w:p w14:paraId="53C13D99" w14:textId="77777777" w:rsidR="00A84742" w:rsidRPr="00CE4E0F" w:rsidRDefault="00A84742" w:rsidP="00A84742">
      <w:pPr>
        <w:rPr>
          <w:color w:val="548DD4" w:themeColor="text2" w:themeTint="99"/>
        </w:rPr>
      </w:pPr>
    </w:p>
    <w:p w14:paraId="53C13D9A" w14:textId="77777777" w:rsidR="00A84742" w:rsidRPr="004B2398" w:rsidRDefault="003E1937" w:rsidP="00A84742">
      <w:pPr>
        <w:spacing w:before="5" w:after="5"/>
        <w:ind w:left="5" w:right="5"/>
        <w:rPr>
          <w:color w:val="000000" w:themeColor="text1"/>
        </w:rPr>
      </w:pPr>
      <w:r>
        <w:rPr>
          <w:noProof/>
          <w:color w:val="548DD4" w:themeColor="text2" w:themeTint="99"/>
          <w:lang w:eastAsia="en-AU"/>
        </w:rPr>
        <w:drawing>
          <wp:inline distT="0" distB="0" distL="0" distR="0" wp14:anchorId="53C15F50" wp14:editId="498B6E09">
            <wp:extent cx="6120765" cy="5353050"/>
            <wp:effectExtent l="0" t="0" r="0" b="0"/>
            <wp:docPr id="7433" name="Picture 7433" descr="shows ranges in individual indicators since 2005. Body text provides details" title="Johnstone Russell-Mulgrave sub-region index and indicator tre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3" name="Johnstone_plots_noWQ.pn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6120765" cy="5353050"/>
                    </a:xfrm>
                    <a:prstGeom prst="rect">
                      <a:avLst/>
                    </a:prstGeom>
                  </pic:spPr>
                </pic:pic>
              </a:graphicData>
            </a:graphic>
          </wp:inline>
        </w:drawing>
      </w:r>
    </w:p>
    <w:p w14:paraId="53C13D9B" w14:textId="77777777" w:rsidR="00A84742" w:rsidRPr="004B2398" w:rsidRDefault="00A84742" w:rsidP="00A84742">
      <w:pPr>
        <w:spacing w:before="5" w:after="5"/>
        <w:ind w:left="5" w:right="5"/>
        <w:rPr>
          <w:color w:val="000000" w:themeColor="text1"/>
        </w:rPr>
      </w:pPr>
    </w:p>
    <w:p w14:paraId="53C13D9C" w14:textId="32DA7D1C" w:rsidR="00B43DA3" w:rsidRPr="00AA6FF4" w:rsidRDefault="00A84742" w:rsidP="002B5296">
      <w:pPr>
        <w:pStyle w:val="Caption"/>
        <w:rPr>
          <w:rFonts w:ascii="Arial" w:hAnsi="Arial" w:cs="Arial"/>
          <w:i/>
          <w:vanish/>
          <w:specVanish/>
        </w:rPr>
      </w:pPr>
      <w:bookmarkStart w:id="338" w:name="_Ref491181369"/>
      <w:bookmarkStart w:id="339" w:name="_Toc35947169"/>
      <w:bookmarkStart w:id="340" w:name="_Ref438119880"/>
      <w:bookmarkStart w:id="341" w:name="_Ref528596975"/>
      <w:bookmarkStart w:id="342" w:name="_Toc530654914"/>
      <w:bookmarkStart w:id="343" w:name="_Toc534965122"/>
      <w:bookmarkStart w:id="344" w:name="_Toc437423852"/>
      <w:bookmarkStart w:id="345" w:name="_Toc437424031"/>
      <w:bookmarkStart w:id="346" w:name="_Toc437424299"/>
      <w:bookmarkStart w:id="347" w:name="_Toc437597632"/>
      <w:r w:rsidRPr="00AA6FF4">
        <w:t xml:space="preserve">Figure </w:t>
      </w:r>
      <w:r w:rsidR="005D7AC6" w:rsidRPr="00AA6FF4">
        <w:rPr>
          <w:noProof/>
        </w:rPr>
        <w:fldChar w:fldCharType="begin"/>
      </w:r>
      <w:r w:rsidR="005D7AC6" w:rsidRPr="00AA6FF4">
        <w:rPr>
          <w:noProof/>
        </w:rPr>
        <w:instrText xml:space="preserve"> SEQ Figure \* ARABIC </w:instrText>
      </w:r>
      <w:r w:rsidR="005D7AC6" w:rsidRPr="00AA6FF4">
        <w:rPr>
          <w:noProof/>
        </w:rPr>
        <w:fldChar w:fldCharType="separate"/>
      </w:r>
      <w:r w:rsidR="003053D1">
        <w:rPr>
          <w:noProof/>
        </w:rPr>
        <w:t>19</w:t>
      </w:r>
      <w:r w:rsidR="005D7AC6" w:rsidRPr="00AA6FF4">
        <w:rPr>
          <w:noProof/>
        </w:rPr>
        <w:fldChar w:fldCharType="end"/>
      </w:r>
      <w:bookmarkEnd w:id="338"/>
      <w:r w:rsidRPr="00AA6FF4">
        <w:t xml:space="preserve"> Johnstone Russell-Mulgrave sub-region index and indicator trends</w:t>
      </w:r>
      <w:bookmarkEnd w:id="339"/>
    </w:p>
    <w:p w14:paraId="53C13D9D" w14:textId="77777777" w:rsidR="00A84742" w:rsidRPr="003E1937" w:rsidRDefault="00B43DA3">
      <w:pPr>
        <w:pStyle w:val="Caption"/>
        <w:rPr>
          <w:rStyle w:val="IntenseReference"/>
        </w:rPr>
      </w:pPr>
      <w:r w:rsidRPr="00AA6FF4">
        <w:t>.</w:t>
      </w:r>
      <w:bookmarkEnd w:id="340"/>
      <w:r w:rsidR="00B766D2">
        <w:t xml:space="preserve"> </w:t>
      </w:r>
      <w:r w:rsidR="003E1937" w:rsidRPr="0094743B">
        <w:rPr>
          <w:rStyle w:val="IntenseReference"/>
        </w:rPr>
        <w:t>a</w:t>
      </w:r>
      <w:r w:rsidR="00A84742" w:rsidRPr="0094743B">
        <w:rPr>
          <w:rStyle w:val="IntenseReference"/>
        </w:rPr>
        <w:t xml:space="preserve">– </w:t>
      </w:r>
      <w:r w:rsidR="003E1937" w:rsidRPr="0094743B">
        <w:rPr>
          <w:rStyle w:val="IntenseReference"/>
        </w:rPr>
        <w:t>e</w:t>
      </w:r>
      <w:r w:rsidR="00A84742" w:rsidRPr="0094743B">
        <w:rPr>
          <w:rStyle w:val="IntenseReference"/>
        </w:rPr>
        <w:t>) trends in individual indicators, (blue lines) bound by 95% confidence intervals of those trends (shading), grey lines represent observed profiles at 5 m (dashed) and 2 m (solid) depths for individual reefs.</w:t>
      </w:r>
      <w:bookmarkEnd w:id="341"/>
      <w:bookmarkEnd w:id="342"/>
      <w:bookmarkEnd w:id="343"/>
      <w:bookmarkEnd w:id="344"/>
      <w:bookmarkEnd w:id="345"/>
      <w:bookmarkEnd w:id="346"/>
      <w:bookmarkEnd w:id="347"/>
    </w:p>
    <w:p w14:paraId="53C13D9E" w14:textId="77777777" w:rsidR="00A84742" w:rsidRPr="004B2398" w:rsidRDefault="005B09D6" w:rsidP="00A84742">
      <w:pPr>
        <w:rPr>
          <w:color w:val="000000" w:themeColor="text1"/>
        </w:rPr>
      </w:pPr>
      <w:r w:rsidRPr="005B09D6">
        <w:rPr>
          <w:color w:val="000000" w:themeColor="text1"/>
        </w:rPr>
        <w:t xml:space="preserve"> </w:t>
      </w:r>
      <w:r w:rsidR="001A5F06" w:rsidRPr="005B09D6">
        <w:rPr>
          <w:color w:val="000000" w:themeColor="text1"/>
        </w:rPr>
        <w:t xml:space="preserve"> </w:t>
      </w:r>
      <w:r w:rsidR="00A84742" w:rsidRPr="00CE4E0F">
        <w:rPr>
          <w:color w:val="548DD4" w:themeColor="text2" w:themeTint="99"/>
        </w:rPr>
        <w:br w:type="page"/>
      </w:r>
    </w:p>
    <w:p w14:paraId="53C13D9F" w14:textId="77777777" w:rsidR="00A84742" w:rsidRPr="00CE4E0F" w:rsidRDefault="0096490D" w:rsidP="00727D87">
      <w:pPr>
        <w:pStyle w:val="Heading3"/>
      </w:pPr>
      <w:bookmarkStart w:id="348" w:name="_Toc437424408"/>
      <w:bookmarkStart w:id="349" w:name="_Toc437424532"/>
      <w:bookmarkStart w:id="350" w:name="_Toc437432463"/>
      <w:bookmarkStart w:id="351" w:name="_Toc437432536"/>
      <w:bookmarkStart w:id="352" w:name="_Toc526246916"/>
      <w:bookmarkStart w:id="353" w:name="_Toc530654969"/>
      <w:bookmarkStart w:id="354" w:name="_Toc35947123"/>
      <w:r w:rsidRPr="00CE4E0F">
        <w:lastRenderedPageBreak/>
        <w:t>Wet Tropics r</w:t>
      </w:r>
      <w:r w:rsidR="00A84742" w:rsidRPr="00CE4E0F">
        <w:t>egion: Herbert Tully sub-region</w:t>
      </w:r>
      <w:bookmarkEnd w:id="348"/>
      <w:bookmarkEnd w:id="349"/>
      <w:bookmarkEnd w:id="350"/>
      <w:bookmarkEnd w:id="351"/>
      <w:bookmarkEnd w:id="352"/>
      <w:bookmarkEnd w:id="353"/>
      <w:bookmarkEnd w:id="354"/>
    </w:p>
    <w:p w14:paraId="53C13DA0" w14:textId="6D7A5B42" w:rsidR="00C27439" w:rsidRDefault="00A84742" w:rsidP="00AD014A">
      <w:r w:rsidRPr="004429DD">
        <w:t xml:space="preserve">The coral condition index in the Herbert Tully sub-region </w:t>
      </w:r>
      <w:r w:rsidR="002F25E6" w:rsidRPr="004429DD">
        <w:t>has improved</w:t>
      </w:r>
      <w:r w:rsidR="004429DD" w:rsidRPr="004429DD">
        <w:t xml:space="preserve"> to be</w:t>
      </w:r>
      <w:r w:rsidRPr="004429DD">
        <w:t xml:space="preserve"> categorised as </w:t>
      </w:r>
      <w:r w:rsidR="00917835">
        <w:t>‘</w:t>
      </w:r>
      <w:r w:rsidR="004429DD" w:rsidRPr="004429DD">
        <w:t>good</w:t>
      </w:r>
      <w:r w:rsidR="00917835">
        <w:t>’</w:t>
      </w:r>
      <w:r w:rsidRPr="004429DD">
        <w:t xml:space="preserve"> (</w:t>
      </w:r>
      <w:r w:rsidR="0015687B">
        <w:fldChar w:fldCharType="begin"/>
      </w:r>
      <w:r w:rsidR="0015687B">
        <w:instrText xml:space="preserve"> REF _Ref30753719 \h </w:instrText>
      </w:r>
      <w:r w:rsidR="0015687B">
        <w:fldChar w:fldCharType="separate"/>
      </w:r>
      <w:r w:rsidR="003053D1">
        <w:t xml:space="preserve">Figure </w:t>
      </w:r>
      <w:r w:rsidR="003053D1">
        <w:rPr>
          <w:noProof/>
        </w:rPr>
        <w:t>20</w:t>
      </w:r>
      <w:r w:rsidR="0015687B">
        <w:fldChar w:fldCharType="end"/>
      </w:r>
      <w:r w:rsidRPr="004429DD">
        <w:t xml:space="preserve">). </w:t>
      </w:r>
    </w:p>
    <w:p w14:paraId="53C13DA1" w14:textId="77777777" w:rsidR="004A71AC" w:rsidRDefault="00A80239" w:rsidP="00AD014A">
      <w:r>
        <w:rPr>
          <w:noProof/>
          <w:lang w:eastAsia="en-AU"/>
        </w:rPr>
        <w:drawing>
          <wp:inline distT="0" distB="0" distL="0" distR="0" wp14:anchorId="53C15F52" wp14:editId="6450992F">
            <wp:extent cx="6120765" cy="3268980"/>
            <wp:effectExtent l="0" t="0" r="0" b="7620"/>
            <wp:docPr id="14" name="Picture 14" descr="shows a range rpoor to good ending at good for this monitoring year" title="Trends in Coral index and contributing indicator scores for the Herbert Tully sub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Tully.worm.with.indicators.png"/>
                    <pic:cNvPicPr/>
                  </pic:nvPicPr>
                  <pic:blipFill rotWithShape="1">
                    <a:blip r:embed="rId52" cstate="print">
                      <a:extLst>
                        <a:ext uri="{28A0092B-C50C-407E-A947-70E740481C1C}">
                          <a14:useLocalDpi xmlns:a14="http://schemas.microsoft.com/office/drawing/2010/main" val="0"/>
                        </a:ext>
                      </a:extLst>
                    </a:blip>
                    <a:srcRect t="6536"/>
                    <a:stretch/>
                  </pic:blipFill>
                  <pic:spPr bwMode="auto">
                    <a:xfrm>
                      <a:off x="0" y="0"/>
                      <a:ext cx="6120765" cy="3268980"/>
                    </a:xfrm>
                    <a:prstGeom prst="rect">
                      <a:avLst/>
                    </a:prstGeom>
                    <a:ln>
                      <a:noFill/>
                    </a:ln>
                    <a:extLst>
                      <a:ext uri="{53640926-AAD7-44D8-BBD7-CCE9431645EC}">
                        <a14:shadowObscured xmlns:a14="http://schemas.microsoft.com/office/drawing/2010/main"/>
                      </a:ext>
                    </a:extLst>
                  </pic:spPr>
                </pic:pic>
              </a:graphicData>
            </a:graphic>
          </wp:inline>
        </w:drawing>
      </w:r>
    </w:p>
    <w:p w14:paraId="53C13DA2" w14:textId="7E2405CC" w:rsidR="00F115AB" w:rsidRPr="0062064A" w:rsidRDefault="0015687B" w:rsidP="002B5296">
      <w:pPr>
        <w:pStyle w:val="Caption"/>
        <w:rPr>
          <w:rStyle w:val="FigureChar"/>
          <w:rFonts w:eastAsia="SimSun"/>
          <w:vanish/>
          <w:specVanish/>
        </w:rPr>
      </w:pPr>
      <w:bookmarkStart w:id="355" w:name="_Ref30753719"/>
      <w:bookmarkStart w:id="356" w:name="_Toc35947170"/>
      <w:r>
        <w:t xml:space="preserve">Figure </w:t>
      </w:r>
      <w:r>
        <w:fldChar w:fldCharType="begin"/>
      </w:r>
      <w:r>
        <w:instrText xml:space="preserve"> SEQ Figure \* ARABIC </w:instrText>
      </w:r>
      <w:r>
        <w:fldChar w:fldCharType="separate"/>
      </w:r>
      <w:r w:rsidR="003053D1">
        <w:rPr>
          <w:noProof/>
        </w:rPr>
        <w:t>20</w:t>
      </w:r>
      <w:r>
        <w:fldChar w:fldCharType="end"/>
      </w:r>
      <w:bookmarkEnd w:id="355"/>
      <w:r>
        <w:t xml:space="preserve"> </w:t>
      </w:r>
      <w:r w:rsidR="00F115AB">
        <w:t>Trends in</w:t>
      </w:r>
      <w:r w:rsidR="00F115AB" w:rsidRPr="00AA24BD">
        <w:t xml:space="preserve"> Coral index</w:t>
      </w:r>
      <w:r w:rsidR="00F115AB">
        <w:t xml:space="preserve"> and</w:t>
      </w:r>
      <w:r w:rsidR="00F115AB" w:rsidRPr="00AA24BD">
        <w:t xml:space="preserve"> contributing indicator scores</w:t>
      </w:r>
      <w:r w:rsidR="00F115AB">
        <w:t xml:space="preserve"> for the Herbert Tully subregion</w:t>
      </w:r>
      <w:bookmarkEnd w:id="356"/>
    </w:p>
    <w:p w14:paraId="53C13DA3" w14:textId="77777777" w:rsidR="00F115AB" w:rsidRPr="00AA24BD" w:rsidRDefault="00F115AB">
      <w:pPr>
        <w:pStyle w:val="Caption"/>
      </w:pPr>
      <w:r w:rsidRPr="00AA24BD">
        <w:t xml:space="preserve">. </w:t>
      </w:r>
      <w:r>
        <w:t>Coral index scores are coloured by report card categories: orange = ‘poor’, yellow=’moderate’ and green=’good. Error in index score derived from bootstrapped distributions of indicator scores at individual reefs.</w:t>
      </w:r>
    </w:p>
    <w:p w14:paraId="53C13DA4" w14:textId="43DF945E" w:rsidR="00AD014A" w:rsidRDefault="004429DD" w:rsidP="00AD014A">
      <w:r w:rsidRPr="004429DD">
        <w:t>The improved</w:t>
      </w:r>
      <w:r w:rsidR="00A84742" w:rsidRPr="004429DD">
        <w:t xml:space="preserve"> index scores </w:t>
      </w:r>
      <w:r w:rsidR="00DA6B93">
        <w:t>reflect</w:t>
      </w:r>
      <w:r w:rsidR="00A84742" w:rsidRPr="004429DD">
        <w:t xml:space="preserve"> </w:t>
      </w:r>
      <w:r w:rsidRPr="004429DD">
        <w:t xml:space="preserve">consistent improvements in </w:t>
      </w:r>
      <w:r w:rsidR="00917835">
        <w:t>most</w:t>
      </w:r>
      <w:r w:rsidRPr="004429DD">
        <w:t xml:space="preserve"> metrics </w:t>
      </w:r>
      <w:r w:rsidR="00711BFC">
        <w:t xml:space="preserve">since 2013 </w:t>
      </w:r>
      <w:r w:rsidRPr="004429DD">
        <w:t xml:space="preserve">at both 2 </w:t>
      </w:r>
      <w:r w:rsidR="00917835">
        <w:t xml:space="preserve">m </w:t>
      </w:r>
      <w:r w:rsidRPr="004429DD">
        <w:t>and 5 m depths</w:t>
      </w:r>
      <w:r w:rsidR="00917835">
        <w:t xml:space="preserve">. Exceptions were </w:t>
      </w:r>
      <w:r w:rsidRPr="004429DD">
        <w:t>juvenile</w:t>
      </w:r>
      <w:r w:rsidR="00917835">
        <w:t xml:space="preserve"> scores </w:t>
      </w:r>
      <w:r w:rsidRPr="004429DD">
        <w:t xml:space="preserve">at 2 m and macroalgae </w:t>
      </w:r>
      <w:r w:rsidR="00917835">
        <w:t xml:space="preserve">scores </w:t>
      </w:r>
      <w:r w:rsidRPr="004429DD">
        <w:t xml:space="preserve">at 5 </w:t>
      </w:r>
      <w:r w:rsidR="00AD0043" w:rsidRPr="004429DD">
        <w:t>m where</w:t>
      </w:r>
      <w:r w:rsidRPr="004429DD">
        <w:t xml:space="preserve"> </w:t>
      </w:r>
      <w:r w:rsidR="00917835">
        <w:t xml:space="preserve">trends were variable </w:t>
      </w:r>
      <w:r w:rsidRPr="004429DD">
        <w:t xml:space="preserve">between reefs </w:t>
      </w:r>
      <w:r w:rsidR="00A84742" w:rsidRPr="004429DD">
        <w:t>(</w:t>
      </w:r>
      <w:r w:rsidR="00A84742" w:rsidRPr="004429DD">
        <w:fldChar w:fldCharType="begin"/>
      </w:r>
      <w:r w:rsidR="00A84742" w:rsidRPr="004429DD">
        <w:instrText xml:space="preserve"> REF _Ref491267284 \h </w:instrText>
      </w:r>
      <w:r w:rsidR="00A84742" w:rsidRPr="004429DD">
        <w:fldChar w:fldCharType="separate"/>
      </w:r>
      <w:r w:rsidR="003053D1" w:rsidRPr="009D49ED">
        <w:t xml:space="preserve">Table </w:t>
      </w:r>
      <w:r w:rsidR="003053D1">
        <w:rPr>
          <w:noProof/>
        </w:rPr>
        <w:t>11</w:t>
      </w:r>
      <w:r w:rsidR="00A84742" w:rsidRPr="004429DD">
        <w:fldChar w:fldCharType="end"/>
      </w:r>
      <w:r w:rsidR="00A84742" w:rsidRPr="004429DD">
        <w:t xml:space="preserve">). </w:t>
      </w:r>
    </w:p>
    <w:p w14:paraId="53C13DA5" w14:textId="582A991B" w:rsidR="00B43DA3" w:rsidRPr="009D49ED" w:rsidRDefault="00A84742" w:rsidP="002B5296">
      <w:pPr>
        <w:pStyle w:val="Caption"/>
        <w:rPr>
          <w:rFonts w:ascii="Arial" w:hAnsi="Arial" w:cs="Arial"/>
          <w:i/>
          <w:vanish/>
          <w:specVanish/>
        </w:rPr>
      </w:pPr>
      <w:bookmarkStart w:id="357" w:name="_Ref491267284"/>
      <w:bookmarkStart w:id="358" w:name="_Toc35947197"/>
      <w:bookmarkStart w:id="359" w:name="_Toc528333643"/>
      <w:r w:rsidRPr="009D49ED">
        <w:t xml:space="preserve">Table </w:t>
      </w:r>
      <w:r w:rsidRPr="009D49ED">
        <w:rPr>
          <w:noProof/>
        </w:rPr>
        <w:fldChar w:fldCharType="begin"/>
      </w:r>
      <w:r w:rsidRPr="009D49ED">
        <w:rPr>
          <w:noProof/>
        </w:rPr>
        <w:instrText xml:space="preserve"> SEQ Table \* ARABIC </w:instrText>
      </w:r>
      <w:r w:rsidRPr="009D49ED">
        <w:rPr>
          <w:noProof/>
        </w:rPr>
        <w:fldChar w:fldCharType="separate"/>
      </w:r>
      <w:r w:rsidR="003053D1">
        <w:rPr>
          <w:noProof/>
        </w:rPr>
        <w:t>11</w:t>
      </w:r>
      <w:r w:rsidRPr="009D49ED">
        <w:rPr>
          <w:noProof/>
        </w:rPr>
        <w:fldChar w:fldCharType="end"/>
      </w:r>
      <w:bookmarkEnd w:id="357"/>
      <w:r w:rsidRPr="009D49ED">
        <w:t xml:space="preserve"> Index and indicator score comparisons in the Herbert Tully sub-region</w:t>
      </w:r>
      <w:bookmarkEnd w:id="358"/>
    </w:p>
    <w:p w14:paraId="53C13DA6" w14:textId="77777777" w:rsidR="00A84742" w:rsidRPr="0094743B" w:rsidRDefault="00B43DA3">
      <w:pPr>
        <w:pStyle w:val="Caption"/>
        <w:rPr>
          <w:rStyle w:val="IntenseReference"/>
        </w:rPr>
      </w:pPr>
      <w:r w:rsidRPr="0094743B">
        <w:rPr>
          <w:rStyle w:val="IntenseReference"/>
        </w:rPr>
        <w:t>.</w:t>
      </w:r>
      <w:r w:rsidR="00A84742" w:rsidRPr="0094743B">
        <w:rPr>
          <w:rStyle w:val="IntenseReference"/>
        </w:rPr>
        <w:t xml:space="preserve"> Data compare the changes in scores between local maxima and minima in the index time-series. For the index, and each indicator, the observed change in the sub-regional score and the probability that the change was greater or less than zero (no change) are presented. Shading is used as a visual aid to highlight the magnitude of the probability the score improved (blue shades) or declined (red shades). Probabilities are derived from the posterior distribution of observed score changes at each reef and depth.</w:t>
      </w:r>
      <w:bookmarkEnd w:id="359"/>
    </w:p>
    <w:tbl>
      <w:tblPr>
        <w:tblW w:w="8926"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Caption w:val="Statistical comparison between index and metric scores between local maxima and minima in the time-series of scores in the region"/>
        <w:tblDescription w:val="A table listing the maxima in minima index scores and significance of changes in the index and each metric. The salient results are discussed in the main text. &#10;"/>
      </w:tblPr>
      <w:tblGrid>
        <w:gridCol w:w="1074"/>
        <w:gridCol w:w="350"/>
        <w:gridCol w:w="625"/>
        <w:gridCol w:w="625"/>
        <w:gridCol w:w="625"/>
        <w:gridCol w:w="625"/>
        <w:gridCol w:w="625"/>
        <w:gridCol w:w="626"/>
        <w:gridCol w:w="625"/>
        <w:gridCol w:w="625"/>
        <w:gridCol w:w="625"/>
        <w:gridCol w:w="625"/>
        <w:gridCol w:w="625"/>
        <w:gridCol w:w="626"/>
      </w:tblGrid>
      <w:tr w:rsidR="009D49ED" w:rsidRPr="009D49ED" w14:paraId="53C13DAF" w14:textId="77777777" w:rsidTr="004F16D3">
        <w:trPr>
          <w:trHeight w:val="300"/>
        </w:trPr>
        <w:tc>
          <w:tcPr>
            <w:tcW w:w="1074" w:type="dxa"/>
            <w:vMerge w:val="restart"/>
            <w:shd w:val="clear" w:color="auto" w:fill="auto"/>
            <w:noWrap/>
            <w:tcMar>
              <w:left w:w="57" w:type="dxa"/>
              <w:right w:w="57" w:type="dxa"/>
            </w:tcMar>
            <w:vAlign w:val="bottom"/>
          </w:tcPr>
          <w:p w14:paraId="53C13DA7" w14:textId="77777777" w:rsidR="00A84742" w:rsidRPr="009D49ED" w:rsidRDefault="00A84742" w:rsidP="00A84742">
            <w:pPr>
              <w:spacing w:after="0"/>
              <w:rPr>
                <w:rFonts w:ascii="Arial Narrow" w:hAnsi="Arial Narrow"/>
                <w:sz w:val="20"/>
                <w:lang w:eastAsia="en-AU"/>
              </w:rPr>
            </w:pPr>
            <w:r w:rsidRPr="009D49ED">
              <w:rPr>
                <w:rFonts w:ascii="Arial Narrow" w:hAnsi="Arial Narrow"/>
                <w:sz w:val="20"/>
                <w:lang w:eastAsia="en-AU"/>
              </w:rPr>
              <w:t>Period</w:t>
            </w:r>
          </w:p>
        </w:tc>
        <w:tc>
          <w:tcPr>
            <w:tcW w:w="350" w:type="dxa"/>
            <w:vMerge w:val="restart"/>
            <w:shd w:val="clear" w:color="auto" w:fill="auto"/>
            <w:noWrap/>
            <w:tcMar>
              <w:left w:w="57" w:type="dxa"/>
              <w:right w:w="57" w:type="dxa"/>
            </w:tcMar>
            <w:textDirection w:val="btLr"/>
            <w:vAlign w:val="bottom"/>
          </w:tcPr>
          <w:p w14:paraId="53C13DA8" w14:textId="77777777" w:rsidR="00A84742" w:rsidRPr="009D49ED" w:rsidRDefault="00A84742" w:rsidP="00A84742">
            <w:pPr>
              <w:spacing w:after="0"/>
              <w:ind w:left="113" w:right="113"/>
              <w:jc w:val="center"/>
              <w:rPr>
                <w:rFonts w:ascii="Arial Narrow" w:hAnsi="Arial Narrow"/>
                <w:sz w:val="20"/>
                <w:lang w:eastAsia="en-AU"/>
              </w:rPr>
            </w:pPr>
            <w:r w:rsidRPr="009D49ED">
              <w:rPr>
                <w:rFonts w:ascii="Arial Narrow" w:hAnsi="Arial Narrow"/>
                <w:sz w:val="20"/>
                <w:lang w:eastAsia="en-AU"/>
              </w:rPr>
              <w:t>Depth</w:t>
            </w:r>
          </w:p>
        </w:tc>
        <w:tc>
          <w:tcPr>
            <w:tcW w:w="1250" w:type="dxa"/>
            <w:gridSpan w:val="2"/>
            <w:shd w:val="clear" w:color="auto" w:fill="auto"/>
            <w:noWrap/>
            <w:tcMar>
              <w:left w:w="57" w:type="dxa"/>
              <w:right w:w="57" w:type="dxa"/>
            </w:tcMar>
            <w:vAlign w:val="bottom"/>
          </w:tcPr>
          <w:p w14:paraId="53C13DA9" w14:textId="77777777" w:rsidR="00A84742" w:rsidRPr="009D49ED" w:rsidRDefault="00A84742" w:rsidP="00A84742">
            <w:pPr>
              <w:spacing w:after="0"/>
              <w:jc w:val="center"/>
              <w:rPr>
                <w:rFonts w:ascii="Arial Narrow" w:hAnsi="Arial Narrow"/>
                <w:sz w:val="20"/>
                <w:lang w:eastAsia="en-AU"/>
              </w:rPr>
            </w:pPr>
            <w:r w:rsidRPr="009D49ED">
              <w:rPr>
                <w:rFonts w:ascii="Arial Narrow" w:hAnsi="Arial Narrow"/>
                <w:sz w:val="20"/>
                <w:lang w:eastAsia="en-AU"/>
              </w:rPr>
              <w:t>Condition Index</w:t>
            </w:r>
          </w:p>
        </w:tc>
        <w:tc>
          <w:tcPr>
            <w:tcW w:w="1250" w:type="dxa"/>
            <w:gridSpan w:val="2"/>
            <w:shd w:val="clear" w:color="auto" w:fill="auto"/>
            <w:noWrap/>
            <w:tcMar>
              <w:left w:w="57" w:type="dxa"/>
              <w:right w:w="57" w:type="dxa"/>
            </w:tcMar>
            <w:vAlign w:val="bottom"/>
          </w:tcPr>
          <w:p w14:paraId="53C13DAA" w14:textId="77777777" w:rsidR="00A84742" w:rsidRPr="009D49ED" w:rsidRDefault="00A84742" w:rsidP="00A84742">
            <w:pPr>
              <w:spacing w:after="0"/>
              <w:jc w:val="center"/>
              <w:rPr>
                <w:rFonts w:ascii="Arial Narrow" w:hAnsi="Arial Narrow"/>
                <w:sz w:val="20"/>
                <w:lang w:eastAsia="en-AU"/>
              </w:rPr>
            </w:pPr>
            <w:r w:rsidRPr="009D49ED">
              <w:rPr>
                <w:rFonts w:ascii="Arial Narrow" w:hAnsi="Arial Narrow"/>
                <w:sz w:val="20"/>
                <w:lang w:eastAsia="en-AU"/>
              </w:rPr>
              <w:t>Coral Cover</w:t>
            </w:r>
          </w:p>
        </w:tc>
        <w:tc>
          <w:tcPr>
            <w:tcW w:w="1251" w:type="dxa"/>
            <w:gridSpan w:val="2"/>
            <w:shd w:val="clear" w:color="auto" w:fill="auto"/>
            <w:noWrap/>
            <w:tcMar>
              <w:left w:w="57" w:type="dxa"/>
              <w:right w:w="57" w:type="dxa"/>
            </w:tcMar>
            <w:vAlign w:val="bottom"/>
          </w:tcPr>
          <w:p w14:paraId="53C13DAB" w14:textId="77777777" w:rsidR="00A84742" w:rsidRPr="009D49ED" w:rsidRDefault="00A84742" w:rsidP="00A84742">
            <w:pPr>
              <w:spacing w:after="0"/>
              <w:jc w:val="center"/>
              <w:rPr>
                <w:rFonts w:ascii="Arial Narrow" w:hAnsi="Arial Narrow"/>
                <w:sz w:val="20"/>
                <w:lang w:eastAsia="en-AU"/>
              </w:rPr>
            </w:pPr>
            <w:r w:rsidRPr="009D49ED">
              <w:rPr>
                <w:rFonts w:ascii="Arial Narrow" w:hAnsi="Arial Narrow"/>
                <w:sz w:val="20"/>
                <w:lang w:eastAsia="en-AU"/>
              </w:rPr>
              <w:t>Macroalgae</w:t>
            </w:r>
          </w:p>
        </w:tc>
        <w:tc>
          <w:tcPr>
            <w:tcW w:w="1250" w:type="dxa"/>
            <w:gridSpan w:val="2"/>
            <w:shd w:val="clear" w:color="auto" w:fill="auto"/>
            <w:noWrap/>
            <w:tcMar>
              <w:left w:w="57" w:type="dxa"/>
              <w:right w:w="57" w:type="dxa"/>
            </w:tcMar>
            <w:vAlign w:val="bottom"/>
          </w:tcPr>
          <w:p w14:paraId="53C13DAC" w14:textId="77777777" w:rsidR="00A84742" w:rsidRPr="009D49ED" w:rsidRDefault="00A84742" w:rsidP="00A84742">
            <w:pPr>
              <w:spacing w:after="0"/>
              <w:jc w:val="center"/>
              <w:rPr>
                <w:rFonts w:ascii="Arial Narrow" w:hAnsi="Arial Narrow"/>
                <w:sz w:val="20"/>
                <w:lang w:eastAsia="en-AU"/>
              </w:rPr>
            </w:pPr>
            <w:r w:rsidRPr="009D49ED">
              <w:rPr>
                <w:rFonts w:ascii="Arial Narrow" w:hAnsi="Arial Narrow"/>
                <w:sz w:val="20"/>
                <w:lang w:eastAsia="en-AU"/>
              </w:rPr>
              <w:t>Juvenile</w:t>
            </w:r>
          </w:p>
        </w:tc>
        <w:tc>
          <w:tcPr>
            <w:tcW w:w="1250" w:type="dxa"/>
            <w:gridSpan w:val="2"/>
            <w:shd w:val="clear" w:color="auto" w:fill="auto"/>
            <w:noWrap/>
            <w:tcMar>
              <w:left w:w="57" w:type="dxa"/>
              <w:right w:w="57" w:type="dxa"/>
            </w:tcMar>
            <w:vAlign w:val="bottom"/>
          </w:tcPr>
          <w:p w14:paraId="53C13DAD" w14:textId="77777777" w:rsidR="00A84742" w:rsidRPr="009D49ED" w:rsidRDefault="00A84742" w:rsidP="00A84742">
            <w:pPr>
              <w:spacing w:after="0"/>
              <w:jc w:val="center"/>
              <w:rPr>
                <w:rFonts w:ascii="Arial Narrow" w:hAnsi="Arial Narrow"/>
                <w:sz w:val="20"/>
                <w:lang w:eastAsia="en-AU"/>
              </w:rPr>
            </w:pPr>
            <w:r w:rsidRPr="009D49ED">
              <w:rPr>
                <w:rFonts w:ascii="Arial Narrow" w:hAnsi="Arial Narrow"/>
                <w:sz w:val="20"/>
                <w:lang w:eastAsia="en-AU"/>
              </w:rPr>
              <w:t>Cover Change</w:t>
            </w:r>
          </w:p>
        </w:tc>
        <w:tc>
          <w:tcPr>
            <w:tcW w:w="1251" w:type="dxa"/>
            <w:gridSpan w:val="2"/>
            <w:shd w:val="clear" w:color="auto" w:fill="auto"/>
            <w:noWrap/>
            <w:tcMar>
              <w:left w:w="57" w:type="dxa"/>
              <w:right w:w="57" w:type="dxa"/>
            </w:tcMar>
            <w:vAlign w:val="bottom"/>
          </w:tcPr>
          <w:p w14:paraId="53C13DAE" w14:textId="77777777" w:rsidR="00A84742" w:rsidRPr="009D49ED" w:rsidRDefault="00A84742" w:rsidP="00A84742">
            <w:pPr>
              <w:spacing w:after="0"/>
              <w:jc w:val="center"/>
              <w:rPr>
                <w:rFonts w:ascii="Arial Narrow" w:hAnsi="Arial Narrow"/>
                <w:sz w:val="20"/>
                <w:lang w:eastAsia="en-AU"/>
              </w:rPr>
            </w:pPr>
            <w:r w:rsidRPr="009D49ED">
              <w:rPr>
                <w:rFonts w:ascii="Arial Narrow" w:hAnsi="Arial Narrow"/>
                <w:sz w:val="20"/>
                <w:lang w:eastAsia="en-AU"/>
              </w:rPr>
              <w:t>Composition</w:t>
            </w:r>
          </w:p>
        </w:tc>
      </w:tr>
      <w:tr w:rsidR="009D49ED" w:rsidRPr="009D49ED" w14:paraId="53C13DBE" w14:textId="77777777" w:rsidTr="004F16D3">
        <w:trPr>
          <w:trHeight w:val="520"/>
        </w:trPr>
        <w:tc>
          <w:tcPr>
            <w:tcW w:w="1074" w:type="dxa"/>
            <w:vMerge/>
            <w:shd w:val="clear" w:color="auto" w:fill="auto"/>
            <w:noWrap/>
            <w:tcMar>
              <w:left w:w="57" w:type="dxa"/>
              <w:right w:w="57" w:type="dxa"/>
            </w:tcMar>
            <w:vAlign w:val="bottom"/>
          </w:tcPr>
          <w:p w14:paraId="53C13DB0" w14:textId="77777777" w:rsidR="00A84742" w:rsidRPr="009D49ED" w:rsidRDefault="00A84742" w:rsidP="00A84742">
            <w:pPr>
              <w:spacing w:after="0"/>
              <w:rPr>
                <w:rFonts w:ascii="Arial Narrow" w:hAnsi="Arial Narrow"/>
                <w:sz w:val="20"/>
                <w:lang w:eastAsia="en-AU"/>
              </w:rPr>
            </w:pPr>
          </w:p>
        </w:tc>
        <w:tc>
          <w:tcPr>
            <w:tcW w:w="350" w:type="dxa"/>
            <w:vMerge/>
            <w:shd w:val="clear" w:color="auto" w:fill="auto"/>
            <w:noWrap/>
            <w:tcMar>
              <w:left w:w="57" w:type="dxa"/>
              <w:right w:w="57" w:type="dxa"/>
            </w:tcMar>
            <w:vAlign w:val="bottom"/>
          </w:tcPr>
          <w:p w14:paraId="53C13DB1" w14:textId="77777777" w:rsidR="00A84742" w:rsidRPr="009D49ED" w:rsidRDefault="00A84742" w:rsidP="00A84742">
            <w:pPr>
              <w:spacing w:after="0"/>
              <w:jc w:val="center"/>
              <w:rPr>
                <w:rFonts w:ascii="Arial Narrow" w:hAnsi="Arial Narrow"/>
                <w:sz w:val="20"/>
                <w:lang w:eastAsia="en-AU"/>
              </w:rPr>
            </w:pPr>
          </w:p>
        </w:tc>
        <w:tc>
          <w:tcPr>
            <w:tcW w:w="625" w:type="dxa"/>
            <w:shd w:val="clear" w:color="auto" w:fill="auto"/>
            <w:noWrap/>
            <w:tcMar>
              <w:left w:w="57" w:type="dxa"/>
              <w:right w:w="57" w:type="dxa"/>
            </w:tcMar>
            <w:vAlign w:val="bottom"/>
          </w:tcPr>
          <w:p w14:paraId="53C13DB2" w14:textId="77777777" w:rsidR="00A84742" w:rsidRPr="009D49ED" w:rsidRDefault="00A84742" w:rsidP="00A84742">
            <w:pPr>
              <w:spacing w:after="0"/>
              <w:rPr>
                <w:rFonts w:ascii="Arial Narrow" w:hAnsi="Arial Narrow"/>
                <w:sz w:val="20"/>
                <w:lang w:eastAsia="en-AU"/>
              </w:rPr>
            </w:pPr>
            <w:r w:rsidRPr="009D49ED">
              <w:rPr>
                <w:rFonts w:ascii="Arial Narrow" w:hAnsi="Arial Narrow"/>
                <w:sz w:val="20"/>
                <w:lang w:eastAsia="en-AU"/>
              </w:rPr>
              <w:t>Score</w:t>
            </w:r>
          </w:p>
        </w:tc>
        <w:tc>
          <w:tcPr>
            <w:tcW w:w="625" w:type="dxa"/>
            <w:shd w:val="clear" w:color="auto" w:fill="auto"/>
            <w:noWrap/>
            <w:tcMar>
              <w:left w:w="57" w:type="dxa"/>
              <w:right w:w="57" w:type="dxa"/>
            </w:tcMar>
            <w:vAlign w:val="bottom"/>
          </w:tcPr>
          <w:p w14:paraId="53C13DB3" w14:textId="77777777" w:rsidR="00A84742" w:rsidRPr="009D49ED" w:rsidRDefault="00A84742" w:rsidP="00A84742">
            <w:pPr>
              <w:spacing w:after="0"/>
              <w:rPr>
                <w:rFonts w:ascii="Arial Narrow" w:hAnsi="Arial Narrow"/>
                <w:sz w:val="20"/>
                <w:lang w:eastAsia="en-AU"/>
              </w:rPr>
            </w:pPr>
            <w:r w:rsidRPr="009D49ED">
              <w:rPr>
                <w:rFonts w:ascii="Arial Narrow" w:hAnsi="Arial Narrow"/>
                <w:sz w:val="20"/>
                <w:lang w:eastAsia="en-AU"/>
              </w:rPr>
              <w:t>P</w:t>
            </w:r>
          </w:p>
        </w:tc>
        <w:tc>
          <w:tcPr>
            <w:tcW w:w="625" w:type="dxa"/>
            <w:shd w:val="clear" w:color="auto" w:fill="auto"/>
            <w:noWrap/>
            <w:tcMar>
              <w:left w:w="57" w:type="dxa"/>
              <w:right w:w="57" w:type="dxa"/>
            </w:tcMar>
            <w:vAlign w:val="bottom"/>
          </w:tcPr>
          <w:p w14:paraId="53C13DB4" w14:textId="77777777" w:rsidR="00A84742" w:rsidRPr="009D49ED" w:rsidRDefault="00A84742" w:rsidP="00A84742">
            <w:pPr>
              <w:spacing w:after="0"/>
              <w:rPr>
                <w:rFonts w:ascii="Arial Narrow" w:hAnsi="Arial Narrow"/>
                <w:sz w:val="20"/>
                <w:lang w:eastAsia="en-AU"/>
              </w:rPr>
            </w:pPr>
            <w:r w:rsidRPr="009D49ED">
              <w:rPr>
                <w:rFonts w:ascii="Arial Narrow" w:hAnsi="Arial Narrow"/>
                <w:sz w:val="20"/>
                <w:lang w:eastAsia="en-AU"/>
              </w:rPr>
              <w:t>Score</w:t>
            </w:r>
          </w:p>
        </w:tc>
        <w:tc>
          <w:tcPr>
            <w:tcW w:w="625" w:type="dxa"/>
            <w:shd w:val="clear" w:color="auto" w:fill="auto"/>
            <w:noWrap/>
            <w:tcMar>
              <w:left w:w="57" w:type="dxa"/>
              <w:right w:w="57" w:type="dxa"/>
            </w:tcMar>
            <w:vAlign w:val="bottom"/>
          </w:tcPr>
          <w:p w14:paraId="53C13DB5" w14:textId="77777777" w:rsidR="00A84742" w:rsidRPr="009D49ED" w:rsidRDefault="00A84742" w:rsidP="00A84742">
            <w:pPr>
              <w:spacing w:after="0"/>
              <w:rPr>
                <w:rFonts w:ascii="Arial Narrow" w:hAnsi="Arial Narrow"/>
                <w:sz w:val="20"/>
                <w:lang w:eastAsia="en-AU"/>
              </w:rPr>
            </w:pPr>
            <w:r w:rsidRPr="009D49ED">
              <w:rPr>
                <w:rFonts w:ascii="Arial Narrow" w:hAnsi="Arial Narrow"/>
                <w:sz w:val="20"/>
                <w:lang w:eastAsia="en-AU"/>
              </w:rPr>
              <w:t>P</w:t>
            </w:r>
          </w:p>
        </w:tc>
        <w:tc>
          <w:tcPr>
            <w:tcW w:w="625" w:type="dxa"/>
            <w:shd w:val="clear" w:color="auto" w:fill="auto"/>
            <w:noWrap/>
            <w:tcMar>
              <w:left w:w="57" w:type="dxa"/>
              <w:right w:w="57" w:type="dxa"/>
            </w:tcMar>
            <w:vAlign w:val="bottom"/>
          </w:tcPr>
          <w:p w14:paraId="53C13DB6" w14:textId="77777777" w:rsidR="00A84742" w:rsidRPr="009D49ED" w:rsidRDefault="00A84742" w:rsidP="00A84742">
            <w:pPr>
              <w:spacing w:after="0"/>
              <w:rPr>
                <w:rFonts w:ascii="Arial Narrow" w:hAnsi="Arial Narrow"/>
                <w:sz w:val="20"/>
                <w:lang w:eastAsia="en-AU"/>
              </w:rPr>
            </w:pPr>
            <w:r w:rsidRPr="009D49ED">
              <w:rPr>
                <w:rFonts w:ascii="Arial Narrow" w:hAnsi="Arial Narrow"/>
                <w:sz w:val="20"/>
                <w:lang w:eastAsia="en-AU"/>
              </w:rPr>
              <w:t>Score</w:t>
            </w:r>
          </w:p>
        </w:tc>
        <w:tc>
          <w:tcPr>
            <w:tcW w:w="626" w:type="dxa"/>
            <w:shd w:val="clear" w:color="auto" w:fill="auto"/>
            <w:noWrap/>
            <w:tcMar>
              <w:left w:w="57" w:type="dxa"/>
              <w:right w:w="57" w:type="dxa"/>
            </w:tcMar>
            <w:vAlign w:val="bottom"/>
          </w:tcPr>
          <w:p w14:paraId="53C13DB7" w14:textId="77777777" w:rsidR="00A84742" w:rsidRPr="009D49ED" w:rsidRDefault="00A84742" w:rsidP="00A84742">
            <w:pPr>
              <w:spacing w:after="0"/>
              <w:rPr>
                <w:rFonts w:ascii="Arial Narrow" w:hAnsi="Arial Narrow"/>
                <w:sz w:val="20"/>
                <w:lang w:eastAsia="en-AU"/>
              </w:rPr>
            </w:pPr>
            <w:r w:rsidRPr="009D49ED">
              <w:rPr>
                <w:rFonts w:ascii="Arial Narrow" w:hAnsi="Arial Narrow"/>
                <w:sz w:val="20"/>
                <w:lang w:eastAsia="en-AU"/>
              </w:rPr>
              <w:t>P</w:t>
            </w:r>
          </w:p>
        </w:tc>
        <w:tc>
          <w:tcPr>
            <w:tcW w:w="625" w:type="dxa"/>
            <w:shd w:val="clear" w:color="auto" w:fill="auto"/>
            <w:noWrap/>
            <w:tcMar>
              <w:left w:w="57" w:type="dxa"/>
              <w:right w:w="57" w:type="dxa"/>
            </w:tcMar>
            <w:vAlign w:val="bottom"/>
          </w:tcPr>
          <w:p w14:paraId="53C13DB8" w14:textId="77777777" w:rsidR="00A84742" w:rsidRPr="009D49ED" w:rsidRDefault="00A84742" w:rsidP="00A84742">
            <w:pPr>
              <w:spacing w:after="0"/>
              <w:rPr>
                <w:rFonts w:ascii="Arial Narrow" w:hAnsi="Arial Narrow"/>
                <w:sz w:val="20"/>
                <w:lang w:eastAsia="en-AU"/>
              </w:rPr>
            </w:pPr>
            <w:r w:rsidRPr="009D49ED">
              <w:rPr>
                <w:rFonts w:ascii="Arial Narrow" w:hAnsi="Arial Narrow"/>
                <w:sz w:val="20"/>
                <w:lang w:eastAsia="en-AU"/>
              </w:rPr>
              <w:t>Score</w:t>
            </w:r>
          </w:p>
        </w:tc>
        <w:tc>
          <w:tcPr>
            <w:tcW w:w="625" w:type="dxa"/>
            <w:shd w:val="clear" w:color="auto" w:fill="auto"/>
            <w:noWrap/>
            <w:tcMar>
              <w:left w:w="57" w:type="dxa"/>
              <w:right w:w="57" w:type="dxa"/>
            </w:tcMar>
            <w:vAlign w:val="bottom"/>
          </w:tcPr>
          <w:p w14:paraId="53C13DB9" w14:textId="77777777" w:rsidR="00A84742" w:rsidRPr="009D49ED" w:rsidRDefault="00A84742" w:rsidP="00A84742">
            <w:pPr>
              <w:spacing w:after="0"/>
              <w:rPr>
                <w:rFonts w:ascii="Arial Narrow" w:hAnsi="Arial Narrow"/>
                <w:sz w:val="20"/>
                <w:lang w:eastAsia="en-AU"/>
              </w:rPr>
            </w:pPr>
            <w:r w:rsidRPr="009D49ED">
              <w:rPr>
                <w:rFonts w:ascii="Arial Narrow" w:hAnsi="Arial Narrow"/>
                <w:sz w:val="20"/>
                <w:lang w:eastAsia="en-AU"/>
              </w:rPr>
              <w:t>P</w:t>
            </w:r>
          </w:p>
        </w:tc>
        <w:tc>
          <w:tcPr>
            <w:tcW w:w="625" w:type="dxa"/>
            <w:shd w:val="clear" w:color="auto" w:fill="auto"/>
            <w:noWrap/>
            <w:tcMar>
              <w:left w:w="57" w:type="dxa"/>
              <w:right w:w="57" w:type="dxa"/>
            </w:tcMar>
            <w:vAlign w:val="bottom"/>
          </w:tcPr>
          <w:p w14:paraId="53C13DBA" w14:textId="77777777" w:rsidR="00A84742" w:rsidRPr="009D49ED" w:rsidRDefault="00A84742" w:rsidP="00A84742">
            <w:pPr>
              <w:spacing w:after="0"/>
              <w:rPr>
                <w:rFonts w:ascii="Arial Narrow" w:hAnsi="Arial Narrow"/>
                <w:sz w:val="20"/>
                <w:lang w:eastAsia="en-AU"/>
              </w:rPr>
            </w:pPr>
            <w:r w:rsidRPr="009D49ED">
              <w:rPr>
                <w:rFonts w:ascii="Arial Narrow" w:hAnsi="Arial Narrow"/>
                <w:sz w:val="20"/>
                <w:lang w:eastAsia="en-AU"/>
              </w:rPr>
              <w:t>Score</w:t>
            </w:r>
          </w:p>
        </w:tc>
        <w:tc>
          <w:tcPr>
            <w:tcW w:w="625" w:type="dxa"/>
            <w:shd w:val="clear" w:color="auto" w:fill="auto"/>
            <w:noWrap/>
            <w:tcMar>
              <w:left w:w="57" w:type="dxa"/>
              <w:right w:w="57" w:type="dxa"/>
            </w:tcMar>
            <w:vAlign w:val="bottom"/>
          </w:tcPr>
          <w:p w14:paraId="53C13DBB" w14:textId="77777777" w:rsidR="00A84742" w:rsidRPr="009D49ED" w:rsidRDefault="00A84742" w:rsidP="00A84742">
            <w:pPr>
              <w:spacing w:after="0"/>
              <w:rPr>
                <w:rFonts w:ascii="Arial Narrow" w:hAnsi="Arial Narrow"/>
                <w:sz w:val="20"/>
                <w:lang w:eastAsia="en-AU"/>
              </w:rPr>
            </w:pPr>
            <w:r w:rsidRPr="009D49ED">
              <w:rPr>
                <w:rFonts w:ascii="Arial Narrow" w:hAnsi="Arial Narrow"/>
                <w:sz w:val="20"/>
                <w:lang w:eastAsia="en-AU"/>
              </w:rPr>
              <w:t>P</w:t>
            </w:r>
          </w:p>
        </w:tc>
        <w:tc>
          <w:tcPr>
            <w:tcW w:w="625" w:type="dxa"/>
            <w:shd w:val="clear" w:color="auto" w:fill="auto"/>
            <w:noWrap/>
            <w:tcMar>
              <w:left w:w="57" w:type="dxa"/>
              <w:right w:w="57" w:type="dxa"/>
            </w:tcMar>
            <w:vAlign w:val="bottom"/>
          </w:tcPr>
          <w:p w14:paraId="53C13DBC" w14:textId="77777777" w:rsidR="00A84742" w:rsidRPr="009D49ED" w:rsidRDefault="00A84742" w:rsidP="00A84742">
            <w:pPr>
              <w:spacing w:after="0"/>
              <w:rPr>
                <w:rFonts w:ascii="Arial Narrow" w:hAnsi="Arial Narrow"/>
                <w:sz w:val="20"/>
                <w:lang w:eastAsia="en-AU"/>
              </w:rPr>
            </w:pPr>
            <w:r w:rsidRPr="009D49ED">
              <w:rPr>
                <w:rFonts w:ascii="Arial Narrow" w:hAnsi="Arial Narrow"/>
                <w:sz w:val="20"/>
                <w:lang w:eastAsia="en-AU"/>
              </w:rPr>
              <w:t>Score</w:t>
            </w:r>
          </w:p>
        </w:tc>
        <w:tc>
          <w:tcPr>
            <w:tcW w:w="626" w:type="dxa"/>
            <w:shd w:val="clear" w:color="auto" w:fill="auto"/>
            <w:noWrap/>
            <w:tcMar>
              <w:left w:w="57" w:type="dxa"/>
              <w:right w:w="57" w:type="dxa"/>
            </w:tcMar>
            <w:vAlign w:val="bottom"/>
          </w:tcPr>
          <w:p w14:paraId="53C13DBD" w14:textId="77777777" w:rsidR="00A84742" w:rsidRPr="009D49ED" w:rsidRDefault="00A84742" w:rsidP="00A84742">
            <w:pPr>
              <w:spacing w:after="0"/>
              <w:rPr>
                <w:rFonts w:ascii="Arial Narrow" w:hAnsi="Arial Narrow"/>
                <w:sz w:val="20"/>
                <w:lang w:eastAsia="en-AU"/>
              </w:rPr>
            </w:pPr>
            <w:r w:rsidRPr="009D49ED">
              <w:rPr>
                <w:rFonts w:ascii="Arial Narrow" w:hAnsi="Arial Narrow"/>
                <w:sz w:val="20"/>
                <w:lang w:eastAsia="en-AU"/>
              </w:rPr>
              <w:t>P</w:t>
            </w:r>
          </w:p>
        </w:tc>
      </w:tr>
      <w:tr w:rsidR="009D49ED" w:rsidRPr="009D49ED" w14:paraId="53C13DCD" w14:textId="77777777" w:rsidTr="004F16D3">
        <w:trPr>
          <w:cantSplit/>
          <w:trHeight w:hRule="exact" w:val="301"/>
        </w:trPr>
        <w:tc>
          <w:tcPr>
            <w:tcW w:w="1074" w:type="dxa"/>
            <w:vMerge w:val="restart"/>
            <w:shd w:val="clear" w:color="auto" w:fill="auto"/>
            <w:noWrap/>
            <w:tcMar>
              <w:left w:w="57" w:type="dxa"/>
              <w:right w:w="57" w:type="dxa"/>
            </w:tcMar>
            <w:vAlign w:val="center"/>
          </w:tcPr>
          <w:p w14:paraId="53C13DBF" w14:textId="77777777" w:rsidR="00A84742" w:rsidRPr="009D49ED" w:rsidRDefault="00A84742" w:rsidP="00A84742">
            <w:pPr>
              <w:spacing w:after="0"/>
              <w:rPr>
                <w:rFonts w:ascii="Arial Narrow" w:hAnsi="Arial Narrow"/>
                <w:bCs/>
                <w:sz w:val="20"/>
              </w:rPr>
            </w:pPr>
            <w:r w:rsidRPr="009D49ED">
              <w:rPr>
                <w:rFonts w:ascii="Arial Narrow" w:hAnsi="Arial Narrow"/>
                <w:bCs/>
                <w:sz w:val="20"/>
              </w:rPr>
              <w:t>2008 to 2011</w:t>
            </w:r>
          </w:p>
        </w:tc>
        <w:tc>
          <w:tcPr>
            <w:tcW w:w="350" w:type="dxa"/>
            <w:shd w:val="clear" w:color="auto" w:fill="auto"/>
            <w:noWrap/>
            <w:tcMar>
              <w:left w:w="57" w:type="dxa"/>
              <w:right w:w="57" w:type="dxa"/>
            </w:tcMar>
            <w:vAlign w:val="center"/>
          </w:tcPr>
          <w:p w14:paraId="53C13DC0" w14:textId="77777777" w:rsidR="00A84742" w:rsidRPr="009D49ED" w:rsidRDefault="00A84742" w:rsidP="00A84742">
            <w:pPr>
              <w:spacing w:after="0"/>
              <w:jc w:val="center"/>
              <w:rPr>
                <w:rFonts w:ascii="Arial Narrow" w:hAnsi="Arial Narrow"/>
                <w:bCs/>
                <w:sz w:val="20"/>
              </w:rPr>
            </w:pPr>
            <w:r w:rsidRPr="009D49ED">
              <w:rPr>
                <w:rFonts w:ascii="Arial Narrow" w:hAnsi="Arial Narrow"/>
                <w:bCs/>
                <w:sz w:val="20"/>
              </w:rPr>
              <w:t>2</w:t>
            </w:r>
          </w:p>
        </w:tc>
        <w:tc>
          <w:tcPr>
            <w:tcW w:w="625" w:type="dxa"/>
            <w:shd w:val="clear" w:color="auto" w:fill="C6D9F1" w:themeFill="text2" w:themeFillTint="33"/>
            <w:noWrap/>
            <w:tcMar>
              <w:left w:w="57" w:type="dxa"/>
              <w:right w:w="57" w:type="dxa"/>
            </w:tcMar>
            <w:vAlign w:val="center"/>
          </w:tcPr>
          <w:p w14:paraId="53C13DC1" w14:textId="77777777" w:rsidR="00A84742" w:rsidRPr="009D49ED" w:rsidRDefault="00A84742" w:rsidP="00A84742">
            <w:pPr>
              <w:spacing w:after="0"/>
              <w:jc w:val="center"/>
              <w:rPr>
                <w:rFonts w:ascii="Arial Narrow" w:hAnsi="Arial Narrow"/>
                <w:bCs/>
                <w:sz w:val="20"/>
              </w:rPr>
            </w:pPr>
            <w:r w:rsidRPr="009D49ED">
              <w:rPr>
                <w:rFonts w:ascii="Arial Narrow" w:hAnsi="Arial Narrow"/>
                <w:bCs/>
                <w:sz w:val="20"/>
              </w:rPr>
              <w:t>0.10</w:t>
            </w:r>
          </w:p>
        </w:tc>
        <w:tc>
          <w:tcPr>
            <w:tcW w:w="625" w:type="dxa"/>
            <w:shd w:val="clear" w:color="auto" w:fill="C6D9F1" w:themeFill="text2" w:themeFillTint="33"/>
            <w:noWrap/>
            <w:tcMar>
              <w:left w:w="57" w:type="dxa"/>
              <w:right w:w="57" w:type="dxa"/>
            </w:tcMar>
            <w:vAlign w:val="center"/>
          </w:tcPr>
          <w:p w14:paraId="53C13DC2" w14:textId="77777777" w:rsidR="00A84742" w:rsidRPr="009D49ED" w:rsidRDefault="00A84742" w:rsidP="00A84742">
            <w:pPr>
              <w:spacing w:after="0"/>
              <w:jc w:val="center"/>
              <w:rPr>
                <w:rFonts w:ascii="Arial Narrow" w:hAnsi="Arial Narrow"/>
                <w:bCs/>
                <w:sz w:val="20"/>
              </w:rPr>
            </w:pPr>
            <w:r w:rsidRPr="009D49ED">
              <w:rPr>
                <w:rFonts w:ascii="Arial Narrow" w:hAnsi="Arial Narrow"/>
                <w:bCs/>
                <w:sz w:val="20"/>
              </w:rPr>
              <w:t>0.76</w:t>
            </w:r>
          </w:p>
        </w:tc>
        <w:tc>
          <w:tcPr>
            <w:tcW w:w="625" w:type="dxa"/>
            <w:shd w:val="clear" w:color="auto" w:fill="F2DBDB" w:themeFill="accent2" w:themeFillTint="33"/>
            <w:noWrap/>
            <w:tcMar>
              <w:left w:w="57" w:type="dxa"/>
              <w:right w:w="57" w:type="dxa"/>
            </w:tcMar>
            <w:vAlign w:val="center"/>
          </w:tcPr>
          <w:p w14:paraId="53C13DC3" w14:textId="77777777" w:rsidR="00A84742" w:rsidRPr="009D49ED" w:rsidRDefault="00A84742" w:rsidP="00A84742">
            <w:pPr>
              <w:spacing w:after="0"/>
              <w:jc w:val="center"/>
              <w:rPr>
                <w:rFonts w:ascii="Arial Narrow" w:hAnsi="Arial Narrow"/>
                <w:bCs/>
                <w:sz w:val="20"/>
              </w:rPr>
            </w:pPr>
            <w:r w:rsidRPr="009D49ED">
              <w:rPr>
                <w:rFonts w:ascii="Arial Narrow" w:hAnsi="Arial Narrow"/>
                <w:bCs/>
                <w:sz w:val="20"/>
              </w:rPr>
              <w:t>-0.08</w:t>
            </w:r>
          </w:p>
        </w:tc>
        <w:tc>
          <w:tcPr>
            <w:tcW w:w="625" w:type="dxa"/>
            <w:shd w:val="clear" w:color="auto" w:fill="F2DBDB" w:themeFill="accent2" w:themeFillTint="33"/>
            <w:noWrap/>
            <w:tcMar>
              <w:left w:w="57" w:type="dxa"/>
              <w:right w:w="57" w:type="dxa"/>
            </w:tcMar>
            <w:vAlign w:val="center"/>
          </w:tcPr>
          <w:p w14:paraId="53C13DC4" w14:textId="77777777" w:rsidR="00A84742" w:rsidRPr="009D49ED" w:rsidRDefault="00A84742" w:rsidP="00A84742">
            <w:pPr>
              <w:spacing w:after="0"/>
              <w:jc w:val="center"/>
              <w:rPr>
                <w:rFonts w:ascii="Arial Narrow" w:hAnsi="Arial Narrow"/>
                <w:bCs/>
                <w:sz w:val="20"/>
              </w:rPr>
            </w:pPr>
            <w:r w:rsidRPr="009D49ED">
              <w:rPr>
                <w:rFonts w:ascii="Arial Narrow" w:hAnsi="Arial Narrow"/>
                <w:bCs/>
                <w:sz w:val="20"/>
              </w:rPr>
              <w:t>0.75</w:t>
            </w:r>
          </w:p>
        </w:tc>
        <w:tc>
          <w:tcPr>
            <w:tcW w:w="625" w:type="dxa"/>
            <w:shd w:val="clear" w:color="auto" w:fill="548DD4" w:themeFill="text2" w:themeFillTint="99"/>
            <w:noWrap/>
            <w:tcMar>
              <w:left w:w="57" w:type="dxa"/>
              <w:right w:w="57" w:type="dxa"/>
            </w:tcMar>
            <w:vAlign w:val="center"/>
          </w:tcPr>
          <w:p w14:paraId="53C13DC5" w14:textId="77777777" w:rsidR="00A84742" w:rsidRPr="009D49ED" w:rsidRDefault="00A84742" w:rsidP="00A84742">
            <w:pPr>
              <w:spacing w:after="0"/>
              <w:jc w:val="center"/>
              <w:rPr>
                <w:rFonts w:ascii="Arial Narrow" w:hAnsi="Arial Narrow"/>
                <w:bCs/>
                <w:sz w:val="20"/>
              </w:rPr>
            </w:pPr>
            <w:r w:rsidRPr="009D49ED">
              <w:rPr>
                <w:rFonts w:ascii="Arial Narrow" w:hAnsi="Arial Narrow"/>
                <w:bCs/>
                <w:sz w:val="20"/>
              </w:rPr>
              <w:t>0.67</w:t>
            </w:r>
          </w:p>
        </w:tc>
        <w:tc>
          <w:tcPr>
            <w:tcW w:w="626" w:type="dxa"/>
            <w:shd w:val="clear" w:color="auto" w:fill="548DD4" w:themeFill="text2" w:themeFillTint="99"/>
            <w:noWrap/>
            <w:tcMar>
              <w:left w:w="57" w:type="dxa"/>
              <w:right w:w="57" w:type="dxa"/>
            </w:tcMar>
            <w:vAlign w:val="center"/>
          </w:tcPr>
          <w:p w14:paraId="53C13DC6" w14:textId="77777777" w:rsidR="00A84742" w:rsidRPr="009D49ED" w:rsidRDefault="00A84742" w:rsidP="00A84742">
            <w:pPr>
              <w:spacing w:after="0"/>
              <w:jc w:val="center"/>
              <w:rPr>
                <w:rFonts w:ascii="Arial Narrow" w:hAnsi="Arial Narrow"/>
                <w:bCs/>
                <w:sz w:val="20"/>
              </w:rPr>
            </w:pPr>
            <w:r w:rsidRPr="009D49ED">
              <w:rPr>
                <w:rFonts w:ascii="Arial Narrow" w:hAnsi="Arial Narrow"/>
                <w:bCs/>
                <w:sz w:val="20"/>
              </w:rPr>
              <w:t>0.92</w:t>
            </w:r>
          </w:p>
        </w:tc>
        <w:tc>
          <w:tcPr>
            <w:tcW w:w="625" w:type="dxa"/>
            <w:shd w:val="clear" w:color="auto" w:fill="auto"/>
            <w:noWrap/>
            <w:tcMar>
              <w:left w:w="57" w:type="dxa"/>
              <w:right w:w="57" w:type="dxa"/>
            </w:tcMar>
            <w:vAlign w:val="center"/>
          </w:tcPr>
          <w:p w14:paraId="53C13DC7" w14:textId="77777777" w:rsidR="00A84742" w:rsidRPr="009D49ED" w:rsidRDefault="00A84742" w:rsidP="00A84742">
            <w:pPr>
              <w:spacing w:after="0"/>
              <w:jc w:val="center"/>
              <w:rPr>
                <w:rFonts w:ascii="Arial Narrow" w:hAnsi="Arial Narrow"/>
                <w:bCs/>
                <w:sz w:val="20"/>
              </w:rPr>
            </w:pPr>
            <w:r w:rsidRPr="009D49ED">
              <w:rPr>
                <w:rFonts w:ascii="Arial Narrow" w:hAnsi="Arial Narrow"/>
                <w:bCs/>
                <w:sz w:val="20"/>
              </w:rPr>
              <w:t>-0.05</w:t>
            </w:r>
          </w:p>
        </w:tc>
        <w:tc>
          <w:tcPr>
            <w:tcW w:w="625" w:type="dxa"/>
            <w:shd w:val="clear" w:color="auto" w:fill="auto"/>
            <w:noWrap/>
            <w:tcMar>
              <w:left w:w="57" w:type="dxa"/>
              <w:right w:w="57" w:type="dxa"/>
            </w:tcMar>
            <w:vAlign w:val="center"/>
          </w:tcPr>
          <w:p w14:paraId="53C13DC8" w14:textId="77777777" w:rsidR="00A84742" w:rsidRPr="009D49ED" w:rsidRDefault="00A84742" w:rsidP="00A84742">
            <w:pPr>
              <w:spacing w:after="0"/>
              <w:jc w:val="center"/>
              <w:rPr>
                <w:rFonts w:ascii="Arial Narrow" w:hAnsi="Arial Narrow"/>
                <w:bCs/>
                <w:sz w:val="20"/>
              </w:rPr>
            </w:pPr>
            <w:r w:rsidRPr="009D49ED">
              <w:rPr>
                <w:rFonts w:ascii="Arial Narrow" w:hAnsi="Arial Narrow"/>
                <w:bCs/>
                <w:sz w:val="20"/>
              </w:rPr>
              <w:t>0.64</w:t>
            </w:r>
          </w:p>
        </w:tc>
        <w:tc>
          <w:tcPr>
            <w:tcW w:w="625" w:type="dxa"/>
            <w:shd w:val="clear" w:color="auto" w:fill="548DD4" w:themeFill="text2" w:themeFillTint="99"/>
            <w:noWrap/>
            <w:tcMar>
              <w:left w:w="57" w:type="dxa"/>
              <w:right w:w="57" w:type="dxa"/>
            </w:tcMar>
            <w:vAlign w:val="center"/>
          </w:tcPr>
          <w:p w14:paraId="53C13DC9" w14:textId="77777777" w:rsidR="00A84742" w:rsidRPr="009D49ED" w:rsidRDefault="00A84742" w:rsidP="00A84742">
            <w:pPr>
              <w:spacing w:after="0"/>
              <w:jc w:val="center"/>
              <w:rPr>
                <w:rFonts w:ascii="Arial Narrow" w:hAnsi="Arial Narrow"/>
                <w:bCs/>
                <w:sz w:val="20"/>
              </w:rPr>
            </w:pPr>
            <w:r w:rsidRPr="009D49ED">
              <w:rPr>
                <w:rFonts w:ascii="Arial Narrow" w:hAnsi="Arial Narrow"/>
                <w:bCs/>
                <w:sz w:val="20"/>
              </w:rPr>
              <w:t>0.33</w:t>
            </w:r>
          </w:p>
        </w:tc>
        <w:tc>
          <w:tcPr>
            <w:tcW w:w="625" w:type="dxa"/>
            <w:shd w:val="clear" w:color="auto" w:fill="548DD4" w:themeFill="text2" w:themeFillTint="99"/>
            <w:noWrap/>
            <w:tcMar>
              <w:left w:w="57" w:type="dxa"/>
              <w:right w:w="57" w:type="dxa"/>
            </w:tcMar>
            <w:vAlign w:val="center"/>
          </w:tcPr>
          <w:p w14:paraId="53C13DCA" w14:textId="77777777" w:rsidR="00A84742" w:rsidRPr="009D49ED" w:rsidRDefault="00A84742" w:rsidP="00A84742">
            <w:pPr>
              <w:spacing w:after="0"/>
              <w:jc w:val="center"/>
              <w:rPr>
                <w:rFonts w:ascii="Arial Narrow" w:hAnsi="Arial Narrow"/>
                <w:bCs/>
                <w:sz w:val="20"/>
              </w:rPr>
            </w:pPr>
            <w:r w:rsidRPr="009D49ED">
              <w:rPr>
                <w:rFonts w:ascii="Arial Narrow" w:hAnsi="Arial Narrow"/>
                <w:bCs/>
                <w:sz w:val="20"/>
              </w:rPr>
              <w:t>0.94</w:t>
            </w:r>
          </w:p>
        </w:tc>
        <w:tc>
          <w:tcPr>
            <w:tcW w:w="625" w:type="dxa"/>
            <w:shd w:val="clear" w:color="auto" w:fill="DA9694"/>
            <w:noWrap/>
            <w:tcMar>
              <w:left w:w="57" w:type="dxa"/>
              <w:right w:w="57" w:type="dxa"/>
            </w:tcMar>
            <w:vAlign w:val="center"/>
          </w:tcPr>
          <w:p w14:paraId="53C13DCB" w14:textId="77777777" w:rsidR="00A84742" w:rsidRPr="009D49ED" w:rsidRDefault="00A84742" w:rsidP="00A84742">
            <w:pPr>
              <w:spacing w:after="0"/>
              <w:jc w:val="center"/>
              <w:rPr>
                <w:rFonts w:ascii="Arial Narrow" w:hAnsi="Arial Narrow"/>
                <w:bCs/>
                <w:sz w:val="20"/>
              </w:rPr>
            </w:pPr>
            <w:r w:rsidRPr="009D49ED">
              <w:rPr>
                <w:rFonts w:ascii="Arial Narrow" w:hAnsi="Arial Narrow"/>
                <w:bCs/>
                <w:sz w:val="20"/>
              </w:rPr>
              <w:t>-0.38</w:t>
            </w:r>
          </w:p>
        </w:tc>
        <w:tc>
          <w:tcPr>
            <w:tcW w:w="626" w:type="dxa"/>
            <w:shd w:val="clear" w:color="auto" w:fill="DA9694"/>
            <w:noWrap/>
            <w:tcMar>
              <w:left w:w="57" w:type="dxa"/>
              <w:right w:w="57" w:type="dxa"/>
            </w:tcMar>
            <w:vAlign w:val="center"/>
          </w:tcPr>
          <w:p w14:paraId="53C13DCC" w14:textId="77777777" w:rsidR="00A84742" w:rsidRPr="009D49ED" w:rsidRDefault="00A84742" w:rsidP="00A84742">
            <w:pPr>
              <w:spacing w:after="0"/>
              <w:jc w:val="right"/>
              <w:rPr>
                <w:rFonts w:ascii="Arial Narrow" w:hAnsi="Arial Narrow"/>
                <w:bCs/>
                <w:sz w:val="20"/>
              </w:rPr>
            </w:pPr>
            <w:r w:rsidRPr="009D49ED">
              <w:rPr>
                <w:rFonts w:ascii="Arial Narrow" w:hAnsi="Arial Narrow"/>
                <w:bCs/>
                <w:sz w:val="20"/>
              </w:rPr>
              <w:t>0.93</w:t>
            </w:r>
          </w:p>
        </w:tc>
      </w:tr>
      <w:tr w:rsidR="009D49ED" w:rsidRPr="009D49ED" w14:paraId="53C13DDC" w14:textId="77777777" w:rsidTr="009D49ED">
        <w:trPr>
          <w:cantSplit/>
          <w:trHeight w:hRule="exact" w:val="301"/>
        </w:trPr>
        <w:tc>
          <w:tcPr>
            <w:tcW w:w="1074" w:type="dxa"/>
            <w:vMerge/>
            <w:shd w:val="clear" w:color="auto" w:fill="auto"/>
            <w:noWrap/>
            <w:tcMar>
              <w:left w:w="57" w:type="dxa"/>
              <w:right w:w="57" w:type="dxa"/>
            </w:tcMar>
            <w:vAlign w:val="center"/>
          </w:tcPr>
          <w:p w14:paraId="53C13DCE" w14:textId="77777777" w:rsidR="00A84742" w:rsidRPr="009D49ED" w:rsidRDefault="00A84742" w:rsidP="00A84742">
            <w:pPr>
              <w:spacing w:after="0"/>
              <w:jc w:val="right"/>
              <w:rPr>
                <w:rFonts w:ascii="Arial Narrow" w:hAnsi="Arial Narrow"/>
                <w:bCs/>
                <w:sz w:val="20"/>
              </w:rPr>
            </w:pPr>
          </w:p>
        </w:tc>
        <w:tc>
          <w:tcPr>
            <w:tcW w:w="350" w:type="dxa"/>
            <w:shd w:val="clear" w:color="auto" w:fill="auto"/>
            <w:noWrap/>
            <w:tcMar>
              <w:left w:w="57" w:type="dxa"/>
              <w:right w:w="57" w:type="dxa"/>
            </w:tcMar>
            <w:vAlign w:val="center"/>
          </w:tcPr>
          <w:p w14:paraId="53C13DCF" w14:textId="77777777" w:rsidR="00A84742" w:rsidRPr="009D49ED" w:rsidRDefault="00A84742" w:rsidP="00A84742">
            <w:pPr>
              <w:spacing w:after="0"/>
              <w:jc w:val="center"/>
              <w:rPr>
                <w:rFonts w:ascii="Arial Narrow" w:hAnsi="Arial Narrow"/>
                <w:bCs/>
                <w:sz w:val="20"/>
              </w:rPr>
            </w:pPr>
            <w:r w:rsidRPr="009D49ED">
              <w:rPr>
                <w:rFonts w:ascii="Arial Narrow" w:hAnsi="Arial Narrow"/>
                <w:bCs/>
                <w:sz w:val="20"/>
              </w:rPr>
              <w:t>5</w:t>
            </w:r>
          </w:p>
        </w:tc>
        <w:tc>
          <w:tcPr>
            <w:tcW w:w="625" w:type="dxa"/>
            <w:shd w:val="clear" w:color="auto" w:fill="8DB3E2" w:themeFill="text2" w:themeFillTint="66"/>
            <w:noWrap/>
            <w:tcMar>
              <w:left w:w="57" w:type="dxa"/>
              <w:right w:w="57" w:type="dxa"/>
            </w:tcMar>
            <w:vAlign w:val="center"/>
          </w:tcPr>
          <w:p w14:paraId="53C13DD0" w14:textId="77777777" w:rsidR="00A84742" w:rsidRPr="009D49ED" w:rsidRDefault="00A84742" w:rsidP="00A84742">
            <w:pPr>
              <w:spacing w:after="0"/>
              <w:jc w:val="center"/>
              <w:rPr>
                <w:rFonts w:ascii="Arial Narrow" w:hAnsi="Arial Narrow"/>
                <w:bCs/>
                <w:sz w:val="20"/>
              </w:rPr>
            </w:pPr>
            <w:r w:rsidRPr="009D49ED">
              <w:rPr>
                <w:rFonts w:ascii="Arial Narrow" w:hAnsi="Arial Narrow"/>
                <w:bCs/>
                <w:sz w:val="20"/>
              </w:rPr>
              <w:t>0.13</w:t>
            </w:r>
          </w:p>
        </w:tc>
        <w:tc>
          <w:tcPr>
            <w:tcW w:w="625" w:type="dxa"/>
            <w:shd w:val="clear" w:color="auto" w:fill="8DB3E2"/>
            <w:noWrap/>
            <w:tcMar>
              <w:left w:w="57" w:type="dxa"/>
              <w:right w:w="57" w:type="dxa"/>
            </w:tcMar>
            <w:vAlign w:val="center"/>
          </w:tcPr>
          <w:p w14:paraId="53C13DD1" w14:textId="77777777" w:rsidR="00A84742" w:rsidRPr="009D49ED" w:rsidRDefault="00A84742" w:rsidP="00A84742">
            <w:pPr>
              <w:spacing w:after="0"/>
              <w:jc w:val="center"/>
              <w:rPr>
                <w:rFonts w:ascii="Arial Narrow" w:hAnsi="Arial Narrow"/>
                <w:bCs/>
                <w:sz w:val="20"/>
              </w:rPr>
            </w:pPr>
            <w:r w:rsidRPr="009D49ED">
              <w:rPr>
                <w:rFonts w:ascii="Arial Narrow" w:hAnsi="Arial Narrow"/>
                <w:bCs/>
                <w:sz w:val="20"/>
              </w:rPr>
              <w:t>0.80</w:t>
            </w:r>
          </w:p>
        </w:tc>
        <w:tc>
          <w:tcPr>
            <w:tcW w:w="625" w:type="dxa"/>
            <w:shd w:val="clear" w:color="auto" w:fill="FFFFFF" w:themeFill="background1"/>
            <w:noWrap/>
            <w:tcMar>
              <w:left w:w="57" w:type="dxa"/>
              <w:right w:w="57" w:type="dxa"/>
            </w:tcMar>
            <w:vAlign w:val="center"/>
          </w:tcPr>
          <w:p w14:paraId="53C13DD2" w14:textId="77777777" w:rsidR="00A84742" w:rsidRPr="009D49ED" w:rsidRDefault="00A84742" w:rsidP="00A84742">
            <w:pPr>
              <w:spacing w:after="0"/>
              <w:jc w:val="center"/>
              <w:rPr>
                <w:rFonts w:ascii="Arial Narrow" w:hAnsi="Arial Narrow"/>
                <w:bCs/>
                <w:sz w:val="20"/>
              </w:rPr>
            </w:pPr>
            <w:r w:rsidRPr="009D49ED">
              <w:rPr>
                <w:rFonts w:ascii="Arial Narrow" w:hAnsi="Arial Narrow"/>
                <w:bCs/>
                <w:sz w:val="20"/>
              </w:rPr>
              <w:t>-0.07</w:t>
            </w:r>
          </w:p>
        </w:tc>
        <w:tc>
          <w:tcPr>
            <w:tcW w:w="625" w:type="dxa"/>
            <w:shd w:val="clear" w:color="auto" w:fill="FFFFFF" w:themeFill="background1"/>
            <w:noWrap/>
            <w:tcMar>
              <w:left w:w="57" w:type="dxa"/>
              <w:right w:w="57" w:type="dxa"/>
            </w:tcMar>
            <w:vAlign w:val="center"/>
          </w:tcPr>
          <w:p w14:paraId="53C13DD3" w14:textId="77777777" w:rsidR="00A84742" w:rsidRPr="009D49ED" w:rsidRDefault="00A84742" w:rsidP="00A84742">
            <w:pPr>
              <w:spacing w:after="0"/>
              <w:jc w:val="center"/>
              <w:rPr>
                <w:rFonts w:ascii="Arial Narrow" w:hAnsi="Arial Narrow"/>
                <w:bCs/>
                <w:sz w:val="20"/>
              </w:rPr>
            </w:pPr>
            <w:r w:rsidRPr="009D49ED">
              <w:rPr>
                <w:rFonts w:ascii="Arial Narrow" w:hAnsi="Arial Narrow"/>
                <w:bCs/>
                <w:sz w:val="20"/>
              </w:rPr>
              <w:t>0.66</w:t>
            </w:r>
          </w:p>
        </w:tc>
        <w:tc>
          <w:tcPr>
            <w:tcW w:w="625" w:type="dxa"/>
            <w:shd w:val="clear" w:color="auto" w:fill="8DB3E2" w:themeFill="text2" w:themeFillTint="66"/>
            <w:noWrap/>
            <w:tcMar>
              <w:left w:w="57" w:type="dxa"/>
              <w:right w:w="57" w:type="dxa"/>
            </w:tcMar>
            <w:vAlign w:val="center"/>
          </w:tcPr>
          <w:p w14:paraId="53C13DD4" w14:textId="77777777" w:rsidR="00A84742" w:rsidRPr="009D49ED" w:rsidRDefault="00A84742" w:rsidP="00A84742">
            <w:pPr>
              <w:spacing w:after="0"/>
              <w:jc w:val="center"/>
              <w:rPr>
                <w:rFonts w:ascii="Arial Narrow" w:hAnsi="Arial Narrow"/>
                <w:bCs/>
                <w:sz w:val="20"/>
              </w:rPr>
            </w:pPr>
            <w:r w:rsidRPr="009D49ED">
              <w:rPr>
                <w:rFonts w:ascii="Arial Narrow" w:hAnsi="Arial Narrow"/>
                <w:bCs/>
                <w:sz w:val="20"/>
              </w:rPr>
              <w:t>0.60</w:t>
            </w:r>
          </w:p>
        </w:tc>
        <w:tc>
          <w:tcPr>
            <w:tcW w:w="626" w:type="dxa"/>
            <w:shd w:val="clear" w:color="auto" w:fill="8DB3E2" w:themeFill="text2" w:themeFillTint="66"/>
            <w:noWrap/>
            <w:tcMar>
              <w:left w:w="57" w:type="dxa"/>
              <w:right w:w="57" w:type="dxa"/>
            </w:tcMar>
            <w:vAlign w:val="center"/>
          </w:tcPr>
          <w:p w14:paraId="53C13DD5" w14:textId="77777777" w:rsidR="00A84742" w:rsidRPr="009D49ED" w:rsidRDefault="00A84742" w:rsidP="00A84742">
            <w:pPr>
              <w:spacing w:after="0"/>
              <w:jc w:val="center"/>
              <w:rPr>
                <w:rFonts w:ascii="Arial Narrow" w:hAnsi="Arial Narrow"/>
                <w:bCs/>
                <w:sz w:val="20"/>
              </w:rPr>
            </w:pPr>
            <w:r w:rsidRPr="009D49ED">
              <w:rPr>
                <w:rFonts w:ascii="Arial Narrow" w:hAnsi="Arial Narrow"/>
                <w:bCs/>
                <w:sz w:val="20"/>
              </w:rPr>
              <w:t>0.89</w:t>
            </w:r>
          </w:p>
        </w:tc>
        <w:tc>
          <w:tcPr>
            <w:tcW w:w="625" w:type="dxa"/>
            <w:shd w:val="clear" w:color="auto" w:fill="auto"/>
            <w:noWrap/>
            <w:tcMar>
              <w:left w:w="57" w:type="dxa"/>
              <w:right w:w="57" w:type="dxa"/>
            </w:tcMar>
            <w:vAlign w:val="center"/>
          </w:tcPr>
          <w:p w14:paraId="53C13DD6" w14:textId="77777777" w:rsidR="00A84742" w:rsidRPr="009D49ED" w:rsidRDefault="00A84742" w:rsidP="00A84742">
            <w:pPr>
              <w:spacing w:after="0"/>
              <w:jc w:val="center"/>
              <w:rPr>
                <w:rFonts w:ascii="Arial Narrow" w:hAnsi="Arial Narrow"/>
                <w:bCs/>
                <w:sz w:val="20"/>
              </w:rPr>
            </w:pPr>
            <w:r w:rsidRPr="009D49ED">
              <w:rPr>
                <w:rFonts w:ascii="Arial Narrow" w:hAnsi="Arial Narrow"/>
                <w:bCs/>
                <w:sz w:val="20"/>
              </w:rPr>
              <w:t>-0.07</w:t>
            </w:r>
          </w:p>
        </w:tc>
        <w:tc>
          <w:tcPr>
            <w:tcW w:w="625" w:type="dxa"/>
            <w:shd w:val="clear" w:color="auto" w:fill="auto"/>
            <w:noWrap/>
            <w:tcMar>
              <w:left w:w="57" w:type="dxa"/>
              <w:right w:w="57" w:type="dxa"/>
            </w:tcMar>
            <w:vAlign w:val="center"/>
          </w:tcPr>
          <w:p w14:paraId="53C13DD7" w14:textId="77777777" w:rsidR="00A84742" w:rsidRPr="009D49ED" w:rsidRDefault="00A84742" w:rsidP="00A84742">
            <w:pPr>
              <w:spacing w:after="0"/>
              <w:jc w:val="center"/>
              <w:rPr>
                <w:rFonts w:ascii="Arial Narrow" w:hAnsi="Arial Narrow"/>
                <w:bCs/>
                <w:sz w:val="20"/>
              </w:rPr>
            </w:pPr>
            <w:r w:rsidRPr="009D49ED">
              <w:rPr>
                <w:rFonts w:ascii="Arial Narrow" w:hAnsi="Arial Narrow"/>
                <w:bCs/>
                <w:sz w:val="20"/>
              </w:rPr>
              <w:t>0.56</w:t>
            </w:r>
          </w:p>
        </w:tc>
        <w:tc>
          <w:tcPr>
            <w:tcW w:w="625" w:type="dxa"/>
            <w:shd w:val="clear" w:color="auto" w:fill="C6D9F1" w:themeFill="text2" w:themeFillTint="33"/>
            <w:noWrap/>
            <w:tcMar>
              <w:left w:w="57" w:type="dxa"/>
              <w:right w:w="57" w:type="dxa"/>
            </w:tcMar>
            <w:vAlign w:val="center"/>
          </w:tcPr>
          <w:p w14:paraId="53C13DD8" w14:textId="77777777" w:rsidR="00A84742" w:rsidRPr="009D49ED" w:rsidRDefault="00A84742" w:rsidP="00A84742">
            <w:pPr>
              <w:spacing w:after="0"/>
              <w:jc w:val="center"/>
              <w:rPr>
                <w:rFonts w:ascii="Arial Narrow" w:hAnsi="Arial Narrow"/>
                <w:bCs/>
                <w:sz w:val="20"/>
              </w:rPr>
            </w:pPr>
            <w:r w:rsidRPr="009D49ED">
              <w:rPr>
                <w:rFonts w:ascii="Arial Narrow" w:hAnsi="Arial Narrow"/>
                <w:bCs/>
                <w:sz w:val="20"/>
              </w:rPr>
              <w:t>0.30</w:t>
            </w:r>
          </w:p>
        </w:tc>
        <w:tc>
          <w:tcPr>
            <w:tcW w:w="625" w:type="dxa"/>
            <w:shd w:val="clear" w:color="auto" w:fill="C6D9F1" w:themeFill="text2" w:themeFillTint="33"/>
            <w:noWrap/>
            <w:tcMar>
              <w:left w:w="57" w:type="dxa"/>
              <w:right w:w="57" w:type="dxa"/>
            </w:tcMar>
            <w:vAlign w:val="center"/>
          </w:tcPr>
          <w:p w14:paraId="53C13DD9" w14:textId="77777777" w:rsidR="00A84742" w:rsidRPr="009D49ED" w:rsidRDefault="00A84742" w:rsidP="00A84742">
            <w:pPr>
              <w:spacing w:after="0"/>
              <w:jc w:val="center"/>
              <w:rPr>
                <w:rFonts w:ascii="Arial Narrow" w:hAnsi="Arial Narrow"/>
                <w:bCs/>
                <w:sz w:val="20"/>
              </w:rPr>
            </w:pPr>
            <w:r w:rsidRPr="009D49ED">
              <w:rPr>
                <w:rFonts w:ascii="Arial Narrow" w:hAnsi="Arial Narrow"/>
                <w:bCs/>
                <w:sz w:val="20"/>
              </w:rPr>
              <w:t>0.74</w:t>
            </w:r>
          </w:p>
        </w:tc>
        <w:tc>
          <w:tcPr>
            <w:tcW w:w="625" w:type="dxa"/>
            <w:shd w:val="clear" w:color="auto" w:fill="F2DBDB" w:themeFill="accent2" w:themeFillTint="33"/>
            <w:noWrap/>
            <w:tcMar>
              <w:left w:w="57" w:type="dxa"/>
              <w:right w:w="57" w:type="dxa"/>
            </w:tcMar>
            <w:vAlign w:val="center"/>
          </w:tcPr>
          <w:p w14:paraId="53C13DDA" w14:textId="77777777" w:rsidR="00A84742" w:rsidRPr="009D49ED" w:rsidRDefault="00A84742" w:rsidP="00A84742">
            <w:pPr>
              <w:spacing w:after="0"/>
              <w:jc w:val="center"/>
              <w:rPr>
                <w:rFonts w:ascii="Arial Narrow" w:hAnsi="Arial Narrow"/>
                <w:bCs/>
                <w:sz w:val="20"/>
              </w:rPr>
            </w:pPr>
            <w:r w:rsidRPr="009D49ED">
              <w:rPr>
                <w:rFonts w:ascii="Arial Narrow" w:hAnsi="Arial Narrow"/>
                <w:bCs/>
                <w:sz w:val="20"/>
              </w:rPr>
              <w:t>-0.13</w:t>
            </w:r>
          </w:p>
        </w:tc>
        <w:tc>
          <w:tcPr>
            <w:tcW w:w="626" w:type="dxa"/>
            <w:shd w:val="clear" w:color="auto" w:fill="F2DBDB" w:themeFill="accent2" w:themeFillTint="33"/>
            <w:noWrap/>
            <w:tcMar>
              <w:left w:w="57" w:type="dxa"/>
              <w:right w:w="57" w:type="dxa"/>
            </w:tcMar>
            <w:vAlign w:val="center"/>
          </w:tcPr>
          <w:p w14:paraId="53C13DDB" w14:textId="77777777" w:rsidR="00A84742" w:rsidRPr="009D49ED" w:rsidRDefault="00A84742" w:rsidP="00A84742">
            <w:pPr>
              <w:spacing w:after="0"/>
              <w:jc w:val="right"/>
              <w:rPr>
                <w:rFonts w:ascii="Arial Narrow" w:hAnsi="Arial Narrow"/>
                <w:bCs/>
                <w:sz w:val="20"/>
              </w:rPr>
            </w:pPr>
            <w:r w:rsidRPr="009D49ED">
              <w:rPr>
                <w:rFonts w:ascii="Arial Narrow" w:hAnsi="Arial Narrow"/>
                <w:bCs/>
                <w:sz w:val="20"/>
              </w:rPr>
              <w:t>0.70</w:t>
            </w:r>
          </w:p>
        </w:tc>
      </w:tr>
      <w:tr w:rsidR="009D49ED" w:rsidRPr="009D49ED" w14:paraId="53C13DEB" w14:textId="77777777" w:rsidTr="004F16D3">
        <w:trPr>
          <w:cantSplit/>
          <w:trHeight w:hRule="exact" w:val="301"/>
        </w:trPr>
        <w:tc>
          <w:tcPr>
            <w:tcW w:w="1074" w:type="dxa"/>
            <w:vMerge w:val="restart"/>
            <w:shd w:val="clear" w:color="auto" w:fill="auto"/>
            <w:noWrap/>
            <w:tcMar>
              <w:left w:w="57" w:type="dxa"/>
              <w:right w:w="57" w:type="dxa"/>
            </w:tcMar>
            <w:vAlign w:val="center"/>
          </w:tcPr>
          <w:p w14:paraId="53C13DDD" w14:textId="77777777" w:rsidR="00A84742" w:rsidRPr="009D49ED" w:rsidRDefault="00A84742" w:rsidP="00A84742">
            <w:pPr>
              <w:spacing w:after="0"/>
              <w:jc w:val="right"/>
              <w:rPr>
                <w:rFonts w:ascii="Arial Narrow" w:hAnsi="Arial Narrow"/>
                <w:bCs/>
                <w:sz w:val="20"/>
              </w:rPr>
            </w:pPr>
            <w:r w:rsidRPr="009D49ED">
              <w:rPr>
                <w:rFonts w:ascii="Arial Narrow" w:hAnsi="Arial Narrow"/>
                <w:bCs/>
                <w:sz w:val="20"/>
              </w:rPr>
              <w:t>2011 to 2013</w:t>
            </w:r>
          </w:p>
        </w:tc>
        <w:tc>
          <w:tcPr>
            <w:tcW w:w="350" w:type="dxa"/>
            <w:shd w:val="clear" w:color="auto" w:fill="auto"/>
            <w:noWrap/>
            <w:tcMar>
              <w:left w:w="57" w:type="dxa"/>
              <w:right w:w="57" w:type="dxa"/>
            </w:tcMar>
            <w:vAlign w:val="center"/>
          </w:tcPr>
          <w:p w14:paraId="53C13DDE" w14:textId="77777777" w:rsidR="00A84742" w:rsidRPr="009D49ED" w:rsidRDefault="00A84742" w:rsidP="00A84742">
            <w:pPr>
              <w:spacing w:after="0"/>
              <w:jc w:val="center"/>
              <w:rPr>
                <w:rFonts w:ascii="Arial Narrow" w:hAnsi="Arial Narrow"/>
                <w:bCs/>
                <w:sz w:val="20"/>
              </w:rPr>
            </w:pPr>
            <w:r w:rsidRPr="009D49ED">
              <w:rPr>
                <w:rFonts w:ascii="Arial Narrow" w:hAnsi="Arial Narrow"/>
                <w:bCs/>
                <w:sz w:val="20"/>
              </w:rPr>
              <w:t>2</w:t>
            </w:r>
          </w:p>
        </w:tc>
        <w:tc>
          <w:tcPr>
            <w:tcW w:w="625" w:type="dxa"/>
            <w:shd w:val="clear" w:color="auto" w:fill="auto"/>
            <w:noWrap/>
            <w:tcMar>
              <w:left w:w="57" w:type="dxa"/>
              <w:right w:w="57" w:type="dxa"/>
            </w:tcMar>
            <w:vAlign w:val="center"/>
          </w:tcPr>
          <w:p w14:paraId="53C13DDF" w14:textId="77777777" w:rsidR="00A84742" w:rsidRPr="009D49ED" w:rsidRDefault="00A84742" w:rsidP="00A84742">
            <w:pPr>
              <w:spacing w:after="0"/>
              <w:jc w:val="center"/>
              <w:rPr>
                <w:rFonts w:ascii="Arial Narrow" w:hAnsi="Arial Narrow"/>
                <w:bCs/>
                <w:sz w:val="20"/>
              </w:rPr>
            </w:pPr>
            <w:r w:rsidRPr="009D49ED">
              <w:rPr>
                <w:rFonts w:ascii="Arial Narrow" w:hAnsi="Arial Narrow"/>
                <w:bCs/>
                <w:sz w:val="20"/>
              </w:rPr>
              <w:t>-0.04</w:t>
            </w:r>
          </w:p>
        </w:tc>
        <w:tc>
          <w:tcPr>
            <w:tcW w:w="625" w:type="dxa"/>
            <w:shd w:val="clear" w:color="auto" w:fill="auto"/>
            <w:noWrap/>
            <w:tcMar>
              <w:left w:w="57" w:type="dxa"/>
              <w:right w:w="57" w:type="dxa"/>
            </w:tcMar>
            <w:vAlign w:val="center"/>
          </w:tcPr>
          <w:p w14:paraId="53C13DE0" w14:textId="77777777" w:rsidR="00A84742" w:rsidRPr="009D49ED" w:rsidRDefault="00A84742" w:rsidP="00A84742">
            <w:pPr>
              <w:spacing w:after="0"/>
              <w:jc w:val="center"/>
              <w:rPr>
                <w:rFonts w:ascii="Arial Narrow" w:hAnsi="Arial Narrow"/>
                <w:bCs/>
                <w:sz w:val="20"/>
              </w:rPr>
            </w:pPr>
            <w:r w:rsidRPr="009D49ED">
              <w:rPr>
                <w:rFonts w:ascii="Arial Narrow" w:hAnsi="Arial Narrow"/>
                <w:bCs/>
                <w:sz w:val="20"/>
              </w:rPr>
              <w:t>0.64</w:t>
            </w:r>
          </w:p>
        </w:tc>
        <w:tc>
          <w:tcPr>
            <w:tcW w:w="625" w:type="dxa"/>
            <w:shd w:val="clear" w:color="auto" w:fill="FFFFFF" w:themeFill="background1"/>
            <w:noWrap/>
            <w:tcMar>
              <w:left w:w="57" w:type="dxa"/>
              <w:right w:w="57" w:type="dxa"/>
            </w:tcMar>
            <w:vAlign w:val="center"/>
          </w:tcPr>
          <w:p w14:paraId="53C13DE1" w14:textId="77777777" w:rsidR="00A84742" w:rsidRPr="009D49ED" w:rsidRDefault="00A84742" w:rsidP="00A84742">
            <w:pPr>
              <w:spacing w:after="0"/>
              <w:jc w:val="center"/>
              <w:rPr>
                <w:rFonts w:ascii="Arial Narrow" w:hAnsi="Arial Narrow"/>
                <w:bCs/>
                <w:sz w:val="20"/>
              </w:rPr>
            </w:pPr>
            <w:r w:rsidRPr="009D49ED">
              <w:rPr>
                <w:rFonts w:ascii="Arial Narrow" w:hAnsi="Arial Narrow"/>
                <w:bCs/>
                <w:sz w:val="20"/>
              </w:rPr>
              <w:t>0.02</w:t>
            </w:r>
          </w:p>
        </w:tc>
        <w:tc>
          <w:tcPr>
            <w:tcW w:w="625" w:type="dxa"/>
            <w:shd w:val="clear" w:color="auto" w:fill="FFFFFF" w:themeFill="background1"/>
            <w:noWrap/>
            <w:tcMar>
              <w:left w:w="57" w:type="dxa"/>
              <w:right w:w="57" w:type="dxa"/>
            </w:tcMar>
            <w:vAlign w:val="center"/>
          </w:tcPr>
          <w:p w14:paraId="53C13DE2" w14:textId="77777777" w:rsidR="00A84742" w:rsidRPr="009D49ED" w:rsidRDefault="00A84742" w:rsidP="00A84742">
            <w:pPr>
              <w:spacing w:after="0"/>
              <w:jc w:val="center"/>
              <w:rPr>
                <w:rFonts w:ascii="Arial Narrow" w:hAnsi="Arial Narrow"/>
                <w:bCs/>
                <w:sz w:val="20"/>
              </w:rPr>
            </w:pPr>
            <w:r w:rsidRPr="009D49ED">
              <w:rPr>
                <w:rFonts w:ascii="Arial Narrow" w:hAnsi="Arial Narrow"/>
                <w:bCs/>
                <w:sz w:val="20"/>
              </w:rPr>
              <w:t>0.64</w:t>
            </w:r>
          </w:p>
        </w:tc>
        <w:tc>
          <w:tcPr>
            <w:tcW w:w="625" w:type="dxa"/>
            <w:shd w:val="clear" w:color="auto" w:fill="DA9694"/>
            <w:noWrap/>
            <w:tcMar>
              <w:left w:w="57" w:type="dxa"/>
              <w:right w:w="57" w:type="dxa"/>
            </w:tcMar>
            <w:vAlign w:val="center"/>
          </w:tcPr>
          <w:p w14:paraId="53C13DE3" w14:textId="77777777" w:rsidR="00A84742" w:rsidRPr="009D49ED" w:rsidRDefault="00A84742" w:rsidP="00A84742">
            <w:pPr>
              <w:spacing w:after="0"/>
              <w:jc w:val="center"/>
              <w:rPr>
                <w:rFonts w:ascii="Arial Narrow" w:hAnsi="Arial Narrow"/>
                <w:bCs/>
                <w:sz w:val="20"/>
              </w:rPr>
            </w:pPr>
            <w:r w:rsidRPr="009D49ED">
              <w:rPr>
                <w:rFonts w:ascii="Arial Narrow" w:hAnsi="Arial Narrow"/>
                <w:bCs/>
                <w:sz w:val="20"/>
              </w:rPr>
              <w:t>-0.67</w:t>
            </w:r>
          </w:p>
        </w:tc>
        <w:tc>
          <w:tcPr>
            <w:tcW w:w="626" w:type="dxa"/>
            <w:shd w:val="clear" w:color="auto" w:fill="DA9694"/>
            <w:noWrap/>
            <w:tcMar>
              <w:left w:w="57" w:type="dxa"/>
              <w:right w:w="57" w:type="dxa"/>
            </w:tcMar>
            <w:vAlign w:val="center"/>
          </w:tcPr>
          <w:p w14:paraId="53C13DE4" w14:textId="77777777" w:rsidR="00A84742" w:rsidRPr="009D49ED" w:rsidRDefault="00A84742" w:rsidP="00A84742">
            <w:pPr>
              <w:spacing w:after="0"/>
              <w:jc w:val="center"/>
              <w:rPr>
                <w:rFonts w:ascii="Arial Narrow" w:hAnsi="Arial Narrow"/>
                <w:bCs/>
                <w:sz w:val="20"/>
              </w:rPr>
            </w:pPr>
            <w:r w:rsidRPr="009D49ED">
              <w:rPr>
                <w:rFonts w:ascii="Arial Narrow" w:hAnsi="Arial Narrow"/>
                <w:bCs/>
                <w:sz w:val="20"/>
              </w:rPr>
              <w:t>0.92</w:t>
            </w:r>
          </w:p>
        </w:tc>
        <w:tc>
          <w:tcPr>
            <w:tcW w:w="625" w:type="dxa"/>
            <w:shd w:val="clear" w:color="auto" w:fill="8DB3E2" w:themeFill="text2" w:themeFillTint="66"/>
            <w:noWrap/>
            <w:tcMar>
              <w:left w:w="57" w:type="dxa"/>
              <w:right w:w="57" w:type="dxa"/>
            </w:tcMar>
            <w:vAlign w:val="center"/>
          </w:tcPr>
          <w:p w14:paraId="53C13DE5" w14:textId="77777777" w:rsidR="00A84742" w:rsidRPr="009D49ED" w:rsidRDefault="00A84742" w:rsidP="00A84742">
            <w:pPr>
              <w:spacing w:after="0"/>
              <w:jc w:val="center"/>
              <w:rPr>
                <w:rFonts w:ascii="Arial Narrow" w:hAnsi="Arial Narrow"/>
                <w:bCs/>
                <w:sz w:val="20"/>
              </w:rPr>
            </w:pPr>
            <w:r w:rsidRPr="009D49ED">
              <w:rPr>
                <w:rFonts w:ascii="Arial Narrow" w:hAnsi="Arial Narrow"/>
                <w:bCs/>
                <w:sz w:val="20"/>
              </w:rPr>
              <w:t>0.39</w:t>
            </w:r>
          </w:p>
        </w:tc>
        <w:tc>
          <w:tcPr>
            <w:tcW w:w="625" w:type="dxa"/>
            <w:shd w:val="clear" w:color="auto" w:fill="8DB3E2" w:themeFill="text2" w:themeFillTint="66"/>
            <w:noWrap/>
            <w:tcMar>
              <w:left w:w="57" w:type="dxa"/>
              <w:right w:w="57" w:type="dxa"/>
            </w:tcMar>
            <w:vAlign w:val="center"/>
          </w:tcPr>
          <w:p w14:paraId="53C13DE6" w14:textId="77777777" w:rsidR="00A84742" w:rsidRPr="009D49ED" w:rsidRDefault="00A84742" w:rsidP="00A84742">
            <w:pPr>
              <w:spacing w:after="0"/>
              <w:jc w:val="center"/>
              <w:rPr>
                <w:rFonts w:ascii="Arial Narrow" w:hAnsi="Arial Narrow"/>
                <w:bCs/>
                <w:sz w:val="20"/>
              </w:rPr>
            </w:pPr>
            <w:r w:rsidRPr="009D49ED">
              <w:rPr>
                <w:rFonts w:ascii="Arial Narrow" w:hAnsi="Arial Narrow"/>
                <w:bCs/>
                <w:sz w:val="20"/>
              </w:rPr>
              <w:t>0.83</w:t>
            </w:r>
          </w:p>
        </w:tc>
        <w:tc>
          <w:tcPr>
            <w:tcW w:w="625" w:type="dxa"/>
            <w:shd w:val="clear" w:color="auto" w:fill="FFFFFF" w:themeFill="background1"/>
            <w:noWrap/>
            <w:tcMar>
              <w:left w:w="57" w:type="dxa"/>
              <w:right w:w="57" w:type="dxa"/>
            </w:tcMar>
            <w:vAlign w:val="center"/>
          </w:tcPr>
          <w:p w14:paraId="53C13DE7" w14:textId="77777777" w:rsidR="00A84742" w:rsidRPr="009D49ED" w:rsidRDefault="00A84742" w:rsidP="00A84742">
            <w:pPr>
              <w:spacing w:after="0"/>
              <w:jc w:val="center"/>
              <w:rPr>
                <w:rFonts w:ascii="Arial Narrow" w:hAnsi="Arial Narrow"/>
                <w:bCs/>
                <w:sz w:val="20"/>
              </w:rPr>
            </w:pPr>
            <w:r w:rsidRPr="009D49ED">
              <w:rPr>
                <w:rFonts w:ascii="Arial Narrow" w:hAnsi="Arial Narrow"/>
                <w:bCs/>
                <w:sz w:val="20"/>
              </w:rPr>
              <w:t>0.05</w:t>
            </w:r>
          </w:p>
        </w:tc>
        <w:tc>
          <w:tcPr>
            <w:tcW w:w="625" w:type="dxa"/>
            <w:shd w:val="clear" w:color="auto" w:fill="FFFFFF" w:themeFill="background1"/>
            <w:noWrap/>
            <w:tcMar>
              <w:left w:w="57" w:type="dxa"/>
              <w:right w:w="57" w:type="dxa"/>
            </w:tcMar>
            <w:vAlign w:val="center"/>
          </w:tcPr>
          <w:p w14:paraId="53C13DE8" w14:textId="77777777" w:rsidR="00A84742" w:rsidRPr="009D49ED" w:rsidRDefault="00A84742" w:rsidP="00A84742">
            <w:pPr>
              <w:spacing w:after="0"/>
              <w:jc w:val="center"/>
              <w:rPr>
                <w:rFonts w:ascii="Arial Narrow" w:hAnsi="Arial Narrow"/>
                <w:bCs/>
                <w:sz w:val="20"/>
              </w:rPr>
            </w:pPr>
            <w:r w:rsidRPr="009D49ED">
              <w:rPr>
                <w:rFonts w:ascii="Arial Narrow" w:hAnsi="Arial Narrow"/>
                <w:bCs/>
                <w:sz w:val="20"/>
              </w:rPr>
              <w:t>0.58</w:t>
            </w:r>
          </w:p>
        </w:tc>
        <w:tc>
          <w:tcPr>
            <w:tcW w:w="625" w:type="dxa"/>
            <w:shd w:val="clear" w:color="auto" w:fill="auto"/>
            <w:noWrap/>
            <w:tcMar>
              <w:left w:w="57" w:type="dxa"/>
              <w:right w:w="57" w:type="dxa"/>
            </w:tcMar>
            <w:vAlign w:val="center"/>
          </w:tcPr>
          <w:p w14:paraId="53C13DE9" w14:textId="77777777" w:rsidR="00A84742" w:rsidRPr="009D49ED" w:rsidRDefault="00A84742" w:rsidP="00A84742">
            <w:pPr>
              <w:spacing w:after="0"/>
              <w:jc w:val="center"/>
              <w:rPr>
                <w:rFonts w:ascii="Arial Narrow" w:hAnsi="Arial Narrow"/>
                <w:bCs/>
                <w:sz w:val="20"/>
              </w:rPr>
            </w:pPr>
            <w:r w:rsidRPr="009D49ED">
              <w:rPr>
                <w:rFonts w:ascii="Arial Narrow" w:hAnsi="Arial Narrow"/>
                <w:bCs/>
                <w:sz w:val="20"/>
              </w:rPr>
              <w:t>0</w:t>
            </w:r>
          </w:p>
        </w:tc>
        <w:tc>
          <w:tcPr>
            <w:tcW w:w="626" w:type="dxa"/>
            <w:shd w:val="clear" w:color="auto" w:fill="auto"/>
            <w:noWrap/>
            <w:tcMar>
              <w:left w:w="57" w:type="dxa"/>
              <w:right w:w="57" w:type="dxa"/>
            </w:tcMar>
            <w:vAlign w:val="center"/>
          </w:tcPr>
          <w:p w14:paraId="53C13DEA" w14:textId="77777777" w:rsidR="00A84742" w:rsidRPr="009D49ED" w:rsidRDefault="00A84742" w:rsidP="00A84742">
            <w:pPr>
              <w:spacing w:after="0"/>
              <w:jc w:val="right"/>
              <w:rPr>
                <w:rFonts w:ascii="Arial Narrow" w:hAnsi="Arial Narrow"/>
                <w:bCs/>
                <w:sz w:val="20"/>
              </w:rPr>
            </w:pPr>
            <w:r w:rsidRPr="009D49ED">
              <w:rPr>
                <w:rFonts w:ascii="Arial Narrow" w:hAnsi="Arial Narrow"/>
                <w:bCs/>
                <w:sz w:val="20"/>
              </w:rPr>
              <w:t>NA</w:t>
            </w:r>
          </w:p>
        </w:tc>
      </w:tr>
      <w:tr w:rsidR="009D49ED" w:rsidRPr="009D49ED" w14:paraId="53C13DFA" w14:textId="77777777" w:rsidTr="004F16D3">
        <w:trPr>
          <w:cantSplit/>
          <w:trHeight w:hRule="exact" w:val="301"/>
        </w:trPr>
        <w:tc>
          <w:tcPr>
            <w:tcW w:w="1074" w:type="dxa"/>
            <w:vMerge/>
            <w:shd w:val="clear" w:color="auto" w:fill="auto"/>
            <w:noWrap/>
            <w:tcMar>
              <w:left w:w="57" w:type="dxa"/>
              <w:right w:w="57" w:type="dxa"/>
            </w:tcMar>
            <w:vAlign w:val="center"/>
          </w:tcPr>
          <w:p w14:paraId="53C13DEC" w14:textId="77777777" w:rsidR="00A84742" w:rsidRPr="009D49ED" w:rsidRDefault="00A84742" w:rsidP="00A84742">
            <w:pPr>
              <w:spacing w:after="0"/>
              <w:jc w:val="right"/>
              <w:rPr>
                <w:rFonts w:ascii="Arial Narrow" w:hAnsi="Arial Narrow"/>
                <w:bCs/>
                <w:sz w:val="20"/>
              </w:rPr>
            </w:pPr>
          </w:p>
        </w:tc>
        <w:tc>
          <w:tcPr>
            <w:tcW w:w="350" w:type="dxa"/>
            <w:shd w:val="clear" w:color="auto" w:fill="auto"/>
            <w:noWrap/>
            <w:tcMar>
              <w:left w:w="57" w:type="dxa"/>
              <w:right w:w="57" w:type="dxa"/>
            </w:tcMar>
            <w:vAlign w:val="center"/>
          </w:tcPr>
          <w:p w14:paraId="53C13DED" w14:textId="77777777" w:rsidR="00A84742" w:rsidRPr="009D49ED" w:rsidRDefault="00A84742" w:rsidP="00A84742">
            <w:pPr>
              <w:spacing w:after="0"/>
              <w:jc w:val="center"/>
              <w:rPr>
                <w:rFonts w:ascii="Arial Narrow" w:hAnsi="Arial Narrow"/>
                <w:bCs/>
                <w:sz w:val="20"/>
              </w:rPr>
            </w:pPr>
            <w:r w:rsidRPr="009D49ED">
              <w:rPr>
                <w:rFonts w:ascii="Arial Narrow" w:hAnsi="Arial Narrow"/>
                <w:bCs/>
                <w:sz w:val="20"/>
              </w:rPr>
              <w:t>5</w:t>
            </w:r>
          </w:p>
        </w:tc>
        <w:tc>
          <w:tcPr>
            <w:tcW w:w="625" w:type="dxa"/>
            <w:shd w:val="clear" w:color="auto" w:fill="E5B8B7" w:themeFill="accent2" w:themeFillTint="66"/>
            <w:noWrap/>
            <w:tcMar>
              <w:left w:w="57" w:type="dxa"/>
              <w:right w:w="57" w:type="dxa"/>
            </w:tcMar>
            <w:vAlign w:val="center"/>
          </w:tcPr>
          <w:p w14:paraId="53C13DEE" w14:textId="77777777" w:rsidR="00A84742" w:rsidRPr="009D49ED" w:rsidRDefault="00A84742" w:rsidP="00A84742">
            <w:pPr>
              <w:spacing w:after="0"/>
              <w:jc w:val="center"/>
              <w:rPr>
                <w:rFonts w:ascii="Arial Narrow" w:hAnsi="Arial Narrow"/>
                <w:bCs/>
                <w:sz w:val="20"/>
              </w:rPr>
            </w:pPr>
            <w:r w:rsidRPr="009D49ED">
              <w:rPr>
                <w:rFonts w:ascii="Arial Narrow" w:hAnsi="Arial Narrow"/>
                <w:bCs/>
                <w:sz w:val="20"/>
              </w:rPr>
              <w:t>-0.12</w:t>
            </w:r>
          </w:p>
        </w:tc>
        <w:tc>
          <w:tcPr>
            <w:tcW w:w="625" w:type="dxa"/>
            <w:shd w:val="clear" w:color="auto" w:fill="E5B8B7" w:themeFill="accent2" w:themeFillTint="66"/>
            <w:noWrap/>
            <w:tcMar>
              <w:left w:w="57" w:type="dxa"/>
              <w:right w:w="57" w:type="dxa"/>
            </w:tcMar>
            <w:vAlign w:val="center"/>
          </w:tcPr>
          <w:p w14:paraId="53C13DEF" w14:textId="77777777" w:rsidR="00A84742" w:rsidRPr="009D49ED" w:rsidRDefault="00A84742" w:rsidP="00A84742">
            <w:pPr>
              <w:spacing w:after="0"/>
              <w:jc w:val="center"/>
              <w:rPr>
                <w:rFonts w:ascii="Arial Narrow" w:hAnsi="Arial Narrow"/>
                <w:bCs/>
                <w:sz w:val="20"/>
              </w:rPr>
            </w:pPr>
            <w:r w:rsidRPr="009D49ED">
              <w:rPr>
                <w:rFonts w:ascii="Arial Narrow" w:hAnsi="Arial Narrow"/>
                <w:bCs/>
                <w:sz w:val="20"/>
              </w:rPr>
              <w:t>0.88</w:t>
            </w:r>
          </w:p>
        </w:tc>
        <w:tc>
          <w:tcPr>
            <w:tcW w:w="625" w:type="dxa"/>
            <w:shd w:val="clear" w:color="auto" w:fill="FFFFFF" w:themeFill="background1"/>
            <w:noWrap/>
            <w:tcMar>
              <w:left w:w="57" w:type="dxa"/>
              <w:right w:w="57" w:type="dxa"/>
            </w:tcMar>
            <w:vAlign w:val="center"/>
          </w:tcPr>
          <w:p w14:paraId="53C13DF0" w14:textId="77777777" w:rsidR="00A84742" w:rsidRPr="009D49ED" w:rsidRDefault="00A84742" w:rsidP="00A84742">
            <w:pPr>
              <w:spacing w:after="0"/>
              <w:jc w:val="center"/>
              <w:rPr>
                <w:rFonts w:ascii="Arial Narrow" w:hAnsi="Arial Narrow"/>
                <w:bCs/>
                <w:sz w:val="20"/>
              </w:rPr>
            </w:pPr>
            <w:r w:rsidRPr="009D49ED">
              <w:rPr>
                <w:rFonts w:ascii="Arial Narrow" w:hAnsi="Arial Narrow"/>
                <w:bCs/>
                <w:sz w:val="20"/>
              </w:rPr>
              <w:t>0.01</w:t>
            </w:r>
          </w:p>
        </w:tc>
        <w:tc>
          <w:tcPr>
            <w:tcW w:w="625" w:type="dxa"/>
            <w:shd w:val="clear" w:color="auto" w:fill="FFFFFF" w:themeFill="background1"/>
            <w:noWrap/>
            <w:tcMar>
              <w:left w:w="57" w:type="dxa"/>
              <w:right w:w="57" w:type="dxa"/>
            </w:tcMar>
            <w:vAlign w:val="center"/>
          </w:tcPr>
          <w:p w14:paraId="53C13DF1" w14:textId="77777777" w:rsidR="00A84742" w:rsidRPr="009D49ED" w:rsidRDefault="00A84742" w:rsidP="00A84742">
            <w:pPr>
              <w:spacing w:after="0"/>
              <w:jc w:val="center"/>
              <w:rPr>
                <w:rFonts w:ascii="Arial Narrow" w:hAnsi="Arial Narrow"/>
                <w:bCs/>
                <w:sz w:val="20"/>
              </w:rPr>
            </w:pPr>
            <w:r w:rsidRPr="009D49ED">
              <w:rPr>
                <w:rFonts w:ascii="Arial Narrow" w:hAnsi="Arial Narrow"/>
                <w:bCs/>
                <w:sz w:val="20"/>
              </w:rPr>
              <w:t>0.54</w:t>
            </w:r>
          </w:p>
        </w:tc>
        <w:tc>
          <w:tcPr>
            <w:tcW w:w="625" w:type="dxa"/>
            <w:shd w:val="clear" w:color="auto" w:fill="DA9694"/>
            <w:noWrap/>
            <w:tcMar>
              <w:left w:w="57" w:type="dxa"/>
              <w:right w:w="57" w:type="dxa"/>
            </w:tcMar>
            <w:vAlign w:val="center"/>
          </w:tcPr>
          <w:p w14:paraId="53C13DF2" w14:textId="77777777" w:rsidR="00A84742" w:rsidRPr="009D49ED" w:rsidRDefault="00A84742" w:rsidP="00A84742">
            <w:pPr>
              <w:spacing w:after="0"/>
              <w:jc w:val="center"/>
              <w:rPr>
                <w:rFonts w:ascii="Arial Narrow" w:hAnsi="Arial Narrow"/>
                <w:bCs/>
                <w:sz w:val="20"/>
              </w:rPr>
            </w:pPr>
            <w:r w:rsidRPr="009D49ED">
              <w:rPr>
                <w:rFonts w:ascii="Arial Narrow" w:hAnsi="Arial Narrow"/>
                <w:bCs/>
                <w:sz w:val="20"/>
              </w:rPr>
              <w:t>-0.59</w:t>
            </w:r>
          </w:p>
        </w:tc>
        <w:tc>
          <w:tcPr>
            <w:tcW w:w="626" w:type="dxa"/>
            <w:shd w:val="clear" w:color="auto" w:fill="DA9694"/>
            <w:noWrap/>
            <w:tcMar>
              <w:left w:w="57" w:type="dxa"/>
              <w:right w:w="57" w:type="dxa"/>
            </w:tcMar>
            <w:vAlign w:val="center"/>
          </w:tcPr>
          <w:p w14:paraId="53C13DF3" w14:textId="77777777" w:rsidR="00A84742" w:rsidRPr="009D49ED" w:rsidRDefault="00A84742" w:rsidP="00A84742">
            <w:pPr>
              <w:spacing w:after="0"/>
              <w:jc w:val="center"/>
              <w:rPr>
                <w:rFonts w:ascii="Arial Narrow" w:hAnsi="Arial Narrow"/>
                <w:bCs/>
                <w:sz w:val="20"/>
              </w:rPr>
            </w:pPr>
            <w:r w:rsidRPr="009D49ED">
              <w:rPr>
                <w:rFonts w:ascii="Arial Narrow" w:hAnsi="Arial Narrow"/>
                <w:bCs/>
                <w:sz w:val="20"/>
              </w:rPr>
              <w:t>0.90</w:t>
            </w:r>
          </w:p>
        </w:tc>
        <w:tc>
          <w:tcPr>
            <w:tcW w:w="625" w:type="dxa"/>
            <w:shd w:val="clear" w:color="auto" w:fill="C6D9F1" w:themeFill="text2" w:themeFillTint="33"/>
            <w:noWrap/>
            <w:tcMar>
              <w:left w:w="57" w:type="dxa"/>
              <w:right w:w="57" w:type="dxa"/>
            </w:tcMar>
            <w:vAlign w:val="center"/>
          </w:tcPr>
          <w:p w14:paraId="53C13DF4" w14:textId="77777777" w:rsidR="00A84742" w:rsidRPr="009D49ED" w:rsidRDefault="00A84742" w:rsidP="00A84742">
            <w:pPr>
              <w:spacing w:after="0"/>
              <w:jc w:val="center"/>
              <w:rPr>
                <w:rFonts w:ascii="Arial Narrow" w:hAnsi="Arial Narrow"/>
                <w:bCs/>
                <w:sz w:val="20"/>
              </w:rPr>
            </w:pPr>
            <w:r w:rsidRPr="009D49ED">
              <w:rPr>
                <w:rFonts w:ascii="Arial Narrow" w:hAnsi="Arial Narrow"/>
                <w:bCs/>
                <w:sz w:val="20"/>
              </w:rPr>
              <w:t>0.20</w:t>
            </w:r>
          </w:p>
        </w:tc>
        <w:tc>
          <w:tcPr>
            <w:tcW w:w="625" w:type="dxa"/>
            <w:shd w:val="clear" w:color="auto" w:fill="C6D9F1" w:themeFill="text2" w:themeFillTint="33"/>
            <w:noWrap/>
            <w:tcMar>
              <w:left w:w="57" w:type="dxa"/>
              <w:right w:w="57" w:type="dxa"/>
            </w:tcMar>
            <w:vAlign w:val="center"/>
          </w:tcPr>
          <w:p w14:paraId="53C13DF5" w14:textId="77777777" w:rsidR="00A84742" w:rsidRPr="009D49ED" w:rsidRDefault="00A84742" w:rsidP="00A84742">
            <w:pPr>
              <w:spacing w:after="0"/>
              <w:jc w:val="center"/>
              <w:rPr>
                <w:rFonts w:ascii="Arial Narrow" w:hAnsi="Arial Narrow"/>
                <w:bCs/>
                <w:sz w:val="20"/>
              </w:rPr>
            </w:pPr>
            <w:r w:rsidRPr="009D49ED">
              <w:rPr>
                <w:rFonts w:ascii="Arial Narrow" w:hAnsi="Arial Narrow"/>
                <w:bCs/>
                <w:sz w:val="20"/>
              </w:rPr>
              <w:t>0.75</w:t>
            </w:r>
          </w:p>
        </w:tc>
        <w:tc>
          <w:tcPr>
            <w:tcW w:w="625" w:type="dxa"/>
            <w:shd w:val="clear" w:color="auto" w:fill="FFFFFF" w:themeFill="background1"/>
            <w:noWrap/>
            <w:tcMar>
              <w:left w:w="57" w:type="dxa"/>
              <w:right w:w="57" w:type="dxa"/>
            </w:tcMar>
            <w:vAlign w:val="center"/>
          </w:tcPr>
          <w:p w14:paraId="53C13DF6" w14:textId="77777777" w:rsidR="00A84742" w:rsidRPr="009D49ED" w:rsidRDefault="00A84742" w:rsidP="00A84742">
            <w:pPr>
              <w:spacing w:after="0"/>
              <w:jc w:val="center"/>
              <w:rPr>
                <w:rFonts w:ascii="Arial Narrow" w:hAnsi="Arial Narrow"/>
                <w:bCs/>
                <w:sz w:val="20"/>
              </w:rPr>
            </w:pPr>
            <w:r w:rsidRPr="009D49ED">
              <w:rPr>
                <w:rFonts w:ascii="Arial Narrow" w:hAnsi="Arial Narrow"/>
                <w:bCs/>
                <w:sz w:val="20"/>
              </w:rPr>
              <w:t>-0.08</w:t>
            </w:r>
          </w:p>
        </w:tc>
        <w:tc>
          <w:tcPr>
            <w:tcW w:w="625" w:type="dxa"/>
            <w:shd w:val="clear" w:color="auto" w:fill="FFFFFF" w:themeFill="background1"/>
            <w:noWrap/>
            <w:tcMar>
              <w:left w:w="57" w:type="dxa"/>
              <w:right w:w="57" w:type="dxa"/>
            </w:tcMar>
            <w:vAlign w:val="center"/>
          </w:tcPr>
          <w:p w14:paraId="53C13DF7" w14:textId="77777777" w:rsidR="00A84742" w:rsidRPr="009D49ED" w:rsidRDefault="00A84742" w:rsidP="00A84742">
            <w:pPr>
              <w:spacing w:after="0"/>
              <w:jc w:val="center"/>
              <w:rPr>
                <w:rFonts w:ascii="Arial Narrow" w:hAnsi="Arial Narrow"/>
                <w:bCs/>
                <w:sz w:val="20"/>
              </w:rPr>
            </w:pPr>
            <w:r w:rsidRPr="009D49ED">
              <w:rPr>
                <w:rFonts w:ascii="Arial Narrow" w:hAnsi="Arial Narrow"/>
                <w:bCs/>
                <w:sz w:val="20"/>
              </w:rPr>
              <w:t>0.60</w:t>
            </w:r>
          </w:p>
        </w:tc>
        <w:tc>
          <w:tcPr>
            <w:tcW w:w="625" w:type="dxa"/>
            <w:shd w:val="clear" w:color="auto" w:fill="F2DBDB" w:themeFill="accent2" w:themeFillTint="33"/>
            <w:noWrap/>
            <w:tcMar>
              <w:left w:w="57" w:type="dxa"/>
              <w:right w:w="57" w:type="dxa"/>
            </w:tcMar>
            <w:vAlign w:val="center"/>
          </w:tcPr>
          <w:p w14:paraId="53C13DF8" w14:textId="77777777" w:rsidR="00A84742" w:rsidRPr="009D49ED" w:rsidRDefault="00A84742" w:rsidP="00A84742">
            <w:pPr>
              <w:spacing w:after="0"/>
              <w:jc w:val="center"/>
              <w:rPr>
                <w:rFonts w:ascii="Arial Narrow" w:hAnsi="Arial Narrow"/>
                <w:bCs/>
                <w:sz w:val="20"/>
              </w:rPr>
            </w:pPr>
            <w:r w:rsidRPr="009D49ED">
              <w:rPr>
                <w:rFonts w:ascii="Arial Narrow" w:hAnsi="Arial Narrow"/>
                <w:bCs/>
                <w:sz w:val="20"/>
              </w:rPr>
              <w:t>-0.13</w:t>
            </w:r>
          </w:p>
        </w:tc>
        <w:tc>
          <w:tcPr>
            <w:tcW w:w="626" w:type="dxa"/>
            <w:shd w:val="clear" w:color="auto" w:fill="F2DBDB" w:themeFill="accent2" w:themeFillTint="33"/>
            <w:noWrap/>
            <w:tcMar>
              <w:left w:w="57" w:type="dxa"/>
              <w:right w:w="57" w:type="dxa"/>
            </w:tcMar>
            <w:vAlign w:val="center"/>
          </w:tcPr>
          <w:p w14:paraId="53C13DF9" w14:textId="77777777" w:rsidR="00A84742" w:rsidRPr="009D49ED" w:rsidRDefault="00A84742" w:rsidP="00A84742">
            <w:pPr>
              <w:spacing w:after="0"/>
              <w:jc w:val="right"/>
              <w:rPr>
                <w:rFonts w:ascii="Arial Narrow" w:hAnsi="Arial Narrow"/>
                <w:bCs/>
                <w:sz w:val="20"/>
              </w:rPr>
            </w:pPr>
            <w:r w:rsidRPr="009D49ED">
              <w:rPr>
                <w:rFonts w:ascii="Arial Narrow" w:hAnsi="Arial Narrow"/>
                <w:bCs/>
                <w:sz w:val="20"/>
              </w:rPr>
              <w:t>0.70</w:t>
            </w:r>
          </w:p>
        </w:tc>
      </w:tr>
      <w:tr w:rsidR="009D49ED" w:rsidRPr="009D49ED" w14:paraId="53C13E09" w14:textId="77777777" w:rsidTr="009D49ED">
        <w:trPr>
          <w:cantSplit/>
          <w:trHeight w:hRule="exact" w:val="301"/>
        </w:trPr>
        <w:tc>
          <w:tcPr>
            <w:tcW w:w="1074" w:type="dxa"/>
            <w:vMerge w:val="restart"/>
            <w:shd w:val="clear" w:color="auto" w:fill="auto"/>
            <w:noWrap/>
            <w:tcMar>
              <w:left w:w="57" w:type="dxa"/>
              <w:right w:w="57" w:type="dxa"/>
            </w:tcMar>
            <w:vAlign w:val="center"/>
          </w:tcPr>
          <w:p w14:paraId="53C13DFB" w14:textId="77777777" w:rsidR="009D49ED" w:rsidRPr="009D49ED" w:rsidRDefault="009D49ED" w:rsidP="009D49ED">
            <w:pPr>
              <w:spacing w:after="0"/>
              <w:rPr>
                <w:rFonts w:ascii="Arial Narrow" w:hAnsi="Arial Narrow"/>
                <w:bCs/>
                <w:sz w:val="20"/>
              </w:rPr>
            </w:pPr>
            <w:r w:rsidRPr="009D49ED">
              <w:rPr>
                <w:rFonts w:ascii="Arial Narrow" w:hAnsi="Arial Narrow"/>
                <w:bCs/>
                <w:sz w:val="20"/>
              </w:rPr>
              <w:t>2013 to 2019</w:t>
            </w:r>
          </w:p>
        </w:tc>
        <w:tc>
          <w:tcPr>
            <w:tcW w:w="350" w:type="dxa"/>
            <w:shd w:val="clear" w:color="auto" w:fill="auto"/>
            <w:noWrap/>
            <w:tcMar>
              <w:left w:w="57" w:type="dxa"/>
              <w:right w:w="57" w:type="dxa"/>
            </w:tcMar>
            <w:vAlign w:val="center"/>
          </w:tcPr>
          <w:p w14:paraId="53C13DFC" w14:textId="77777777" w:rsidR="009D49ED" w:rsidRPr="009D49ED" w:rsidRDefault="009D49ED" w:rsidP="009D49ED">
            <w:pPr>
              <w:spacing w:after="0"/>
              <w:jc w:val="center"/>
              <w:rPr>
                <w:rFonts w:ascii="Arial Narrow" w:hAnsi="Arial Narrow"/>
                <w:bCs/>
                <w:sz w:val="20"/>
              </w:rPr>
            </w:pPr>
            <w:r w:rsidRPr="009D49ED">
              <w:rPr>
                <w:rFonts w:ascii="Arial Narrow" w:hAnsi="Arial Narrow"/>
                <w:bCs/>
                <w:sz w:val="20"/>
              </w:rPr>
              <w:t>2</w:t>
            </w:r>
          </w:p>
        </w:tc>
        <w:tc>
          <w:tcPr>
            <w:tcW w:w="625" w:type="dxa"/>
            <w:shd w:val="clear" w:color="auto" w:fill="548DD4" w:themeFill="text2" w:themeFillTint="99"/>
            <w:noWrap/>
            <w:tcMar>
              <w:left w:w="57" w:type="dxa"/>
              <w:right w:w="57" w:type="dxa"/>
            </w:tcMar>
          </w:tcPr>
          <w:p w14:paraId="53C13DFD" w14:textId="77777777" w:rsidR="009D49ED" w:rsidRPr="009D49ED" w:rsidRDefault="009D49ED" w:rsidP="009D49ED">
            <w:pPr>
              <w:spacing w:after="0"/>
              <w:jc w:val="center"/>
              <w:rPr>
                <w:rFonts w:ascii="Arial Narrow" w:hAnsi="Arial Narrow" w:cstheme="minorHAnsi"/>
                <w:bCs/>
                <w:sz w:val="20"/>
                <w:szCs w:val="20"/>
              </w:rPr>
            </w:pPr>
            <w:r w:rsidRPr="009D49ED">
              <w:rPr>
                <w:rFonts w:ascii="Arial Narrow" w:hAnsi="Arial Narrow"/>
                <w:sz w:val="20"/>
                <w:szCs w:val="20"/>
              </w:rPr>
              <w:t>0.38</w:t>
            </w:r>
          </w:p>
        </w:tc>
        <w:tc>
          <w:tcPr>
            <w:tcW w:w="625" w:type="dxa"/>
            <w:shd w:val="clear" w:color="auto" w:fill="548DD4" w:themeFill="text2" w:themeFillTint="99"/>
            <w:noWrap/>
            <w:tcMar>
              <w:left w:w="57" w:type="dxa"/>
              <w:right w:w="57" w:type="dxa"/>
            </w:tcMar>
          </w:tcPr>
          <w:p w14:paraId="53C13DFE" w14:textId="77777777" w:rsidR="009D49ED" w:rsidRPr="009D49ED" w:rsidRDefault="009D49ED" w:rsidP="009D49ED">
            <w:pPr>
              <w:spacing w:after="0"/>
              <w:jc w:val="center"/>
              <w:rPr>
                <w:rFonts w:ascii="Arial Narrow" w:hAnsi="Arial Narrow" w:cstheme="minorHAnsi"/>
                <w:bCs/>
                <w:sz w:val="20"/>
                <w:szCs w:val="20"/>
              </w:rPr>
            </w:pPr>
            <w:r w:rsidRPr="009D49ED">
              <w:rPr>
                <w:rFonts w:ascii="Arial Narrow" w:hAnsi="Arial Narrow"/>
                <w:sz w:val="20"/>
                <w:szCs w:val="20"/>
              </w:rPr>
              <w:t>1.00</w:t>
            </w:r>
          </w:p>
        </w:tc>
        <w:tc>
          <w:tcPr>
            <w:tcW w:w="625" w:type="dxa"/>
            <w:shd w:val="clear" w:color="auto" w:fill="548DD4" w:themeFill="text2" w:themeFillTint="99"/>
            <w:noWrap/>
            <w:tcMar>
              <w:left w:w="57" w:type="dxa"/>
              <w:right w:w="57" w:type="dxa"/>
            </w:tcMar>
          </w:tcPr>
          <w:p w14:paraId="53C13DFF" w14:textId="77777777" w:rsidR="009D49ED" w:rsidRPr="009D49ED" w:rsidRDefault="009D49ED" w:rsidP="009D49ED">
            <w:pPr>
              <w:spacing w:after="0"/>
              <w:jc w:val="center"/>
              <w:rPr>
                <w:rFonts w:ascii="Arial Narrow" w:hAnsi="Arial Narrow" w:cstheme="minorHAnsi"/>
                <w:sz w:val="20"/>
                <w:szCs w:val="20"/>
              </w:rPr>
            </w:pPr>
            <w:r w:rsidRPr="009D49ED">
              <w:rPr>
                <w:rFonts w:ascii="Arial Narrow" w:hAnsi="Arial Narrow"/>
                <w:sz w:val="20"/>
                <w:szCs w:val="20"/>
              </w:rPr>
              <w:t>0.39</w:t>
            </w:r>
          </w:p>
        </w:tc>
        <w:tc>
          <w:tcPr>
            <w:tcW w:w="625" w:type="dxa"/>
            <w:shd w:val="clear" w:color="auto" w:fill="548DD4" w:themeFill="text2" w:themeFillTint="99"/>
            <w:noWrap/>
            <w:tcMar>
              <w:left w:w="57" w:type="dxa"/>
              <w:right w:w="57" w:type="dxa"/>
            </w:tcMar>
          </w:tcPr>
          <w:p w14:paraId="53C13E00" w14:textId="77777777" w:rsidR="009D49ED" w:rsidRPr="009D49ED" w:rsidRDefault="009D49ED" w:rsidP="009D49ED">
            <w:pPr>
              <w:spacing w:after="0"/>
              <w:jc w:val="center"/>
              <w:rPr>
                <w:rFonts w:ascii="Arial Narrow" w:hAnsi="Arial Narrow" w:cstheme="minorHAnsi"/>
                <w:sz w:val="20"/>
                <w:szCs w:val="20"/>
              </w:rPr>
            </w:pPr>
            <w:r w:rsidRPr="009D49ED">
              <w:rPr>
                <w:rFonts w:ascii="Arial Narrow" w:hAnsi="Arial Narrow"/>
                <w:sz w:val="20"/>
                <w:szCs w:val="20"/>
              </w:rPr>
              <w:t>1.00</w:t>
            </w:r>
          </w:p>
        </w:tc>
        <w:tc>
          <w:tcPr>
            <w:tcW w:w="625" w:type="dxa"/>
            <w:shd w:val="clear" w:color="auto" w:fill="C6D9F1" w:themeFill="text2" w:themeFillTint="33"/>
            <w:noWrap/>
            <w:tcMar>
              <w:left w:w="57" w:type="dxa"/>
              <w:right w:w="57" w:type="dxa"/>
            </w:tcMar>
          </w:tcPr>
          <w:p w14:paraId="53C13E01" w14:textId="77777777" w:rsidR="009D49ED" w:rsidRPr="009D49ED" w:rsidRDefault="009D49ED" w:rsidP="009D49ED">
            <w:pPr>
              <w:spacing w:after="0"/>
              <w:jc w:val="center"/>
              <w:rPr>
                <w:rFonts w:ascii="Arial Narrow" w:hAnsi="Arial Narrow" w:cstheme="minorHAnsi"/>
                <w:sz w:val="20"/>
                <w:szCs w:val="20"/>
              </w:rPr>
            </w:pPr>
            <w:r w:rsidRPr="009D49ED">
              <w:rPr>
                <w:rFonts w:ascii="Arial Narrow" w:hAnsi="Arial Narrow"/>
                <w:sz w:val="20"/>
                <w:szCs w:val="20"/>
              </w:rPr>
              <w:t>0.40</w:t>
            </w:r>
          </w:p>
        </w:tc>
        <w:tc>
          <w:tcPr>
            <w:tcW w:w="626" w:type="dxa"/>
            <w:shd w:val="clear" w:color="auto" w:fill="C6D9F1" w:themeFill="text2" w:themeFillTint="33"/>
            <w:noWrap/>
            <w:tcMar>
              <w:left w:w="57" w:type="dxa"/>
              <w:right w:w="57" w:type="dxa"/>
            </w:tcMar>
          </w:tcPr>
          <w:p w14:paraId="53C13E02" w14:textId="77777777" w:rsidR="009D49ED" w:rsidRPr="009D49ED" w:rsidRDefault="009D49ED" w:rsidP="009D49ED">
            <w:pPr>
              <w:spacing w:after="0"/>
              <w:jc w:val="center"/>
              <w:rPr>
                <w:rFonts w:ascii="Arial Narrow" w:hAnsi="Arial Narrow" w:cstheme="minorHAnsi"/>
                <w:sz w:val="20"/>
                <w:szCs w:val="20"/>
              </w:rPr>
            </w:pPr>
            <w:r w:rsidRPr="009D49ED">
              <w:rPr>
                <w:rFonts w:ascii="Arial Narrow" w:hAnsi="Arial Narrow"/>
                <w:sz w:val="20"/>
                <w:szCs w:val="20"/>
              </w:rPr>
              <w:t>0.79</w:t>
            </w:r>
          </w:p>
        </w:tc>
        <w:tc>
          <w:tcPr>
            <w:tcW w:w="625" w:type="dxa"/>
            <w:shd w:val="clear" w:color="auto" w:fill="auto"/>
            <w:noWrap/>
            <w:tcMar>
              <w:left w:w="57" w:type="dxa"/>
              <w:right w:w="57" w:type="dxa"/>
            </w:tcMar>
          </w:tcPr>
          <w:p w14:paraId="53C13E03" w14:textId="77777777" w:rsidR="009D49ED" w:rsidRPr="009D49ED" w:rsidRDefault="009D49ED" w:rsidP="009D49ED">
            <w:pPr>
              <w:spacing w:after="0"/>
              <w:jc w:val="center"/>
              <w:rPr>
                <w:rFonts w:ascii="Arial Narrow" w:hAnsi="Arial Narrow" w:cstheme="minorHAnsi"/>
                <w:sz w:val="20"/>
                <w:szCs w:val="20"/>
              </w:rPr>
            </w:pPr>
            <w:r w:rsidRPr="009D49ED">
              <w:rPr>
                <w:rFonts w:ascii="Arial Narrow" w:hAnsi="Arial Narrow"/>
                <w:sz w:val="20"/>
                <w:szCs w:val="20"/>
              </w:rPr>
              <w:t>0.04</w:t>
            </w:r>
          </w:p>
        </w:tc>
        <w:tc>
          <w:tcPr>
            <w:tcW w:w="625" w:type="dxa"/>
            <w:shd w:val="clear" w:color="auto" w:fill="auto"/>
            <w:noWrap/>
            <w:tcMar>
              <w:left w:w="57" w:type="dxa"/>
              <w:right w:w="57" w:type="dxa"/>
            </w:tcMar>
          </w:tcPr>
          <w:p w14:paraId="53C13E04" w14:textId="77777777" w:rsidR="009D49ED" w:rsidRPr="009D49ED" w:rsidRDefault="009D49ED" w:rsidP="009D49ED">
            <w:pPr>
              <w:spacing w:after="0"/>
              <w:jc w:val="center"/>
              <w:rPr>
                <w:rFonts w:ascii="Arial Narrow" w:hAnsi="Arial Narrow" w:cstheme="minorHAnsi"/>
                <w:sz w:val="20"/>
                <w:szCs w:val="20"/>
              </w:rPr>
            </w:pPr>
            <w:r w:rsidRPr="009D49ED">
              <w:rPr>
                <w:rFonts w:ascii="Arial Narrow" w:hAnsi="Arial Narrow"/>
                <w:sz w:val="20"/>
                <w:szCs w:val="20"/>
              </w:rPr>
              <w:t>0.58</w:t>
            </w:r>
          </w:p>
        </w:tc>
        <w:tc>
          <w:tcPr>
            <w:tcW w:w="625" w:type="dxa"/>
            <w:shd w:val="clear" w:color="auto" w:fill="548DD4" w:themeFill="text2" w:themeFillTint="99"/>
            <w:noWrap/>
            <w:tcMar>
              <w:left w:w="57" w:type="dxa"/>
              <w:right w:w="57" w:type="dxa"/>
            </w:tcMar>
          </w:tcPr>
          <w:p w14:paraId="53C13E05" w14:textId="77777777" w:rsidR="009D49ED" w:rsidRPr="009D49ED" w:rsidRDefault="009D49ED" w:rsidP="009D49ED">
            <w:pPr>
              <w:spacing w:after="0"/>
              <w:jc w:val="center"/>
              <w:rPr>
                <w:rFonts w:ascii="Arial Narrow" w:hAnsi="Arial Narrow" w:cstheme="minorHAnsi"/>
                <w:sz w:val="20"/>
                <w:szCs w:val="20"/>
              </w:rPr>
            </w:pPr>
            <w:r w:rsidRPr="009D49ED">
              <w:rPr>
                <w:rFonts w:ascii="Arial Narrow" w:hAnsi="Arial Narrow"/>
                <w:sz w:val="20"/>
                <w:szCs w:val="20"/>
              </w:rPr>
              <w:t>0.39</w:t>
            </w:r>
          </w:p>
        </w:tc>
        <w:tc>
          <w:tcPr>
            <w:tcW w:w="625" w:type="dxa"/>
            <w:shd w:val="clear" w:color="auto" w:fill="548DD4" w:themeFill="text2" w:themeFillTint="99"/>
            <w:noWrap/>
            <w:tcMar>
              <w:left w:w="57" w:type="dxa"/>
              <w:right w:w="57" w:type="dxa"/>
            </w:tcMar>
          </w:tcPr>
          <w:p w14:paraId="53C13E06" w14:textId="77777777" w:rsidR="009D49ED" w:rsidRPr="009D49ED" w:rsidRDefault="009D49ED" w:rsidP="009D49ED">
            <w:pPr>
              <w:spacing w:after="0"/>
              <w:jc w:val="center"/>
              <w:rPr>
                <w:rFonts w:ascii="Arial Narrow" w:hAnsi="Arial Narrow" w:cstheme="minorHAnsi"/>
                <w:sz w:val="20"/>
                <w:szCs w:val="20"/>
              </w:rPr>
            </w:pPr>
            <w:r w:rsidRPr="009D49ED">
              <w:rPr>
                <w:rFonts w:ascii="Arial Narrow" w:hAnsi="Arial Narrow"/>
                <w:sz w:val="20"/>
                <w:szCs w:val="20"/>
              </w:rPr>
              <w:t>0.99</w:t>
            </w:r>
          </w:p>
        </w:tc>
        <w:tc>
          <w:tcPr>
            <w:tcW w:w="625" w:type="dxa"/>
            <w:shd w:val="clear" w:color="auto" w:fill="8DB3E2" w:themeFill="text2" w:themeFillTint="66"/>
            <w:noWrap/>
            <w:tcMar>
              <w:left w:w="57" w:type="dxa"/>
              <w:right w:w="57" w:type="dxa"/>
            </w:tcMar>
          </w:tcPr>
          <w:p w14:paraId="53C13E07" w14:textId="77777777" w:rsidR="009D49ED" w:rsidRPr="009D49ED" w:rsidRDefault="009D49ED" w:rsidP="009D49ED">
            <w:pPr>
              <w:spacing w:after="0"/>
              <w:jc w:val="center"/>
              <w:rPr>
                <w:rFonts w:ascii="Arial Narrow" w:hAnsi="Arial Narrow" w:cstheme="minorHAnsi"/>
                <w:sz w:val="20"/>
                <w:szCs w:val="20"/>
              </w:rPr>
            </w:pPr>
            <w:r w:rsidRPr="009D49ED">
              <w:rPr>
                <w:rFonts w:ascii="Arial Narrow" w:hAnsi="Arial Narrow"/>
                <w:sz w:val="20"/>
                <w:szCs w:val="20"/>
              </w:rPr>
              <w:t>0.67</w:t>
            </w:r>
          </w:p>
        </w:tc>
        <w:tc>
          <w:tcPr>
            <w:tcW w:w="626" w:type="dxa"/>
            <w:shd w:val="clear" w:color="auto" w:fill="8DB3E2" w:themeFill="text2" w:themeFillTint="66"/>
            <w:noWrap/>
            <w:tcMar>
              <w:left w:w="57" w:type="dxa"/>
              <w:right w:w="57" w:type="dxa"/>
            </w:tcMar>
          </w:tcPr>
          <w:p w14:paraId="53C13E08" w14:textId="77777777" w:rsidR="009D49ED" w:rsidRPr="009D49ED" w:rsidRDefault="009D49ED" w:rsidP="009D49ED">
            <w:pPr>
              <w:spacing w:after="0"/>
              <w:jc w:val="center"/>
              <w:rPr>
                <w:rFonts w:ascii="Arial Narrow" w:hAnsi="Arial Narrow" w:cstheme="minorHAnsi"/>
                <w:sz w:val="20"/>
                <w:szCs w:val="20"/>
              </w:rPr>
            </w:pPr>
            <w:r w:rsidRPr="009D49ED">
              <w:rPr>
                <w:rFonts w:ascii="Arial Narrow" w:hAnsi="Arial Narrow"/>
                <w:sz w:val="20"/>
                <w:szCs w:val="20"/>
              </w:rPr>
              <w:t>0.99</w:t>
            </w:r>
          </w:p>
        </w:tc>
      </w:tr>
      <w:tr w:rsidR="009D49ED" w:rsidRPr="009D49ED" w14:paraId="53C13E18" w14:textId="77777777" w:rsidTr="009D49ED">
        <w:trPr>
          <w:cantSplit/>
          <w:trHeight w:hRule="exact" w:val="301"/>
        </w:trPr>
        <w:tc>
          <w:tcPr>
            <w:tcW w:w="1074" w:type="dxa"/>
            <w:vMerge/>
            <w:shd w:val="clear" w:color="auto" w:fill="auto"/>
            <w:noWrap/>
            <w:tcMar>
              <w:left w:w="57" w:type="dxa"/>
              <w:right w:w="57" w:type="dxa"/>
            </w:tcMar>
            <w:vAlign w:val="center"/>
          </w:tcPr>
          <w:p w14:paraId="53C13E0A" w14:textId="77777777" w:rsidR="009D49ED" w:rsidRPr="009D49ED" w:rsidRDefault="009D49ED" w:rsidP="009D49ED">
            <w:pPr>
              <w:spacing w:after="0"/>
              <w:jc w:val="right"/>
              <w:rPr>
                <w:rFonts w:ascii="Arial Narrow" w:hAnsi="Arial Narrow"/>
                <w:bCs/>
                <w:sz w:val="20"/>
              </w:rPr>
            </w:pPr>
          </w:p>
        </w:tc>
        <w:tc>
          <w:tcPr>
            <w:tcW w:w="350" w:type="dxa"/>
            <w:shd w:val="clear" w:color="auto" w:fill="auto"/>
            <w:noWrap/>
            <w:tcMar>
              <w:left w:w="57" w:type="dxa"/>
              <w:right w:w="57" w:type="dxa"/>
            </w:tcMar>
            <w:vAlign w:val="center"/>
          </w:tcPr>
          <w:p w14:paraId="53C13E0B" w14:textId="77777777" w:rsidR="009D49ED" w:rsidRPr="009D49ED" w:rsidRDefault="009D49ED" w:rsidP="009D49ED">
            <w:pPr>
              <w:spacing w:after="0"/>
              <w:jc w:val="center"/>
              <w:rPr>
                <w:rFonts w:ascii="Arial Narrow" w:hAnsi="Arial Narrow"/>
                <w:bCs/>
                <w:sz w:val="20"/>
              </w:rPr>
            </w:pPr>
            <w:r w:rsidRPr="009D49ED">
              <w:rPr>
                <w:rFonts w:ascii="Arial Narrow" w:hAnsi="Arial Narrow"/>
                <w:bCs/>
                <w:sz w:val="20"/>
              </w:rPr>
              <w:t>5</w:t>
            </w:r>
          </w:p>
        </w:tc>
        <w:tc>
          <w:tcPr>
            <w:tcW w:w="625" w:type="dxa"/>
            <w:shd w:val="clear" w:color="auto" w:fill="548DD4" w:themeFill="text2" w:themeFillTint="99"/>
            <w:noWrap/>
            <w:tcMar>
              <w:left w:w="57" w:type="dxa"/>
              <w:right w:w="57" w:type="dxa"/>
            </w:tcMar>
          </w:tcPr>
          <w:p w14:paraId="53C13E0C" w14:textId="77777777" w:rsidR="009D49ED" w:rsidRPr="009D49ED" w:rsidRDefault="009D49ED" w:rsidP="009D49ED">
            <w:pPr>
              <w:spacing w:after="0"/>
              <w:jc w:val="center"/>
              <w:rPr>
                <w:rFonts w:ascii="Arial Narrow" w:hAnsi="Arial Narrow" w:cstheme="minorHAnsi"/>
                <w:bCs/>
                <w:sz w:val="20"/>
                <w:szCs w:val="20"/>
              </w:rPr>
            </w:pPr>
            <w:r w:rsidRPr="009D49ED">
              <w:rPr>
                <w:rFonts w:ascii="Arial Narrow" w:hAnsi="Arial Narrow"/>
                <w:sz w:val="20"/>
                <w:szCs w:val="20"/>
              </w:rPr>
              <w:t>0.32</w:t>
            </w:r>
          </w:p>
        </w:tc>
        <w:tc>
          <w:tcPr>
            <w:tcW w:w="625" w:type="dxa"/>
            <w:shd w:val="clear" w:color="auto" w:fill="548DD4" w:themeFill="text2" w:themeFillTint="99"/>
            <w:noWrap/>
            <w:tcMar>
              <w:left w:w="57" w:type="dxa"/>
              <w:right w:w="57" w:type="dxa"/>
            </w:tcMar>
          </w:tcPr>
          <w:p w14:paraId="53C13E0D" w14:textId="77777777" w:rsidR="009D49ED" w:rsidRPr="009D49ED" w:rsidRDefault="009D49ED" w:rsidP="009D49ED">
            <w:pPr>
              <w:spacing w:after="0"/>
              <w:jc w:val="center"/>
              <w:rPr>
                <w:rFonts w:ascii="Arial Narrow" w:hAnsi="Arial Narrow" w:cstheme="minorHAnsi"/>
                <w:bCs/>
                <w:sz w:val="20"/>
                <w:szCs w:val="20"/>
              </w:rPr>
            </w:pPr>
            <w:r w:rsidRPr="009D49ED">
              <w:rPr>
                <w:rFonts w:ascii="Arial Narrow" w:hAnsi="Arial Narrow"/>
                <w:sz w:val="20"/>
                <w:szCs w:val="20"/>
              </w:rPr>
              <w:t>1.00</w:t>
            </w:r>
          </w:p>
        </w:tc>
        <w:tc>
          <w:tcPr>
            <w:tcW w:w="625" w:type="dxa"/>
            <w:shd w:val="clear" w:color="auto" w:fill="548DD4" w:themeFill="text2" w:themeFillTint="99"/>
            <w:noWrap/>
            <w:tcMar>
              <w:left w:w="57" w:type="dxa"/>
              <w:right w:w="57" w:type="dxa"/>
            </w:tcMar>
          </w:tcPr>
          <w:p w14:paraId="53C13E0E" w14:textId="77777777" w:rsidR="009D49ED" w:rsidRPr="009D49ED" w:rsidRDefault="009D49ED" w:rsidP="009D49ED">
            <w:pPr>
              <w:spacing w:after="0"/>
              <w:jc w:val="center"/>
              <w:rPr>
                <w:rFonts w:ascii="Arial Narrow" w:hAnsi="Arial Narrow" w:cstheme="minorHAnsi"/>
                <w:sz w:val="20"/>
                <w:szCs w:val="20"/>
              </w:rPr>
            </w:pPr>
            <w:r w:rsidRPr="009D49ED">
              <w:rPr>
                <w:rFonts w:ascii="Arial Narrow" w:hAnsi="Arial Narrow"/>
                <w:sz w:val="20"/>
                <w:szCs w:val="20"/>
              </w:rPr>
              <w:t>0.32</w:t>
            </w:r>
          </w:p>
        </w:tc>
        <w:tc>
          <w:tcPr>
            <w:tcW w:w="625" w:type="dxa"/>
            <w:shd w:val="clear" w:color="auto" w:fill="548DD4" w:themeFill="text2" w:themeFillTint="99"/>
            <w:noWrap/>
            <w:tcMar>
              <w:left w:w="57" w:type="dxa"/>
              <w:right w:w="57" w:type="dxa"/>
            </w:tcMar>
          </w:tcPr>
          <w:p w14:paraId="53C13E0F" w14:textId="77777777" w:rsidR="009D49ED" w:rsidRPr="009D49ED" w:rsidRDefault="009D49ED" w:rsidP="009D49ED">
            <w:pPr>
              <w:spacing w:after="0"/>
              <w:jc w:val="center"/>
              <w:rPr>
                <w:rFonts w:ascii="Arial Narrow" w:hAnsi="Arial Narrow" w:cstheme="minorHAnsi"/>
                <w:sz w:val="20"/>
                <w:szCs w:val="20"/>
              </w:rPr>
            </w:pPr>
            <w:r w:rsidRPr="009D49ED">
              <w:rPr>
                <w:rFonts w:ascii="Arial Narrow" w:hAnsi="Arial Narrow"/>
                <w:sz w:val="20"/>
                <w:szCs w:val="20"/>
              </w:rPr>
              <w:t>0.99</w:t>
            </w:r>
          </w:p>
        </w:tc>
        <w:tc>
          <w:tcPr>
            <w:tcW w:w="625" w:type="dxa"/>
            <w:shd w:val="clear" w:color="auto" w:fill="auto"/>
            <w:noWrap/>
            <w:tcMar>
              <w:left w:w="57" w:type="dxa"/>
              <w:right w:w="57" w:type="dxa"/>
            </w:tcMar>
          </w:tcPr>
          <w:p w14:paraId="53C13E10" w14:textId="77777777" w:rsidR="009D49ED" w:rsidRPr="009D49ED" w:rsidRDefault="009D49ED" w:rsidP="009D49ED">
            <w:pPr>
              <w:spacing w:after="0"/>
              <w:jc w:val="center"/>
              <w:rPr>
                <w:rFonts w:ascii="Arial Narrow" w:hAnsi="Arial Narrow" w:cstheme="minorHAnsi"/>
                <w:sz w:val="20"/>
                <w:szCs w:val="20"/>
              </w:rPr>
            </w:pPr>
            <w:r w:rsidRPr="009D49ED">
              <w:rPr>
                <w:rFonts w:ascii="Arial Narrow" w:hAnsi="Arial Narrow"/>
                <w:sz w:val="20"/>
                <w:szCs w:val="20"/>
              </w:rPr>
              <w:t>0.29</w:t>
            </w:r>
          </w:p>
        </w:tc>
        <w:tc>
          <w:tcPr>
            <w:tcW w:w="626" w:type="dxa"/>
            <w:shd w:val="clear" w:color="auto" w:fill="FFFFFF" w:themeFill="background1"/>
            <w:noWrap/>
            <w:tcMar>
              <w:left w:w="57" w:type="dxa"/>
              <w:right w:w="57" w:type="dxa"/>
            </w:tcMar>
          </w:tcPr>
          <w:p w14:paraId="53C13E11" w14:textId="77777777" w:rsidR="009D49ED" w:rsidRPr="009D49ED" w:rsidRDefault="009D49ED" w:rsidP="009D49ED">
            <w:pPr>
              <w:spacing w:after="0"/>
              <w:jc w:val="center"/>
              <w:rPr>
                <w:rFonts w:ascii="Arial Narrow" w:hAnsi="Arial Narrow" w:cstheme="minorHAnsi"/>
                <w:sz w:val="20"/>
                <w:szCs w:val="20"/>
              </w:rPr>
            </w:pPr>
            <w:r w:rsidRPr="009D49ED">
              <w:rPr>
                <w:rFonts w:ascii="Arial Narrow" w:hAnsi="Arial Narrow"/>
                <w:sz w:val="20"/>
                <w:szCs w:val="20"/>
              </w:rPr>
              <w:t>0.67</w:t>
            </w:r>
          </w:p>
        </w:tc>
        <w:tc>
          <w:tcPr>
            <w:tcW w:w="625" w:type="dxa"/>
            <w:shd w:val="clear" w:color="auto" w:fill="C6D9F1" w:themeFill="text2" w:themeFillTint="33"/>
            <w:noWrap/>
            <w:tcMar>
              <w:left w:w="57" w:type="dxa"/>
              <w:right w:w="57" w:type="dxa"/>
            </w:tcMar>
          </w:tcPr>
          <w:p w14:paraId="53C13E12" w14:textId="77777777" w:rsidR="009D49ED" w:rsidRPr="009D49ED" w:rsidRDefault="009D49ED" w:rsidP="009D49ED">
            <w:pPr>
              <w:spacing w:after="0"/>
              <w:jc w:val="center"/>
              <w:rPr>
                <w:rFonts w:ascii="Arial Narrow" w:hAnsi="Arial Narrow" w:cstheme="minorHAnsi"/>
                <w:sz w:val="20"/>
                <w:szCs w:val="20"/>
              </w:rPr>
            </w:pPr>
            <w:r w:rsidRPr="009D49ED">
              <w:rPr>
                <w:rFonts w:ascii="Arial Narrow" w:hAnsi="Arial Narrow"/>
                <w:sz w:val="20"/>
                <w:szCs w:val="20"/>
              </w:rPr>
              <w:t>0.17</w:t>
            </w:r>
          </w:p>
        </w:tc>
        <w:tc>
          <w:tcPr>
            <w:tcW w:w="625" w:type="dxa"/>
            <w:shd w:val="clear" w:color="auto" w:fill="C6D9F1" w:themeFill="text2" w:themeFillTint="33"/>
            <w:noWrap/>
            <w:tcMar>
              <w:left w:w="57" w:type="dxa"/>
              <w:right w:w="57" w:type="dxa"/>
            </w:tcMar>
          </w:tcPr>
          <w:p w14:paraId="53C13E13" w14:textId="77777777" w:rsidR="009D49ED" w:rsidRPr="009D49ED" w:rsidRDefault="009D49ED" w:rsidP="009D49ED">
            <w:pPr>
              <w:spacing w:after="0"/>
              <w:jc w:val="center"/>
              <w:rPr>
                <w:rFonts w:ascii="Arial Narrow" w:hAnsi="Arial Narrow" w:cstheme="minorHAnsi"/>
                <w:sz w:val="20"/>
                <w:szCs w:val="20"/>
              </w:rPr>
            </w:pPr>
            <w:r w:rsidRPr="009D49ED">
              <w:rPr>
                <w:rFonts w:ascii="Arial Narrow" w:hAnsi="Arial Narrow"/>
                <w:sz w:val="20"/>
                <w:szCs w:val="20"/>
              </w:rPr>
              <w:t>0.73</w:t>
            </w:r>
          </w:p>
        </w:tc>
        <w:tc>
          <w:tcPr>
            <w:tcW w:w="625" w:type="dxa"/>
            <w:shd w:val="clear" w:color="auto" w:fill="548DD4" w:themeFill="text2" w:themeFillTint="99"/>
            <w:noWrap/>
            <w:tcMar>
              <w:left w:w="57" w:type="dxa"/>
              <w:right w:w="57" w:type="dxa"/>
            </w:tcMar>
          </w:tcPr>
          <w:p w14:paraId="53C13E14" w14:textId="77777777" w:rsidR="009D49ED" w:rsidRPr="009D49ED" w:rsidRDefault="009D49ED" w:rsidP="009D49ED">
            <w:pPr>
              <w:spacing w:after="0"/>
              <w:jc w:val="center"/>
              <w:rPr>
                <w:rFonts w:ascii="Arial Narrow" w:hAnsi="Arial Narrow" w:cstheme="minorHAnsi"/>
                <w:sz w:val="20"/>
                <w:szCs w:val="20"/>
              </w:rPr>
            </w:pPr>
            <w:r w:rsidRPr="009D49ED">
              <w:rPr>
                <w:rFonts w:ascii="Arial Narrow" w:hAnsi="Arial Narrow"/>
                <w:sz w:val="20"/>
                <w:szCs w:val="20"/>
              </w:rPr>
              <w:t>0.34</w:t>
            </w:r>
          </w:p>
        </w:tc>
        <w:tc>
          <w:tcPr>
            <w:tcW w:w="625" w:type="dxa"/>
            <w:shd w:val="clear" w:color="auto" w:fill="548DD4" w:themeFill="text2" w:themeFillTint="99"/>
            <w:noWrap/>
            <w:tcMar>
              <w:left w:w="57" w:type="dxa"/>
              <w:right w:w="57" w:type="dxa"/>
            </w:tcMar>
          </w:tcPr>
          <w:p w14:paraId="53C13E15" w14:textId="77777777" w:rsidR="009D49ED" w:rsidRPr="009D49ED" w:rsidRDefault="009D49ED" w:rsidP="009D49ED">
            <w:pPr>
              <w:spacing w:after="0"/>
              <w:jc w:val="center"/>
              <w:rPr>
                <w:rFonts w:ascii="Arial Narrow" w:hAnsi="Arial Narrow" w:cstheme="minorHAnsi"/>
                <w:sz w:val="20"/>
                <w:szCs w:val="20"/>
              </w:rPr>
            </w:pPr>
            <w:r w:rsidRPr="009D49ED">
              <w:rPr>
                <w:rFonts w:ascii="Arial Narrow" w:hAnsi="Arial Narrow"/>
                <w:sz w:val="20"/>
                <w:szCs w:val="20"/>
              </w:rPr>
              <w:t>0.96</w:t>
            </w:r>
          </w:p>
        </w:tc>
        <w:tc>
          <w:tcPr>
            <w:tcW w:w="625" w:type="dxa"/>
            <w:shd w:val="clear" w:color="auto" w:fill="548DD4" w:themeFill="text2" w:themeFillTint="99"/>
            <w:noWrap/>
            <w:tcMar>
              <w:left w:w="57" w:type="dxa"/>
              <w:right w:w="57" w:type="dxa"/>
            </w:tcMar>
          </w:tcPr>
          <w:p w14:paraId="53C13E16" w14:textId="77777777" w:rsidR="009D49ED" w:rsidRPr="009D49ED" w:rsidRDefault="009D49ED" w:rsidP="009D49ED">
            <w:pPr>
              <w:spacing w:after="0"/>
              <w:jc w:val="center"/>
              <w:rPr>
                <w:rFonts w:ascii="Arial Narrow" w:hAnsi="Arial Narrow" w:cstheme="minorHAnsi"/>
                <w:sz w:val="20"/>
                <w:szCs w:val="20"/>
              </w:rPr>
            </w:pPr>
            <w:r w:rsidRPr="009D49ED">
              <w:rPr>
                <w:rFonts w:ascii="Arial Narrow" w:hAnsi="Arial Narrow"/>
                <w:sz w:val="20"/>
                <w:szCs w:val="20"/>
              </w:rPr>
              <w:t>0.50</w:t>
            </w:r>
          </w:p>
        </w:tc>
        <w:tc>
          <w:tcPr>
            <w:tcW w:w="626" w:type="dxa"/>
            <w:shd w:val="clear" w:color="auto" w:fill="548DD4" w:themeFill="text2" w:themeFillTint="99"/>
            <w:noWrap/>
            <w:tcMar>
              <w:left w:w="57" w:type="dxa"/>
              <w:right w:w="57" w:type="dxa"/>
            </w:tcMar>
          </w:tcPr>
          <w:p w14:paraId="53C13E17" w14:textId="77777777" w:rsidR="009D49ED" w:rsidRPr="009D49ED" w:rsidRDefault="009D49ED" w:rsidP="009D49ED">
            <w:pPr>
              <w:spacing w:after="0"/>
              <w:jc w:val="center"/>
              <w:rPr>
                <w:rFonts w:ascii="Arial Narrow" w:hAnsi="Arial Narrow" w:cstheme="minorHAnsi"/>
                <w:sz w:val="20"/>
                <w:szCs w:val="20"/>
              </w:rPr>
            </w:pPr>
            <w:r w:rsidRPr="009D49ED">
              <w:rPr>
                <w:rFonts w:ascii="Arial Narrow" w:hAnsi="Arial Narrow"/>
                <w:sz w:val="20"/>
                <w:szCs w:val="20"/>
              </w:rPr>
              <w:t>1.00</w:t>
            </w:r>
          </w:p>
        </w:tc>
      </w:tr>
    </w:tbl>
    <w:p w14:paraId="53C13E19" w14:textId="77777777" w:rsidR="00A84742" w:rsidRPr="004B2398" w:rsidRDefault="00A84742" w:rsidP="00A84742">
      <w:pPr>
        <w:rPr>
          <w:color w:val="000000" w:themeColor="text1"/>
        </w:rPr>
      </w:pPr>
    </w:p>
    <w:p w14:paraId="53C13E1A" w14:textId="6990D787" w:rsidR="00C27439" w:rsidRDefault="00DA6B93" w:rsidP="00AD014A">
      <w:r>
        <w:t xml:space="preserve">Since monitoring began in 2005 </w:t>
      </w:r>
      <w:r w:rsidR="00AD014A" w:rsidRPr="00650FFE">
        <w:t xml:space="preserve">changes in the coral index identify </w:t>
      </w:r>
      <w:r>
        <w:t>a repeat sequence of disturbance and subsequent recovery.</w:t>
      </w:r>
      <w:r w:rsidR="00AD014A">
        <w:t xml:space="preserve"> C</w:t>
      </w:r>
      <w:r w:rsidR="00AD014A" w:rsidRPr="00650FFE">
        <w:t xml:space="preserve">yclone Larry in 2006 and </w:t>
      </w:r>
      <w:r w:rsidR="004D3DAD">
        <w:t>c</w:t>
      </w:r>
      <w:r w:rsidR="00AD014A" w:rsidRPr="00650FFE">
        <w:t xml:space="preserve">yclone Yasi in 2011 </w:t>
      </w:r>
      <w:r>
        <w:t xml:space="preserve">severely impacted coral communities with rapid recovery occurring in both instances </w:t>
      </w:r>
      <w:r w:rsidR="00AD014A" w:rsidRPr="00650FFE">
        <w:t>(</w:t>
      </w:r>
      <w:r w:rsidR="00AD014A" w:rsidRPr="00650FFE">
        <w:fldChar w:fldCharType="begin"/>
      </w:r>
      <w:r w:rsidR="00AD014A" w:rsidRPr="00650FFE">
        <w:instrText xml:space="preserve"> REF _Ref491267311 \h </w:instrText>
      </w:r>
      <w:r w:rsidR="00AD014A" w:rsidRPr="00650FFE">
        <w:fldChar w:fldCharType="separate"/>
      </w:r>
      <w:r w:rsidR="003053D1" w:rsidRPr="00AA6FF4">
        <w:t xml:space="preserve">Figure </w:t>
      </w:r>
      <w:r w:rsidR="003053D1">
        <w:rPr>
          <w:noProof/>
        </w:rPr>
        <w:t>22</w:t>
      </w:r>
      <w:r w:rsidR="00AD014A" w:rsidRPr="00650FFE">
        <w:fldChar w:fldCharType="end"/>
      </w:r>
      <w:r w:rsidR="00AD014A" w:rsidRPr="00650FFE">
        <w:t xml:space="preserve">a). The combined impacts of these cyclones account for </w:t>
      </w:r>
      <w:r w:rsidR="00C27439">
        <w:t>83</w:t>
      </w:r>
      <w:r w:rsidR="00AD014A" w:rsidRPr="00650FFE">
        <w:t xml:space="preserve">% of </w:t>
      </w:r>
      <w:r w:rsidR="00AD014A">
        <w:t xml:space="preserve">hard coral cover losses </w:t>
      </w:r>
      <w:r w:rsidR="00AD014A" w:rsidRPr="00650FFE">
        <w:t>since 2005 (</w:t>
      </w:r>
      <w:r w:rsidR="00AD014A" w:rsidRPr="00650FFE">
        <w:fldChar w:fldCharType="begin"/>
      </w:r>
      <w:r w:rsidR="00AD014A" w:rsidRPr="00650FFE">
        <w:instrText xml:space="preserve"> REF _Ref491267352 \h </w:instrText>
      </w:r>
      <w:r w:rsidR="00AD014A" w:rsidRPr="00650FFE">
        <w:fldChar w:fldCharType="separate"/>
      </w:r>
      <w:r w:rsidR="003053D1" w:rsidRPr="00CE4E0F">
        <w:t xml:space="preserve">Figure </w:t>
      </w:r>
      <w:r w:rsidR="003053D1">
        <w:rPr>
          <w:noProof/>
        </w:rPr>
        <w:t>21</w:t>
      </w:r>
      <w:r w:rsidR="00AD014A" w:rsidRPr="00650FFE">
        <w:fldChar w:fldCharType="end"/>
      </w:r>
      <w:r w:rsidR="00AD014A" w:rsidRPr="00650FFE">
        <w:t xml:space="preserve">e). </w:t>
      </w:r>
      <w:r w:rsidR="007C78D1">
        <w:t>At the three reefs samples in both 2005 and 2018 or 2019 coral cover was 36% representing a recovery to 86% of the 42% cover observed in 2005.</w:t>
      </w:r>
    </w:p>
    <w:p w14:paraId="53C13E1B" w14:textId="6624FDFF" w:rsidR="00AD014A" w:rsidRPr="00F3150D" w:rsidRDefault="00AD014A" w:rsidP="00AD014A">
      <w:r w:rsidRPr="00650FFE">
        <w:t>Of note is that following each cyclone, in addition to an immediate reduction, was a lagged decline in the index scores (</w:t>
      </w:r>
      <w:r w:rsidR="007C78D1">
        <w:fldChar w:fldCharType="begin"/>
      </w:r>
      <w:r w:rsidR="007C78D1">
        <w:instrText xml:space="preserve"> REF _Ref30753719 \h </w:instrText>
      </w:r>
      <w:r w:rsidR="007C78D1">
        <w:fldChar w:fldCharType="separate"/>
      </w:r>
      <w:r w:rsidR="003053D1">
        <w:t xml:space="preserve">Figure </w:t>
      </w:r>
      <w:r w:rsidR="003053D1">
        <w:rPr>
          <w:noProof/>
        </w:rPr>
        <w:t>20</w:t>
      </w:r>
      <w:r w:rsidR="007C78D1">
        <w:fldChar w:fldCharType="end"/>
      </w:r>
      <w:r w:rsidRPr="00650FFE">
        <w:t xml:space="preserve">). This lagged response reflects temporary improvement in the macroalgae indicator score in the first </w:t>
      </w:r>
      <w:r w:rsidR="00C27439" w:rsidRPr="00650FFE">
        <w:t>post</w:t>
      </w:r>
      <w:r w:rsidR="00C27439">
        <w:t>-</w:t>
      </w:r>
      <w:r w:rsidRPr="00650FFE">
        <w:t>cyclone survey (</w:t>
      </w:r>
      <w:r w:rsidRPr="00650FFE">
        <w:fldChar w:fldCharType="begin"/>
      </w:r>
      <w:r w:rsidRPr="00650FFE">
        <w:instrText xml:space="preserve"> REF _Ref491267311 \h </w:instrText>
      </w:r>
      <w:r w:rsidRPr="00650FFE">
        <w:fldChar w:fldCharType="separate"/>
      </w:r>
      <w:r w:rsidR="003053D1" w:rsidRPr="00AA6FF4">
        <w:t xml:space="preserve">Figure </w:t>
      </w:r>
      <w:r w:rsidR="003053D1">
        <w:rPr>
          <w:noProof/>
        </w:rPr>
        <w:t>22</w:t>
      </w:r>
      <w:r w:rsidRPr="00650FFE">
        <w:fldChar w:fldCharType="end"/>
      </w:r>
      <w:r w:rsidR="007C78D1">
        <w:t>d</w:t>
      </w:r>
      <w:r w:rsidRPr="00650FFE">
        <w:t>). During cyclones, macroalgae are stripped from the substrate, temporarily reducing their abundance. Subsequent colonisation of space made available to algae due to reduced coral cover results in a lagged impact on index scores.</w:t>
      </w:r>
    </w:p>
    <w:p w14:paraId="53C13E1C" w14:textId="0F087058" w:rsidR="00AD014A" w:rsidRPr="00CD3F65" w:rsidRDefault="00AD014A" w:rsidP="00AD014A">
      <w:r>
        <w:t>A strong contributor to the current score has been the rapid rate at which coral cover has recove</w:t>
      </w:r>
      <w:r w:rsidR="005B09D6">
        <w:t xml:space="preserve">red, </w:t>
      </w:r>
      <w:r>
        <w:t xml:space="preserve">influencing both the </w:t>
      </w:r>
      <w:r w:rsidR="005B09D6">
        <w:t>cover change</w:t>
      </w:r>
      <w:r>
        <w:t xml:space="preserve"> and coral cover indicators </w:t>
      </w:r>
      <w:r w:rsidRPr="00CD3F65">
        <w:t>(</w:t>
      </w:r>
      <w:r w:rsidR="007C78D1">
        <w:fldChar w:fldCharType="begin"/>
      </w:r>
      <w:r w:rsidR="007C78D1">
        <w:instrText xml:space="preserve"> REF _Ref30753719 \h </w:instrText>
      </w:r>
      <w:r w:rsidR="007C78D1">
        <w:fldChar w:fldCharType="separate"/>
      </w:r>
      <w:r w:rsidR="003053D1">
        <w:t xml:space="preserve">Figure </w:t>
      </w:r>
      <w:r w:rsidR="003053D1">
        <w:rPr>
          <w:noProof/>
        </w:rPr>
        <w:t>20</w:t>
      </w:r>
      <w:r w:rsidR="007C78D1">
        <w:fldChar w:fldCharType="end"/>
      </w:r>
      <w:r w:rsidRPr="00CD3F65">
        <w:t>)</w:t>
      </w:r>
      <w:r w:rsidRPr="00EC475C">
        <w:t xml:space="preserve">. </w:t>
      </w:r>
      <w:r>
        <w:t xml:space="preserve">In contrast </w:t>
      </w:r>
      <w:r w:rsidR="00EF5481">
        <w:t xml:space="preserve">there </w:t>
      </w:r>
      <w:r>
        <w:t>has been a decline in the density of juvenile corals (</w:t>
      </w:r>
      <w:r>
        <w:fldChar w:fldCharType="begin"/>
      </w:r>
      <w:r>
        <w:instrText xml:space="preserve"> REF _Ref491267311 \h </w:instrText>
      </w:r>
      <w:r>
        <w:fldChar w:fldCharType="separate"/>
      </w:r>
      <w:r w:rsidR="003053D1" w:rsidRPr="00AA6FF4">
        <w:t xml:space="preserve">Figure </w:t>
      </w:r>
      <w:r w:rsidR="003053D1">
        <w:rPr>
          <w:noProof/>
        </w:rPr>
        <w:t>22</w:t>
      </w:r>
      <w:r>
        <w:fldChar w:fldCharType="end"/>
      </w:r>
      <w:r w:rsidR="007C78D1">
        <w:t>c</w:t>
      </w:r>
      <w:r>
        <w:t>), although scores remain high across the sub-region (</w:t>
      </w:r>
      <w:r w:rsidR="007C78D1">
        <w:fldChar w:fldCharType="begin"/>
      </w:r>
      <w:r w:rsidR="007C78D1">
        <w:instrText xml:space="preserve"> REF _Ref30753719 \h </w:instrText>
      </w:r>
      <w:r w:rsidR="007C78D1">
        <w:fldChar w:fldCharType="separate"/>
      </w:r>
      <w:r w:rsidR="003053D1">
        <w:t xml:space="preserve">Figure </w:t>
      </w:r>
      <w:r w:rsidR="003053D1">
        <w:rPr>
          <w:noProof/>
        </w:rPr>
        <w:t>20</w:t>
      </w:r>
      <w:r w:rsidR="007C78D1">
        <w:fldChar w:fldCharType="end"/>
      </w:r>
      <w:r>
        <w:t xml:space="preserve">). The decline in juvenile densities reflects a reduction in </w:t>
      </w:r>
      <w:r w:rsidRPr="00BC17DF">
        <w:rPr>
          <w:i/>
        </w:rPr>
        <w:t>Turbinaria</w:t>
      </w:r>
      <w:r>
        <w:t xml:space="preserve"> rec</w:t>
      </w:r>
      <w:r w:rsidR="002D5BAC">
        <w:t xml:space="preserve">ruitment following </w:t>
      </w:r>
      <w:r>
        <w:t>an exceptionally high recruitment pulse</w:t>
      </w:r>
      <w:r w:rsidR="002D5BAC">
        <w:t xml:space="preserve"> in 2013</w:t>
      </w:r>
      <w:r>
        <w:t xml:space="preserve"> (</w:t>
      </w:r>
      <w:r>
        <w:fldChar w:fldCharType="begin"/>
      </w:r>
      <w:r>
        <w:instrText xml:space="preserve"> REF _Ref491267311 \h </w:instrText>
      </w:r>
      <w:r>
        <w:fldChar w:fldCharType="separate"/>
      </w:r>
      <w:r w:rsidR="003053D1" w:rsidRPr="00AA6FF4">
        <w:t xml:space="preserve">Figure </w:t>
      </w:r>
      <w:r w:rsidR="003053D1">
        <w:rPr>
          <w:noProof/>
        </w:rPr>
        <w:t>22</w:t>
      </w:r>
      <w:r>
        <w:fldChar w:fldCharType="end"/>
      </w:r>
      <w:r w:rsidR="007C78D1">
        <w:t>c</w:t>
      </w:r>
      <w:r>
        <w:t xml:space="preserve">, </w:t>
      </w:r>
      <w:r>
        <w:fldChar w:fldCharType="begin"/>
      </w:r>
      <w:r>
        <w:instrText xml:space="preserve"> REF _Ref528588974 \h </w:instrText>
      </w:r>
      <w:r>
        <w:fldChar w:fldCharType="separate"/>
      </w:r>
      <w:r w:rsidR="003053D1" w:rsidRPr="002445C4">
        <w:t xml:space="preserve">Figure A </w:t>
      </w:r>
      <w:r w:rsidR="003053D1">
        <w:rPr>
          <w:noProof/>
        </w:rPr>
        <w:t>3</w:t>
      </w:r>
      <w:r>
        <w:fldChar w:fldCharType="end"/>
      </w:r>
      <w:r>
        <w:t>) – it is not expected that this decline will have drastic implications for future recovery of these coral communities.</w:t>
      </w:r>
    </w:p>
    <w:p w14:paraId="53C13E1D" w14:textId="7678F828" w:rsidR="00AD014A" w:rsidRPr="00427EB9" w:rsidRDefault="00AD014A" w:rsidP="00AD014A">
      <w:r w:rsidRPr="00427EB9">
        <w:t xml:space="preserve">No </w:t>
      </w:r>
      <w:r w:rsidR="00C27439">
        <w:t>m</w:t>
      </w:r>
      <w:r w:rsidR="00C27439" w:rsidRPr="00427EB9">
        <w:t xml:space="preserve">ajor </w:t>
      </w:r>
      <w:r w:rsidRPr="00427EB9">
        <w:t>floods were observed across the region in 2019 (</w:t>
      </w:r>
      <w:r w:rsidRPr="00427EB9">
        <w:fldChar w:fldCharType="begin"/>
      </w:r>
      <w:r w:rsidRPr="00427EB9">
        <w:instrText xml:space="preserve"> REF _Ref491267352 \h </w:instrText>
      </w:r>
      <w:r w:rsidRPr="00427EB9">
        <w:fldChar w:fldCharType="separate"/>
      </w:r>
      <w:r w:rsidR="003053D1" w:rsidRPr="00CE4E0F">
        <w:t xml:space="preserve">Figure </w:t>
      </w:r>
      <w:r w:rsidR="003053D1">
        <w:rPr>
          <w:noProof/>
        </w:rPr>
        <w:t>21</w:t>
      </w:r>
      <w:r w:rsidRPr="00427EB9">
        <w:fldChar w:fldCharType="end"/>
      </w:r>
      <w:r w:rsidR="005B09D6">
        <w:t>d)</w:t>
      </w:r>
      <w:r w:rsidR="002D5BAC">
        <w:t xml:space="preserve"> with annual </w:t>
      </w:r>
      <w:r w:rsidRPr="00427EB9">
        <w:t xml:space="preserve">discharge </w:t>
      </w:r>
      <w:r w:rsidR="002D5BAC">
        <w:t xml:space="preserve">from adjacent catchments only a little </w:t>
      </w:r>
      <w:r w:rsidRPr="00427EB9">
        <w:t xml:space="preserve">over median </w:t>
      </w:r>
      <w:r w:rsidR="002D5BAC">
        <w:t>levels</w:t>
      </w:r>
      <w:r w:rsidRPr="00427EB9">
        <w:t xml:space="preserve">. </w:t>
      </w:r>
      <w:r>
        <w:t>No</w:t>
      </w:r>
      <w:r w:rsidRPr="00427EB9">
        <w:t xml:space="preserve"> direct impacts </w:t>
      </w:r>
      <w:r>
        <w:t xml:space="preserve">of flood waters </w:t>
      </w:r>
      <w:r w:rsidRPr="00427EB9">
        <w:t xml:space="preserve">were observed at the time of </w:t>
      </w:r>
      <w:r>
        <w:t xml:space="preserve">coral </w:t>
      </w:r>
      <w:r w:rsidRPr="00427EB9">
        <w:t>survey</w:t>
      </w:r>
      <w:r>
        <w:t>s</w:t>
      </w:r>
      <w:r w:rsidRPr="00427EB9">
        <w:t xml:space="preserve">. It is </w:t>
      </w:r>
      <w:r w:rsidRPr="00427EB9">
        <w:lastRenderedPageBreak/>
        <w:t xml:space="preserve">possible, however, that the continued poor performance of coral communities at Bedarra, the closest site to </w:t>
      </w:r>
      <w:r>
        <w:t>rivers</w:t>
      </w:r>
      <w:r w:rsidRPr="00427EB9">
        <w:t>, reflects regular exposure to low salinity waters</w:t>
      </w:r>
      <w:r>
        <w:t xml:space="preserve"> and/or </w:t>
      </w:r>
      <w:r w:rsidRPr="00427EB9">
        <w:t>poor water quality (</w:t>
      </w:r>
      <w:r w:rsidR="007C78D1">
        <w:fldChar w:fldCharType="begin"/>
      </w:r>
      <w:r w:rsidR="007C78D1">
        <w:instrText xml:space="preserve"> REF _Ref30754952 \h </w:instrText>
      </w:r>
      <w:r w:rsidR="007C78D1">
        <w:fldChar w:fldCharType="separate"/>
      </w:r>
      <w:r w:rsidR="003053D1">
        <w:t xml:space="preserve">Table A </w:t>
      </w:r>
      <w:r w:rsidR="003053D1">
        <w:rPr>
          <w:noProof/>
        </w:rPr>
        <w:t>9</w:t>
      </w:r>
      <w:r w:rsidR="007C78D1">
        <w:fldChar w:fldCharType="end"/>
      </w:r>
      <w:r w:rsidRPr="00427EB9">
        <w:t xml:space="preserve">, </w:t>
      </w:r>
      <w:r w:rsidRPr="00427EB9">
        <w:fldChar w:fldCharType="begin"/>
      </w:r>
      <w:r w:rsidRPr="00427EB9">
        <w:instrText xml:space="preserve"> REF _Ref491267352 \h </w:instrText>
      </w:r>
      <w:r w:rsidRPr="00427EB9">
        <w:fldChar w:fldCharType="separate"/>
      </w:r>
      <w:r w:rsidR="003053D1" w:rsidRPr="00CE4E0F">
        <w:t xml:space="preserve">Figure </w:t>
      </w:r>
      <w:r w:rsidR="003053D1">
        <w:rPr>
          <w:noProof/>
        </w:rPr>
        <w:t>21</w:t>
      </w:r>
      <w:r w:rsidRPr="00427EB9">
        <w:fldChar w:fldCharType="end"/>
      </w:r>
      <w:r w:rsidRPr="00427EB9">
        <w:t>a)</w:t>
      </w:r>
      <w:r>
        <w:t xml:space="preserve"> even in the absence of major floods</w:t>
      </w:r>
      <w:r w:rsidRPr="00427EB9">
        <w:t>.</w:t>
      </w:r>
    </w:p>
    <w:p w14:paraId="53C13E1E" w14:textId="77777777" w:rsidR="00A84742" w:rsidRPr="004B2398" w:rsidRDefault="00400C25" w:rsidP="00AD014A">
      <w:pPr>
        <w:rPr>
          <w:color w:val="000000" w:themeColor="text1"/>
        </w:rPr>
      </w:pPr>
      <w:r>
        <w:rPr>
          <w:noProof/>
          <w:color w:val="548DD4" w:themeColor="text2" w:themeTint="99"/>
          <w:lang w:eastAsia="en-AU"/>
        </w:rPr>
        <w:drawing>
          <wp:inline distT="0" distB="0" distL="0" distR="0" wp14:anchorId="53C15F54" wp14:editId="1E5D5CAD">
            <wp:extent cx="6120765" cy="6591300"/>
            <wp:effectExtent l="0" t="0" r="0" b="0"/>
            <wp:docPr id="32" name="Picture 32" descr="shows distribution of pressures since 2005. Includes temperature, river discharge and hard coral cover loss attribution. Body text provides details" title="Herbert Tully sub-region environmental press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Env_Tully.pn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6120765" cy="6591300"/>
                    </a:xfrm>
                    <a:prstGeom prst="rect">
                      <a:avLst/>
                    </a:prstGeom>
                  </pic:spPr>
                </pic:pic>
              </a:graphicData>
            </a:graphic>
          </wp:inline>
        </w:drawing>
      </w:r>
    </w:p>
    <w:p w14:paraId="53C13E1F" w14:textId="300637E7" w:rsidR="00B43DA3" w:rsidRPr="00CE4E0F" w:rsidRDefault="00A84742" w:rsidP="002B5296">
      <w:pPr>
        <w:pStyle w:val="Caption"/>
        <w:rPr>
          <w:rFonts w:ascii="Arial" w:hAnsi="Arial" w:cs="Arial"/>
          <w:i/>
          <w:vanish/>
          <w:specVanish/>
        </w:rPr>
      </w:pPr>
      <w:bookmarkStart w:id="360" w:name="_Ref491267352"/>
      <w:bookmarkStart w:id="361" w:name="_Toc35947171"/>
      <w:bookmarkStart w:id="362" w:name="_Ref438120434"/>
      <w:bookmarkStart w:id="363" w:name="_Toc437423853"/>
      <w:bookmarkStart w:id="364" w:name="_Toc437424032"/>
      <w:bookmarkStart w:id="365" w:name="_Toc437424300"/>
      <w:bookmarkStart w:id="366" w:name="_Toc437597633"/>
      <w:bookmarkStart w:id="367" w:name="_Toc530654915"/>
      <w:bookmarkStart w:id="368" w:name="_Toc534965123"/>
      <w:r w:rsidRPr="00CE4E0F">
        <w:lastRenderedPageBreak/>
        <w:t xml:space="preserve">Figure </w:t>
      </w:r>
      <w:r w:rsidR="005D7AC6" w:rsidRPr="00CE4E0F">
        <w:rPr>
          <w:noProof/>
        </w:rPr>
        <w:fldChar w:fldCharType="begin"/>
      </w:r>
      <w:r w:rsidR="005D7AC6" w:rsidRPr="00CE4E0F">
        <w:rPr>
          <w:noProof/>
        </w:rPr>
        <w:instrText xml:space="preserve"> SEQ Figure \* ARABIC </w:instrText>
      </w:r>
      <w:r w:rsidR="005D7AC6" w:rsidRPr="00CE4E0F">
        <w:rPr>
          <w:noProof/>
        </w:rPr>
        <w:fldChar w:fldCharType="separate"/>
      </w:r>
      <w:r w:rsidR="003053D1">
        <w:rPr>
          <w:noProof/>
        </w:rPr>
        <w:t>21</w:t>
      </w:r>
      <w:r w:rsidR="005D7AC6" w:rsidRPr="00CE4E0F">
        <w:rPr>
          <w:noProof/>
        </w:rPr>
        <w:fldChar w:fldCharType="end"/>
      </w:r>
      <w:bookmarkEnd w:id="360"/>
      <w:r w:rsidRPr="00CE4E0F">
        <w:t xml:space="preserve"> Herbert Tully sub-region environmental pressures</w:t>
      </w:r>
      <w:bookmarkEnd w:id="361"/>
    </w:p>
    <w:p w14:paraId="53C13E20" w14:textId="77777777" w:rsidR="00A84742" w:rsidRPr="0094743B" w:rsidRDefault="00B43DA3">
      <w:pPr>
        <w:pStyle w:val="Caption"/>
        <w:rPr>
          <w:rStyle w:val="IntenseReference"/>
        </w:rPr>
      </w:pPr>
      <w:r w:rsidRPr="0094743B">
        <w:rPr>
          <w:rStyle w:val="IntenseReference"/>
        </w:rPr>
        <w:t>.</w:t>
      </w:r>
      <w:bookmarkEnd w:id="362"/>
      <w:bookmarkEnd w:id="363"/>
      <w:bookmarkEnd w:id="364"/>
      <w:bookmarkEnd w:id="365"/>
      <w:bookmarkEnd w:id="366"/>
      <w:bookmarkEnd w:id="367"/>
      <w:bookmarkEnd w:id="368"/>
      <w:r w:rsidR="005B09D6" w:rsidRPr="0094743B">
        <w:rPr>
          <w:rStyle w:val="IntenseReference"/>
        </w:rPr>
        <w:t xml:space="preserve"> </w:t>
      </w:r>
      <w:r w:rsidR="00A84742" w:rsidRPr="0094743B">
        <w:rPr>
          <w:rStyle w:val="IntenseReference"/>
        </w:rPr>
        <w:t xml:space="preserve">Maps show location of monitoring sites, red symbols MMP, yellow symbols LTMP along with, a) mean chlorophyll a exceedance of wet season Guideline (0.63ugL-1) and b) mean Non Algal Particulate concentrations. Water quality data are mean levels over the period 2003–2018 (Chl) and 2003–2018 (NAP). c) Seasonally adjusted temperature deviation, timing of cyclones and storms indicated by black arrows, accumulated degree heating days over the summer period (1st of December – 31st March) as reported by BoM (black symbols) and derived from in situ loggers (grey symbols) d) Combined daily (blue) and annual (red) discharge for the Herbert, Murray and Tully </w:t>
      </w:r>
      <w:r w:rsidR="000D69E1" w:rsidRPr="0094743B">
        <w:rPr>
          <w:rStyle w:val="IntenseReference"/>
        </w:rPr>
        <w:t>basins</w:t>
      </w:r>
      <w:r w:rsidR="00A84742" w:rsidRPr="0094743B">
        <w:rPr>
          <w:rStyle w:val="IntenseReference"/>
        </w:rPr>
        <w:t>, red dashed line represents long-term median discharge (1986–2016). e) break-down of hard coral cover loss by disturbance type; length of bars represent</w:t>
      </w:r>
      <w:r w:rsidR="00126161" w:rsidRPr="0094743B">
        <w:rPr>
          <w:rStyle w:val="IntenseReference"/>
        </w:rPr>
        <w:t>s</w:t>
      </w:r>
      <w:r w:rsidR="00A84742" w:rsidRPr="0094743B">
        <w:rPr>
          <w:rStyle w:val="IntenseReference"/>
        </w:rPr>
        <w:t xml:space="preserve"> the mean loss of cover across all reefs.</w:t>
      </w:r>
    </w:p>
    <w:p w14:paraId="53C13E21" w14:textId="77777777" w:rsidR="00A84742" w:rsidRPr="004B2398" w:rsidRDefault="00A84742" w:rsidP="00A84742">
      <w:pPr>
        <w:rPr>
          <w:color w:val="000000" w:themeColor="text1"/>
        </w:rPr>
      </w:pPr>
    </w:p>
    <w:p w14:paraId="53C13E22" w14:textId="77777777" w:rsidR="00A84742" w:rsidRPr="004B2398" w:rsidRDefault="003E1937" w:rsidP="00A84742">
      <w:pPr>
        <w:rPr>
          <w:color w:val="000000" w:themeColor="text1"/>
        </w:rPr>
      </w:pPr>
      <w:r>
        <w:rPr>
          <w:noProof/>
          <w:color w:val="548DD4" w:themeColor="text2" w:themeTint="99"/>
          <w:lang w:eastAsia="en-AU"/>
        </w:rPr>
        <w:drawing>
          <wp:inline distT="0" distB="0" distL="0" distR="0" wp14:anchorId="53C15F56" wp14:editId="119A5768">
            <wp:extent cx="6120765" cy="5353050"/>
            <wp:effectExtent l="0" t="0" r="0" b="0"/>
            <wp:docPr id="7432" name="Picture 7432" descr="shows range of individual indicators since 2005 " title="Herbert Tully sub-region indicator tre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2" name="Tully_plots_noWQ.pn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6120765" cy="5353050"/>
                    </a:xfrm>
                    <a:prstGeom prst="rect">
                      <a:avLst/>
                    </a:prstGeom>
                  </pic:spPr>
                </pic:pic>
              </a:graphicData>
            </a:graphic>
          </wp:inline>
        </w:drawing>
      </w:r>
    </w:p>
    <w:p w14:paraId="53C13E23" w14:textId="77777777" w:rsidR="00A84742" w:rsidRPr="004B2398" w:rsidRDefault="00A84742" w:rsidP="00A84742">
      <w:pPr>
        <w:rPr>
          <w:color w:val="000000" w:themeColor="text1"/>
        </w:rPr>
      </w:pPr>
    </w:p>
    <w:p w14:paraId="53C13E24" w14:textId="11F881FA" w:rsidR="00B43DA3" w:rsidRPr="00AA6FF4" w:rsidRDefault="00A84742" w:rsidP="002B5296">
      <w:pPr>
        <w:pStyle w:val="Caption"/>
        <w:rPr>
          <w:rFonts w:ascii="Arial" w:hAnsi="Arial" w:cs="Arial"/>
          <w:i/>
          <w:vanish/>
          <w:specVanish/>
        </w:rPr>
      </w:pPr>
      <w:bookmarkStart w:id="369" w:name="_Ref491267311"/>
      <w:bookmarkStart w:id="370" w:name="_Toc35947172"/>
      <w:bookmarkStart w:id="371" w:name="_Ref438120452"/>
      <w:bookmarkStart w:id="372" w:name="_Toc437423854"/>
      <w:bookmarkStart w:id="373" w:name="_Toc437424033"/>
      <w:bookmarkStart w:id="374" w:name="_Toc437424302"/>
      <w:bookmarkStart w:id="375" w:name="_Toc437597635"/>
      <w:bookmarkStart w:id="376" w:name="_Toc530654916"/>
      <w:bookmarkStart w:id="377" w:name="_Toc534965124"/>
      <w:r w:rsidRPr="00AA6FF4">
        <w:t xml:space="preserve">Figure </w:t>
      </w:r>
      <w:r w:rsidR="005D7AC6" w:rsidRPr="00AA6FF4">
        <w:rPr>
          <w:noProof/>
        </w:rPr>
        <w:fldChar w:fldCharType="begin"/>
      </w:r>
      <w:r w:rsidR="005D7AC6" w:rsidRPr="00AA6FF4">
        <w:rPr>
          <w:noProof/>
        </w:rPr>
        <w:instrText xml:space="preserve"> SEQ Figure \* ARABIC </w:instrText>
      </w:r>
      <w:r w:rsidR="005D7AC6" w:rsidRPr="00AA6FF4">
        <w:rPr>
          <w:noProof/>
        </w:rPr>
        <w:fldChar w:fldCharType="separate"/>
      </w:r>
      <w:r w:rsidR="003053D1">
        <w:rPr>
          <w:noProof/>
        </w:rPr>
        <w:t>22</w:t>
      </w:r>
      <w:r w:rsidR="005D7AC6" w:rsidRPr="00AA6FF4">
        <w:rPr>
          <w:noProof/>
        </w:rPr>
        <w:fldChar w:fldCharType="end"/>
      </w:r>
      <w:bookmarkEnd w:id="369"/>
      <w:r w:rsidRPr="00AA6FF4">
        <w:t xml:space="preserve"> Herbert Tully sub-region indicator trends</w:t>
      </w:r>
      <w:bookmarkEnd w:id="370"/>
    </w:p>
    <w:p w14:paraId="53C13E25" w14:textId="77777777" w:rsidR="00A84742" w:rsidRPr="003E1937" w:rsidRDefault="00B43DA3">
      <w:pPr>
        <w:pStyle w:val="Caption"/>
        <w:rPr>
          <w:rStyle w:val="IntenseReference"/>
        </w:rPr>
      </w:pPr>
      <w:r w:rsidRPr="00AA6FF4">
        <w:t>.</w:t>
      </w:r>
      <w:bookmarkEnd w:id="371"/>
      <w:bookmarkEnd w:id="372"/>
      <w:bookmarkEnd w:id="373"/>
      <w:bookmarkEnd w:id="374"/>
      <w:bookmarkEnd w:id="375"/>
      <w:r w:rsidR="00A84742" w:rsidRPr="00AA6FF4">
        <w:t xml:space="preserve"> </w:t>
      </w:r>
      <w:r w:rsidR="00A84742" w:rsidRPr="003E1937">
        <w:rPr>
          <w:rStyle w:val="IntenseReference"/>
        </w:rPr>
        <w:t xml:space="preserve">a – </w:t>
      </w:r>
      <w:r w:rsidR="003E1937" w:rsidRPr="003E1937">
        <w:rPr>
          <w:rStyle w:val="IntenseReference"/>
        </w:rPr>
        <w:t>e</w:t>
      </w:r>
      <w:r w:rsidR="00A84742" w:rsidRPr="003E1937">
        <w:rPr>
          <w:rStyle w:val="IntenseReference"/>
        </w:rPr>
        <w:t>) trends in individual indicators, (blue lines) bound by 95% confidence intervals of those trends (shading), grey lines represent observed profiles at 5 m (dashed) and 2 m (solid) depths for individual reefs.</w:t>
      </w:r>
      <w:bookmarkEnd w:id="376"/>
      <w:bookmarkEnd w:id="377"/>
    </w:p>
    <w:p w14:paraId="53C13E26" w14:textId="77777777" w:rsidR="00B43DA3" w:rsidRPr="004B2398" w:rsidRDefault="00B43DA3" w:rsidP="00B43DA3">
      <w:pPr>
        <w:rPr>
          <w:color w:val="000000" w:themeColor="text1"/>
        </w:rPr>
      </w:pPr>
    </w:p>
    <w:p w14:paraId="63885068" w14:textId="77777777" w:rsidR="003053D1" w:rsidRDefault="00B43DA3" w:rsidP="002B5296">
      <w:r w:rsidRPr="00427EB9">
        <w:t>The coral sampling sites in this sub-region are primarily influenced by discharge from the Tully and Herbert rivers. All the coral monitoring sites in this sub-region are situated in nutrient rich (</w:t>
      </w:r>
      <w:r w:rsidR="007C78D1">
        <w:t xml:space="preserve">mean </w:t>
      </w:r>
      <w:r w:rsidR="006902D1" w:rsidRPr="00427EB9">
        <w:t xml:space="preserve">Chl </w:t>
      </w:r>
      <w:r w:rsidRPr="00427EB9">
        <w:rPr>
          <w:i/>
        </w:rPr>
        <w:t>a</w:t>
      </w:r>
      <w:r w:rsidRPr="00427EB9">
        <w:t xml:space="preserve"> concentration</w:t>
      </w:r>
      <w:r w:rsidR="007C78D1">
        <w:t>s</w:t>
      </w:r>
      <w:r w:rsidRPr="00427EB9">
        <w:t xml:space="preserve"> exceed the guideline) waters (</w:t>
      </w:r>
      <w:r w:rsidR="007C78D1">
        <w:fldChar w:fldCharType="begin"/>
      </w:r>
      <w:r w:rsidR="007C78D1">
        <w:instrText xml:space="preserve"> REF _Ref491267352 \h </w:instrText>
      </w:r>
      <w:r w:rsidR="007C78D1">
        <w:fldChar w:fldCharType="separate"/>
      </w:r>
      <w:r w:rsidR="003053D1" w:rsidRPr="00CE4E0F">
        <w:t xml:space="preserve">Figure </w:t>
      </w:r>
      <w:r w:rsidR="003053D1">
        <w:rPr>
          <w:noProof/>
        </w:rPr>
        <w:t>21</w:t>
      </w:r>
      <w:r w:rsidR="007C78D1">
        <w:fldChar w:fldCharType="end"/>
      </w:r>
      <w:r w:rsidR="007C78D1">
        <w:t>a</w:t>
      </w:r>
      <w:r w:rsidRPr="00427EB9">
        <w:t>,</w:t>
      </w:r>
      <w:r w:rsidR="007C78D1">
        <w:t xml:space="preserve"> </w:t>
      </w:r>
      <w:r w:rsidR="007C78D1">
        <w:fldChar w:fldCharType="begin"/>
      </w:r>
      <w:r w:rsidR="007C78D1">
        <w:instrText xml:space="preserve"> REF _Ref30754952 \h </w:instrText>
      </w:r>
      <w:r w:rsidR="007C78D1">
        <w:fldChar w:fldCharType="separate"/>
      </w:r>
      <w:r w:rsidR="003053D1">
        <w:t xml:space="preserve">Table A </w:t>
      </w:r>
      <w:r w:rsidR="003053D1">
        <w:rPr>
          <w:noProof/>
        </w:rPr>
        <w:t>9</w:t>
      </w:r>
      <w:r w:rsidR="007C78D1">
        <w:fldChar w:fldCharType="end"/>
      </w:r>
      <w:r w:rsidRPr="00427EB9">
        <w:t xml:space="preserve">). The combination of </w:t>
      </w:r>
      <w:r w:rsidR="007C78D1">
        <w:t xml:space="preserve">low </w:t>
      </w:r>
      <w:r w:rsidRPr="00427EB9">
        <w:t xml:space="preserve">turbidity and high nutrient availability is consistent with the </w:t>
      </w:r>
      <w:r w:rsidR="007C78D1" w:rsidRPr="00427EB9">
        <w:t>prevale</w:t>
      </w:r>
      <w:r w:rsidR="007C78D1">
        <w:t>n</w:t>
      </w:r>
      <w:r w:rsidR="007C78D1" w:rsidRPr="00427EB9">
        <w:t>ce</w:t>
      </w:r>
      <w:r w:rsidRPr="00427EB9">
        <w:t xml:space="preserve"> of macroalgae observed in the shallow depths at most reefs (</w:t>
      </w:r>
      <w:r w:rsidRPr="00427EB9">
        <w:fldChar w:fldCharType="begin"/>
      </w:r>
      <w:r w:rsidRPr="00427EB9">
        <w:instrText xml:space="preserve"> REF _Ref491267311 \h </w:instrText>
      </w:r>
      <w:r w:rsidRPr="00427EB9">
        <w:fldChar w:fldCharType="separate"/>
      </w:r>
      <w:r w:rsidR="003053D1" w:rsidRPr="00AA6FF4">
        <w:t xml:space="preserve">Figure </w:t>
      </w:r>
      <w:r w:rsidR="003053D1">
        <w:rPr>
          <w:noProof/>
        </w:rPr>
        <w:t>22</w:t>
      </w:r>
      <w:r w:rsidRPr="00427EB9">
        <w:fldChar w:fldCharType="end"/>
      </w:r>
      <w:r w:rsidR="007C78D1">
        <w:t>b</w:t>
      </w:r>
      <w:r w:rsidRPr="00427EB9">
        <w:t>,</w:t>
      </w:r>
      <w:r w:rsidR="007C78D1">
        <w:t xml:space="preserve"> </w:t>
      </w:r>
      <w:r w:rsidR="007C78D1">
        <w:fldChar w:fldCharType="begin"/>
      </w:r>
      <w:r w:rsidR="007C78D1">
        <w:instrText xml:space="preserve"> REF _Ref528588974 \h </w:instrText>
      </w:r>
      <w:r w:rsidR="007C78D1">
        <w:fldChar w:fldCharType="separate"/>
      </w:r>
      <w:r w:rsidR="003053D1" w:rsidRPr="002445C4">
        <w:t xml:space="preserve">Figure A </w:t>
      </w:r>
      <w:r w:rsidR="003053D1">
        <w:rPr>
          <w:noProof/>
        </w:rPr>
        <w:t>3</w:t>
      </w:r>
      <w:r w:rsidR="007C78D1">
        <w:fldChar w:fldCharType="end"/>
      </w:r>
      <w:r w:rsidR="002B5FFB">
        <w:t>) and reflected in the ongoing poor scores for both the long-term and short-term water quality index for this sub</w:t>
      </w:r>
      <w:r w:rsidR="008E17A4">
        <w:t>-</w:t>
      </w:r>
      <w:r w:rsidR="002B5FFB">
        <w:t>region</w:t>
      </w:r>
      <w:r w:rsidR="00FD160C">
        <w:t xml:space="preserve"> </w:t>
      </w:r>
      <w:r w:rsidR="002B5FFB">
        <w:t>(</w:t>
      </w:r>
      <w:r w:rsidR="00427E3C">
        <w:fldChar w:fldCharType="begin"/>
      </w:r>
      <w:r w:rsidR="00427E3C">
        <w:instrText xml:space="preserve"> REF _Ref48908537 \h </w:instrText>
      </w:r>
      <w:r w:rsidR="00427E3C">
        <w:fldChar w:fldCharType="separate"/>
      </w:r>
      <w:r w:rsidR="003053D1" w:rsidRPr="00D758C6">
        <w:t xml:space="preserve">Figure A </w:t>
      </w:r>
      <w:r w:rsidR="003053D1">
        <w:rPr>
          <w:noProof/>
        </w:rPr>
        <w:t>12</w:t>
      </w:r>
      <w:r w:rsidR="00427E3C">
        <w:fldChar w:fldCharType="end"/>
      </w:r>
      <w:r w:rsidR="002B5FFB">
        <w:fldChar w:fldCharType="begin"/>
      </w:r>
      <w:r w:rsidR="002B5FFB">
        <w:instrText xml:space="preserve"> REF _Ref528589238 \h </w:instrText>
      </w:r>
      <w:r w:rsidR="002B5FFB">
        <w:fldChar w:fldCharType="separate"/>
      </w:r>
    </w:p>
    <w:p w14:paraId="53C13E27" w14:textId="28684D26" w:rsidR="00B43DA3" w:rsidRDefault="003053D1" w:rsidP="00B43DA3">
      <w:r w:rsidRPr="00D758C6">
        <w:t xml:space="preserve">Figure A </w:t>
      </w:r>
      <w:r>
        <w:rPr>
          <w:noProof/>
        </w:rPr>
        <w:t>12</w:t>
      </w:r>
      <w:r w:rsidR="002B5FFB">
        <w:fldChar w:fldCharType="end"/>
      </w:r>
      <w:r w:rsidR="002B5FFB">
        <w:t>).</w:t>
      </w:r>
    </w:p>
    <w:p w14:paraId="53C13E28" w14:textId="77777777" w:rsidR="00AD014A" w:rsidRDefault="00AD014A">
      <w:pPr>
        <w:jc w:val="left"/>
      </w:pPr>
      <w:r>
        <w:br w:type="page"/>
      </w:r>
    </w:p>
    <w:p w14:paraId="53C13E29" w14:textId="77777777" w:rsidR="00A84742" w:rsidRPr="00CE4E0F" w:rsidRDefault="0096490D" w:rsidP="006F1D4F">
      <w:pPr>
        <w:pStyle w:val="Heading2"/>
      </w:pPr>
      <w:bookmarkStart w:id="378" w:name="_Toc437424409"/>
      <w:bookmarkStart w:id="379" w:name="_Toc437424533"/>
      <w:bookmarkStart w:id="380" w:name="_Toc437432464"/>
      <w:bookmarkStart w:id="381" w:name="_Toc437432537"/>
      <w:bookmarkStart w:id="382" w:name="_Toc526246917"/>
      <w:bookmarkStart w:id="383" w:name="_Toc530654970"/>
      <w:bookmarkStart w:id="384" w:name="_Toc35947124"/>
      <w:r w:rsidRPr="00CE4E0F">
        <w:lastRenderedPageBreak/>
        <w:t>Burdekin r</w:t>
      </w:r>
      <w:r w:rsidR="00A84742" w:rsidRPr="00CE4E0F">
        <w:t>egion</w:t>
      </w:r>
      <w:bookmarkEnd w:id="378"/>
      <w:bookmarkEnd w:id="379"/>
      <w:bookmarkEnd w:id="380"/>
      <w:bookmarkEnd w:id="381"/>
      <w:bookmarkEnd w:id="382"/>
      <w:bookmarkEnd w:id="383"/>
      <w:bookmarkEnd w:id="384"/>
    </w:p>
    <w:p w14:paraId="53C13E2A" w14:textId="3D70F31D" w:rsidR="005F5F2B" w:rsidRDefault="00A84742" w:rsidP="00A84742">
      <w:r w:rsidRPr="007005DC">
        <w:t>The coral condition index has remained stable and</w:t>
      </w:r>
      <w:r w:rsidR="00D31930">
        <w:t xml:space="preserve"> </w:t>
      </w:r>
      <w:r w:rsidR="00A13623">
        <w:t>categorised</w:t>
      </w:r>
      <w:r w:rsidR="00D31930">
        <w:t xml:space="preserve"> as</w:t>
      </w:r>
      <w:r w:rsidRPr="007005DC">
        <w:t xml:space="preserve"> </w:t>
      </w:r>
      <w:r w:rsidR="00893A04">
        <w:t>‘</w:t>
      </w:r>
      <w:r w:rsidRPr="007005DC">
        <w:t>moderate</w:t>
      </w:r>
      <w:r w:rsidR="00893A04">
        <w:t>’</w:t>
      </w:r>
      <w:r w:rsidRPr="007005DC">
        <w:t xml:space="preserve"> since 2016, which represents an improvement since 2013 (</w:t>
      </w:r>
      <w:r w:rsidR="007C78D1">
        <w:fldChar w:fldCharType="begin"/>
      </w:r>
      <w:r w:rsidR="007C78D1">
        <w:instrText xml:space="preserve"> REF _Ref30755419 \h </w:instrText>
      </w:r>
      <w:r w:rsidR="007C78D1">
        <w:fldChar w:fldCharType="separate"/>
      </w:r>
      <w:r w:rsidR="003053D1">
        <w:t xml:space="preserve">Figure </w:t>
      </w:r>
      <w:r w:rsidR="003053D1">
        <w:rPr>
          <w:noProof/>
        </w:rPr>
        <w:t>23</w:t>
      </w:r>
      <w:r w:rsidR="007C78D1">
        <w:fldChar w:fldCharType="end"/>
      </w:r>
      <w:r w:rsidR="007C78D1">
        <w:t xml:space="preserve">, </w:t>
      </w:r>
      <w:r w:rsidRPr="007005DC">
        <w:fldChar w:fldCharType="begin"/>
      </w:r>
      <w:r w:rsidRPr="007005DC">
        <w:instrText xml:space="preserve"> REF _Ref491336568 \h </w:instrText>
      </w:r>
      <w:r w:rsidRPr="007005DC">
        <w:fldChar w:fldCharType="separate"/>
      </w:r>
      <w:r w:rsidR="003053D1" w:rsidRPr="00DF2CE7">
        <w:t xml:space="preserve">Table </w:t>
      </w:r>
      <w:r w:rsidR="003053D1">
        <w:rPr>
          <w:noProof/>
        </w:rPr>
        <w:t>12</w:t>
      </w:r>
      <w:r w:rsidRPr="007005DC">
        <w:fldChar w:fldCharType="end"/>
      </w:r>
      <w:r w:rsidRPr="007005DC">
        <w:t xml:space="preserve">). </w:t>
      </w:r>
    </w:p>
    <w:p w14:paraId="53C13E2B" w14:textId="77777777" w:rsidR="00056503" w:rsidRDefault="00056503" w:rsidP="00A84742">
      <w:r>
        <w:rPr>
          <w:noProof/>
          <w:lang w:eastAsia="en-AU"/>
        </w:rPr>
        <w:drawing>
          <wp:inline distT="0" distB="0" distL="0" distR="0" wp14:anchorId="53C15F58" wp14:editId="32A88C1F">
            <wp:extent cx="6120765" cy="3268980"/>
            <wp:effectExtent l="0" t="0" r="0" b="7620"/>
            <wp:docPr id="7424" name="Picture 7424" descr="shows range of condition scores since 2005 from moderate to poor ending at moderate in this reporting year" title="Trends in Coral index and contributing indicator scores for the Burdekin 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4" name="Burd.worm.with.indicators.png"/>
                    <pic:cNvPicPr/>
                  </pic:nvPicPr>
                  <pic:blipFill rotWithShape="1">
                    <a:blip r:embed="rId55" cstate="print">
                      <a:extLst>
                        <a:ext uri="{28A0092B-C50C-407E-A947-70E740481C1C}">
                          <a14:useLocalDpi xmlns:a14="http://schemas.microsoft.com/office/drawing/2010/main" val="0"/>
                        </a:ext>
                      </a:extLst>
                    </a:blip>
                    <a:srcRect t="6536"/>
                    <a:stretch/>
                  </pic:blipFill>
                  <pic:spPr bwMode="auto">
                    <a:xfrm>
                      <a:off x="0" y="0"/>
                      <a:ext cx="6120765" cy="3268980"/>
                    </a:xfrm>
                    <a:prstGeom prst="rect">
                      <a:avLst/>
                    </a:prstGeom>
                    <a:ln>
                      <a:noFill/>
                    </a:ln>
                    <a:extLst>
                      <a:ext uri="{53640926-AAD7-44D8-BBD7-CCE9431645EC}">
                        <a14:shadowObscured xmlns:a14="http://schemas.microsoft.com/office/drawing/2010/main"/>
                      </a:ext>
                    </a:extLst>
                  </pic:spPr>
                </pic:pic>
              </a:graphicData>
            </a:graphic>
          </wp:inline>
        </w:drawing>
      </w:r>
    </w:p>
    <w:p w14:paraId="53C13E2C" w14:textId="4E9F54AA" w:rsidR="00F115AB" w:rsidRPr="0062064A" w:rsidRDefault="007C78D1" w:rsidP="002B5296">
      <w:pPr>
        <w:pStyle w:val="Caption"/>
        <w:rPr>
          <w:rStyle w:val="FigureChar"/>
          <w:rFonts w:eastAsia="SimSun"/>
          <w:vanish/>
          <w:specVanish/>
        </w:rPr>
      </w:pPr>
      <w:bookmarkStart w:id="385" w:name="_Ref30755419"/>
      <w:bookmarkStart w:id="386" w:name="_Ref30756672"/>
      <w:bookmarkStart w:id="387" w:name="_Toc35947173"/>
      <w:r>
        <w:t xml:space="preserve">Figure </w:t>
      </w:r>
      <w:r>
        <w:fldChar w:fldCharType="begin"/>
      </w:r>
      <w:r>
        <w:instrText xml:space="preserve"> SEQ Figure \* ARABIC </w:instrText>
      </w:r>
      <w:r>
        <w:fldChar w:fldCharType="separate"/>
      </w:r>
      <w:r w:rsidR="003053D1">
        <w:rPr>
          <w:noProof/>
        </w:rPr>
        <w:t>23</w:t>
      </w:r>
      <w:r>
        <w:fldChar w:fldCharType="end"/>
      </w:r>
      <w:bookmarkEnd w:id="385"/>
      <w:r>
        <w:t xml:space="preserve"> </w:t>
      </w:r>
      <w:r w:rsidR="00F115AB">
        <w:t>Trends in</w:t>
      </w:r>
      <w:r w:rsidR="00F115AB" w:rsidRPr="00AA24BD">
        <w:t xml:space="preserve"> Coral index</w:t>
      </w:r>
      <w:r w:rsidR="00F115AB">
        <w:t xml:space="preserve"> and</w:t>
      </w:r>
      <w:r w:rsidR="00F115AB" w:rsidRPr="00AA24BD">
        <w:t xml:space="preserve"> contributing indicator scores</w:t>
      </w:r>
      <w:r w:rsidR="00F115AB">
        <w:t xml:space="preserve"> for the Burdekin region</w:t>
      </w:r>
      <w:bookmarkEnd w:id="386"/>
      <w:bookmarkEnd w:id="387"/>
    </w:p>
    <w:p w14:paraId="53C13E2D" w14:textId="77777777" w:rsidR="00F115AB" w:rsidRPr="00AA24BD" w:rsidRDefault="00F115AB">
      <w:pPr>
        <w:pStyle w:val="Caption"/>
      </w:pPr>
      <w:r w:rsidRPr="00AA24BD">
        <w:t xml:space="preserve">. </w:t>
      </w:r>
      <w:r>
        <w:t>Coral index scores are coloured by report card categories: orange = ‘poor’, yellow=’moderate’. Error in index score derived from bootstrapped distributions of indicator scores at individual reefs.</w:t>
      </w:r>
    </w:p>
    <w:p w14:paraId="53C13E2E" w14:textId="300466EF" w:rsidR="007005DC" w:rsidRPr="00062DE0" w:rsidRDefault="007005DC" w:rsidP="00A84742">
      <w:r w:rsidRPr="007005DC">
        <w:t>Increase</w:t>
      </w:r>
      <w:r w:rsidR="007B1D90">
        <w:t>d</w:t>
      </w:r>
      <w:r w:rsidR="00A84742" w:rsidRPr="007005DC">
        <w:t xml:space="preserve"> indicator scores w</w:t>
      </w:r>
      <w:r w:rsidR="007B1D90">
        <w:t>ere</w:t>
      </w:r>
      <w:r w:rsidR="00A84742" w:rsidRPr="007005DC">
        <w:t xml:space="preserve"> most evident at 5 m depths </w:t>
      </w:r>
      <w:r w:rsidR="00BF657C">
        <w:t>w</w:t>
      </w:r>
      <w:r w:rsidR="00AD014A">
        <w:t xml:space="preserve">here </w:t>
      </w:r>
      <w:r w:rsidRPr="007005DC">
        <w:t xml:space="preserve">all indicators </w:t>
      </w:r>
      <w:r w:rsidR="00AD014A">
        <w:t xml:space="preserve">have shown </w:t>
      </w:r>
      <w:r w:rsidRPr="007005DC">
        <w:t>consistent improv</w:t>
      </w:r>
      <w:r w:rsidR="00AD014A">
        <w:t>ement</w:t>
      </w:r>
      <w:r w:rsidR="00A84742" w:rsidRPr="007005DC">
        <w:t xml:space="preserve"> (</w:t>
      </w:r>
      <w:r w:rsidR="00A84742" w:rsidRPr="007005DC">
        <w:fldChar w:fldCharType="begin"/>
      </w:r>
      <w:r w:rsidR="00A84742" w:rsidRPr="007005DC">
        <w:instrText xml:space="preserve"> REF _Ref491336568 \h </w:instrText>
      </w:r>
      <w:r w:rsidR="00A84742" w:rsidRPr="007005DC">
        <w:fldChar w:fldCharType="separate"/>
      </w:r>
      <w:r w:rsidR="003053D1" w:rsidRPr="00DF2CE7">
        <w:t xml:space="preserve">Table </w:t>
      </w:r>
      <w:r w:rsidR="003053D1">
        <w:rPr>
          <w:noProof/>
        </w:rPr>
        <w:t>12</w:t>
      </w:r>
      <w:r w:rsidR="00A84742" w:rsidRPr="007005DC">
        <w:fldChar w:fldCharType="end"/>
      </w:r>
      <w:r w:rsidR="00A84742" w:rsidRPr="007005DC">
        <w:t>).</w:t>
      </w:r>
      <w:r w:rsidR="00A84742" w:rsidRPr="00CE4E0F">
        <w:rPr>
          <w:color w:val="548DD4" w:themeColor="text2" w:themeTint="99"/>
        </w:rPr>
        <w:t xml:space="preserve"> </w:t>
      </w:r>
      <w:r w:rsidR="00062DE0">
        <w:t>At 2 m depths</w:t>
      </w:r>
      <w:r w:rsidR="00D31930">
        <w:t xml:space="preserve"> the continued improvement in the index since 2013 is driven </w:t>
      </w:r>
      <w:r w:rsidR="00AD014A">
        <w:t xml:space="preserve">most consistently by </w:t>
      </w:r>
      <w:r w:rsidR="00D31930">
        <w:t>the cora</w:t>
      </w:r>
      <w:r w:rsidR="00913C49">
        <w:t>l cover and composition metrics. T</w:t>
      </w:r>
      <w:r w:rsidR="00D31930">
        <w:t xml:space="preserve">he </w:t>
      </w:r>
      <w:r w:rsidR="005F5F2B">
        <w:t xml:space="preserve">other </w:t>
      </w:r>
      <w:r w:rsidR="00AD014A">
        <w:t>indicators have remained stable at the regional scale</w:t>
      </w:r>
      <w:r w:rsidR="00D31930">
        <w:t xml:space="preserve"> </w:t>
      </w:r>
      <w:r w:rsidR="00D31930" w:rsidRPr="007005DC">
        <w:t>(</w:t>
      </w:r>
      <w:r w:rsidR="00D31930" w:rsidRPr="007005DC">
        <w:fldChar w:fldCharType="begin"/>
      </w:r>
      <w:r w:rsidR="00D31930" w:rsidRPr="007005DC">
        <w:instrText xml:space="preserve"> REF _Ref491336568 \h </w:instrText>
      </w:r>
      <w:r w:rsidR="00D31930" w:rsidRPr="007005DC">
        <w:fldChar w:fldCharType="separate"/>
      </w:r>
      <w:r w:rsidR="003053D1" w:rsidRPr="00DF2CE7">
        <w:t xml:space="preserve">Table </w:t>
      </w:r>
      <w:r w:rsidR="003053D1">
        <w:rPr>
          <w:noProof/>
        </w:rPr>
        <w:t>12</w:t>
      </w:r>
      <w:r w:rsidR="00D31930" w:rsidRPr="007005DC">
        <w:fldChar w:fldCharType="end"/>
      </w:r>
      <w:r w:rsidR="00D31930">
        <w:t>).</w:t>
      </w:r>
    </w:p>
    <w:p w14:paraId="53C13E2F" w14:textId="144D60A3" w:rsidR="001541A6" w:rsidRDefault="00666C8A" w:rsidP="00A84742">
      <w:r>
        <w:t xml:space="preserve">Overall, </w:t>
      </w:r>
      <w:r w:rsidR="00BF657C" w:rsidRPr="007C72AF">
        <w:t xml:space="preserve">modest declines in macroalgae </w:t>
      </w:r>
      <w:r w:rsidR="001541A6">
        <w:t xml:space="preserve">cover </w:t>
      </w:r>
      <w:r w:rsidR="00BF657C" w:rsidRPr="007C72AF">
        <w:t>at reefs surveyed in 2019</w:t>
      </w:r>
      <w:r>
        <w:t xml:space="preserve"> </w:t>
      </w:r>
      <w:r w:rsidR="001541A6">
        <w:t xml:space="preserve">resulted in macroalgae scores </w:t>
      </w:r>
      <w:r w:rsidR="00913C49">
        <w:t xml:space="preserve">improving </w:t>
      </w:r>
      <w:r w:rsidR="002553FD">
        <w:t>within</w:t>
      </w:r>
      <w:r w:rsidR="001541A6">
        <w:t xml:space="preserve"> the </w:t>
      </w:r>
      <w:r w:rsidR="00E43880">
        <w:t>‘</w:t>
      </w:r>
      <w:r w:rsidR="002553FD">
        <w:t>poor</w:t>
      </w:r>
      <w:r w:rsidR="00E43880">
        <w:t>’</w:t>
      </w:r>
      <w:r w:rsidR="001541A6">
        <w:t xml:space="preserve"> range</w:t>
      </w:r>
      <w:r>
        <w:t xml:space="preserve"> </w:t>
      </w:r>
      <w:r w:rsidR="00F234C6">
        <w:t>(</w:t>
      </w:r>
      <w:r w:rsidR="00F234C6">
        <w:fldChar w:fldCharType="begin"/>
      </w:r>
      <w:r w:rsidR="00F234C6">
        <w:instrText xml:space="preserve"> REF _Ref30755419 \h </w:instrText>
      </w:r>
      <w:r w:rsidR="00F234C6">
        <w:fldChar w:fldCharType="separate"/>
      </w:r>
      <w:r w:rsidR="003053D1">
        <w:t xml:space="preserve">Figure </w:t>
      </w:r>
      <w:r w:rsidR="003053D1">
        <w:rPr>
          <w:noProof/>
        </w:rPr>
        <w:t>23</w:t>
      </w:r>
      <w:r w:rsidR="00F234C6">
        <w:fldChar w:fldCharType="end"/>
      </w:r>
      <w:r w:rsidR="00F234C6">
        <w:t>,</w:t>
      </w:r>
      <w:r w:rsidR="00427E3C">
        <w:t xml:space="preserve"> </w:t>
      </w:r>
      <w:r w:rsidR="00427E3C">
        <w:fldChar w:fldCharType="begin"/>
      </w:r>
      <w:r w:rsidR="00427E3C">
        <w:instrText xml:space="preserve"> REF _Ref491336593 \h </w:instrText>
      </w:r>
      <w:r w:rsidR="00427E3C">
        <w:fldChar w:fldCharType="separate"/>
      </w:r>
      <w:r w:rsidR="003053D1" w:rsidRPr="00AA6FF4">
        <w:t xml:space="preserve">Figure </w:t>
      </w:r>
      <w:r w:rsidR="003053D1">
        <w:rPr>
          <w:noProof/>
        </w:rPr>
        <w:t>25</w:t>
      </w:r>
      <w:r w:rsidR="00427E3C">
        <w:fldChar w:fldCharType="end"/>
      </w:r>
      <w:r w:rsidR="00427E3C">
        <w:t>b</w:t>
      </w:r>
      <w:r w:rsidR="00F234C6">
        <w:t>)</w:t>
      </w:r>
      <w:r w:rsidR="00F234C6" w:rsidRPr="007C72AF">
        <w:t xml:space="preserve">. </w:t>
      </w:r>
      <w:r w:rsidR="00A84742" w:rsidRPr="007C72AF">
        <w:t xml:space="preserve">The proportional cover of macroalgae has been variable </w:t>
      </w:r>
      <w:r w:rsidR="001541A6">
        <w:t xml:space="preserve">over time </w:t>
      </w:r>
      <w:r w:rsidR="00A84742" w:rsidRPr="007C72AF">
        <w:t xml:space="preserve">with a low point recorded in 2009 </w:t>
      </w:r>
      <w:r w:rsidR="00FA2BE1">
        <w:t>(</w:t>
      </w:r>
      <w:r w:rsidR="00A84742" w:rsidRPr="007C72AF">
        <w:t>the reason for this decline remains unexplained</w:t>
      </w:r>
      <w:r w:rsidR="00FA2BE1">
        <w:t>)</w:t>
      </w:r>
      <w:r w:rsidR="00A84742" w:rsidRPr="007C72AF">
        <w:t xml:space="preserve">, and then again in 2011 </w:t>
      </w:r>
      <w:r w:rsidR="001541A6">
        <w:t xml:space="preserve">because of macroalgae being stripped from some reefs </w:t>
      </w:r>
      <w:r w:rsidR="00A84742" w:rsidRPr="007C72AF">
        <w:t>during cyclone Yasi (</w:t>
      </w:r>
      <w:r w:rsidR="00A84742" w:rsidRPr="007C72AF">
        <w:fldChar w:fldCharType="begin"/>
      </w:r>
      <w:r w:rsidR="00A84742" w:rsidRPr="007C72AF">
        <w:instrText xml:space="preserve"> REF _Ref491336593 \h </w:instrText>
      </w:r>
      <w:r w:rsidR="00A84742" w:rsidRPr="007C72AF">
        <w:fldChar w:fldCharType="separate"/>
      </w:r>
      <w:r w:rsidR="003053D1" w:rsidRPr="00AA6FF4">
        <w:t xml:space="preserve">Figure </w:t>
      </w:r>
      <w:r w:rsidR="003053D1">
        <w:rPr>
          <w:noProof/>
        </w:rPr>
        <w:t>25</w:t>
      </w:r>
      <w:r w:rsidR="00A84742" w:rsidRPr="007C72AF">
        <w:fldChar w:fldCharType="end"/>
      </w:r>
      <w:r w:rsidR="007C78D1">
        <w:t>b</w:t>
      </w:r>
      <w:r w:rsidR="00A84742" w:rsidRPr="007C72AF">
        <w:t>). By 2012 macroalgae had re-established</w:t>
      </w:r>
      <w:r w:rsidR="001541A6">
        <w:t xml:space="preserve">. </w:t>
      </w:r>
      <w:r w:rsidR="00A84742" w:rsidRPr="007C72AF">
        <w:t xml:space="preserve"> </w:t>
      </w:r>
      <w:r w:rsidR="001541A6">
        <w:t xml:space="preserve">The </w:t>
      </w:r>
      <w:r w:rsidR="001541A6">
        <w:lastRenderedPageBreak/>
        <w:t>recent, albeit modest, decline in macroalgae observed in 2019 is perhaps unexpected given the major flooding of the local rivers over the 2018-19 wet season (</w:t>
      </w:r>
      <w:r w:rsidR="001541A6">
        <w:fldChar w:fldCharType="begin"/>
      </w:r>
      <w:r w:rsidR="001541A6">
        <w:instrText xml:space="preserve"> REF _Ref491336872 \h </w:instrText>
      </w:r>
      <w:r w:rsidR="001541A6">
        <w:fldChar w:fldCharType="separate"/>
      </w:r>
      <w:r w:rsidR="003053D1" w:rsidRPr="00CE4E0F">
        <w:t xml:space="preserve">Figure </w:t>
      </w:r>
      <w:r w:rsidR="003053D1">
        <w:rPr>
          <w:noProof/>
        </w:rPr>
        <w:t>24</w:t>
      </w:r>
      <w:r w:rsidR="001541A6">
        <w:fldChar w:fldCharType="end"/>
      </w:r>
      <w:r w:rsidR="001541A6">
        <w:t>)</w:t>
      </w:r>
      <w:r w:rsidR="007C78D1">
        <w:t xml:space="preserve"> although it is possible this is a short-term response.</w:t>
      </w:r>
      <w:r w:rsidR="001541A6">
        <w:t xml:space="preserve"> Surveys in 2020 will be informative as to whet</w:t>
      </w:r>
      <w:r w:rsidR="00913C49">
        <w:t xml:space="preserve">her these declines occurred at </w:t>
      </w:r>
      <w:r w:rsidR="001541A6">
        <w:t xml:space="preserve">reefs not surveyed in </w:t>
      </w:r>
      <w:r w:rsidR="00EF5481">
        <w:t>2019, which</w:t>
      </w:r>
      <w:r w:rsidR="00913C49">
        <w:t xml:space="preserve"> are closer to the coast</w:t>
      </w:r>
      <w:r w:rsidR="001541A6">
        <w:t>.</w:t>
      </w:r>
    </w:p>
    <w:p w14:paraId="53C13E30" w14:textId="201FE1D3" w:rsidR="005F5F2B" w:rsidRDefault="001430F9" w:rsidP="00212781">
      <w:r>
        <w:t>I</w:t>
      </w:r>
      <w:r w:rsidRPr="00A365E2">
        <w:t>mprovement in the coral index prior to 2017 coincide</w:t>
      </w:r>
      <w:r>
        <w:t>d</w:t>
      </w:r>
      <w:r w:rsidRPr="00A365E2">
        <w:t xml:space="preserve"> with a period</w:t>
      </w:r>
      <w:r>
        <w:t xml:space="preserve"> of </w:t>
      </w:r>
      <w:r w:rsidRPr="00A365E2">
        <w:t>below median discharge from the region</w:t>
      </w:r>
      <w:r>
        <w:t>’</w:t>
      </w:r>
      <w:r w:rsidRPr="00A365E2">
        <w:t>s rivers (</w:t>
      </w:r>
      <w:r w:rsidRPr="00A365E2">
        <w:fldChar w:fldCharType="begin"/>
      </w:r>
      <w:r w:rsidRPr="00A365E2">
        <w:instrText xml:space="preserve"> REF _Ref491336872 \h </w:instrText>
      </w:r>
      <w:r w:rsidR="0047679E">
        <w:instrText xml:space="preserve"> \* MERGEFORMAT </w:instrText>
      </w:r>
      <w:r w:rsidRPr="00A365E2">
        <w:fldChar w:fldCharType="separate"/>
      </w:r>
      <w:r w:rsidR="003053D1" w:rsidRPr="00CE4E0F">
        <w:t xml:space="preserve">Figure </w:t>
      </w:r>
      <w:r w:rsidR="003053D1">
        <w:rPr>
          <w:noProof/>
        </w:rPr>
        <w:t>24</w:t>
      </w:r>
      <w:r w:rsidRPr="00A365E2">
        <w:fldChar w:fldCharType="end"/>
      </w:r>
      <w:r w:rsidRPr="00A365E2">
        <w:t>d)</w:t>
      </w:r>
      <w:r>
        <w:t xml:space="preserve"> and absence of </w:t>
      </w:r>
      <w:r w:rsidRPr="00A365E2">
        <w:t>acute disturbances (</w:t>
      </w:r>
      <w:r w:rsidRPr="00A365E2">
        <w:fldChar w:fldCharType="begin"/>
      </w:r>
      <w:r w:rsidRPr="00A365E2">
        <w:instrText xml:space="preserve"> REF _Ref491336872 \h </w:instrText>
      </w:r>
      <w:r w:rsidR="0047679E">
        <w:instrText xml:space="preserve"> \* MERGEFORMAT </w:instrText>
      </w:r>
      <w:r w:rsidRPr="00A365E2">
        <w:fldChar w:fldCharType="separate"/>
      </w:r>
      <w:r w:rsidR="003053D1" w:rsidRPr="00CE4E0F">
        <w:t xml:space="preserve">Figure </w:t>
      </w:r>
      <w:r w:rsidR="003053D1">
        <w:rPr>
          <w:noProof/>
        </w:rPr>
        <w:t>24</w:t>
      </w:r>
      <w:r w:rsidRPr="00A365E2">
        <w:fldChar w:fldCharType="end"/>
      </w:r>
      <w:r>
        <w:t>c)</w:t>
      </w:r>
      <w:r w:rsidRPr="00A365E2">
        <w:t xml:space="preserve">. Despite widespread </w:t>
      </w:r>
      <w:r w:rsidR="00C15968">
        <w:t>thermal</w:t>
      </w:r>
      <w:r w:rsidR="00C15968" w:rsidRPr="00A365E2">
        <w:t xml:space="preserve"> </w:t>
      </w:r>
      <w:r w:rsidRPr="00A365E2">
        <w:t>bleaching over the 2016</w:t>
      </w:r>
      <w:r w:rsidR="005F5F2B">
        <w:rPr>
          <w:sz w:val="18"/>
        </w:rPr>
        <w:t>–</w:t>
      </w:r>
      <w:r w:rsidRPr="00A365E2">
        <w:t xml:space="preserve">2017 summer, which accounted for 18% of the coral cover lost since 2005, the index score remained relatively stable. </w:t>
      </w:r>
      <w:r>
        <w:t xml:space="preserve">Since </w:t>
      </w:r>
      <w:r w:rsidRPr="00A365E2">
        <w:t>2017</w:t>
      </w:r>
      <w:r>
        <w:t xml:space="preserve"> coral cover has continued to increase at rates that </w:t>
      </w:r>
      <w:r w:rsidRPr="00A365E2">
        <w:t>support high scores for the cover change indicator</w:t>
      </w:r>
      <w:r>
        <w:t xml:space="preserve"> at most reefs</w:t>
      </w:r>
      <w:r w:rsidR="007C78D1">
        <w:t xml:space="preserve"> (</w:t>
      </w:r>
      <w:r w:rsidR="007C78D1">
        <w:fldChar w:fldCharType="begin"/>
      </w:r>
      <w:r w:rsidR="007C78D1">
        <w:instrText xml:space="preserve"> REF _Ref30755419 \h </w:instrText>
      </w:r>
      <w:r w:rsidR="007C78D1">
        <w:fldChar w:fldCharType="separate"/>
      </w:r>
      <w:r w:rsidR="003053D1">
        <w:t xml:space="preserve">Figure </w:t>
      </w:r>
      <w:r w:rsidR="003053D1">
        <w:rPr>
          <w:noProof/>
        </w:rPr>
        <w:t>23</w:t>
      </w:r>
      <w:r w:rsidR="007C78D1">
        <w:fldChar w:fldCharType="end"/>
      </w:r>
      <w:r w:rsidR="007C78D1">
        <w:t>)</w:t>
      </w:r>
      <w:r>
        <w:t xml:space="preserve">. </w:t>
      </w:r>
      <w:r w:rsidRPr="00A365E2">
        <w:t>Notably, marked increases in coral cover continue at Palms East, demonstrating the strong recovery of th</w:t>
      </w:r>
      <w:r>
        <w:t xml:space="preserve">is </w:t>
      </w:r>
      <w:r w:rsidRPr="00A365E2">
        <w:t>coral communit</w:t>
      </w:r>
      <w:r>
        <w:t>y</w:t>
      </w:r>
      <w:r w:rsidRPr="00A365E2">
        <w:t xml:space="preserve"> following the severe impact of cyclone Yasi (</w:t>
      </w:r>
      <w:r w:rsidR="007C78D1">
        <w:fldChar w:fldCharType="begin"/>
      </w:r>
      <w:r w:rsidR="007C78D1">
        <w:instrText xml:space="preserve"> REF _Ref528589949 \h </w:instrText>
      </w:r>
      <w:r w:rsidR="007C78D1">
        <w:fldChar w:fldCharType="separate"/>
      </w:r>
      <w:r w:rsidR="003053D1" w:rsidRPr="002445C4">
        <w:t xml:space="preserve">Figure A </w:t>
      </w:r>
      <w:r w:rsidR="003053D1">
        <w:rPr>
          <w:noProof/>
        </w:rPr>
        <w:t>4</w:t>
      </w:r>
      <w:r w:rsidR="007C78D1">
        <w:fldChar w:fldCharType="end"/>
      </w:r>
      <w:r w:rsidRPr="00A365E2">
        <w:t>).</w:t>
      </w:r>
      <w:r>
        <w:t xml:space="preserve"> </w:t>
      </w:r>
    </w:p>
    <w:p w14:paraId="53C13E31" w14:textId="1B3C2B94" w:rsidR="005F5F2B" w:rsidRDefault="001430F9" w:rsidP="00A84742">
      <w:r>
        <w:t xml:space="preserve">In 2019 it was only at Havannah, 2 m depth, that coral cover declined – corals at this site were severely bleached in 2017 and disease has since killed large stands of branching </w:t>
      </w:r>
      <w:r w:rsidRPr="001430F9">
        <w:rPr>
          <w:i/>
        </w:rPr>
        <w:t>Acropora</w:t>
      </w:r>
      <w:r>
        <w:t>, in particular</w:t>
      </w:r>
      <w:r w:rsidR="007C78D1">
        <w:t>,</w:t>
      </w:r>
      <w:r>
        <w:t xml:space="preserve"> </w:t>
      </w:r>
      <w:r w:rsidRPr="001430F9">
        <w:rPr>
          <w:i/>
        </w:rPr>
        <w:t>A. pulchra</w:t>
      </w:r>
      <w:r>
        <w:t>. This progression of disease and loss of coral cover is influential in the inconsistent trend in the cover change indicator at 2 m depths (</w:t>
      </w:r>
      <w:r>
        <w:fldChar w:fldCharType="begin"/>
      </w:r>
      <w:r>
        <w:instrText xml:space="preserve"> REF _Ref491336568 \h </w:instrText>
      </w:r>
      <w:r>
        <w:fldChar w:fldCharType="separate"/>
      </w:r>
      <w:r w:rsidR="003053D1" w:rsidRPr="00DF2CE7">
        <w:t xml:space="preserve">Table </w:t>
      </w:r>
      <w:r w:rsidR="003053D1">
        <w:rPr>
          <w:noProof/>
        </w:rPr>
        <w:t>12</w:t>
      </w:r>
      <w:r>
        <w:fldChar w:fldCharType="end"/>
      </w:r>
      <w:r>
        <w:t xml:space="preserve">). </w:t>
      </w:r>
    </w:p>
    <w:p w14:paraId="53C13E32" w14:textId="68D66E0E" w:rsidR="005F5F2B" w:rsidRDefault="001430F9" w:rsidP="00A84742">
      <w:r>
        <w:t xml:space="preserve">In contrast, </w:t>
      </w:r>
      <w:r w:rsidR="00A84742" w:rsidRPr="007C72AF">
        <w:t>improvement in the composition indicator score (</w:t>
      </w:r>
      <w:r w:rsidR="00A84742" w:rsidRPr="007C72AF">
        <w:fldChar w:fldCharType="begin"/>
      </w:r>
      <w:r w:rsidR="00A84742" w:rsidRPr="007C72AF">
        <w:instrText xml:space="preserve"> REF _Ref491336568 \h </w:instrText>
      </w:r>
      <w:r w:rsidR="00A84742" w:rsidRPr="007C72AF">
        <w:fldChar w:fldCharType="separate"/>
      </w:r>
      <w:r w:rsidR="003053D1" w:rsidRPr="00DF2CE7">
        <w:t xml:space="preserve">Table </w:t>
      </w:r>
      <w:r w:rsidR="003053D1">
        <w:rPr>
          <w:noProof/>
        </w:rPr>
        <w:t>12</w:t>
      </w:r>
      <w:r w:rsidR="00A84742" w:rsidRPr="007C72AF">
        <w:fldChar w:fldCharType="end"/>
      </w:r>
      <w:r w:rsidR="00A84742" w:rsidRPr="007C72AF">
        <w:t xml:space="preserve">) reflects that cover increase </w:t>
      </w:r>
      <w:r>
        <w:t xml:space="preserve">regionally </w:t>
      </w:r>
      <w:r w:rsidR="00A84742" w:rsidRPr="007C72AF">
        <w:t>includes recovery of taxa sensitive to poor water quality, in particular</w:t>
      </w:r>
      <w:r w:rsidR="00913C49">
        <w:t xml:space="preserve">, </w:t>
      </w:r>
      <w:r>
        <w:t xml:space="preserve">cover of </w:t>
      </w:r>
      <w:r w:rsidRPr="001430F9">
        <w:rPr>
          <w:i/>
        </w:rPr>
        <w:t>Acropora</w:t>
      </w:r>
      <w:r w:rsidR="00913C49">
        <w:t xml:space="preserve"> spp. has</w:t>
      </w:r>
      <w:r>
        <w:t xml:space="preserve"> increased notably at some </w:t>
      </w:r>
      <w:r w:rsidR="00913C49">
        <w:t>reefs</w:t>
      </w:r>
      <w:r>
        <w:t xml:space="preserve"> (</w:t>
      </w:r>
      <w:r>
        <w:fldChar w:fldCharType="begin"/>
      </w:r>
      <w:r>
        <w:instrText xml:space="preserve"> REF _Ref528589949 \h </w:instrText>
      </w:r>
      <w:r>
        <w:fldChar w:fldCharType="separate"/>
      </w:r>
      <w:r w:rsidR="003053D1" w:rsidRPr="002445C4">
        <w:t xml:space="preserve">Figure A </w:t>
      </w:r>
      <w:r w:rsidR="003053D1">
        <w:rPr>
          <w:noProof/>
        </w:rPr>
        <w:t>4</w:t>
      </w:r>
      <w:r>
        <w:fldChar w:fldCharType="end"/>
      </w:r>
      <w:r>
        <w:t>,</w:t>
      </w:r>
      <w:r w:rsidR="007C78D1">
        <w:t xml:space="preserve"> </w:t>
      </w:r>
      <w:r w:rsidR="007C78D1">
        <w:fldChar w:fldCharType="begin"/>
      </w:r>
      <w:r w:rsidR="007C78D1">
        <w:instrText xml:space="preserve"> REF _Ref30756180 \h </w:instrText>
      </w:r>
      <w:r w:rsidR="007C78D1">
        <w:fldChar w:fldCharType="separate"/>
      </w:r>
      <w:r w:rsidR="003053D1">
        <w:t xml:space="preserve">Table A </w:t>
      </w:r>
      <w:r w:rsidR="003053D1">
        <w:rPr>
          <w:noProof/>
        </w:rPr>
        <w:t>10</w:t>
      </w:r>
      <w:r w:rsidR="007C78D1">
        <w:fldChar w:fldCharType="end"/>
      </w:r>
      <w:r>
        <w:t>).</w:t>
      </w:r>
    </w:p>
    <w:p w14:paraId="53C13E33" w14:textId="31093C6C" w:rsidR="00A84742" w:rsidRPr="007C72AF" w:rsidRDefault="001430F9" w:rsidP="00A84742">
      <w:r>
        <w:t>J</w:t>
      </w:r>
      <w:r w:rsidR="00A84742" w:rsidRPr="007C72AF">
        <w:t xml:space="preserve">uvenile indicator </w:t>
      </w:r>
      <w:r>
        <w:t xml:space="preserve">scores have improved since 2013 at 5 m depths </w:t>
      </w:r>
      <w:r w:rsidR="007C78D1">
        <w:t>(</w:t>
      </w:r>
      <w:r w:rsidR="007C78D1">
        <w:fldChar w:fldCharType="begin"/>
      </w:r>
      <w:r w:rsidR="007C78D1">
        <w:instrText xml:space="preserve"> REF _Ref491336568 \h </w:instrText>
      </w:r>
      <w:r w:rsidR="007C78D1">
        <w:fldChar w:fldCharType="separate"/>
      </w:r>
      <w:r w:rsidR="003053D1" w:rsidRPr="00DF2CE7">
        <w:t xml:space="preserve">Table </w:t>
      </w:r>
      <w:r w:rsidR="003053D1">
        <w:rPr>
          <w:noProof/>
        </w:rPr>
        <w:t>12</w:t>
      </w:r>
      <w:r w:rsidR="007C78D1">
        <w:fldChar w:fldCharType="end"/>
      </w:r>
      <w:r w:rsidR="007C78D1">
        <w:t xml:space="preserve">) </w:t>
      </w:r>
      <w:r>
        <w:t xml:space="preserve">but </w:t>
      </w:r>
      <w:r w:rsidR="007C78D1">
        <w:t>have declined in recent over the last three years at the regional scale (</w:t>
      </w:r>
      <w:r w:rsidR="00427E3C">
        <w:fldChar w:fldCharType="begin"/>
      </w:r>
      <w:r w:rsidR="00427E3C">
        <w:instrText xml:space="preserve"> REF _Ref30755419 \h </w:instrText>
      </w:r>
      <w:r w:rsidR="00427E3C">
        <w:fldChar w:fldCharType="separate"/>
      </w:r>
      <w:r w:rsidR="003053D1">
        <w:t xml:space="preserve">Figure </w:t>
      </w:r>
      <w:r w:rsidR="003053D1">
        <w:rPr>
          <w:noProof/>
        </w:rPr>
        <w:t>23</w:t>
      </w:r>
      <w:r w:rsidR="00427E3C">
        <w:fldChar w:fldCharType="end"/>
      </w:r>
      <w:r w:rsidR="007C78D1">
        <w:t xml:space="preserve">) as a strong recruitment cohort of </w:t>
      </w:r>
      <w:r w:rsidR="007C78D1" w:rsidRPr="007C78D1">
        <w:rPr>
          <w:i/>
        </w:rPr>
        <w:t>Turbinaria</w:t>
      </w:r>
      <w:r w:rsidR="007C78D1">
        <w:t xml:space="preserve"> </w:t>
      </w:r>
      <w:r w:rsidR="00774359">
        <w:t xml:space="preserve">(Family Dendrophylliidae) </w:t>
      </w:r>
      <w:r w:rsidR="007C78D1">
        <w:t>(</w:t>
      </w:r>
      <w:r w:rsidR="007C78D1">
        <w:fldChar w:fldCharType="begin"/>
      </w:r>
      <w:r w:rsidR="007C78D1">
        <w:instrText xml:space="preserve"> REF _Ref528589949 \h </w:instrText>
      </w:r>
      <w:r w:rsidR="007C78D1">
        <w:fldChar w:fldCharType="separate"/>
      </w:r>
      <w:r w:rsidR="003053D1" w:rsidRPr="002445C4">
        <w:t xml:space="preserve">Figure A </w:t>
      </w:r>
      <w:r w:rsidR="003053D1">
        <w:rPr>
          <w:noProof/>
        </w:rPr>
        <w:t>4</w:t>
      </w:r>
      <w:r w:rsidR="007C78D1">
        <w:fldChar w:fldCharType="end"/>
      </w:r>
      <w:r w:rsidR="00774359">
        <w:t xml:space="preserve">) </w:t>
      </w:r>
      <w:r w:rsidR="007C78D1">
        <w:t>passes through the juvenile size class at some reefs.</w:t>
      </w:r>
    </w:p>
    <w:p w14:paraId="53C13E34" w14:textId="344FCA6B" w:rsidR="006177B6" w:rsidRPr="00DF2CE7" w:rsidRDefault="00A84742" w:rsidP="002B5296">
      <w:pPr>
        <w:pStyle w:val="Caption"/>
        <w:rPr>
          <w:rFonts w:ascii="Arial" w:hAnsi="Arial" w:cs="Arial"/>
          <w:i/>
          <w:vanish/>
          <w:specVanish/>
        </w:rPr>
      </w:pPr>
      <w:bookmarkStart w:id="388" w:name="_Ref491336568"/>
      <w:bookmarkStart w:id="389" w:name="_Toc35947198"/>
      <w:bookmarkStart w:id="390" w:name="_Toc528333644"/>
      <w:r w:rsidRPr="00DF2CE7">
        <w:lastRenderedPageBreak/>
        <w:t xml:space="preserve">Table </w:t>
      </w:r>
      <w:r w:rsidRPr="00DF2CE7">
        <w:rPr>
          <w:noProof/>
        </w:rPr>
        <w:fldChar w:fldCharType="begin"/>
      </w:r>
      <w:r w:rsidRPr="00DF2CE7">
        <w:rPr>
          <w:noProof/>
        </w:rPr>
        <w:instrText xml:space="preserve"> SEQ Table \* ARABIC </w:instrText>
      </w:r>
      <w:r w:rsidRPr="00DF2CE7">
        <w:rPr>
          <w:noProof/>
        </w:rPr>
        <w:fldChar w:fldCharType="separate"/>
      </w:r>
      <w:r w:rsidR="003053D1">
        <w:rPr>
          <w:noProof/>
        </w:rPr>
        <w:t>12</w:t>
      </w:r>
      <w:r w:rsidRPr="00DF2CE7">
        <w:rPr>
          <w:noProof/>
        </w:rPr>
        <w:fldChar w:fldCharType="end"/>
      </w:r>
      <w:bookmarkEnd w:id="388"/>
      <w:r w:rsidRPr="00DF2CE7">
        <w:t xml:space="preserve"> Index and indicator score comparisons in the Burdekin Region</w:t>
      </w:r>
      <w:bookmarkEnd w:id="389"/>
    </w:p>
    <w:p w14:paraId="53C13E35" w14:textId="77777777" w:rsidR="00A84742" w:rsidRPr="0094743B" w:rsidRDefault="006177B6">
      <w:pPr>
        <w:pStyle w:val="Caption"/>
        <w:rPr>
          <w:rStyle w:val="IntenseReference"/>
        </w:rPr>
      </w:pPr>
      <w:r w:rsidRPr="00DF2CE7">
        <w:t>.</w:t>
      </w:r>
      <w:r w:rsidR="00A84742" w:rsidRPr="00DF2CE7">
        <w:t xml:space="preserve"> </w:t>
      </w:r>
      <w:r w:rsidR="00A84742" w:rsidRPr="0094743B">
        <w:rPr>
          <w:rStyle w:val="IntenseReference"/>
        </w:rPr>
        <w:t>Data compare the changes in scores between local maxima and minima in the index time-series. For the index, and each indicator, the observed change in the sub-regional score and the probability that the change was greater or less than zero (no change) are presented. Shading is used as a visual aid to highlight the magnitude of the probability the score improved (blue shades) or declined (red shades). Probabilities are derived from the posterior distribution of observed score changes at each reef and depth.</w:t>
      </w:r>
      <w:bookmarkEnd w:id="390"/>
    </w:p>
    <w:tbl>
      <w:tblPr>
        <w:tblW w:w="8926"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Caption w:val="Statistical comparison between index and metric scores between local maxima and minima in the time-series of scores in the region"/>
        <w:tblDescription w:val="A table listing the maxima in minima index scores and significance of changes in the index and each metric. The salient results are discussed in the main text. &#10;"/>
      </w:tblPr>
      <w:tblGrid>
        <w:gridCol w:w="1074"/>
        <w:gridCol w:w="350"/>
        <w:gridCol w:w="625"/>
        <w:gridCol w:w="625"/>
        <w:gridCol w:w="625"/>
        <w:gridCol w:w="625"/>
        <w:gridCol w:w="625"/>
        <w:gridCol w:w="626"/>
        <w:gridCol w:w="625"/>
        <w:gridCol w:w="625"/>
        <w:gridCol w:w="625"/>
        <w:gridCol w:w="625"/>
        <w:gridCol w:w="625"/>
        <w:gridCol w:w="626"/>
      </w:tblGrid>
      <w:tr w:rsidR="00CE4E0F" w:rsidRPr="00DF2CE7" w14:paraId="53C13E3E" w14:textId="77777777" w:rsidTr="004F16D3">
        <w:trPr>
          <w:trHeight w:val="300"/>
        </w:trPr>
        <w:tc>
          <w:tcPr>
            <w:tcW w:w="1074" w:type="dxa"/>
            <w:vMerge w:val="restart"/>
            <w:shd w:val="clear" w:color="auto" w:fill="auto"/>
            <w:noWrap/>
            <w:tcMar>
              <w:left w:w="57" w:type="dxa"/>
              <w:right w:w="57" w:type="dxa"/>
            </w:tcMar>
            <w:vAlign w:val="bottom"/>
          </w:tcPr>
          <w:p w14:paraId="53C13E36" w14:textId="77777777" w:rsidR="00A84742" w:rsidRPr="00DF2CE7" w:rsidRDefault="007C78D1" w:rsidP="00A84742">
            <w:pPr>
              <w:spacing w:after="0"/>
              <w:rPr>
                <w:rFonts w:ascii="Arial Narrow" w:hAnsi="Arial Narrow"/>
                <w:sz w:val="20"/>
                <w:lang w:eastAsia="en-AU"/>
              </w:rPr>
            </w:pPr>
            <w:r>
              <w:rPr>
                <w:rFonts w:ascii="Arial Narrow" w:hAnsi="Arial Narrow"/>
                <w:sz w:val="20"/>
                <w:lang w:eastAsia="en-AU"/>
              </w:rPr>
              <w:t xml:space="preserve">) </w:t>
            </w:r>
          </w:p>
        </w:tc>
        <w:tc>
          <w:tcPr>
            <w:tcW w:w="350" w:type="dxa"/>
            <w:vMerge w:val="restart"/>
            <w:shd w:val="clear" w:color="auto" w:fill="auto"/>
            <w:noWrap/>
            <w:tcMar>
              <w:left w:w="57" w:type="dxa"/>
              <w:right w:w="57" w:type="dxa"/>
            </w:tcMar>
            <w:textDirection w:val="btLr"/>
            <w:vAlign w:val="bottom"/>
          </w:tcPr>
          <w:p w14:paraId="53C13E37" w14:textId="77777777" w:rsidR="00A84742" w:rsidRPr="00DF2CE7" w:rsidRDefault="00A84742" w:rsidP="00A84742">
            <w:pPr>
              <w:spacing w:after="0"/>
              <w:ind w:left="113" w:right="113"/>
              <w:jc w:val="center"/>
              <w:rPr>
                <w:rFonts w:ascii="Arial Narrow" w:hAnsi="Arial Narrow"/>
                <w:sz w:val="20"/>
                <w:lang w:eastAsia="en-AU"/>
              </w:rPr>
            </w:pPr>
            <w:r w:rsidRPr="00DF2CE7">
              <w:rPr>
                <w:rFonts w:ascii="Arial Narrow" w:hAnsi="Arial Narrow"/>
                <w:sz w:val="20"/>
                <w:lang w:eastAsia="en-AU"/>
              </w:rPr>
              <w:t>Depth</w:t>
            </w:r>
          </w:p>
        </w:tc>
        <w:tc>
          <w:tcPr>
            <w:tcW w:w="1250" w:type="dxa"/>
            <w:gridSpan w:val="2"/>
            <w:shd w:val="clear" w:color="auto" w:fill="auto"/>
            <w:noWrap/>
            <w:tcMar>
              <w:left w:w="57" w:type="dxa"/>
              <w:right w:w="57" w:type="dxa"/>
            </w:tcMar>
            <w:vAlign w:val="bottom"/>
          </w:tcPr>
          <w:p w14:paraId="53C13E38" w14:textId="77777777" w:rsidR="00A84742" w:rsidRPr="00DF2CE7" w:rsidRDefault="00A84742" w:rsidP="00A84742">
            <w:pPr>
              <w:spacing w:after="0"/>
              <w:jc w:val="center"/>
              <w:rPr>
                <w:rFonts w:ascii="Arial Narrow" w:hAnsi="Arial Narrow"/>
                <w:sz w:val="20"/>
                <w:lang w:eastAsia="en-AU"/>
              </w:rPr>
            </w:pPr>
            <w:r w:rsidRPr="00DF2CE7">
              <w:rPr>
                <w:rFonts w:ascii="Arial Narrow" w:hAnsi="Arial Narrow"/>
                <w:sz w:val="20"/>
                <w:lang w:eastAsia="en-AU"/>
              </w:rPr>
              <w:t xml:space="preserve"> Condition Index</w:t>
            </w:r>
          </w:p>
        </w:tc>
        <w:tc>
          <w:tcPr>
            <w:tcW w:w="1250" w:type="dxa"/>
            <w:gridSpan w:val="2"/>
            <w:shd w:val="clear" w:color="auto" w:fill="auto"/>
            <w:noWrap/>
            <w:tcMar>
              <w:left w:w="57" w:type="dxa"/>
              <w:right w:w="57" w:type="dxa"/>
            </w:tcMar>
            <w:vAlign w:val="bottom"/>
          </w:tcPr>
          <w:p w14:paraId="53C13E39" w14:textId="77777777" w:rsidR="00A84742" w:rsidRPr="00DF2CE7" w:rsidRDefault="00A84742" w:rsidP="00A84742">
            <w:pPr>
              <w:spacing w:after="0"/>
              <w:jc w:val="center"/>
              <w:rPr>
                <w:rFonts w:ascii="Arial Narrow" w:hAnsi="Arial Narrow"/>
                <w:sz w:val="20"/>
                <w:lang w:eastAsia="en-AU"/>
              </w:rPr>
            </w:pPr>
            <w:r w:rsidRPr="00DF2CE7">
              <w:rPr>
                <w:rFonts w:ascii="Arial Narrow" w:hAnsi="Arial Narrow"/>
                <w:sz w:val="20"/>
                <w:lang w:eastAsia="en-AU"/>
              </w:rPr>
              <w:t>Coral Cover</w:t>
            </w:r>
          </w:p>
        </w:tc>
        <w:tc>
          <w:tcPr>
            <w:tcW w:w="1251" w:type="dxa"/>
            <w:gridSpan w:val="2"/>
            <w:shd w:val="clear" w:color="auto" w:fill="auto"/>
            <w:noWrap/>
            <w:tcMar>
              <w:left w:w="57" w:type="dxa"/>
              <w:right w:w="57" w:type="dxa"/>
            </w:tcMar>
            <w:vAlign w:val="bottom"/>
          </w:tcPr>
          <w:p w14:paraId="53C13E3A" w14:textId="77777777" w:rsidR="00A84742" w:rsidRPr="00DF2CE7" w:rsidRDefault="00A84742" w:rsidP="00A84742">
            <w:pPr>
              <w:spacing w:after="0"/>
              <w:jc w:val="center"/>
              <w:rPr>
                <w:rFonts w:ascii="Arial Narrow" w:hAnsi="Arial Narrow"/>
                <w:sz w:val="20"/>
                <w:lang w:eastAsia="en-AU"/>
              </w:rPr>
            </w:pPr>
            <w:r w:rsidRPr="00DF2CE7">
              <w:rPr>
                <w:rFonts w:ascii="Arial Narrow" w:hAnsi="Arial Narrow"/>
                <w:sz w:val="20"/>
                <w:lang w:eastAsia="en-AU"/>
              </w:rPr>
              <w:t>Macroalgae</w:t>
            </w:r>
          </w:p>
        </w:tc>
        <w:tc>
          <w:tcPr>
            <w:tcW w:w="1250" w:type="dxa"/>
            <w:gridSpan w:val="2"/>
            <w:shd w:val="clear" w:color="auto" w:fill="auto"/>
            <w:noWrap/>
            <w:tcMar>
              <w:left w:w="57" w:type="dxa"/>
              <w:right w:w="57" w:type="dxa"/>
            </w:tcMar>
            <w:vAlign w:val="bottom"/>
          </w:tcPr>
          <w:p w14:paraId="53C13E3B" w14:textId="77777777" w:rsidR="00A84742" w:rsidRPr="00DF2CE7" w:rsidRDefault="00A84742" w:rsidP="00A84742">
            <w:pPr>
              <w:spacing w:after="0"/>
              <w:jc w:val="center"/>
              <w:rPr>
                <w:rFonts w:ascii="Arial Narrow" w:hAnsi="Arial Narrow"/>
                <w:sz w:val="20"/>
                <w:lang w:eastAsia="en-AU"/>
              </w:rPr>
            </w:pPr>
            <w:r w:rsidRPr="00DF2CE7">
              <w:rPr>
                <w:rFonts w:ascii="Arial Narrow" w:hAnsi="Arial Narrow"/>
                <w:sz w:val="20"/>
                <w:lang w:eastAsia="en-AU"/>
              </w:rPr>
              <w:t>Juvenile</w:t>
            </w:r>
          </w:p>
        </w:tc>
        <w:tc>
          <w:tcPr>
            <w:tcW w:w="1250" w:type="dxa"/>
            <w:gridSpan w:val="2"/>
            <w:shd w:val="clear" w:color="auto" w:fill="auto"/>
            <w:noWrap/>
            <w:tcMar>
              <w:left w:w="57" w:type="dxa"/>
              <w:right w:w="57" w:type="dxa"/>
            </w:tcMar>
            <w:vAlign w:val="bottom"/>
          </w:tcPr>
          <w:p w14:paraId="53C13E3C" w14:textId="77777777" w:rsidR="00A84742" w:rsidRPr="00DF2CE7" w:rsidRDefault="00A84742" w:rsidP="00A84742">
            <w:pPr>
              <w:spacing w:after="0"/>
              <w:jc w:val="center"/>
              <w:rPr>
                <w:rFonts w:ascii="Arial Narrow" w:hAnsi="Arial Narrow"/>
                <w:sz w:val="20"/>
                <w:lang w:eastAsia="en-AU"/>
              </w:rPr>
            </w:pPr>
            <w:r w:rsidRPr="00DF2CE7">
              <w:rPr>
                <w:rFonts w:ascii="Arial Narrow" w:hAnsi="Arial Narrow"/>
                <w:sz w:val="20"/>
                <w:lang w:eastAsia="en-AU"/>
              </w:rPr>
              <w:t>Cover Change</w:t>
            </w:r>
          </w:p>
        </w:tc>
        <w:tc>
          <w:tcPr>
            <w:tcW w:w="1251" w:type="dxa"/>
            <w:gridSpan w:val="2"/>
            <w:shd w:val="clear" w:color="auto" w:fill="auto"/>
            <w:noWrap/>
            <w:tcMar>
              <w:left w:w="57" w:type="dxa"/>
              <w:right w:w="57" w:type="dxa"/>
            </w:tcMar>
            <w:vAlign w:val="bottom"/>
          </w:tcPr>
          <w:p w14:paraId="53C13E3D" w14:textId="77777777" w:rsidR="00A84742" w:rsidRPr="00DF2CE7" w:rsidRDefault="00A84742" w:rsidP="00A84742">
            <w:pPr>
              <w:spacing w:after="0"/>
              <w:jc w:val="center"/>
              <w:rPr>
                <w:rFonts w:ascii="Arial Narrow" w:hAnsi="Arial Narrow"/>
                <w:sz w:val="20"/>
                <w:lang w:eastAsia="en-AU"/>
              </w:rPr>
            </w:pPr>
            <w:r w:rsidRPr="00DF2CE7">
              <w:rPr>
                <w:rFonts w:ascii="Arial Narrow" w:hAnsi="Arial Narrow"/>
                <w:sz w:val="20"/>
                <w:lang w:eastAsia="en-AU"/>
              </w:rPr>
              <w:t>Composition</w:t>
            </w:r>
          </w:p>
        </w:tc>
      </w:tr>
      <w:tr w:rsidR="00CE4E0F" w:rsidRPr="00DF2CE7" w14:paraId="53C13E4D" w14:textId="77777777" w:rsidTr="004F16D3">
        <w:trPr>
          <w:trHeight w:val="520"/>
        </w:trPr>
        <w:tc>
          <w:tcPr>
            <w:tcW w:w="1074" w:type="dxa"/>
            <w:vMerge/>
            <w:shd w:val="clear" w:color="auto" w:fill="auto"/>
            <w:noWrap/>
            <w:tcMar>
              <w:left w:w="57" w:type="dxa"/>
              <w:right w:w="57" w:type="dxa"/>
            </w:tcMar>
            <w:vAlign w:val="bottom"/>
          </w:tcPr>
          <w:p w14:paraId="53C13E3F" w14:textId="77777777" w:rsidR="00A84742" w:rsidRPr="00DF2CE7" w:rsidRDefault="00A84742" w:rsidP="00A84742">
            <w:pPr>
              <w:spacing w:after="0"/>
              <w:rPr>
                <w:rFonts w:ascii="Arial Narrow" w:hAnsi="Arial Narrow"/>
                <w:sz w:val="20"/>
                <w:lang w:eastAsia="en-AU"/>
              </w:rPr>
            </w:pPr>
          </w:p>
        </w:tc>
        <w:tc>
          <w:tcPr>
            <w:tcW w:w="350" w:type="dxa"/>
            <w:vMerge/>
            <w:shd w:val="clear" w:color="auto" w:fill="auto"/>
            <w:noWrap/>
            <w:tcMar>
              <w:left w:w="57" w:type="dxa"/>
              <w:right w:w="57" w:type="dxa"/>
            </w:tcMar>
            <w:vAlign w:val="bottom"/>
          </w:tcPr>
          <w:p w14:paraId="53C13E40" w14:textId="77777777" w:rsidR="00A84742" w:rsidRPr="00DF2CE7" w:rsidRDefault="00A84742" w:rsidP="00A84742">
            <w:pPr>
              <w:spacing w:after="0"/>
              <w:jc w:val="center"/>
              <w:rPr>
                <w:rFonts w:ascii="Arial Narrow" w:hAnsi="Arial Narrow"/>
                <w:sz w:val="20"/>
                <w:lang w:eastAsia="en-AU"/>
              </w:rPr>
            </w:pPr>
          </w:p>
        </w:tc>
        <w:tc>
          <w:tcPr>
            <w:tcW w:w="625" w:type="dxa"/>
            <w:shd w:val="clear" w:color="auto" w:fill="auto"/>
            <w:noWrap/>
            <w:tcMar>
              <w:left w:w="57" w:type="dxa"/>
              <w:right w:w="57" w:type="dxa"/>
            </w:tcMar>
            <w:vAlign w:val="bottom"/>
          </w:tcPr>
          <w:p w14:paraId="53C13E41" w14:textId="77777777" w:rsidR="00A84742" w:rsidRPr="00DF2CE7" w:rsidRDefault="00A84742" w:rsidP="00A84742">
            <w:pPr>
              <w:spacing w:after="0"/>
              <w:rPr>
                <w:rFonts w:ascii="Arial Narrow" w:hAnsi="Arial Narrow"/>
                <w:sz w:val="20"/>
                <w:lang w:eastAsia="en-AU"/>
              </w:rPr>
            </w:pPr>
            <w:r w:rsidRPr="00DF2CE7">
              <w:rPr>
                <w:rFonts w:ascii="Arial Narrow" w:hAnsi="Arial Narrow"/>
                <w:sz w:val="20"/>
                <w:lang w:eastAsia="en-AU"/>
              </w:rPr>
              <w:t>Score</w:t>
            </w:r>
          </w:p>
        </w:tc>
        <w:tc>
          <w:tcPr>
            <w:tcW w:w="625" w:type="dxa"/>
            <w:shd w:val="clear" w:color="auto" w:fill="auto"/>
            <w:noWrap/>
            <w:tcMar>
              <w:left w:w="57" w:type="dxa"/>
              <w:right w:w="57" w:type="dxa"/>
            </w:tcMar>
            <w:vAlign w:val="bottom"/>
          </w:tcPr>
          <w:p w14:paraId="53C13E42" w14:textId="77777777" w:rsidR="00A84742" w:rsidRPr="00DF2CE7" w:rsidRDefault="00A84742" w:rsidP="00A84742">
            <w:pPr>
              <w:spacing w:after="0"/>
              <w:rPr>
                <w:rFonts w:ascii="Arial Narrow" w:hAnsi="Arial Narrow"/>
                <w:sz w:val="20"/>
                <w:lang w:eastAsia="en-AU"/>
              </w:rPr>
            </w:pPr>
            <w:r w:rsidRPr="00DF2CE7">
              <w:rPr>
                <w:rFonts w:ascii="Arial Narrow" w:hAnsi="Arial Narrow"/>
                <w:sz w:val="20"/>
                <w:lang w:eastAsia="en-AU"/>
              </w:rPr>
              <w:t>P</w:t>
            </w:r>
          </w:p>
        </w:tc>
        <w:tc>
          <w:tcPr>
            <w:tcW w:w="625" w:type="dxa"/>
            <w:shd w:val="clear" w:color="auto" w:fill="auto"/>
            <w:noWrap/>
            <w:tcMar>
              <w:left w:w="57" w:type="dxa"/>
              <w:right w:w="57" w:type="dxa"/>
            </w:tcMar>
            <w:vAlign w:val="bottom"/>
          </w:tcPr>
          <w:p w14:paraId="53C13E43" w14:textId="77777777" w:rsidR="00A84742" w:rsidRPr="00DF2CE7" w:rsidRDefault="00A84742" w:rsidP="00A84742">
            <w:pPr>
              <w:spacing w:after="0"/>
              <w:rPr>
                <w:rFonts w:ascii="Arial Narrow" w:hAnsi="Arial Narrow"/>
                <w:sz w:val="20"/>
                <w:lang w:eastAsia="en-AU"/>
              </w:rPr>
            </w:pPr>
            <w:r w:rsidRPr="00DF2CE7">
              <w:rPr>
                <w:rFonts w:ascii="Arial Narrow" w:hAnsi="Arial Narrow"/>
                <w:sz w:val="20"/>
                <w:lang w:eastAsia="en-AU"/>
              </w:rPr>
              <w:t>Score</w:t>
            </w:r>
          </w:p>
        </w:tc>
        <w:tc>
          <w:tcPr>
            <w:tcW w:w="625" w:type="dxa"/>
            <w:shd w:val="clear" w:color="auto" w:fill="auto"/>
            <w:noWrap/>
            <w:tcMar>
              <w:left w:w="57" w:type="dxa"/>
              <w:right w:w="57" w:type="dxa"/>
            </w:tcMar>
            <w:vAlign w:val="bottom"/>
          </w:tcPr>
          <w:p w14:paraId="53C13E44" w14:textId="77777777" w:rsidR="00A84742" w:rsidRPr="00DF2CE7" w:rsidRDefault="00A84742" w:rsidP="00A84742">
            <w:pPr>
              <w:spacing w:after="0"/>
              <w:rPr>
                <w:rFonts w:ascii="Arial Narrow" w:hAnsi="Arial Narrow"/>
                <w:sz w:val="20"/>
                <w:lang w:eastAsia="en-AU"/>
              </w:rPr>
            </w:pPr>
            <w:r w:rsidRPr="00DF2CE7">
              <w:rPr>
                <w:rFonts w:ascii="Arial Narrow" w:hAnsi="Arial Narrow"/>
                <w:sz w:val="20"/>
                <w:lang w:eastAsia="en-AU"/>
              </w:rPr>
              <w:t>P</w:t>
            </w:r>
          </w:p>
        </w:tc>
        <w:tc>
          <w:tcPr>
            <w:tcW w:w="625" w:type="dxa"/>
            <w:shd w:val="clear" w:color="auto" w:fill="auto"/>
            <w:noWrap/>
            <w:tcMar>
              <w:left w:w="57" w:type="dxa"/>
              <w:right w:w="57" w:type="dxa"/>
            </w:tcMar>
            <w:vAlign w:val="bottom"/>
          </w:tcPr>
          <w:p w14:paraId="53C13E45" w14:textId="77777777" w:rsidR="00A84742" w:rsidRPr="00DF2CE7" w:rsidRDefault="00A84742" w:rsidP="00A84742">
            <w:pPr>
              <w:spacing w:after="0"/>
              <w:rPr>
                <w:rFonts w:ascii="Arial Narrow" w:hAnsi="Arial Narrow"/>
                <w:sz w:val="20"/>
                <w:lang w:eastAsia="en-AU"/>
              </w:rPr>
            </w:pPr>
            <w:r w:rsidRPr="00DF2CE7">
              <w:rPr>
                <w:rFonts w:ascii="Arial Narrow" w:hAnsi="Arial Narrow"/>
                <w:sz w:val="20"/>
                <w:lang w:eastAsia="en-AU"/>
              </w:rPr>
              <w:t>Score</w:t>
            </w:r>
          </w:p>
        </w:tc>
        <w:tc>
          <w:tcPr>
            <w:tcW w:w="626" w:type="dxa"/>
            <w:shd w:val="clear" w:color="auto" w:fill="auto"/>
            <w:noWrap/>
            <w:tcMar>
              <w:left w:w="57" w:type="dxa"/>
              <w:right w:w="57" w:type="dxa"/>
            </w:tcMar>
            <w:vAlign w:val="bottom"/>
          </w:tcPr>
          <w:p w14:paraId="53C13E46" w14:textId="77777777" w:rsidR="00A84742" w:rsidRPr="00DF2CE7" w:rsidRDefault="00A84742" w:rsidP="00A84742">
            <w:pPr>
              <w:spacing w:after="0"/>
              <w:rPr>
                <w:rFonts w:ascii="Arial Narrow" w:hAnsi="Arial Narrow"/>
                <w:sz w:val="20"/>
                <w:lang w:eastAsia="en-AU"/>
              </w:rPr>
            </w:pPr>
            <w:r w:rsidRPr="00DF2CE7">
              <w:rPr>
                <w:rFonts w:ascii="Arial Narrow" w:hAnsi="Arial Narrow"/>
                <w:sz w:val="20"/>
                <w:lang w:eastAsia="en-AU"/>
              </w:rPr>
              <w:t>P</w:t>
            </w:r>
          </w:p>
        </w:tc>
        <w:tc>
          <w:tcPr>
            <w:tcW w:w="625" w:type="dxa"/>
            <w:shd w:val="clear" w:color="auto" w:fill="auto"/>
            <w:noWrap/>
            <w:tcMar>
              <w:left w:w="57" w:type="dxa"/>
              <w:right w:w="57" w:type="dxa"/>
            </w:tcMar>
            <w:vAlign w:val="bottom"/>
          </w:tcPr>
          <w:p w14:paraId="53C13E47" w14:textId="77777777" w:rsidR="00A84742" w:rsidRPr="00DF2CE7" w:rsidRDefault="00A84742" w:rsidP="00A84742">
            <w:pPr>
              <w:spacing w:after="0"/>
              <w:rPr>
                <w:rFonts w:ascii="Arial Narrow" w:hAnsi="Arial Narrow"/>
                <w:sz w:val="20"/>
                <w:lang w:eastAsia="en-AU"/>
              </w:rPr>
            </w:pPr>
            <w:r w:rsidRPr="00DF2CE7">
              <w:rPr>
                <w:rFonts w:ascii="Arial Narrow" w:hAnsi="Arial Narrow"/>
                <w:sz w:val="20"/>
                <w:lang w:eastAsia="en-AU"/>
              </w:rPr>
              <w:t>Score</w:t>
            </w:r>
          </w:p>
        </w:tc>
        <w:tc>
          <w:tcPr>
            <w:tcW w:w="625" w:type="dxa"/>
            <w:shd w:val="clear" w:color="auto" w:fill="auto"/>
            <w:noWrap/>
            <w:tcMar>
              <w:left w:w="57" w:type="dxa"/>
              <w:right w:w="57" w:type="dxa"/>
            </w:tcMar>
            <w:vAlign w:val="bottom"/>
          </w:tcPr>
          <w:p w14:paraId="53C13E48" w14:textId="77777777" w:rsidR="00A84742" w:rsidRPr="00DF2CE7" w:rsidRDefault="00A84742" w:rsidP="00A84742">
            <w:pPr>
              <w:spacing w:after="0"/>
              <w:rPr>
                <w:rFonts w:ascii="Arial Narrow" w:hAnsi="Arial Narrow"/>
                <w:sz w:val="20"/>
                <w:lang w:eastAsia="en-AU"/>
              </w:rPr>
            </w:pPr>
            <w:r w:rsidRPr="00DF2CE7">
              <w:rPr>
                <w:rFonts w:ascii="Arial Narrow" w:hAnsi="Arial Narrow"/>
                <w:sz w:val="20"/>
                <w:lang w:eastAsia="en-AU"/>
              </w:rPr>
              <w:t>P</w:t>
            </w:r>
          </w:p>
        </w:tc>
        <w:tc>
          <w:tcPr>
            <w:tcW w:w="625" w:type="dxa"/>
            <w:shd w:val="clear" w:color="auto" w:fill="auto"/>
            <w:noWrap/>
            <w:tcMar>
              <w:left w:w="57" w:type="dxa"/>
              <w:right w:w="57" w:type="dxa"/>
            </w:tcMar>
            <w:vAlign w:val="bottom"/>
          </w:tcPr>
          <w:p w14:paraId="53C13E49" w14:textId="77777777" w:rsidR="00A84742" w:rsidRPr="00DF2CE7" w:rsidRDefault="00A84742" w:rsidP="00A84742">
            <w:pPr>
              <w:spacing w:after="0"/>
              <w:rPr>
                <w:rFonts w:ascii="Arial Narrow" w:hAnsi="Arial Narrow"/>
                <w:sz w:val="20"/>
                <w:lang w:eastAsia="en-AU"/>
              </w:rPr>
            </w:pPr>
            <w:r w:rsidRPr="00DF2CE7">
              <w:rPr>
                <w:rFonts w:ascii="Arial Narrow" w:hAnsi="Arial Narrow"/>
                <w:sz w:val="20"/>
                <w:lang w:eastAsia="en-AU"/>
              </w:rPr>
              <w:t>Score</w:t>
            </w:r>
          </w:p>
        </w:tc>
        <w:tc>
          <w:tcPr>
            <w:tcW w:w="625" w:type="dxa"/>
            <w:shd w:val="clear" w:color="auto" w:fill="auto"/>
            <w:noWrap/>
            <w:tcMar>
              <w:left w:w="57" w:type="dxa"/>
              <w:right w:w="57" w:type="dxa"/>
            </w:tcMar>
            <w:vAlign w:val="bottom"/>
          </w:tcPr>
          <w:p w14:paraId="53C13E4A" w14:textId="77777777" w:rsidR="00A84742" w:rsidRPr="00DF2CE7" w:rsidRDefault="00A84742" w:rsidP="00A84742">
            <w:pPr>
              <w:spacing w:after="0"/>
              <w:rPr>
                <w:rFonts w:ascii="Arial Narrow" w:hAnsi="Arial Narrow"/>
                <w:sz w:val="20"/>
                <w:lang w:eastAsia="en-AU"/>
              </w:rPr>
            </w:pPr>
            <w:r w:rsidRPr="00DF2CE7">
              <w:rPr>
                <w:rFonts w:ascii="Arial Narrow" w:hAnsi="Arial Narrow"/>
                <w:sz w:val="20"/>
                <w:lang w:eastAsia="en-AU"/>
              </w:rPr>
              <w:t>P</w:t>
            </w:r>
          </w:p>
        </w:tc>
        <w:tc>
          <w:tcPr>
            <w:tcW w:w="625" w:type="dxa"/>
            <w:shd w:val="clear" w:color="auto" w:fill="auto"/>
            <w:noWrap/>
            <w:tcMar>
              <w:left w:w="57" w:type="dxa"/>
              <w:right w:w="57" w:type="dxa"/>
            </w:tcMar>
            <w:vAlign w:val="bottom"/>
          </w:tcPr>
          <w:p w14:paraId="53C13E4B" w14:textId="77777777" w:rsidR="00A84742" w:rsidRPr="00DF2CE7" w:rsidRDefault="00A84742" w:rsidP="00A84742">
            <w:pPr>
              <w:spacing w:after="0"/>
              <w:rPr>
                <w:rFonts w:ascii="Arial Narrow" w:hAnsi="Arial Narrow"/>
                <w:sz w:val="20"/>
                <w:lang w:eastAsia="en-AU"/>
              </w:rPr>
            </w:pPr>
            <w:r w:rsidRPr="00DF2CE7">
              <w:rPr>
                <w:rFonts w:ascii="Arial Narrow" w:hAnsi="Arial Narrow"/>
                <w:sz w:val="20"/>
                <w:lang w:eastAsia="en-AU"/>
              </w:rPr>
              <w:t>Score</w:t>
            </w:r>
          </w:p>
        </w:tc>
        <w:tc>
          <w:tcPr>
            <w:tcW w:w="626" w:type="dxa"/>
            <w:shd w:val="clear" w:color="auto" w:fill="auto"/>
            <w:noWrap/>
            <w:tcMar>
              <w:left w:w="57" w:type="dxa"/>
              <w:right w:w="57" w:type="dxa"/>
            </w:tcMar>
            <w:vAlign w:val="bottom"/>
          </w:tcPr>
          <w:p w14:paraId="53C13E4C" w14:textId="77777777" w:rsidR="00A84742" w:rsidRPr="00DF2CE7" w:rsidRDefault="00A84742" w:rsidP="00A84742">
            <w:pPr>
              <w:spacing w:after="0"/>
              <w:rPr>
                <w:rFonts w:ascii="Arial Narrow" w:hAnsi="Arial Narrow"/>
                <w:sz w:val="20"/>
                <w:lang w:eastAsia="en-AU"/>
              </w:rPr>
            </w:pPr>
            <w:r w:rsidRPr="00DF2CE7">
              <w:rPr>
                <w:rFonts w:ascii="Arial Narrow" w:hAnsi="Arial Narrow"/>
                <w:sz w:val="20"/>
                <w:lang w:eastAsia="en-AU"/>
              </w:rPr>
              <w:t>P</w:t>
            </w:r>
          </w:p>
        </w:tc>
      </w:tr>
      <w:tr w:rsidR="00CE4E0F" w:rsidRPr="00DF2CE7" w14:paraId="53C13E5C" w14:textId="77777777" w:rsidTr="004F16D3">
        <w:trPr>
          <w:cantSplit/>
          <w:trHeight w:hRule="exact" w:val="301"/>
        </w:trPr>
        <w:tc>
          <w:tcPr>
            <w:tcW w:w="1074" w:type="dxa"/>
            <w:vMerge w:val="restart"/>
            <w:shd w:val="clear" w:color="auto" w:fill="auto"/>
            <w:noWrap/>
            <w:tcMar>
              <w:left w:w="57" w:type="dxa"/>
              <w:right w:w="57" w:type="dxa"/>
            </w:tcMar>
            <w:vAlign w:val="center"/>
          </w:tcPr>
          <w:p w14:paraId="53C13E4E" w14:textId="77777777" w:rsidR="00A84742" w:rsidRPr="00DF2CE7" w:rsidRDefault="00A84742" w:rsidP="00A84742">
            <w:pPr>
              <w:spacing w:after="0"/>
              <w:rPr>
                <w:rFonts w:ascii="Arial Narrow" w:hAnsi="Arial Narrow"/>
                <w:bCs/>
                <w:sz w:val="20"/>
              </w:rPr>
            </w:pPr>
            <w:r w:rsidRPr="00DF2CE7">
              <w:rPr>
                <w:rFonts w:ascii="Arial Narrow" w:hAnsi="Arial Narrow"/>
                <w:bCs/>
                <w:sz w:val="20"/>
              </w:rPr>
              <w:t>2010 to 2013</w:t>
            </w:r>
          </w:p>
        </w:tc>
        <w:tc>
          <w:tcPr>
            <w:tcW w:w="350" w:type="dxa"/>
            <w:shd w:val="clear" w:color="auto" w:fill="auto"/>
            <w:noWrap/>
            <w:tcMar>
              <w:left w:w="57" w:type="dxa"/>
              <w:right w:w="57" w:type="dxa"/>
            </w:tcMar>
            <w:vAlign w:val="center"/>
          </w:tcPr>
          <w:p w14:paraId="53C13E4F"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2</w:t>
            </w:r>
          </w:p>
        </w:tc>
        <w:tc>
          <w:tcPr>
            <w:tcW w:w="625" w:type="dxa"/>
            <w:shd w:val="clear" w:color="auto" w:fill="F2DBDB" w:themeFill="accent2" w:themeFillTint="33"/>
            <w:noWrap/>
            <w:tcMar>
              <w:left w:w="57" w:type="dxa"/>
              <w:right w:w="57" w:type="dxa"/>
            </w:tcMar>
            <w:vAlign w:val="center"/>
          </w:tcPr>
          <w:p w14:paraId="53C13E50"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-0.08</w:t>
            </w:r>
          </w:p>
        </w:tc>
        <w:tc>
          <w:tcPr>
            <w:tcW w:w="625" w:type="dxa"/>
            <w:shd w:val="clear" w:color="auto" w:fill="F2DBDB" w:themeFill="accent2" w:themeFillTint="33"/>
            <w:noWrap/>
            <w:tcMar>
              <w:left w:w="57" w:type="dxa"/>
              <w:right w:w="57" w:type="dxa"/>
            </w:tcMar>
            <w:vAlign w:val="center"/>
          </w:tcPr>
          <w:p w14:paraId="53C13E51"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0.70</w:t>
            </w:r>
          </w:p>
        </w:tc>
        <w:tc>
          <w:tcPr>
            <w:tcW w:w="625" w:type="dxa"/>
            <w:shd w:val="clear" w:color="auto" w:fill="auto"/>
            <w:noWrap/>
            <w:tcMar>
              <w:left w:w="57" w:type="dxa"/>
              <w:right w:w="57" w:type="dxa"/>
            </w:tcMar>
            <w:vAlign w:val="center"/>
          </w:tcPr>
          <w:p w14:paraId="53C13E52"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-0.09</w:t>
            </w:r>
          </w:p>
        </w:tc>
        <w:tc>
          <w:tcPr>
            <w:tcW w:w="625" w:type="dxa"/>
            <w:shd w:val="clear" w:color="auto" w:fill="auto"/>
            <w:noWrap/>
            <w:tcMar>
              <w:left w:w="57" w:type="dxa"/>
              <w:right w:w="57" w:type="dxa"/>
            </w:tcMar>
            <w:vAlign w:val="center"/>
          </w:tcPr>
          <w:p w14:paraId="53C13E53"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0.64</w:t>
            </w:r>
          </w:p>
        </w:tc>
        <w:tc>
          <w:tcPr>
            <w:tcW w:w="625" w:type="dxa"/>
            <w:shd w:val="clear" w:color="auto" w:fill="F2DBDB" w:themeFill="accent2" w:themeFillTint="33"/>
            <w:noWrap/>
            <w:tcMar>
              <w:left w:w="57" w:type="dxa"/>
              <w:right w:w="57" w:type="dxa"/>
            </w:tcMar>
            <w:vAlign w:val="center"/>
          </w:tcPr>
          <w:p w14:paraId="53C13E54"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-0.17</w:t>
            </w:r>
          </w:p>
        </w:tc>
        <w:tc>
          <w:tcPr>
            <w:tcW w:w="626" w:type="dxa"/>
            <w:shd w:val="clear" w:color="auto" w:fill="F2DBDB" w:themeFill="accent2" w:themeFillTint="33"/>
            <w:noWrap/>
            <w:tcMar>
              <w:left w:w="57" w:type="dxa"/>
              <w:right w:w="57" w:type="dxa"/>
            </w:tcMar>
            <w:vAlign w:val="center"/>
          </w:tcPr>
          <w:p w14:paraId="53C13E55"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0.71</w:t>
            </w:r>
          </w:p>
        </w:tc>
        <w:tc>
          <w:tcPr>
            <w:tcW w:w="625" w:type="dxa"/>
            <w:shd w:val="clear" w:color="auto" w:fill="auto"/>
            <w:noWrap/>
            <w:tcMar>
              <w:left w:w="57" w:type="dxa"/>
              <w:right w:w="57" w:type="dxa"/>
            </w:tcMar>
            <w:vAlign w:val="center"/>
          </w:tcPr>
          <w:p w14:paraId="53C13E56"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-0.04</w:t>
            </w:r>
          </w:p>
        </w:tc>
        <w:tc>
          <w:tcPr>
            <w:tcW w:w="625" w:type="dxa"/>
            <w:shd w:val="clear" w:color="auto" w:fill="auto"/>
            <w:noWrap/>
            <w:tcMar>
              <w:left w:w="57" w:type="dxa"/>
              <w:right w:w="57" w:type="dxa"/>
            </w:tcMar>
            <w:vAlign w:val="center"/>
          </w:tcPr>
          <w:p w14:paraId="53C13E57"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0.61</w:t>
            </w:r>
          </w:p>
        </w:tc>
        <w:tc>
          <w:tcPr>
            <w:tcW w:w="625" w:type="dxa"/>
            <w:shd w:val="clear" w:color="auto" w:fill="auto"/>
            <w:noWrap/>
            <w:tcMar>
              <w:left w:w="57" w:type="dxa"/>
              <w:right w:w="57" w:type="dxa"/>
            </w:tcMar>
            <w:vAlign w:val="center"/>
          </w:tcPr>
          <w:p w14:paraId="53C13E58"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-0.05</w:t>
            </w:r>
          </w:p>
        </w:tc>
        <w:tc>
          <w:tcPr>
            <w:tcW w:w="625" w:type="dxa"/>
            <w:shd w:val="clear" w:color="auto" w:fill="auto"/>
            <w:noWrap/>
            <w:tcMar>
              <w:left w:w="57" w:type="dxa"/>
              <w:right w:w="57" w:type="dxa"/>
            </w:tcMar>
            <w:vAlign w:val="center"/>
          </w:tcPr>
          <w:p w14:paraId="53C13E59"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0.54</w:t>
            </w:r>
          </w:p>
        </w:tc>
        <w:tc>
          <w:tcPr>
            <w:tcW w:w="625" w:type="dxa"/>
            <w:shd w:val="clear" w:color="auto" w:fill="auto"/>
            <w:noWrap/>
            <w:tcMar>
              <w:left w:w="57" w:type="dxa"/>
              <w:right w:w="57" w:type="dxa"/>
            </w:tcMar>
            <w:vAlign w:val="center"/>
          </w:tcPr>
          <w:p w14:paraId="53C13E5A"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-0.07</w:t>
            </w:r>
          </w:p>
        </w:tc>
        <w:tc>
          <w:tcPr>
            <w:tcW w:w="626" w:type="dxa"/>
            <w:shd w:val="clear" w:color="auto" w:fill="auto"/>
            <w:noWrap/>
            <w:tcMar>
              <w:left w:w="57" w:type="dxa"/>
              <w:right w:w="57" w:type="dxa"/>
            </w:tcMar>
            <w:vAlign w:val="center"/>
          </w:tcPr>
          <w:p w14:paraId="53C13E5B"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0.57</w:t>
            </w:r>
          </w:p>
        </w:tc>
      </w:tr>
      <w:tr w:rsidR="00CE4E0F" w:rsidRPr="00DF2CE7" w14:paraId="53C13E6B" w14:textId="77777777" w:rsidTr="004F16D3">
        <w:trPr>
          <w:cantSplit/>
          <w:trHeight w:hRule="exact" w:val="301"/>
        </w:trPr>
        <w:tc>
          <w:tcPr>
            <w:tcW w:w="1074" w:type="dxa"/>
            <w:vMerge/>
            <w:shd w:val="clear" w:color="auto" w:fill="auto"/>
            <w:noWrap/>
            <w:tcMar>
              <w:left w:w="57" w:type="dxa"/>
              <w:right w:w="57" w:type="dxa"/>
            </w:tcMar>
            <w:vAlign w:val="center"/>
          </w:tcPr>
          <w:p w14:paraId="53C13E5D" w14:textId="77777777" w:rsidR="00A84742" w:rsidRPr="00DF2CE7" w:rsidRDefault="00A84742" w:rsidP="00A84742">
            <w:pPr>
              <w:spacing w:after="0"/>
              <w:jc w:val="right"/>
              <w:rPr>
                <w:rFonts w:ascii="Arial Narrow" w:hAnsi="Arial Narrow"/>
                <w:bCs/>
                <w:sz w:val="20"/>
              </w:rPr>
            </w:pPr>
          </w:p>
        </w:tc>
        <w:tc>
          <w:tcPr>
            <w:tcW w:w="350" w:type="dxa"/>
            <w:shd w:val="clear" w:color="auto" w:fill="auto"/>
            <w:noWrap/>
            <w:tcMar>
              <w:left w:w="57" w:type="dxa"/>
              <w:right w:w="57" w:type="dxa"/>
            </w:tcMar>
            <w:vAlign w:val="center"/>
          </w:tcPr>
          <w:p w14:paraId="53C13E5E"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5</w:t>
            </w:r>
          </w:p>
        </w:tc>
        <w:tc>
          <w:tcPr>
            <w:tcW w:w="625" w:type="dxa"/>
            <w:shd w:val="clear" w:color="auto" w:fill="E6B8B7"/>
            <w:noWrap/>
            <w:tcMar>
              <w:left w:w="57" w:type="dxa"/>
              <w:right w:w="57" w:type="dxa"/>
            </w:tcMar>
            <w:vAlign w:val="center"/>
          </w:tcPr>
          <w:p w14:paraId="53C13E5F"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-0.15</w:t>
            </w:r>
          </w:p>
        </w:tc>
        <w:tc>
          <w:tcPr>
            <w:tcW w:w="625" w:type="dxa"/>
            <w:shd w:val="clear" w:color="auto" w:fill="E6B8B7"/>
            <w:noWrap/>
            <w:tcMar>
              <w:left w:w="57" w:type="dxa"/>
              <w:right w:w="57" w:type="dxa"/>
            </w:tcMar>
            <w:vAlign w:val="center"/>
          </w:tcPr>
          <w:p w14:paraId="53C13E60"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0.86</w:t>
            </w:r>
          </w:p>
        </w:tc>
        <w:tc>
          <w:tcPr>
            <w:tcW w:w="625" w:type="dxa"/>
            <w:shd w:val="clear" w:color="auto" w:fill="E5B8B7"/>
            <w:noWrap/>
            <w:tcMar>
              <w:left w:w="57" w:type="dxa"/>
              <w:right w:w="57" w:type="dxa"/>
            </w:tcMar>
            <w:vAlign w:val="center"/>
          </w:tcPr>
          <w:p w14:paraId="53C13E61"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-0.14</w:t>
            </w:r>
          </w:p>
        </w:tc>
        <w:tc>
          <w:tcPr>
            <w:tcW w:w="625" w:type="dxa"/>
            <w:shd w:val="clear" w:color="auto" w:fill="E5B8B7"/>
            <w:noWrap/>
            <w:tcMar>
              <w:left w:w="57" w:type="dxa"/>
              <w:right w:w="57" w:type="dxa"/>
            </w:tcMar>
            <w:vAlign w:val="center"/>
          </w:tcPr>
          <w:p w14:paraId="53C13E62"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0.82</w:t>
            </w:r>
          </w:p>
        </w:tc>
        <w:tc>
          <w:tcPr>
            <w:tcW w:w="625" w:type="dxa"/>
            <w:shd w:val="clear" w:color="auto" w:fill="E6B8B7"/>
            <w:noWrap/>
            <w:tcMar>
              <w:left w:w="57" w:type="dxa"/>
              <w:right w:w="57" w:type="dxa"/>
            </w:tcMar>
            <w:vAlign w:val="center"/>
          </w:tcPr>
          <w:p w14:paraId="53C13E63"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-0.26</w:t>
            </w:r>
          </w:p>
        </w:tc>
        <w:tc>
          <w:tcPr>
            <w:tcW w:w="626" w:type="dxa"/>
            <w:shd w:val="clear" w:color="auto" w:fill="E6B8B7"/>
            <w:noWrap/>
            <w:tcMar>
              <w:left w:w="57" w:type="dxa"/>
              <w:right w:w="57" w:type="dxa"/>
            </w:tcMar>
            <w:vAlign w:val="center"/>
          </w:tcPr>
          <w:p w14:paraId="53C13E64"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0.82</w:t>
            </w:r>
          </w:p>
        </w:tc>
        <w:tc>
          <w:tcPr>
            <w:tcW w:w="625" w:type="dxa"/>
            <w:shd w:val="clear" w:color="auto" w:fill="auto"/>
            <w:noWrap/>
            <w:tcMar>
              <w:left w:w="57" w:type="dxa"/>
              <w:right w:w="57" w:type="dxa"/>
            </w:tcMar>
            <w:vAlign w:val="center"/>
          </w:tcPr>
          <w:p w14:paraId="53C13E65"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0.04</w:t>
            </w:r>
          </w:p>
        </w:tc>
        <w:tc>
          <w:tcPr>
            <w:tcW w:w="625" w:type="dxa"/>
            <w:shd w:val="clear" w:color="auto" w:fill="auto"/>
            <w:noWrap/>
            <w:tcMar>
              <w:left w:w="57" w:type="dxa"/>
              <w:right w:w="57" w:type="dxa"/>
            </w:tcMar>
            <w:vAlign w:val="center"/>
          </w:tcPr>
          <w:p w14:paraId="53C13E66"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0.61</w:t>
            </w:r>
          </w:p>
        </w:tc>
        <w:tc>
          <w:tcPr>
            <w:tcW w:w="625" w:type="dxa"/>
            <w:shd w:val="clear" w:color="auto" w:fill="E5B8B7" w:themeFill="accent2" w:themeFillTint="66"/>
            <w:noWrap/>
            <w:tcMar>
              <w:left w:w="57" w:type="dxa"/>
              <w:right w:w="57" w:type="dxa"/>
            </w:tcMar>
            <w:vAlign w:val="center"/>
          </w:tcPr>
          <w:p w14:paraId="53C13E67"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-0.15</w:t>
            </w:r>
          </w:p>
        </w:tc>
        <w:tc>
          <w:tcPr>
            <w:tcW w:w="625" w:type="dxa"/>
            <w:shd w:val="clear" w:color="auto" w:fill="E5B8B7" w:themeFill="accent2" w:themeFillTint="66"/>
            <w:noWrap/>
            <w:tcMar>
              <w:left w:w="57" w:type="dxa"/>
              <w:right w:w="57" w:type="dxa"/>
            </w:tcMar>
            <w:vAlign w:val="center"/>
          </w:tcPr>
          <w:p w14:paraId="53C13E68"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0.80</w:t>
            </w:r>
          </w:p>
        </w:tc>
        <w:tc>
          <w:tcPr>
            <w:tcW w:w="625" w:type="dxa"/>
            <w:shd w:val="clear" w:color="auto" w:fill="F2DBDB" w:themeFill="accent2" w:themeFillTint="33"/>
            <w:noWrap/>
            <w:tcMar>
              <w:left w:w="57" w:type="dxa"/>
              <w:right w:w="57" w:type="dxa"/>
            </w:tcMar>
            <w:vAlign w:val="center"/>
          </w:tcPr>
          <w:p w14:paraId="53C13E69"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-0.25</w:t>
            </w:r>
          </w:p>
        </w:tc>
        <w:tc>
          <w:tcPr>
            <w:tcW w:w="626" w:type="dxa"/>
            <w:shd w:val="clear" w:color="auto" w:fill="F2DBDB" w:themeFill="accent2" w:themeFillTint="33"/>
            <w:noWrap/>
            <w:tcMar>
              <w:left w:w="57" w:type="dxa"/>
              <w:right w:w="57" w:type="dxa"/>
            </w:tcMar>
            <w:vAlign w:val="center"/>
          </w:tcPr>
          <w:p w14:paraId="53C13E6A"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0.71</w:t>
            </w:r>
          </w:p>
        </w:tc>
      </w:tr>
      <w:tr w:rsidR="009D49ED" w:rsidRPr="00DF2CE7" w14:paraId="53C13E7A" w14:textId="77777777" w:rsidTr="009D49ED">
        <w:trPr>
          <w:cantSplit/>
          <w:trHeight w:hRule="exact" w:val="301"/>
        </w:trPr>
        <w:tc>
          <w:tcPr>
            <w:tcW w:w="1074" w:type="dxa"/>
            <w:vMerge w:val="restart"/>
            <w:shd w:val="clear" w:color="auto" w:fill="auto"/>
            <w:noWrap/>
            <w:tcMar>
              <w:left w:w="57" w:type="dxa"/>
              <w:right w:w="57" w:type="dxa"/>
            </w:tcMar>
            <w:vAlign w:val="center"/>
          </w:tcPr>
          <w:p w14:paraId="53C13E6C" w14:textId="77777777" w:rsidR="009D49ED" w:rsidRPr="00DF2CE7" w:rsidRDefault="009D49ED" w:rsidP="009D49ED">
            <w:pPr>
              <w:spacing w:after="0"/>
              <w:rPr>
                <w:rFonts w:ascii="Arial Narrow" w:hAnsi="Arial Narrow"/>
                <w:bCs/>
                <w:sz w:val="20"/>
              </w:rPr>
            </w:pPr>
            <w:r w:rsidRPr="00DF2CE7">
              <w:rPr>
                <w:rFonts w:ascii="Arial Narrow" w:hAnsi="Arial Narrow"/>
                <w:bCs/>
                <w:sz w:val="20"/>
              </w:rPr>
              <w:t>2013 to 2019</w:t>
            </w:r>
          </w:p>
        </w:tc>
        <w:tc>
          <w:tcPr>
            <w:tcW w:w="350" w:type="dxa"/>
            <w:shd w:val="clear" w:color="auto" w:fill="auto"/>
            <w:noWrap/>
            <w:tcMar>
              <w:left w:w="57" w:type="dxa"/>
              <w:right w:w="57" w:type="dxa"/>
            </w:tcMar>
            <w:vAlign w:val="center"/>
          </w:tcPr>
          <w:p w14:paraId="53C13E6D" w14:textId="77777777" w:rsidR="009D49ED" w:rsidRPr="00DF2CE7" w:rsidRDefault="009D49ED" w:rsidP="009D49ED">
            <w:pPr>
              <w:spacing w:after="0"/>
              <w:jc w:val="center"/>
              <w:rPr>
                <w:rFonts w:ascii="Arial Narrow" w:hAnsi="Arial Narrow"/>
                <w:bCs/>
                <w:sz w:val="20"/>
              </w:rPr>
            </w:pPr>
            <w:r w:rsidRPr="00DF2CE7">
              <w:rPr>
                <w:rFonts w:ascii="Arial Narrow" w:hAnsi="Arial Narrow"/>
                <w:bCs/>
                <w:sz w:val="20"/>
              </w:rPr>
              <w:t>2</w:t>
            </w:r>
          </w:p>
        </w:tc>
        <w:tc>
          <w:tcPr>
            <w:tcW w:w="625" w:type="dxa"/>
            <w:shd w:val="clear" w:color="auto" w:fill="C6D9F1" w:themeFill="text2" w:themeFillTint="33"/>
            <w:noWrap/>
            <w:tcMar>
              <w:left w:w="57" w:type="dxa"/>
              <w:right w:w="57" w:type="dxa"/>
            </w:tcMar>
          </w:tcPr>
          <w:p w14:paraId="53C13E6E" w14:textId="77777777" w:rsidR="009D49ED" w:rsidRPr="00DF2CE7" w:rsidRDefault="009D49ED" w:rsidP="009D49ED">
            <w:pPr>
              <w:spacing w:after="0"/>
              <w:jc w:val="center"/>
              <w:rPr>
                <w:rFonts w:ascii="Arial Narrow" w:hAnsi="Arial Narrow"/>
                <w:bCs/>
                <w:sz w:val="20"/>
                <w:szCs w:val="20"/>
              </w:rPr>
            </w:pPr>
            <w:r w:rsidRPr="00DF2CE7">
              <w:rPr>
                <w:rFonts w:ascii="Arial Narrow" w:hAnsi="Arial Narrow"/>
                <w:sz w:val="20"/>
                <w:szCs w:val="20"/>
              </w:rPr>
              <w:t>0.12</w:t>
            </w:r>
          </w:p>
        </w:tc>
        <w:tc>
          <w:tcPr>
            <w:tcW w:w="625" w:type="dxa"/>
            <w:shd w:val="clear" w:color="auto" w:fill="C6D9F1" w:themeFill="text2" w:themeFillTint="33"/>
            <w:noWrap/>
            <w:tcMar>
              <w:left w:w="57" w:type="dxa"/>
              <w:right w:w="57" w:type="dxa"/>
            </w:tcMar>
          </w:tcPr>
          <w:p w14:paraId="53C13E6F" w14:textId="77777777" w:rsidR="009D49ED" w:rsidRPr="00DF2CE7" w:rsidRDefault="009D49ED" w:rsidP="009D49ED">
            <w:pPr>
              <w:spacing w:after="0"/>
              <w:jc w:val="center"/>
              <w:rPr>
                <w:rFonts w:ascii="Arial Narrow" w:hAnsi="Arial Narrow"/>
                <w:bCs/>
                <w:sz w:val="20"/>
                <w:szCs w:val="20"/>
              </w:rPr>
            </w:pPr>
            <w:r w:rsidRPr="00DF2CE7">
              <w:rPr>
                <w:rFonts w:ascii="Arial Narrow" w:hAnsi="Arial Narrow"/>
                <w:sz w:val="20"/>
                <w:szCs w:val="20"/>
              </w:rPr>
              <w:t>0.78</w:t>
            </w:r>
          </w:p>
        </w:tc>
        <w:tc>
          <w:tcPr>
            <w:tcW w:w="625" w:type="dxa"/>
            <w:shd w:val="clear" w:color="auto" w:fill="8DB3E2" w:themeFill="text2" w:themeFillTint="66"/>
            <w:noWrap/>
            <w:tcMar>
              <w:left w:w="57" w:type="dxa"/>
              <w:right w:w="57" w:type="dxa"/>
            </w:tcMar>
          </w:tcPr>
          <w:p w14:paraId="53C13E70" w14:textId="77777777" w:rsidR="009D49ED" w:rsidRPr="00DF2CE7" w:rsidRDefault="009D49ED" w:rsidP="009D49ED">
            <w:pPr>
              <w:jc w:val="center"/>
              <w:rPr>
                <w:rFonts w:ascii="Arial Narrow" w:hAnsi="Arial Narrow"/>
                <w:sz w:val="20"/>
                <w:szCs w:val="20"/>
              </w:rPr>
            </w:pPr>
            <w:r w:rsidRPr="00DF2CE7">
              <w:rPr>
                <w:rFonts w:ascii="Arial Narrow" w:hAnsi="Arial Narrow"/>
                <w:sz w:val="20"/>
                <w:szCs w:val="20"/>
              </w:rPr>
              <w:t>0.19</w:t>
            </w:r>
          </w:p>
        </w:tc>
        <w:tc>
          <w:tcPr>
            <w:tcW w:w="625" w:type="dxa"/>
            <w:shd w:val="clear" w:color="auto" w:fill="8DB3E2" w:themeFill="text2" w:themeFillTint="66"/>
            <w:noWrap/>
            <w:tcMar>
              <w:left w:w="57" w:type="dxa"/>
              <w:right w:w="57" w:type="dxa"/>
            </w:tcMar>
          </w:tcPr>
          <w:p w14:paraId="53C13E71" w14:textId="77777777" w:rsidR="009D49ED" w:rsidRPr="00DF2CE7" w:rsidRDefault="009D49ED" w:rsidP="009D49ED">
            <w:pPr>
              <w:jc w:val="center"/>
              <w:rPr>
                <w:rFonts w:ascii="Arial Narrow" w:hAnsi="Arial Narrow"/>
                <w:sz w:val="20"/>
                <w:szCs w:val="20"/>
              </w:rPr>
            </w:pPr>
            <w:r w:rsidRPr="00DF2CE7">
              <w:rPr>
                <w:rFonts w:ascii="Arial Narrow" w:hAnsi="Arial Narrow"/>
                <w:sz w:val="20"/>
                <w:szCs w:val="20"/>
              </w:rPr>
              <w:t>0.87</w:t>
            </w:r>
          </w:p>
        </w:tc>
        <w:tc>
          <w:tcPr>
            <w:tcW w:w="625" w:type="dxa"/>
            <w:shd w:val="clear" w:color="auto" w:fill="auto"/>
            <w:noWrap/>
            <w:tcMar>
              <w:left w:w="57" w:type="dxa"/>
              <w:right w:w="57" w:type="dxa"/>
            </w:tcMar>
          </w:tcPr>
          <w:p w14:paraId="53C13E72" w14:textId="77777777" w:rsidR="009D49ED" w:rsidRPr="00DF2CE7" w:rsidRDefault="009D49ED" w:rsidP="009D49ED">
            <w:pPr>
              <w:jc w:val="center"/>
              <w:rPr>
                <w:rFonts w:ascii="Arial Narrow" w:hAnsi="Arial Narrow"/>
                <w:sz w:val="20"/>
                <w:szCs w:val="20"/>
              </w:rPr>
            </w:pPr>
            <w:r w:rsidRPr="00DF2CE7">
              <w:rPr>
                <w:rFonts w:ascii="Arial Narrow" w:hAnsi="Arial Narrow"/>
                <w:sz w:val="20"/>
                <w:szCs w:val="20"/>
              </w:rPr>
              <w:t>0.06</w:t>
            </w:r>
          </w:p>
        </w:tc>
        <w:tc>
          <w:tcPr>
            <w:tcW w:w="626" w:type="dxa"/>
            <w:shd w:val="clear" w:color="auto" w:fill="auto"/>
            <w:noWrap/>
            <w:tcMar>
              <w:left w:w="57" w:type="dxa"/>
              <w:right w:w="57" w:type="dxa"/>
            </w:tcMar>
          </w:tcPr>
          <w:p w14:paraId="53C13E73" w14:textId="77777777" w:rsidR="009D49ED" w:rsidRPr="00DF2CE7" w:rsidRDefault="009D49ED" w:rsidP="009D49ED">
            <w:pPr>
              <w:jc w:val="center"/>
              <w:rPr>
                <w:rFonts w:ascii="Arial Narrow" w:hAnsi="Arial Narrow"/>
                <w:sz w:val="20"/>
                <w:szCs w:val="20"/>
              </w:rPr>
            </w:pPr>
            <w:r w:rsidRPr="00DF2CE7">
              <w:rPr>
                <w:rFonts w:ascii="Arial Narrow" w:hAnsi="Arial Narrow"/>
                <w:sz w:val="20"/>
                <w:szCs w:val="20"/>
              </w:rPr>
              <w:t>0.67</w:t>
            </w:r>
          </w:p>
        </w:tc>
        <w:tc>
          <w:tcPr>
            <w:tcW w:w="625" w:type="dxa"/>
            <w:shd w:val="clear" w:color="auto" w:fill="auto"/>
            <w:noWrap/>
            <w:tcMar>
              <w:left w:w="57" w:type="dxa"/>
              <w:right w:w="57" w:type="dxa"/>
            </w:tcMar>
          </w:tcPr>
          <w:p w14:paraId="53C13E74" w14:textId="77777777" w:rsidR="009D49ED" w:rsidRPr="00DF2CE7" w:rsidRDefault="009D49ED" w:rsidP="009D49ED">
            <w:pPr>
              <w:jc w:val="center"/>
              <w:rPr>
                <w:rFonts w:ascii="Arial Narrow" w:hAnsi="Arial Narrow"/>
                <w:sz w:val="20"/>
                <w:szCs w:val="20"/>
              </w:rPr>
            </w:pPr>
            <w:r w:rsidRPr="00DF2CE7">
              <w:rPr>
                <w:rFonts w:ascii="Arial Narrow" w:hAnsi="Arial Narrow"/>
                <w:sz w:val="20"/>
                <w:szCs w:val="20"/>
              </w:rPr>
              <w:t>-0.09</w:t>
            </w:r>
          </w:p>
        </w:tc>
        <w:tc>
          <w:tcPr>
            <w:tcW w:w="625" w:type="dxa"/>
            <w:shd w:val="clear" w:color="auto" w:fill="auto"/>
            <w:noWrap/>
            <w:tcMar>
              <w:left w:w="57" w:type="dxa"/>
              <w:right w:w="57" w:type="dxa"/>
            </w:tcMar>
          </w:tcPr>
          <w:p w14:paraId="53C13E75" w14:textId="77777777" w:rsidR="009D49ED" w:rsidRPr="00DF2CE7" w:rsidRDefault="009D49ED" w:rsidP="009D49ED">
            <w:pPr>
              <w:jc w:val="center"/>
              <w:rPr>
                <w:rFonts w:ascii="Arial Narrow" w:hAnsi="Arial Narrow"/>
                <w:sz w:val="20"/>
                <w:szCs w:val="20"/>
              </w:rPr>
            </w:pPr>
            <w:r w:rsidRPr="00DF2CE7">
              <w:rPr>
                <w:rFonts w:ascii="Arial Narrow" w:hAnsi="Arial Narrow"/>
                <w:sz w:val="20"/>
                <w:szCs w:val="20"/>
              </w:rPr>
              <w:t>0.62</w:t>
            </w:r>
          </w:p>
        </w:tc>
        <w:tc>
          <w:tcPr>
            <w:tcW w:w="625" w:type="dxa"/>
            <w:shd w:val="clear" w:color="auto" w:fill="auto"/>
            <w:noWrap/>
            <w:tcMar>
              <w:left w:w="57" w:type="dxa"/>
              <w:right w:w="57" w:type="dxa"/>
            </w:tcMar>
          </w:tcPr>
          <w:p w14:paraId="53C13E76" w14:textId="77777777" w:rsidR="009D49ED" w:rsidRPr="00DF2CE7" w:rsidRDefault="009D49ED" w:rsidP="009D49ED">
            <w:pPr>
              <w:jc w:val="center"/>
              <w:rPr>
                <w:rFonts w:ascii="Arial Narrow" w:hAnsi="Arial Narrow"/>
                <w:sz w:val="20"/>
                <w:szCs w:val="20"/>
              </w:rPr>
            </w:pPr>
            <w:r w:rsidRPr="00DF2CE7">
              <w:rPr>
                <w:rFonts w:ascii="Arial Narrow" w:hAnsi="Arial Narrow"/>
                <w:sz w:val="20"/>
                <w:szCs w:val="20"/>
              </w:rPr>
              <w:t>0.11</w:t>
            </w:r>
          </w:p>
        </w:tc>
        <w:tc>
          <w:tcPr>
            <w:tcW w:w="625" w:type="dxa"/>
            <w:shd w:val="clear" w:color="auto" w:fill="auto"/>
            <w:noWrap/>
            <w:tcMar>
              <w:left w:w="57" w:type="dxa"/>
              <w:right w:w="57" w:type="dxa"/>
            </w:tcMar>
          </w:tcPr>
          <w:p w14:paraId="53C13E77" w14:textId="77777777" w:rsidR="009D49ED" w:rsidRPr="00DF2CE7" w:rsidRDefault="009D49ED" w:rsidP="009D49ED">
            <w:pPr>
              <w:jc w:val="center"/>
              <w:rPr>
                <w:rFonts w:ascii="Arial Narrow" w:hAnsi="Arial Narrow"/>
                <w:sz w:val="20"/>
                <w:szCs w:val="20"/>
              </w:rPr>
            </w:pPr>
            <w:r w:rsidRPr="00DF2CE7">
              <w:rPr>
                <w:rFonts w:ascii="Arial Narrow" w:hAnsi="Arial Narrow"/>
                <w:sz w:val="20"/>
                <w:szCs w:val="20"/>
              </w:rPr>
              <w:t>0.58</w:t>
            </w:r>
          </w:p>
        </w:tc>
        <w:tc>
          <w:tcPr>
            <w:tcW w:w="625" w:type="dxa"/>
            <w:shd w:val="clear" w:color="auto" w:fill="C6D9F1" w:themeFill="text2" w:themeFillTint="33"/>
            <w:noWrap/>
            <w:tcMar>
              <w:left w:w="57" w:type="dxa"/>
              <w:right w:w="57" w:type="dxa"/>
            </w:tcMar>
          </w:tcPr>
          <w:p w14:paraId="53C13E78" w14:textId="77777777" w:rsidR="009D49ED" w:rsidRPr="00DF2CE7" w:rsidRDefault="009D49ED" w:rsidP="009D49ED">
            <w:pPr>
              <w:jc w:val="center"/>
              <w:rPr>
                <w:rFonts w:ascii="Arial Narrow" w:hAnsi="Arial Narrow"/>
                <w:sz w:val="20"/>
                <w:szCs w:val="20"/>
              </w:rPr>
            </w:pPr>
            <w:r w:rsidRPr="00DF2CE7">
              <w:rPr>
                <w:rFonts w:ascii="Arial Narrow" w:hAnsi="Arial Narrow"/>
                <w:sz w:val="20"/>
                <w:szCs w:val="20"/>
              </w:rPr>
              <w:t>0.33</w:t>
            </w:r>
          </w:p>
        </w:tc>
        <w:tc>
          <w:tcPr>
            <w:tcW w:w="626" w:type="dxa"/>
            <w:shd w:val="clear" w:color="auto" w:fill="C6D9F1" w:themeFill="text2" w:themeFillTint="33"/>
            <w:noWrap/>
            <w:tcMar>
              <w:left w:w="57" w:type="dxa"/>
              <w:right w:w="57" w:type="dxa"/>
            </w:tcMar>
          </w:tcPr>
          <w:p w14:paraId="53C13E79" w14:textId="77777777" w:rsidR="009D49ED" w:rsidRPr="00DF2CE7" w:rsidRDefault="009D49ED" w:rsidP="009D49ED">
            <w:pPr>
              <w:jc w:val="center"/>
              <w:rPr>
                <w:rFonts w:ascii="Arial Narrow" w:hAnsi="Arial Narrow"/>
                <w:sz w:val="20"/>
                <w:szCs w:val="20"/>
              </w:rPr>
            </w:pPr>
            <w:r w:rsidRPr="00DF2CE7">
              <w:rPr>
                <w:rFonts w:ascii="Arial Narrow" w:hAnsi="Arial Narrow"/>
                <w:sz w:val="20"/>
                <w:szCs w:val="20"/>
              </w:rPr>
              <w:t>0.72</w:t>
            </w:r>
          </w:p>
        </w:tc>
      </w:tr>
      <w:tr w:rsidR="00DF2CE7" w:rsidRPr="00DF2CE7" w14:paraId="53C13E89" w14:textId="77777777" w:rsidTr="00DF2CE7">
        <w:trPr>
          <w:cantSplit/>
          <w:trHeight w:hRule="exact" w:val="301"/>
        </w:trPr>
        <w:tc>
          <w:tcPr>
            <w:tcW w:w="1074" w:type="dxa"/>
            <w:vMerge/>
            <w:shd w:val="clear" w:color="auto" w:fill="auto"/>
            <w:noWrap/>
            <w:tcMar>
              <w:left w:w="57" w:type="dxa"/>
              <w:right w:w="57" w:type="dxa"/>
            </w:tcMar>
            <w:vAlign w:val="center"/>
          </w:tcPr>
          <w:p w14:paraId="53C13E7B" w14:textId="77777777" w:rsidR="009D49ED" w:rsidRPr="00DF2CE7" w:rsidRDefault="009D49ED" w:rsidP="009D49ED">
            <w:pPr>
              <w:spacing w:after="0"/>
              <w:jc w:val="right"/>
              <w:rPr>
                <w:rFonts w:ascii="Arial Narrow" w:hAnsi="Arial Narrow"/>
                <w:bCs/>
                <w:sz w:val="20"/>
              </w:rPr>
            </w:pPr>
          </w:p>
        </w:tc>
        <w:tc>
          <w:tcPr>
            <w:tcW w:w="350" w:type="dxa"/>
            <w:shd w:val="clear" w:color="auto" w:fill="auto"/>
            <w:noWrap/>
            <w:tcMar>
              <w:left w:w="57" w:type="dxa"/>
              <w:right w:w="57" w:type="dxa"/>
            </w:tcMar>
            <w:vAlign w:val="center"/>
          </w:tcPr>
          <w:p w14:paraId="53C13E7C" w14:textId="77777777" w:rsidR="009D49ED" w:rsidRPr="00DF2CE7" w:rsidRDefault="009D49ED" w:rsidP="009D49ED">
            <w:pPr>
              <w:spacing w:after="0"/>
              <w:jc w:val="center"/>
              <w:rPr>
                <w:rFonts w:ascii="Arial Narrow" w:hAnsi="Arial Narrow"/>
                <w:bCs/>
                <w:sz w:val="20"/>
              </w:rPr>
            </w:pPr>
            <w:r w:rsidRPr="00DF2CE7">
              <w:rPr>
                <w:rFonts w:ascii="Arial Narrow" w:hAnsi="Arial Narrow"/>
                <w:bCs/>
                <w:sz w:val="20"/>
              </w:rPr>
              <w:t>5</w:t>
            </w:r>
          </w:p>
        </w:tc>
        <w:tc>
          <w:tcPr>
            <w:tcW w:w="625" w:type="dxa"/>
            <w:shd w:val="clear" w:color="auto" w:fill="538DD5"/>
            <w:noWrap/>
            <w:tcMar>
              <w:left w:w="57" w:type="dxa"/>
              <w:right w:w="57" w:type="dxa"/>
            </w:tcMar>
          </w:tcPr>
          <w:p w14:paraId="53C13E7D" w14:textId="77777777" w:rsidR="009D49ED" w:rsidRPr="00DF2CE7" w:rsidRDefault="009D49ED" w:rsidP="009D49ED">
            <w:pPr>
              <w:spacing w:after="0"/>
              <w:jc w:val="center"/>
              <w:rPr>
                <w:rFonts w:ascii="Arial Narrow" w:hAnsi="Arial Narrow"/>
                <w:bCs/>
                <w:sz w:val="20"/>
                <w:szCs w:val="20"/>
              </w:rPr>
            </w:pPr>
            <w:r w:rsidRPr="00DF2CE7">
              <w:rPr>
                <w:rFonts w:ascii="Arial Narrow" w:hAnsi="Arial Narrow"/>
                <w:sz w:val="20"/>
                <w:szCs w:val="20"/>
              </w:rPr>
              <w:t>0.24</w:t>
            </w:r>
          </w:p>
        </w:tc>
        <w:tc>
          <w:tcPr>
            <w:tcW w:w="625" w:type="dxa"/>
            <w:shd w:val="clear" w:color="auto" w:fill="538DD5"/>
            <w:noWrap/>
            <w:tcMar>
              <w:left w:w="57" w:type="dxa"/>
              <w:right w:w="57" w:type="dxa"/>
            </w:tcMar>
          </w:tcPr>
          <w:p w14:paraId="53C13E7E" w14:textId="77777777" w:rsidR="009D49ED" w:rsidRPr="00DF2CE7" w:rsidRDefault="009D49ED" w:rsidP="009D49ED">
            <w:pPr>
              <w:spacing w:after="0"/>
              <w:jc w:val="center"/>
              <w:rPr>
                <w:rFonts w:ascii="Arial Narrow" w:hAnsi="Arial Narrow"/>
                <w:bCs/>
                <w:sz w:val="20"/>
                <w:szCs w:val="20"/>
              </w:rPr>
            </w:pPr>
            <w:r w:rsidRPr="00DF2CE7">
              <w:rPr>
                <w:rFonts w:ascii="Arial Narrow" w:hAnsi="Arial Narrow"/>
                <w:sz w:val="20"/>
                <w:szCs w:val="20"/>
              </w:rPr>
              <w:t>0.93</w:t>
            </w:r>
          </w:p>
        </w:tc>
        <w:tc>
          <w:tcPr>
            <w:tcW w:w="625" w:type="dxa"/>
            <w:shd w:val="clear" w:color="auto" w:fill="538DD5"/>
            <w:noWrap/>
            <w:tcMar>
              <w:left w:w="57" w:type="dxa"/>
              <w:right w:w="57" w:type="dxa"/>
            </w:tcMar>
          </w:tcPr>
          <w:p w14:paraId="53C13E7F" w14:textId="77777777" w:rsidR="009D49ED" w:rsidRPr="00DF2CE7" w:rsidRDefault="009D49ED" w:rsidP="009D49ED">
            <w:pPr>
              <w:jc w:val="center"/>
              <w:rPr>
                <w:rFonts w:ascii="Arial Narrow" w:hAnsi="Arial Narrow"/>
                <w:sz w:val="20"/>
                <w:szCs w:val="20"/>
              </w:rPr>
            </w:pPr>
            <w:r w:rsidRPr="00DF2CE7">
              <w:rPr>
                <w:rFonts w:ascii="Arial Narrow" w:hAnsi="Arial Narrow"/>
                <w:sz w:val="20"/>
                <w:szCs w:val="20"/>
              </w:rPr>
              <w:t>0.22</w:t>
            </w:r>
          </w:p>
        </w:tc>
        <w:tc>
          <w:tcPr>
            <w:tcW w:w="625" w:type="dxa"/>
            <w:shd w:val="clear" w:color="auto" w:fill="538DD5"/>
            <w:noWrap/>
            <w:tcMar>
              <w:left w:w="57" w:type="dxa"/>
              <w:right w:w="57" w:type="dxa"/>
            </w:tcMar>
          </w:tcPr>
          <w:p w14:paraId="53C13E80" w14:textId="77777777" w:rsidR="009D49ED" w:rsidRPr="00DF2CE7" w:rsidRDefault="009D49ED" w:rsidP="009D49ED">
            <w:pPr>
              <w:jc w:val="center"/>
              <w:rPr>
                <w:rFonts w:ascii="Arial Narrow" w:hAnsi="Arial Narrow"/>
                <w:sz w:val="20"/>
                <w:szCs w:val="20"/>
              </w:rPr>
            </w:pPr>
            <w:r w:rsidRPr="00DF2CE7">
              <w:rPr>
                <w:rFonts w:ascii="Arial Narrow" w:hAnsi="Arial Narrow"/>
                <w:sz w:val="20"/>
                <w:szCs w:val="20"/>
              </w:rPr>
              <w:t>0.90</w:t>
            </w:r>
          </w:p>
        </w:tc>
        <w:tc>
          <w:tcPr>
            <w:tcW w:w="625" w:type="dxa"/>
            <w:shd w:val="clear" w:color="auto" w:fill="8DB3E2"/>
            <w:noWrap/>
            <w:tcMar>
              <w:left w:w="57" w:type="dxa"/>
              <w:right w:w="57" w:type="dxa"/>
            </w:tcMar>
          </w:tcPr>
          <w:p w14:paraId="53C13E81" w14:textId="77777777" w:rsidR="009D49ED" w:rsidRPr="00DF2CE7" w:rsidRDefault="009D49ED" w:rsidP="009D49ED">
            <w:pPr>
              <w:jc w:val="center"/>
              <w:rPr>
                <w:rFonts w:ascii="Arial Narrow" w:hAnsi="Arial Narrow"/>
                <w:sz w:val="20"/>
                <w:szCs w:val="20"/>
              </w:rPr>
            </w:pPr>
            <w:r w:rsidRPr="00DF2CE7">
              <w:rPr>
                <w:rFonts w:ascii="Arial Narrow" w:hAnsi="Arial Narrow"/>
                <w:sz w:val="20"/>
                <w:szCs w:val="20"/>
              </w:rPr>
              <w:t>0.11</w:t>
            </w:r>
          </w:p>
        </w:tc>
        <w:tc>
          <w:tcPr>
            <w:tcW w:w="626" w:type="dxa"/>
            <w:shd w:val="clear" w:color="auto" w:fill="8DB3E2"/>
            <w:noWrap/>
            <w:tcMar>
              <w:left w:w="57" w:type="dxa"/>
              <w:right w:w="57" w:type="dxa"/>
            </w:tcMar>
          </w:tcPr>
          <w:p w14:paraId="53C13E82" w14:textId="77777777" w:rsidR="009D49ED" w:rsidRPr="00DF2CE7" w:rsidRDefault="009D49ED" w:rsidP="009D49ED">
            <w:pPr>
              <w:jc w:val="center"/>
              <w:rPr>
                <w:rFonts w:ascii="Arial Narrow" w:hAnsi="Arial Narrow"/>
                <w:sz w:val="20"/>
                <w:szCs w:val="20"/>
              </w:rPr>
            </w:pPr>
            <w:r w:rsidRPr="00DF2CE7">
              <w:rPr>
                <w:rFonts w:ascii="Arial Narrow" w:hAnsi="Arial Narrow"/>
                <w:sz w:val="20"/>
                <w:szCs w:val="20"/>
              </w:rPr>
              <w:t>0.73</w:t>
            </w:r>
          </w:p>
        </w:tc>
        <w:tc>
          <w:tcPr>
            <w:tcW w:w="625" w:type="dxa"/>
            <w:shd w:val="clear" w:color="auto" w:fill="8DB3E2" w:themeFill="text2" w:themeFillTint="66"/>
            <w:noWrap/>
            <w:tcMar>
              <w:left w:w="57" w:type="dxa"/>
              <w:right w:w="57" w:type="dxa"/>
            </w:tcMar>
          </w:tcPr>
          <w:p w14:paraId="53C13E83" w14:textId="77777777" w:rsidR="009D49ED" w:rsidRPr="00DF2CE7" w:rsidRDefault="009D49ED" w:rsidP="009D49ED">
            <w:pPr>
              <w:jc w:val="center"/>
              <w:rPr>
                <w:rFonts w:ascii="Arial Narrow" w:hAnsi="Arial Narrow"/>
                <w:sz w:val="20"/>
                <w:szCs w:val="20"/>
              </w:rPr>
            </w:pPr>
            <w:r w:rsidRPr="00DF2CE7">
              <w:rPr>
                <w:rFonts w:ascii="Arial Narrow" w:hAnsi="Arial Narrow"/>
                <w:sz w:val="20"/>
                <w:szCs w:val="20"/>
              </w:rPr>
              <w:t>0.17</w:t>
            </w:r>
          </w:p>
        </w:tc>
        <w:tc>
          <w:tcPr>
            <w:tcW w:w="625" w:type="dxa"/>
            <w:shd w:val="clear" w:color="auto" w:fill="8DB3E2" w:themeFill="text2" w:themeFillTint="66"/>
            <w:noWrap/>
            <w:tcMar>
              <w:left w:w="57" w:type="dxa"/>
              <w:right w:w="57" w:type="dxa"/>
            </w:tcMar>
          </w:tcPr>
          <w:p w14:paraId="53C13E84" w14:textId="77777777" w:rsidR="009D49ED" w:rsidRPr="00DF2CE7" w:rsidRDefault="009D49ED" w:rsidP="009D49ED">
            <w:pPr>
              <w:jc w:val="center"/>
              <w:rPr>
                <w:rFonts w:ascii="Arial Narrow" w:hAnsi="Arial Narrow"/>
                <w:sz w:val="20"/>
                <w:szCs w:val="20"/>
              </w:rPr>
            </w:pPr>
            <w:r w:rsidRPr="00DF2CE7">
              <w:rPr>
                <w:rFonts w:ascii="Arial Narrow" w:hAnsi="Arial Narrow"/>
                <w:sz w:val="20"/>
                <w:szCs w:val="20"/>
              </w:rPr>
              <w:t>0.81</w:t>
            </w:r>
          </w:p>
        </w:tc>
        <w:tc>
          <w:tcPr>
            <w:tcW w:w="625" w:type="dxa"/>
            <w:shd w:val="clear" w:color="auto" w:fill="538DD5"/>
            <w:noWrap/>
            <w:tcMar>
              <w:left w:w="57" w:type="dxa"/>
              <w:right w:w="57" w:type="dxa"/>
            </w:tcMar>
          </w:tcPr>
          <w:p w14:paraId="53C13E85" w14:textId="77777777" w:rsidR="009D49ED" w:rsidRPr="00DF2CE7" w:rsidRDefault="009D49ED" w:rsidP="009D49ED">
            <w:pPr>
              <w:jc w:val="center"/>
              <w:rPr>
                <w:rFonts w:ascii="Arial Narrow" w:hAnsi="Arial Narrow"/>
                <w:sz w:val="20"/>
                <w:szCs w:val="20"/>
              </w:rPr>
            </w:pPr>
            <w:r w:rsidRPr="00DF2CE7">
              <w:rPr>
                <w:rFonts w:ascii="Arial Narrow" w:hAnsi="Arial Narrow"/>
                <w:sz w:val="20"/>
                <w:szCs w:val="20"/>
              </w:rPr>
              <w:t>0.40</w:t>
            </w:r>
          </w:p>
        </w:tc>
        <w:tc>
          <w:tcPr>
            <w:tcW w:w="625" w:type="dxa"/>
            <w:shd w:val="clear" w:color="auto" w:fill="538DD5"/>
            <w:noWrap/>
            <w:tcMar>
              <w:left w:w="57" w:type="dxa"/>
              <w:right w:w="57" w:type="dxa"/>
            </w:tcMar>
          </w:tcPr>
          <w:p w14:paraId="53C13E86" w14:textId="77777777" w:rsidR="009D49ED" w:rsidRPr="00DF2CE7" w:rsidRDefault="009D49ED" w:rsidP="009D49ED">
            <w:pPr>
              <w:jc w:val="center"/>
              <w:rPr>
                <w:rFonts w:ascii="Arial Narrow" w:hAnsi="Arial Narrow"/>
                <w:sz w:val="20"/>
                <w:szCs w:val="20"/>
              </w:rPr>
            </w:pPr>
            <w:r w:rsidRPr="00DF2CE7">
              <w:rPr>
                <w:rFonts w:ascii="Arial Narrow" w:hAnsi="Arial Narrow"/>
                <w:sz w:val="20"/>
                <w:szCs w:val="20"/>
              </w:rPr>
              <w:t>0.95</w:t>
            </w:r>
          </w:p>
        </w:tc>
        <w:tc>
          <w:tcPr>
            <w:tcW w:w="625" w:type="dxa"/>
            <w:shd w:val="clear" w:color="auto" w:fill="8DB3E2"/>
            <w:noWrap/>
            <w:tcMar>
              <w:left w:w="57" w:type="dxa"/>
              <w:right w:w="57" w:type="dxa"/>
            </w:tcMar>
          </w:tcPr>
          <w:p w14:paraId="53C13E87" w14:textId="77777777" w:rsidR="009D49ED" w:rsidRPr="00DF2CE7" w:rsidRDefault="009D49ED" w:rsidP="009D49ED">
            <w:pPr>
              <w:jc w:val="center"/>
              <w:rPr>
                <w:rFonts w:ascii="Arial Narrow" w:hAnsi="Arial Narrow"/>
                <w:sz w:val="20"/>
                <w:szCs w:val="20"/>
              </w:rPr>
            </w:pPr>
            <w:r w:rsidRPr="00DF2CE7">
              <w:rPr>
                <w:rFonts w:ascii="Arial Narrow" w:hAnsi="Arial Narrow"/>
                <w:sz w:val="20"/>
                <w:szCs w:val="20"/>
              </w:rPr>
              <w:t>0.31</w:t>
            </w:r>
          </w:p>
        </w:tc>
        <w:tc>
          <w:tcPr>
            <w:tcW w:w="626" w:type="dxa"/>
            <w:shd w:val="clear" w:color="auto" w:fill="8DB3E2"/>
            <w:noWrap/>
            <w:tcMar>
              <w:left w:w="57" w:type="dxa"/>
              <w:right w:w="57" w:type="dxa"/>
            </w:tcMar>
          </w:tcPr>
          <w:p w14:paraId="53C13E88" w14:textId="77777777" w:rsidR="009D49ED" w:rsidRPr="00DF2CE7" w:rsidRDefault="009D49ED" w:rsidP="009D49ED">
            <w:pPr>
              <w:jc w:val="center"/>
              <w:rPr>
                <w:rFonts w:ascii="Arial Narrow" w:hAnsi="Arial Narrow"/>
                <w:sz w:val="20"/>
                <w:szCs w:val="20"/>
              </w:rPr>
            </w:pPr>
            <w:r w:rsidRPr="00DF2CE7">
              <w:rPr>
                <w:rFonts w:ascii="Arial Narrow" w:hAnsi="Arial Narrow"/>
                <w:sz w:val="20"/>
                <w:szCs w:val="20"/>
              </w:rPr>
              <w:t>0.73</w:t>
            </w:r>
          </w:p>
        </w:tc>
      </w:tr>
    </w:tbl>
    <w:p w14:paraId="53C13E8A" w14:textId="77777777" w:rsidR="00A84742" w:rsidRPr="004B2398" w:rsidRDefault="00A84742" w:rsidP="00A84742">
      <w:pPr>
        <w:rPr>
          <w:color w:val="000000" w:themeColor="text1"/>
        </w:rPr>
      </w:pPr>
    </w:p>
    <w:p w14:paraId="53C13E8B" w14:textId="0FF2E981" w:rsidR="00E8508B" w:rsidRDefault="00A84742" w:rsidP="00A84742">
      <w:r w:rsidRPr="00895B23">
        <w:t>Declines in the index through to 2013 coincided with the combined influence of cyclone Yasi and a period of very high discharge from the region’s rivers (</w:t>
      </w:r>
      <w:r w:rsidRPr="00895B23">
        <w:fldChar w:fldCharType="begin"/>
      </w:r>
      <w:r w:rsidRPr="00895B23">
        <w:instrText xml:space="preserve"> REF _Ref491336872 \h </w:instrText>
      </w:r>
      <w:r w:rsidRPr="00895B23">
        <w:fldChar w:fldCharType="separate"/>
      </w:r>
      <w:r w:rsidR="003053D1" w:rsidRPr="00CE4E0F">
        <w:t xml:space="preserve">Figure </w:t>
      </w:r>
      <w:r w:rsidR="003053D1">
        <w:rPr>
          <w:noProof/>
        </w:rPr>
        <w:t>24</w:t>
      </w:r>
      <w:r w:rsidRPr="00895B23">
        <w:fldChar w:fldCharType="end"/>
      </w:r>
      <w:r w:rsidRPr="00895B23">
        <w:t>d, e). Since 2005, cyclones and storms have accounted for 50% of hard coral losses (</w:t>
      </w:r>
      <w:r w:rsidRPr="00895B23">
        <w:fldChar w:fldCharType="begin"/>
      </w:r>
      <w:r w:rsidRPr="00895B23">
        <w:instrText xml:space="preserve"> REF _Ref491336872 \h </w:instrText>
      </w:r>
      <w:r w:rsidRPr="00895B23">
        <w:fldChar w:fldCharType="separate"/>
      </w:r>
      <w:r w:rsidR="003053D1" w:rsidRPr="00CE4E0F">
        <w:t xml:space="preserve">Figure </w:t>
      </w:r>
      <w:r w:rsidR="003053D1">
        <w:rPr>
          <w:noProof/>
        </w:rPr>
        <w:t>24</w:t>
      </w:r>
      <w:r w:rsidRPr="00895B23">
        <w:fldChar w:fldCharType="end"/>
      </w:r>
      <w:r w:rsidRPr="00895B23">
        <w:t xml:space="preserve">e). </w:t>
      </w:r>
      <w:r w:rsidR="00774359" w:rsidRPr="00895B23">
        <w:t>The lagged influence from cyclone Yasi noted in 2012 (</w:t>
      </w:r>
      <w:r w:rsidR="00774359" w:rsidRPr="00895B23">
        <w:fldChar w:fldCharType="begin"/>
      </w:r>
      <w:r w:rsidR="00774359" w:rsidRPr="00895B23">
        <w:instrText xml:space="preserve"> REF _Ref491336872 \h </w:instrText>
      </w:r>
      <w:r w:rsidR="00774359" w:rsidRPr="00895B23">
        <w:fldChar w:fldCharType="separate"/>
      </w:r>
      <w:r w:rsidR="003053D1" w:rsidRPr="00CE4E0F">
        <w:t xml:space="preserve">Figure </w:t>
      </w:r>
      <w:r w:rsidR="003053D1">
        <w:rPr>
          <w:noProof/>
        </w:rPr>
        <w:t>24</w:t>
      </w:r>
      <w:r w:rsidR="00774359" w:rsidRPr="00895B23">
        <w:fldChar w:fldCharType="end"/>
      </w:r>
      <w:r w:rsidR="00774359" w:rsidRPr="00895B23">
        <w:t>e), is due to LTMP surveys post</w:t>
      </w:r>
      <w:r w:rsidR="00774359">
        <w:t>-</w:t>
      </w:r>
      <w:r w:rsidR="00774359" w:rsidRPr="00895B23">
        <w:t xml:space="preserve">Yasi not occurring until that year. </w:t>
      </w:r>
      <w:r w:rsidRPr="00895B23">
        <w:t>East–facing locations, such as Palms East and Lady Elliot (2 m), were particularly exposed to storm driven seas, and show the impacts of cyclone Larry (2006) and cyclone Yasi (2011) (</w:t>
      </w:r>
      <w:r w:rsidRPr="00895B23">
        <w:fldChar w:fldCharType="begin"/>
      </w:r>
      <w:r w:rsidRPr="00895B23">
        <w:instrText xml:space="preserve"> REF _Ref528589949 \h </w:instrText>
      </w:r>
      <w:r w:rsidRPr="00895B23">
        <w:fldChar w:fldCharType="separate"/>
      </w:r>
      <w:r w:rsidR="003053D1" w:rsidRPr="002445C4">
        <w:t xml:space="preserve">Figure A </w:t>
      </w:r>
      <w:r w:rsidR="003053D1">
        <w:rPr>
          <w:noProof/>
        </w:rPr>
        <w:t>4</w:t>
      </w:r>
      <w:r w:rsidRPr="00895B23">
        <w:fldChar w:fldCharType="end"/>
      </w:r>
      <w:r w:rsidR="00774359">
        <w:t xml:space="preserve">, </w:t>
      </w:r>
      <w:r w:rsidR="00774359">
        <w:fldChar w:fldCharType="begin"/>
      </w:r>
      <w:r w:rsidR="00774359">
        <w:instrText xml:space="preserve"> REF _Ref30660433 \h </w:instrText>
      </w:r>
      <w:r w:rsidR="00774359">
        <w:fldChar w:fldCharType="separate"/>
      </w:r>
      <w:r w:rsidR="003053D1">
        <w:t xml:space="preserve">Table A </w:t>
      </w:r>
      <w:r w:rsidR="003053D1">
        <w:rPr>
          <w:noProof/>
        </w:rPr>
        <w:t>7</w:t>
      </w:r>
      <w:r w:rsidR="00774359">
        <w:fldChar w:fldCharType="end"/>
      </w:r>
      <w:r w:rsidRPr="00895B23">
        <w:fldChar w:fldCharType="begin"/>
      </w:r>
      <w:r w:rsidRPr="00895B23">
        <w:instrText xml:space="preserve"> REF _Ref501109656 \h </w:instrText>
      </w:r>
      <w:r w:rsidRPr="00895B23">
        <w:fldChar w:fldCharType="end"/>
      </w:r>
      <w:r w:rsidRPr="00895B23">
        <w:t xml:space="preserve">). </w:t>
      </w:r>
      <w:r w:rsidR="00774359">
        <w:t>At both these reefs coral cover has returned to similar levels as observed in 2005. At Lady Elliot the community composition is similar to that present in 2005 while. At Palms East the 2005 community dominated by soft corals has been replaces by a hard-coral community dominated by Acroporidae (</w:t>
      </w:r>
      <w:r w:rsidR="00774359">
        <w:fldChar w:fldCharType="begin"/>
      </w:r>
      <w:r w:rsidR="00774359">
        <w:instrText xml:space="preserve"> REF _Ref528589949 \h </w:instrText>
      </w:r>
      <w:r w:rsidR="00774359">
        <w:fldChar w:fldCharType="separate"/>
      </w:r>
      <w:r w:rsidR="003053D1" w:rsidRPr="002445C4">
        <w:t xml:space="preserve">Figure A </w:t>
      </w:r>
      <w:r w:rsidR="003053D1">
        <w:rPr>
          <w:noProof/>
        </w:rPr>
        <w:t>4</w:t>
      </w:r>
      <w:r w:rsidR="00774359">
        <w:fldChar w:fldCharType="end"/>
      </w:r>
      <w:r w:rsidR="00774359">
        <w:t>)</w:t>
      </w:r>
    </w:p>
    <w:p w14:paraId="53C13E8C" w14:textId="77777777" w:rsidR="00A84742" w:rsidRPr="00895B23" w:rsidRDefault="00A84742" w:rsidP="00A84742">
      <w:r w:rsidRPr="00895B23">
        <w:t xml:space="preserve">The last outbreak of crown-of-thorns starfish on the inshore reefs in this region occurred at Havannah in 2001. </w:t>
      </w:r>
      <w:r w:rsidR="005E2B2A">
        <w:t>A single c</w:t>
      </w:r>
      <w:r w:rsidRPr="00895B23">
        <w:t xml:space="preserve">rown-of-thorns starfish </w:t>
      </w:r>
      <w:r w:rsidR="005E2B2A" w:rsidRPr="00895B23">
        <w:t>w</w:t>
      </w:r>
      <w:r w:rsidR="005E2B2A">
        <w:t>as</w:t>
      </w:r>
      <w:r w:rsidR="005E2B2A" w:rsidRPr="00895B23">
        <w:t xml:space="preserve"> </w:t>
      </w:r>
      <w:r w:rsidRPr="00895B23">
        <w:t xml:space="preserve">observed during surveys </w:t>
      </w:r>
      <w:r w:rsidR="007005DC" w:rsidRPr="00895B23">
        <w:t xml:space="preserve">at Palms </w:t>
      </w:r>
      <w:r w:rsidR="00895B23" w:rsidRPr="00895B23">
        <w:t xml:space="preserve">West </w:t>
      </w:r>
      <w:r w:rsidR="001430F9" w:rsidRPr="00895B23">
        <w:t xml:space="preserve">in 2019 </w:t>
      </w:r>
      <w:r w:rsidR="00AD1D8F">
        <w:t>with</w:t>
      </w:r>
      <w:r w:rsidR="00895B23" w:rsidRPr="00895B23">
        <w:t xml:space="preserve"> little evidence of impacts at this stage. </w:t>
      </w:r>
      <w:r w:rsidR="000D69E1">
        <w:t>Populations of</w:t>
      </w:r>
      <w:r w:rsidR="00895B23" w:rsidRPr="00895B23">
        <w:t xml:space="preserve"> </w:t>
      </w:r>
      <w:r w:rsidR="000D69E1">
        <w:t xml:space="preserve">crown-of-thorns starfish </w:t>
      </w:r>
      <w:r w:rsidR="00895B23" w:rsidRPr="00895B23">
        <w:t>remain in outbreak densities at some mid-shelf reefs in the region (</w:t>
      </w:r>
      <w:hyperlink r:id="rId56" w:history="1">
        <w:r w:rsidR="00895B23" w:rsidRPr="00172591">
          <w:t>AIMS</w:t>
        </w:r>
        <w:r w:rsidR="00774359">
          <w:t xml:space="preserve"> </w:t>
        </w:r>
        <w:r w:rsidR="00895B23" w:rsidRPr="00172591">
          <w:t>LTMP</w:t>
        </w:r>
      </w:hyperlink>
      <w:r w:rsidR="00895B23" w:rsidRPr="00895B23">
        <w:t>).</w:t>
      </w:r>
      <w:r w:rsidRPr="00895B23">
        <w:t xml:space="preserve"> </w:t>
      </w:r>
    </w:p>
    <w:p w14:paraId="53C13E8D" w14:textId="2BD4C946" w:rsidR="00774359" w:rsidRDefault="00774359" w:rsidP="00A84742">
      <w:r>
        <w:t>T</w:t>
      </w:r>
      <w:r w:rsidR="00A84742" w:rsidRPr="00895B23">
        <w:t>he period 2010 to 2013 saw a reduction in scores for the cover change indicator at 5 m depths (</w:t>
      </w:r>
      <w:r w:rsidR="00A84742" w:rsidRPr="00895B23">
        <w:fldChar w:fldCharType="begin"/>
      </w:r>
      <w:r w:rsidR="00A84742" w:rsidRPr="00895B23">
        <w:instrText xml:space="preserve"> REF _Ref491336568 \h </w:instrText>
      </w:r>
      <w:r w:rsidR="00A84742" w:rsidRPr="00895B23">
        <w:fldChar w:fldCharType="separate"/>
      </w:r>
      <w:r w:rsidR="003053D1" w:rsidRPr="00DF2CE7">
        <w:t xml:space="preserve">Table </w:t>
      </w:r>
      <w:r w:rsidR="003053D1">
        <w:rPr>
          <w:noProof/>
        </w:rPr>
        <w:t>12</w:t>
      </w:r>
      <w:r w:rsidR="00A84742" w:rsidRPr="00895B23">
        <w:fldChar w:fldCharType="end"/>
      </w:r>
      <w:r w:rsidR="00A84742" w:rsidRPr="00895B23">
        <w:t>). This reduc</w:t>
      </w:r>
      <w:r w:rsidR="001F1D4C">
        <w:t>ed</w:t>
      </w:r>
      <w:r w:rsidR="00A84742" w:rsidRPr="00895B23">
        <w:t xml:space="preserve"> rate of increase in coral cover saw observed cover fall below that predicted by coral growth models and accounts </w:t>
      </w:r>
      <w:r w:rsidR="00A84742" w:rsidRPr="00895B23">
        <w:lastRenderedPageBreak/>
        <w:t>for most of the cover loss since 2005 attributed to chronic pressures (</w:t>
      </w:r>
      <w:r w:rsidR="00A84742" w:rsidRPr="00895B23">
        <w:fldChar w:fldCharType="begin"/>
      </w:r>
      <w:r w:rsidR="00A84742" w:rsidRPr="00895B23">
        <w:instrText xml:space="preserve"> REF _Ref491336872 \h </w:instrText>
      </w:r>
      <w:r w:rsidR="00A84742" w:rsidRPr="00895B23">
        <w:fldChar w:fldCharType="separate"/>
      </w:r>
      <w:r w:rsidR="003053D1" w:rsidRPr="00CE4E0F">
        <w:t xml:space="preserve">Figure </w:t>
      </w:r>
      <w:r w:rsidR="003053D1">
        <w:rPr>
          <w:noProof/>
        </w:rPr>
        <w:t>24</w:t>
      </w:r>
      <w:r w:rsidR="00A84742" w:rsidRPr="00895B23">
        <w:fldChar w:fldCharType="end"/>
      </w:r>
      <w:r>
        <w:t>e</w:t>
      </w:r>
      <w:r w:rsidR="00A84742" w:rsidRPr="00895B23">
        <w:t>).</w:t>
      </w:r>
      <w:r w:rsidR="001430F9">
        <w:t xml:space="preserve"> </w:t>
      </w:r>
      <w:r w:rsidR="00A84742" w:rsidRPr="007C72AF">
        <w:t>Although not categorised as a disease outbreak for disturbance estimation, elevated levels of disease were observed from 2007 to 2009 (</w:t>
      </w:r>
      <w:r w:rsidR="00A84742" w:rsidRPr="007C72AF">
        <w:fldChar w:fldCharType="begin"/>
      </w:r>
      <w:r w:rsidR="00A84742" w:rsidRPr="007C72AF">
        <w:instrText xml:space="preserve"> REF _Ref528577145 \h </w:instrText>
      </w:r>
      <w:r w:rsidR="00A84742" w:rsidRPr="007C72AF">
        <w:fldChar w:fldCharType="separate"/>
      </w:r>
      <w:r w:rsidR="003053D1" w:rsidRPr="002445C4">
        <w:t xml:space="preserve">Figure A </w:t>
      </w:r>
      <w:r w:rsidR="003053D1">
        <w:rPr>
          <w:noProof/>
        </w:rPr>
        <w:t>7</w:t>
      </w:r>
      <w:r w:rsidR="00A84742" w:rsidRPr="007C72AF">
        <w:fldChar w:fldCharType="end"/>
      </w:r>
      <w:r w:rsidR="00A84742" w:rsidRPr="007C72AF">
        <w:t>) and will have contributed to the chronic disturbances recorded over the period 2008 to 2010 (</w:t>
      </w:r>
      <w:r w:rsidR="00A84742" w:rsidRPr="007C72AF">
        <w:fldChar w:fldCharType="begin"/>
      </w:r>
      <w:r w:rsidR="00A84742" w:rsidRPr="007C72AF">
        <w:instrText xml:space="preserve"> REF _Ref491336872 \h </w:instrText>
      </w:r>
      <w:r w:rsidR="00A84742" w:rsidRPr="007C72AF">
        <w:fldChar w:fldCharType="separate"/>
      </w:r>
      <w:r w:rsidR="003053D1" w:rsidRPr="00CE4E0F">
        <w:t xml:space="preserve">Figure </w:t>
      </w:r>
      <w:r w:rsidR="003053D1">
        <w:rPr>
          <w:noProof/>
        </w:rPr>
        <w:t>24</w:t>
      </w:r>
      <w:r w:rsidR="00A84742" w:rsidRPr="007C72AF">
        <w:fldChar w:fldCharType="end"/>
      </w:r>
      <w:r w:rsidR="00A84742" w:rsidRPr="007C72AF">
        <w:t>e).</w:t>
      </w:r>
    </w:p>
    <w:p w14:paraId="53C13E8E" w14:textId="77777777" w:rsidR="00A84742" w:rsidRPr="007C72AF" w:rsidRDefault="00A84742" w:rsidP="00A84742">
      <w:r w:rsidRPr="007C72AF">
        <w:t>Chronic pressures are assumed when there is no evidence for impacts associated with acute disturbance</w:t>
      </w:r>
      <w:r w:rsidR="00955FF2">
        <w:t>. Rather, they</w:t>
      </w:r>
      <w:r w:rsidRPr="007C72AF">
        <w:t xml:space="preserve"> represent the cumulative impacts of environmental pressures that suppress the annual increments in cover that are the basis of the cover change scores. As </w:t>
      </w:r>
      <w:r w:rsidRPr="007C72AF">
        <w:rPr>
          <w:i/>
        </w:rPr>
        <w:t>Acropora</w:t>
      </w:r>
      <w:r w:rsidRPr="007C72AF">
        <w:t xml:space="preserve"> and </w:t>
      </w:r>
      <w:r w:rsidRPr="007C72AF">
        <w:rPr>
          <w:i/>
        </w:rPr>
        <w:t>Montipora</w:t>
      </w:r>
      <w:r w:rsidRPr="007C72AF">
        <w:t xml:space="preserve"> were the genera most infected by disease, the disproportional loss of these groups will have contributed to the decline in the composition indicator score. </w:t>
      </w:r>
    </w:p>
    <w:p w14:paraId="53C13E8F" w14:textId="749C349E" w:rsidR="00A84742" w:rsidRPr="007C72AF" w:rsidRDefault="00862D69" w:rsidP="00A84742">
      <w:r>
        <w:t>Major flooding occur</w:t>
      </w:r>
      <w:r w:rsidR="0030380A">
        <w:t>r</w:t>
      </w:r>
      <w:r>
        <w:t xml:space="preserve">ed in the region in </w:t>
      </w:r>
      <w:r w:rsidR="00AF6A09">
        <w:t>Febr</w:t>
      </w:r>
      <w:r w:rsidR="0030380A">
        <w:t>u</w:t>
      </w:r>
      <w:r w:rsidR="00AF6A09">
        <w:t xml:space="preserve">ary </w:t>
      </w:r>
      <w:r>
        <w:t xml:space="preserve">2019 </w:t>
      </w:r>
      <w:r w:rsidRPr="007C72AF">
        <w:t>(</w:t>
      </w:r>
      <w:r w:rsidRPr="007C72AF">
        <w:fldChar w:fldCharType="begin"/>
      </w:r>
      <w:r w:rsidRPr="007C72AF">
        <w:instrText xml:space="preserve"> REF _Ref491336872 \h </w:instrText>
      </w:r>
      <w:r w:rsidRPr="007C72AF">
        <w:fldChar w:fldCharType="separate"/>
      </w:r>
      <w:r w:rsidR="003053D1" w:rsidRPr="00CE4E0F">
        <w:t xml:space="preserve">Figure </w:t>
      </w:r>
      <w:r w:rsidR="003053D1">
        <w:rPr>
          <w:noProof/>
        </w:rPr>
        <w:t>24</w:t>
      </w:r>
      <w:r w:rsidRPr="007C72AF">
        <w:fldChar w:fldCharType="end"/>
      </w:r>
      <w:r w:rsidR="00AB2511">
        <w:t>d</w:t>
      </w:r>
      <w:r w:rsidRPr="007C72AF">
        <w:t>)</w:t>
      </w:r>
      <w:r w:rsidR="00AF6A09">
        <w:t>. Despite this event there was no direct impacts to coral communit</w:t>
      </w:r>
      <w:r w:rsidR="0030380A">
        <w:t>i</w:t>
      </w:r>
      <w:r w:rsidR="00AF6A09">
        <w:t>es</w:t>
      </w:r>
      <w:r w:rsidR="000A4507">
        <w:t xml:space="preserve"> surveyed in 2019. H</w:t>
      </w:r>
      <w:r w:rsidR="00AF6A09">
        <w:t xml:space="preserve">owever, </w:t>
      </w:r>
      <w:r w:rsidR="000A4507">
        <w:t xml:space="preserve">incidence of disease did increase slightly in 2019 </w:t>
      </w:r>
      <w:r w:rsidR="00AF6A09">
        <w:t xml:space="preserve">which may be attributed to the decreased water quality associated with the </w:t>
      </w:r>
      <w:r w:rsidR="000A4507">
        <w:t>floods.</w:t>
      </w:r>
      <w:r w:rsidR="00AF6A09" w:rsidRPr="00AF6A09">
        <w:t xml:space="preserve"> </w:t>
      </w:r>
      <w:r w:rsidR="00AF6A09">
        <w:t>Impacts of disease in 2019 were most evident at Havannah, where coral cover declined by 23% at 2m</w:t>
      </w:r>
      <w:r w:rsidR="00774359">
        <w:t xml:space="preserve"> (</w:t>
      </w:r>
      <w:r w:rsidR="00774359">
        <w:fldChar w:fldCharType="begin"/>
      </w:r>
      <w:r w:rsidR="00774359">
        <w:instrText xml:space="preserve"> REF _Ref528589949 \h </w:instrText>
      </w:r>
      <w:r w:rsidR="00774359">
        <w:fldChar w:fldCharType="separate"/>
      </w:r>
      <w:r w:rsidR="003053D1" w:rsidRPr="002445C4">
        <w:t xml:space="preserve">Figure A </w:t>
      </w:r>
      <w:r w:rsidR="003053D1">
        <w:rPr>
          <w:noProof/>
        </w:rPr>
        <w:t>4</w:t>
      </w:r>
      <w:r w:rsidR="00774359">
        <w:fldChar w:fldCharType="end"/>
      </w:r>
      <w:r w:rsidR="00AF6A09">
        <w:t>)</w:t>
      </w:r>
      <w:r w:rsidR="009266C7">
        <w:t xml:space="preserve">. While </w:t>
      </w:r>
      <w:r w:rsidR="00AF6A09">
        <w:t>this is likely to be</w:t>
      </w:r>
      <w:r w:rsidR="009266C7">
        <w:t xml:space="preserve"> a</w:t>
      </w:r>
      <w:r w:rsidR="00AF6A09">
        <w:t xml:space="preserve"> continuation of disease observed at this reef following the </w:t>
      </w:r>
      <w:r w:rsidR="00C15968">
        <w:t xml:space="preserve">thermal </w:t>
      </w:r>
      <w:r w:rsidR="00AF6A09">
        <w:t>bleaching in 2017</w:t>
      </w:r>
      <w:r w:rsidR="009266C7">
        <w:t xml:space="preserve"> it is possible that reduced fitness from plume water e</w:t>
      </w:r>
      <w:r w:rsidR="000D69E1">
        <w:t>xposure</w:t>
      </w:r>
      <w:r w:rsidR="009266C7">
        <w:t xml:space="preserve"> exacerbated the effects.</w:t>
      </w:r>
      <w:r w:rsidR="00AF6A09" w:rsidRPr="007C72AF">
        <w:t xml:space="preserve"> </w:t>
      </w:r>
      <w:r w:rsidR="000A4507">
        <w:t xml:space="preserve">Informal observations by the </w:t>
      </w:r>
      <w:r w:rsidR="00E8508B">
        <w:t xml:space="preserve">author </w:t>
      </w:r>
      <w:r w:rsidR="000A4507">
        <w:t>in the weeks following the floods noted mortality of most corals along the south-eastern rocky shores of Cape Cleveland</w:t>
      </w:r>
      <w:r w:rsidR="00EA5A62">
        <w:t xml:space="preserve"> and at Virago Shoal that was</w:t>
      </w:r>
      <w:r w:rsidR="000A4507">
        <w:t xml:space="preserve"> almost certainly caused by</w:t>
      </w:r>
      <w:r w:rsidR="00EA5A62">
        <w:t xml:space="preserve"> exposure to low salinity.</w:t>
      </w:r>
    </w:p>
    <w:p w14:paraId="53C13E90" w14:textId="77777777" w:rsidR="00A84742" w:rsidRPr="004B2398" w:rsidRDefault="00400C25" w:rsidP="00A84742">
      <w:pPr>
        <w:rPr>
          <w:color w:val="000000" w:themeColor="text1"/>
        </w:rPr>
      </w:pPr>
      <w:r>
        <w:rPr>
          <w:noProof/>
          <w:color w:val="548DD4" w:themeColor="text2" w:themeTint="99"/>
          <w:lang w:eastAsia="en-AU"/>
        </w:rPr>
        <w:lastRenderedPageBreak/>
        <w:drawing>
          <wp:inline distT="0" distB="0" distL="0" distR="0" wp14:anchorId="53C15F5A" wp14:editId="20EDD4CF">
            <wp:extent cx="6120765" cy="6591300"/>
            <wp:effectExtent l="0" t="0" r="0" b="0"/>
            <wp:docPr id="31" name="Picture 31" descr="shows distribution of pressures since 2005. Includes temperature, river discharge and hard coral cover loss attribution. Body text provides details" title="Burdekin Region environmental press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Env_Burdekin.png"/>
                    <pic:cNvPicPr/>
                  </pic:nvPicPr>
                  <pic:blipFill>
                    <a:blip r:embed="rId57" cstate="print">
                      <a:extLst>
                        <a:ext uri="{28A0092B-C50C-407E-A947-70E740481C1C}">
                          <a14:useLocalDpi xmlns:a14="http://schemas.microsoft.com/office/drawing/2010/main" val="0"/>
                        </a:ext>
                      </a:extLst>
                    </a:blip>
                    <a:stretch>
                      <a:fillRect/>
                    </a:stretch>
                  </pic:blipFill>
                  <pic:spPr>
                    <a:xfrm>
                      <a:off x="0" y="0"/>
                      <a:ext cx="6120765" cy="6591300"/>
                    </a:xfrm>
                    <a:prstGeom prst="rect">
                      <a:avLst/>
                    </a:prstGeom>
                  </pic:spPr>
                </pic:pic>
              </a:graphicData>
            </a:graphic>
          </wp:inline>
        </w:drawing>
      </w:r>
    </w:p>
    <w:p w14:paraId="53C13E91" w14:textId="777FC300" w:rsidR="003E1937" w:rsidRPr="00DF2CE7" w:rsidRDefault="00A84742" w:rsidP="002B5296">
      <w:pPr>
        <w:pStyle w:val="Caption"/>
        <w:rPr>
          <w:rFonts w:ascii="Arial" w:hAnsi="Arial" w:cs="Arial"/>
          <w:i/>
          <w:vanish/>
          <w:specVanish/>
        </w:rPr>
      </w:pPr>
      <w:bookmarkStart w:id="391" w:name="_Ref491336872"/>
      <w:bookmarkStart w:id="392" w:name="_Toc35947174"/>
      <w:bookmarkStart w:id="393" w:name="_Ref438120590"/>
      <w:bookmarkStart w:id="394" w:name="_Toc437597636"/>
      <w:bookmarkStart w:id="395" w:name="_Toc437423855"/>
      <w:bookmarkStart w:id="396" w:name="_Toc437424034"/>
      <w:bookmarkStart w:id="397" w:name="_Toc437424303"/>
      <w:bookmarkStart w:id="398" w:name="_Toc530654917"/>
      <w:bookmarkStart w:id="399" w:name="_Toc534965125"/>
      <w:r w:rsidRPr="00CE4E0F">
        <w:lastRenderedPageBreak/>
        <w:t xml:space="preserve">Figure </w:t>
      </w:r>
      <w:r w:rsidR="005D7AC6" w:rsidRPr="00CE4E0F">
        <w:rPr>
          <w:noProof/>
        </w:rPr>
        <w:fldChar w:fldCharType="begin"/>
      </w:r>
      <w:r w:rsidR="005D7AC6" w:rsidRPr="00CE4E0F">
        <w:rPr>
          <w:noProof/>
        </w:rPr>
        <w:instrText xml:space="preserve"> SEQ Figure \* ARABIC </w:instrText>
      </w:r>
      <w:r w:rsidR="005D7AC6" w:rsidRPr="00CE4E0F">
        <w:rPr>
          <w:noProof/>
        </w:rPr>
        <w:fldChar w:fldCharType="separate"/>
      </w:r>
      <w:r w:rsidR="003053D1">
        <w:rPr>
          <w:noProof/>
        </w:rPr>
        <w:t>24</w:t>
      </w:r>
      <w:r w:rsidR="005D7AC6" w:rsidRPr="00CE4E0F">
        <w:rPr>
          <w:noProof/>
        </w:rPr>
        <w:fldChar w:fldCharType="end"/>
      </w:r>
      <w:bookmarkEnd w:id="391"/>
      <w:r w:rsidRPr="00CE4E0F">
        <w:t xml:space="preserve"> Burdekin Region environmental pressures</w:t>
      </w:r>
      <w:bookmarkEnd w:id="392"/>
    </w:p>
    <w:p w14:paraId="53C13E93" w14:textId="6BB65C30" w:rsidR="003E1937" w:rsidRDefault="006177B6" w:rsidP="00E86A48">
      <w:pPr>
        <w:pStyle w:val="Caption"/>
      </w:pPr>
      <w:r w:rsidRPr="00CE4E0F">
        <w:t>.</w:t>
      </w:r>
      <w:bookmarkStart w:id="400" w:name="_Toc437597637"/>
      <w:bookmarkEnd w:id="393"/>
      <w:bookmarkEnd w:id="394"/>
      <w:bookmarkEnd w:id="395"/>
      <w:bookmarkEnd w:id="396"/>
      <w:bookmarkEnd w:id="397"/>
      <w:r w:rsidR="00A84742" w:rsidRPr="00CE4E0F">
        <w:t xml:space="preserve"> </w:t>
      </w:r>
      <w:bookmarkEnd w:id="400"/>
      <w:r w:rsidR="00A84742" w:rsidRPr="0094743B">
        <w:rPr>
          <w:rStyle w:val="IntenseReference"/>
        </w:rPr>
        <w:t xml:space="preserve">Maps show location of monitoring sites, red symbols MMP, yellow symbols LTMP along with a) mean chlorophyll a exceedance of wet season Guideline (0.63ugL-1) and b) mean Non Algal Particulate concentrations. Water quality data are mean levels over the period 2003–2018 (Chl) and 2003–2018 (NAP). c) Seasonally adjusted temperature deviation, timing of cyclones and storms indicated by black arrows, accumulated degree heating days over the summer period (1st of December – 31st March) as reported by BoM (black symbols) and derived from in situ loggers (grey symbols) d) Combined daily (blue) and annual water year – October to September (red) discharge for the Black, Burdekin, Don and Haughton </w:t>
      </w:r>
      <w:r w:rsidR="000D69E1" w:rsidRPr="0094743B">
        <w:rPr>
          <w:rStyle w:val="IntenseReference"/>
        </w:rPr>
        <w:t>basins</w:t>
      </w:r>
      <w:r w:rsidR="00A84742" w:rsidRPr="0094743B">
        <w:rPr>
          <w:rStyle w:val="IntenseReference"/>
        </w:rPr>
        <w:t>, red dashed line represents long-term median discharge (1986–2016). e) break-down of hard coral cover loss by disturbance type; length of bars represents the mean loss of cover across all reefs.</w:t>
      </w:r>
      <w:bookmarkEnd w:id="398"/>
      <w:bookmarkEnd w:id="399"/>
      <w:r w:rsidR="003E1937">
        <w:br w:type="page"/>
      </w:r>
    </w:p>
    <w:p w14:paraId="53C13E94" w14:textId="77777777" w:rsidR="00955FF2" w:rsidRPr="00955FF2" w:rsidRDefault="00955FF2" w:rsidP="00955FF2">
      <w:pPr>
        <w:rPr>
          <w:lang w:val="en-GB"/>
        </w:rPr>
      </w:pPr>
    </w:p>
    <w:p w14:paraId="53C13E95" w14:textId="77777777" w:rsidR="00A84742" w:rsidRPr="004B2398" w:rsidRDefault="003E1937" w:rsidP="00A84742">
      <w:pPr>
        <w:jc w:val="left"/>
        <w:rPr>
          <w:color w:val="000000" w:themeColor="text1"/>
        </w:rPr>
      </w:pPr>
      <w:r>
        <w:rPr>
          <w:noProof/>
          <w:color w:val="548DD4" w:themeColor="text2" w:themeTint="99"/>
          <w:lang w:eastAsia="en-AU"/>
        </w:rPr>
        <w:drawing>
          <wp:inline distT="0" distB="0" distL="0" distR="0" wp14:anchorId="53C15F5C" wp14:editId="52D625E6">
            <wp:extent cx="6120765" cy="5353050"/>
            <wp:effectExtent l="0" t="0" r="0" b="0"/>
            <wp:docPr id="7431" name="Picture 7431" descr="shows range of individual indicator scores since 2005" title="Burdekin Region index and indicator tre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1" name="Burdekin_plots_noWQ.png"/>
                    <pic:cNvPicPr/>
                  </pic:nvPicPr>
                  <pic:blipFill>
                    <a:blip r:embed="rId58" cstate="print">
                      <a:extLst>
                        <a:ext uri="{28A0092B-C50C-407E-A947-70E740481C1C}">
                          <a14:useLocalDpi xmlns:a14="http://schemas.microsoft.com/office/drawing/2010/main" val="0"/>
                        </a:ext>
                      </a:extLst>
                    </a:blip>
                    <a:stretch>
                      <a:fillRect/>
                    </a:stretch>
                  </pic:blipFill>
                  <pic:spPr>
                    <a:xfrm>
                      <a:off x="0" y="0"/>
                      <a:ext cx="6120765" cy="5353050"/>
                    </a:xfrm>
                    <a:prstGeom prst="rect">
                      <a:avLst/>
                    </a:prstGeom>
                  </pic:spPr>
                </pic:pic>
              </a:graphicData>
            </a:graphic>
          </wp:inline>
        </w:drawing>
      </w:r>
    </w:p>
    <w:p w14:paraId="53C13E96" w14:textId="1E2ACD68" w:rsidR="003E1937" w:rsidRPr="00DF2CE7" w:rsidRDefault="00A84742" w:rsidP="002B5296">
      <w:pPr>
        <w:pStyle w:val="Caption"/>
        <w:rPr>
          <w:rFonts w:ascii="Arial" w:hAnsi="Arial" w:cs="Arial"/>
          <w:i/>
          <w:vanish/>
          <w:specVanish/>
        </w:rPr>
      </w:pPr>
      <w:bookmarkStart w:id="401" w:name="_Ref491336593"/>
      <w:bookmarkStart w:id="402" w:name="_Toc35947175"/>
      <w:bookmarkStart w:id="403" w:name="_Ref469945841"/>
      <w:bookmarkStart w:id="404" w:name="_Toc530654918"/>
      <w:bookmarkStart w:id="405" w:name="_Toc534965126"/>
      <w:r w:rsidRPr="00AA6FF4">
        <w:t xml:space="preserve">Figure </w:t>
      </w:r>
      <w:r w:rsidR="005D7AC6" w:rsidRPr="00AA6FF4">
        <w:rPr>
          <w:noProof/>
        </w:rPr>
        <w:fldChar w:fldCharType="begin"/>
      </w:r>
      <w:r w:rsidR="005D7AC6" w:rsidRPr="00AA6FF4">
        <w:rPr>
          <w:noProof/>
        </w:rPr>
        <w:instrText xml:space="preserve"> SEQ Figure \* ARABIC </w:instrText>
      </w:r>
      <w:r w:rsidR="005D7AC6" w:rsidRPr="00AA6FF4">
        <w:rPr>
          <w:noProof/>
        </w:rPr>
        <w:fldChar w:fldCharType="separate"/>
      </w:r>
      <w:r w:rsidR="003053D1">
        <w:rPr>
          <w:noProof/>
        </w:rPr>
        <w:t>25</w:t>
      </w:r>
      <w:r w:rsidR="005D7AC6" w:rsidRPr="00AA6FF4">
        <w:rPr>
          <w:noProof/>
        </w:rPr>
        <w:fldChar w:fldCharType="end"/>
      </w:r>
      <w:bookmarkEnd w:id="401"/>
      <w:r w:rsidRPr="00AA6FF4">
        <w:t xml:space="preserve"> Burdekin Region index and indicator trends</w:t>
      </w:r>
      <w:bookmarkEnd w:id="402"/>
    </w:p>
    <w:p w14:paraId="53C13E97" w14:textId="77777777" w:rsidR="00A84742" w:rsidRDefault="006177B6">
      <w:pPr>
        <w:pStyle w:val="Caption"/>
        <w:rPr>
          <w:rStyle w:val="IntenseReference"/>
        </w:rPr>
      </w:pPr>
      <w:r w:rsidRPr="00AA6FF4">
        <w:t>.</w:t>
      </w:r>
      <w:bookmarkEnd w:id="403"/>
      <w:r w:rsidR="00A84742" w:rsidRPr="00AA6FF4">
        <w:t xml:space="preserve"> </w:t>
      </w:r>
      <w:r w:rsidR="00A84742" w:rsidRPr="0094743B">
        <w:rPr>
          <w:rStyle w:val="IntenseReference"/>
        </w:rPr>
        <w:t xml:space="preserve">a – </w:t>
      </w:r>
      <w:r w:rsidR="003E1937" w:rsidRPr="0094743B">
        <w:rPr>
          <w:rStyle w:val="IntenseReference"/>
        </w:rPr>
        <w:t>e</w:t>
      </w:r>
      <w:r w:rsidR="00A84742" w:rsidRPr="0094743B">
        <w:rPr>
          <w:rStyle w:val="IntenseReference"/>
        </w:rPr>
        <w:t>) trends in individual indicators, (blue lines) bound by 95% confidence intervals of those trends (shading), grey lines represent observed profiles at 5 m (dashed) and 2 m (solid) depths for individual reefs.</w:t>
      </w:r>
      <w:bookmarkEnd w:id="404"/>
      <w:bookmarkEnd w:id="405"/>
    </w:p>
    <w:p w14:paraId="53C13E98" w14:textId="2565C09A" w:rsidR="00955FF2" w:rsidRPr="00955FF2" w:rsidRDefault="00955FF2" w:rsidP="00955FF2">
      <w:pPr>
        <w:rPr>
          <w:color w:val="000000" w:themeColor="text1"/>
        </w:rPr>
      </w:pPr>
      <w:r w:rsidRPr="004260CD">
        <w:t xml:space="preserve">Improvement in the coral index between 2013 and 2016 </w:t>
      </w:r>
      <w:r>
        <w:t>(</w:t>
      </w:r>
      <w:r>
        <w:fldChar w:fldCharType="begin"/>
      </w:r>
      <w:r>
        <w:instrText xml:space="preserve"> REF _Ref491336593 \h </w:instrText>
      </w:r>
      <w:r>
        <w:fldChar w:fldCharType="separate"/>
      </w:r>
      <w:r w:rsidR="003053D1" w:rsidRPr="00AA6FF4">
        <w:t xml:space="preserve">Figure </w:t>
      </w:r>
      <w:r w:rsidR="003053D1">
        <w:rPr>
          <w:noProof/>
        </w:rPr>
        <w:t>25</w:t>
      </w:r>
      <w:r>
        <w:fldChar w:fldCharType="end"/>
      </w:r>
      <w:r>
        <w:t xml:space="preserve">a) </w:t>
      </w:r>
      <w:r w:rsidRPr="004260CD">
        <w:t>coincided with low discharge, and corresponding relatively low loads of nutrients and sediments being delivered to the Reef (</w:t>
      </w:r>
      <w:r w:rsidRPr="004260CD">
        <w:fldChar w:fldCharType="begin"/>
      </w:r>
      <w:r w:rsidRPr="004260CD">
        <w:instrText xml:space="preserve"> REF _Ref491336872 \h </w:instrText>
      </w:r>
      <w:r w:rsidRPr="004260CD">
        <w:fldChar w:fldCharType="separate"/>
      </w:r>
      <w:r w:rsidR="003053D1" w:rsidRPr="00CE4E0F">
        <w:t xml:space="preserve">Figure </w:t>
      </w:r>
      <w:r w:rsidR="003053D1">
        <w:rPr>
          <w:noProof/>
        </w:rPr>
        <w:t>24</w:t>
      </w:r>
      <w:r w:rsidRPr="004260CD">
        <w:fldChar w:fldCharType="end"/>
      </w:r>
      <w:r w:rsidRPr="004260CD">
        <w:t xml:space="preserve">d, </w:t>
      </w:r>
      <w:r>
        <w:t>Gruber</w:t>
      </w:r>
      <w:r w:rsidRPr="004260CD">
        <w:t xml:space="preserve"> </w:t>
      </w:r>
      <w:r w:rsidRPr="004260CD">
        <w:rPr>
          <w:i/>
        </w:rPr>
        <w:t>et al.</w:t>
      </w:r>
      <w:r w:rsidRPr="004260CD">
        <w:t xml:space="preserve"> 20</w:t>
      </w:r>
      <w:r>
        <w:t>20</w:t>
      </w:r>
      <w:r w:rsidRPr="004260CD">
        <w:t xml:space="preserve">). </w:t>
      </w:r>
      <w:r>
        <w:t xml:space="preserve">Despite variability in loads and demonstrated coral recovery there was no observable improvement in the region’s water quality index over this time with measured </w:t>
      </w:r>
      <w:r>
        <w:lastRenderedPageBreak/>
        <w:t>water quality constituents appearing to remain stable or increase (</w:t>
      </w:r>
      <w:r>
        <w:fldChar w:fldCharType="begin"/>
      </w:r>
      <w:r>
        <w:instrText xml:space="preserve"> REF _Ref528674727 \h </w:instrText>
      </w:r>
      <w:r>
        <w:fldChar w:fldCharType="separate"/>
      </w:r>
      <w:r w:rsidR="003053D1" w:rsidRPr="00D758C6">
        <w:t xml:space="preserve">Figure A </w:t>
      </w:r>
      <w:r w:rsidR="003053D1">
        <w:rPr>
          <w:noProof/>
        </w:rPr>
        <w:t>13</w:t>
      </w:r>
      <w:r>
        <w:fldChar w:fldCharType="end"/>
      </w:r>
      <w:r>
        <w:t xml:space="preserve">).  The lack of direct response between measured water quality and loads </w:t>
      </w:r>
      <w:r w:rsidRPr="002B5FFB">
        <w:rPr>
          <w:color w:val="000000" w:themeColor="text1"/>
        </w:rPr>
        <w:t>limits the ability to explicitly link improvement in the index scores to water quality drivers.</w:t>
      </w:r>
    </w:p>
    <w:p w14:paraId="53C13E99" w14:textId="77777777" w:rsidR="002428BD" w:rsidRPr="004B2398" w:rsidRDefault="002428BD">
      <w:pPr>
        <w:jc w:val="left"/>
        <w:rPr>
          <w:rFonts w:ascii="Arial Narrow" w:hAnsi="Arial Narrow"/>
          <w:bCs/>
          <w:color w:val="000000" w:themeColor="text1"/>
          <w:sz w:val="20"/>
        </w:rPr>
      </w:pPr>
      <w:bookmarkStart w:id="406" w:name="_Toc437424410"/>
      <w:bookmarkStart w:id="407" w:name="_Toc437424534"/>
      <w:bookmarkStart w:id="408" w:name="_Toc437432465"/>
      <w:bookmarkStart w:id="409" w:name="_Toc437432538"/>
      <w:bookmarkStart w:id="410" w:name="_Toc167192445"/>
      <w:bookmarkStart w:id="411" w:name="_Toc167192447"/>
      <w:r w:rsidRPr="00CE4E0F">
        <w:rPr>
          <w:rFonts w:ascii="Arial Narrow" w:hAnsi="Arial Narrow"/>
          <w:bCs/>
          <w:color w:val="548DD4" w:themeColor="text2" w:themeTint="99"/>
          <w:sz w:val="20"/>
        </w:rPr>
        <w:br w:type="page"/>
      </w:r>
    </w:p>
    <w:p w14:paraId="53C13E9A" w14:textId="77777777" w:rsidR="00A84742" w:rsidRPr="00CE4E0F" w:rsidRDefault="005F2B5B" w:rsidP="006F1D4F">
      <w:pPr>
        <w:pStyle w:val="Heading2"/>
      </w:pPr>
      <w:bookmarkStart w:id="412" w:name="_Toc526246918"/>
      <w:bookmarkStart w:id="413" w:name="_Toc530654971"/>
      <w:bookmarkStart w:id="414" w:name="_Toc35947125"/>
      <w:r>
        <w:lastRenderedPageBreak/>
        <w:t>Mackay-Whitsunday</w:t>
      </w:r>
      <w:r w:rsidR="0096490D" w:rsidRPr="00CE4E0F">
        <w:t xml:space="preserve"> r</w:t>
      </w:r>
      <w:r w:rsidR="00A84742" w:rsidRPr="00CE4E0F">
        <w:t>egion</w:t>
      </w:r>
      <w:bookmarkEnd w:id="406"/>
      <w:bookmarkEnd w:id="407"/>
      <w:bookmarkEnd w:id="408"/>
      <w:bookmarkEnd w:id="409"/>
      <w:bookmarkEnd w:id="412"/>
      <w:bookmarkEnd w:id="413"/>
      <w:bookmarkEnd w:id="414"/>
    </w:p>
    <w:bookmarkEnd w:id="410"/>
    <w:p w14:paraId="53C13E9B" w14:textId="6BC4B5B9" w:rsidR="008C51AF" w:rsidRDefault="000D69E1" w:rsidP="009B6C20">
      <w:r>
        <w:t>The coral</w:t>
      </w:r>
      <w:r w:rsidR="00A84742" w:rsidRPr="009043A5">
        <w:t xml:space="preserve"> index has continued to decline</w:t>
      </w:r>
      <w:r w:rsidR="009043A5" w:rsidRPr="009043A5">
        <w:t xml:space="preserve"> and is now </w:t>
      </w:r>
      <w:r w:rsidR="00E53009">
        <w:t>‘</w:t>
      </w:r>
      <w:r w:rsidR="009043A5" w:rsidRPr="009043A5">
        <w:t>poor</w:t>
      </w:r>
      <w:r w:rsidR="00E53009">
        <w:t>’</w:t>
      </w:r>
      <w:r w:rsidR="00A84742" w:rsidRPr="009043A5">
        <w:t xml:space="preserve"> (</w:t>
      </w:r>
      <w:r w:rsidR="00955FF2">
        <w:fldChar w:fldCharType="begin"/>
      </w:r>
      <w:r w:rsidR="00955FF2">
        <w:instrText xml:space="preserve"> REF _Ref30758363 \h </w:instrText>
      </w:r>
      <w:r w:rsidR="00955FF2">
        <w:fldChar w:fldCharType="separate"/>
      </w:r>
      <w:r w:rsidR="003053D1">
        <w:t xml:space="preserve">Figure </w:t>
      </w:r>
      <w:r w:rsidR="003053D1">
        <w:rPr>
          <w:noProof/>
        </w:rPr>
        <w:t>26</w:t>
      </w:r>
      <w:r w:rsidR="00955FF2">
        <w:fldChar w:fldCharType="end"/>
      </w:r>
      <w:r w:rsidR="00955FF2">
        <w:t xml:space="preserve">, </w:t>
      </w:r>
      <w:r w:rsidR="00A84742" w:rsidRPr="009043A5">
        <w:fldChar w:fldCharType="begin"/>
      </w:r>
      <w:r w:rsidR="00A84742" w:rsidRPr="009043A5">
        <w:instrText xml:space="preserve"> REF _Ref491341013 \h </w:instrText>
      </w:r>
      <w:r w:rsidR="00A84742" w:rsidRPr="009043A5">
        <w:fldChar w:fldCharType="separate"/>
      </w:r>
      <w:r w:rsidR="003053D1" w:rsidRPr="00DF2CE7">
        <w:t xml:space="preserve">Table </w:t>
      </w:r>
      <w:r w:rsidR="003053D1">
        <w:rPr>
          <w:noProof/>
        </w:rPr>
        <w:t>13</w:t>
      </w:r>
      <w:r w:rsidR="00A84742" w:rsidRPr="009043A5">
        <w:fldChar w:fldCharType="end"/>
      </w:r>
      <w:r w:rsidR="00A84742" w:rsidRPr="009043A5">
        <w:t xml:space="preserve">). </w:t>
      </w:r>
    </w:p>
    <w:p w14:paraId="53C13E9C" w14:textId="77777777" w:rsidR="00056503" w:rsidRDefault="00056503" w:rsidP="009B6C20">
      <w:r>
        <w:rPr>
          <w:noProof/>
          <w:lang w:eastAsia="en-AU"/>
        </w:rPr>
        <w:drawing>
          <wp:inline distT="0" distB="0" distL="0" distR="0" wp14:anchorId="53C15F5E" wp14:editId="734574F4">
            <wp:extent cx="6120765" cy="3278919"/>
            <wp:effectExtent l="0" t="0" r="0" b="0"/>
            <wp:docPr id="7425" name="Picture 7425" descr="shows range of condition scores since 2005 ranging from moderate to poor ending at poor in this reporting year" title="Trends in Coral index and contributing indicator scores for the Mackay-Whitsunday 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5" name="WH.worm.with.indicators.png"/>
                    <pic:cNvPicPr/>
                  </pic:nvPicPr>
                  <pic:blipFill rotWithShape="1">
                    <a:blip r:embed="rId59" cstate="print">
                      <a:extLst>
                        <a:ext uri="{28A0092B-C50C-407E-A947-70E740481C1C}">
                          <a14:useLocalDpi xmlns:a14="http://schemas.microsoft.com/office/drawing/2010/main" val="0"/>
                        </a:ext>
                      </a:extLst>
                    </a:blip>
                    <a:srcRect t="6252"/>
                    <a:stretch/>
                  </pic:blipFill>
                  <pic:spPr bwMode="auto">
                    <a:xfrm>
                      <a:off x="0" y="0"/>
                      <a:ext cx="6120765" cy="3278919"/>
                    </a:xfrm>
                    <a:prstGeom prst="rect">
                      <a:avLst/>
                    </a:prstGeom>
                    <a:ln>
                      <a:noFill/>
                    </a:ln>
                    <a:extLst>
                      <a:ext uri="{53640926-AAD7-44D8-BBD7-CCE9431645EC}">
                        <a14:shadowObscured xmlns:a14="http://schemas.microsoft.com/office/drawing/2010/main"/>
                      </a:ext>
                    </a:extLst>
                  </pic:spPr>
                </pic:pic>
              </a:graphicData>
            </a:graphic>
          </wp:inline>
        </w:drawing>
      </w:r>
    </w:p>
    <w:p w14:paraId="53C13E9D" w14:textId="4BC05D1C" w:rsidR="00F115AB" w:rsidRPr="0062064A" w:rsidRDefault="00955FF2" w:rsidP="002B5296">
      <w:pPr>
        <w:pStyle w:val="Caption"/>
        <w:rPr>
          <w:rStyle w:val="FigureChar"/>
          <w:rFonts w:eastAsia="SimSun"/>
          <w:vanish/>
          <w:specVanish/>
        </w:rPr>
      </w:pPr>
      <w:bookmarkStart w:id="415" w:name="_Ref30758363"/>
      <w:bookmarkStart w:id="416" w:name="_Toc35947176"/>
      <w:r>
        <w:t xml:space="preserve">Figure </w:t>
      </w:r>
      <w:r>
        <w:fldChar w:fldCharType="begin"/>
      </w:r>
      <w:r>
        <w:instrText xml:space="preserve"> SEQ Figure \* ARABIC </w:instrText>
      </w:r>
      <w:r>
        <w:fldChar w:fldCharType="separate"/>
      </w:r>
      <w:r w:rsidR="003053D1">
        <w:rPr>
          <w:noProof/>
        </w:rPr>
        <w:t>26</w:t>
      </w:r>
      <w:r>
        <w:fldChar w:fldCharType="end"/>
      </w:r>
      <w:bookmarkEnd w:id="415"/>
      <w:r>
        <w:t xml:space="preserve"> </w:t>
      </w:r>
      <w:r w:rsidR="00F115AB">
        <w:t>Trends in</w:t>
      </w:r>
      <w:r w:rsidR="00F115AB" w:rsidRPr="00AA24BD">
        <w:t xml:space="preserve"> Coral index</w:t>
      </w:r>
      <w:r w:rsidR="00F115AB">
        <w:t xml:space="preserve"> and</w:t>
      </w:r>
      <w:r w:rsidR="00F115AB" w:rsidRPr="00AA24BD">
        <w:t xml:space="preserve"> contributing indicator scores</w:t>
      </w:r>
      <w:r w:rsidR="00F115AB">
        <w:t xml:space="preserve"> for the Mackay-Whitsunday region</w:t>
      </w:r>
      <w:bookmarkEnd w:id="416"/>
    </w:p>
    <w:p w14:paraId="53C13E9E" w14:textId="77777777" w:rsidR="00F115AB" w:rsidRPr="00AA24BD" w:rsidRDefault="00F115AB">
      <w:pPr>
        <w:pStyle w:val="Caption"/>
      </w:pPr>
      <w:r w:rsidRPr="00AA24BD">
        <w:t xml:space="preserve">. </w:t>
      </w:r>
      <w:r>
        <w:t>Coral index scores are coloured by report card categories: orange = ‘poor’, yellow=’moderate’, green=’good’. Error in index score derived from bootstrapped distributions of indicator scores at individual reefs.</w:t>
      </w:r>
    </w:p>
    <w:p w14:paraId="53C13E9F" w14:textId="203ACA14" w:rsidR="009B6C20" w:rsidRDefault="00A84742" w:rsidP="009B6C20">
      <w:pPr>
        <w:rPr>
          <w:lang w:eastAsia="en-AU"/>
        </w:rPr>
      </w:pPr>
      <w:r w:rsidRPr="009043A5">
        <w:t xml:space="preserve">The continued decline reflects </w:t>
      </w:r>
      <w:r w:rsidR="009043A5" w:rsidRPr="009043A5">
        <w:t xml:space="preserve">the </w:t>
      </w:r>
      <w:r w:rsidR="000D69E1">
        <w:t>final documentation of</w:t>
      </w:r>
      <w:r w:rsidR="00345FFA">
        <w:t xml:space="preserve"> direct impacts of </w:t>
      </w:r>
      <w:r w:rsidR="00F42E7B">
        <w:t>c</w:t>
      </w:r>
      <w:r w:rsidR="00F42E7B" w:rsidRPr="009043A5">
        <w:t xml:space="preserve">yclone </w:t>
      </w:r>
      <w:r w:rsidRPr="009043A5">
        <w:t>Debbie</w:t>
      </w:r>
      <w:r w:rsidR="00345FFA">
        <w:t xml:space="preserve"> </w:t>
      </w:r>
      <w:r w:rsidR="009043A5" w:rsidRPr="009043A5">
        <w:t xml:space="preserve">and the lack of </w:t>
      </w:r>
      <w:r w:rsidR="00D606C4">
        <w:t>recovery to</w:t>
      </w:r>
      <w:r w:rsidR="00955FF2">
        <w:t>-</w:t>
      </w:r>
      <w:r w:rsidR="00D606C4">
        <w:t>date</w:t>
      </w:r>
      <w:r w:rsidRPr="009043A5">
        <w:t xml:space="preserve"> (</w:t>
      </w:r>
      <w:r w:rsidRPr="009043A5">
        <w:fldChar w:fldCharType="begin"/>
      </w:r>
      <w:r w:rsidRPr="009043A5">
        <w:instrText xml:space="preserve"> REF _Ref491342894 \h </w:instrText>
      </w:r>
      <w:r w:rsidRPr="009043A5">
        <w:fldChar w:fldCharType="separate"/>
      </w:r>
      <w:r w:rsidR="003053D1" w:rsidRPr="00CE4E0F">
        <w:t xml:space="preserve">Figure </w:t>
      </w:r>
      <w:r w:rsidR="003053D1">
        <w:rPr>
          <w:noProof/>
        </w:rPr>
        <w:t>27</w:t>
      </w:r>
      <w:r w:rsidRPr="009043A5">
        <w:fldChar w:fldCharType="end"/>
      </w:r>
      <w:r w:rsidRPr="009043A5">
        <w:t>e,</w:t>
      </w:r>
      <w:r w:rsidR="00955FF2">
        <w:t xml:space="preserve"> </w:t>
      </w:r>
      <w:r w:rsidR="00955FF2">
        <w:fldChar w:fldCharType="begin"/>
      </w:r>
      <w:r w:rsidR="00955FF2">
        <w:instrText xml:space="preserve"> REF _Ref30758363 \h </w:instrText>
      </w:r>
      <w:r w:rsidR="00955FF2">
        <w:fldChar w:fldCharType="separate"/>
      </w:r>
      <w:r w:rsidR="003053D1">
        <w:t xml:space="preserve">Figure </w:t>
      </w:r>
      <w:r w:rsidR="003053D1">
        <w:rPr>
          <w:noProof/>
        </w:rPr>
        <w:t>26</w:t>
      </w:r>
      <w:r w:rsidR="00955FF2">
        <w:fldChar w:fldCharType="end"/>
      </w:r>
      <w:r w:rsidRPr="009043A5">
        <w:t>).</w:t>
      </w:r>
      <w:r w:rsidR="009B6C20" w:rsidRPr="009B6C20">
        <w:rPr>
          <w:color w:val="548DD4" w:themeColor="text2" w:themeTint="99"/>
        </w:rPr>
        <w:t xml:space="preserve"> </w:t>
      </w:r>
      <w:r w:rsidR="009B6C20" w:rsidRPr="009B6C20">
        <w:t xml:space="preserve">Strongly influencing the decline in the index </w:t>
      </w:r>
      <w:r w:rsidR="00345FFA">
        <w:t>in 2019 was</w:t>
      </w:r>
      <w:r w:rsidR="009B6C20" w:rsidRPr="009B6C20">
        <w:t xml:space="preserve"> the addition </w:t>
      </w:r>
      <w:r w:rsidR="00A70AD3">
        <w:t xml:space="preserve">of </w:t>
      </w:r>
      <w:r w:rsidR="009B6C20" w:rsidRPr="009B6C20">
        <w:rPr>
          <w:lang w:eastAsia="en-AU"/>
        </w:rPr>
        <w:t>current su</w:t>
      </w:r>
      <w:r w:rsidR="00F03EB8">
        <w:rPr>
          <w:lang w:eastAsia="en-AU"/>
        </w:rPr>
        <w:t>r</w:t>
      </w:r>
      <w:r w:rsidR="009B6C20" w:rsidRPr="009B6C20">
        <w:rPr>
          <w:lang w:eastAsia="en-AU"/>
        </w:rPr>
        <w:t>vey</w:t>
      </w:r>
      <w:r w:rsidR="000D69E1">
        <w:t xml:space="preserve"> data from </w:t>
      </w:r>
      <w:r w:rsidR="00345FFA">
        <w:t xml:space="preserve">the AIMS LTMP sites at </w:t>
      </w:r>
      <w:r w:rsidR="009B6C20" w:rsidRPr="009B6C20">
        <w:rPr>
          <w:lang w:eastAsia="en-AU"/>
        </w:rPr>
        <w:t>Hayman, Langford, and Border</w:t>
      </w:r>
      <w:r w:rsidR="00ED4F46">
        <w:rPr>
          <w:lang w:eastAsia="en-AU"/>
        </w:rPr>
        <w:t xml:space="preserve"> that were last monitored in the month prior to cyclone Debbie</w:t>
      </w:r>
      <w:r w:rsidR="009B6C20" w:rsidRPr="009B6C20">
        <w:rPr>
          <w:lang w:eastAsia="en-AU"/>
        </w:rPr>
        <w:t>. All three of these reefs were sever</w:t>
      </w:r>
      <w:r w:rsidR="00B43668">
        <w:rPr>
          <w:lang w:eastAsia="en-AU"/>
        </w:rPr>
        <w:t>e</w:t>
      </w:r>
      <w:r w:rsidR="009B6C20" w:rsidRPr="009B6C20">
        <w:rPr>
          <w:lang w:eastAsia="en-AU"/>
        </w:rPr>
        <w:t>ly impacted</w:t>
      </w:r>
      <w:r w:rsidR="00A70AD3">
        <w:rPr>
          <w:lang w:eastAsia="en-AU"/>
        </w:rPr>
        <w:t>, most notably Hayman wh</w:t>
      </w:r>
      <w:r w:rsidR="00345FFA">
        <w:rPr>
          <w:lang w:eastAsia="en-AU"/>
        </w:rPr>
        <w:t xml:space="preserve">ere </w:t>
      </w:r>
      <w:r w:rsidR="00A70AD3">
        <w:rPr>
          <w:lang w:eastAsia="en-AU"/>
        </w:rPr>
        <w:t xml:space="preserve">86% </w:t>
      </w:r>
      <w:r w:rsidR="00345FFA">
        <w:rPr>
          <w:lang w:eastAsia="en-AU"/>
        </w:rPr>
        <w:t>of coral cover was lost</w:t>
      </w:r>
      <w:r w:rsidR="00A70AD3">
        <w:rPr>
          <w:lang w:eastAsia="en-AU"/>
        </w:rPr>
        <w:t xml:space="preserve"> (</w:t>
      </w:r>
      <w:r w:rsidR="00955FF2">
        <w:rPr>
          <w:lang w:eastAsia="en-AU"/>
        </w:rPr>
        <w:fldChar w:fldCharType="begin"/>
      </w:r>
      <w:r w:rsidR="00955FF2">
        <w:rPr>
          <w:lang w:eastAsia="en-AU"/>
        </w:rPr>
        <w:instrText xml:space="preserve"> REF _Ref528591004 \h </w:instrText>
      </w:r>
      <w:r w:rsidR="00955FF2">
        <w:rPr>
          <w:lang w:eastAsia="en-AU"/>
        </w:rPr>
      </w:r>
      <w:r w:rsidR="00955FF2">
        <w:rPr>
          <w:lang w:eastAsia="en-AU"/>
        </w:rPr>
        <w:fldChar w:fldCharType="separate"/>
      </w:r>
      <w:r w:rsidR="003053D1" w:rsidRPr="002445C4">
        <w:t xml:space="preserve">Figure A </w:t>
      </w:r>
      <w:r w:rsidR="003053D1">
        <w:rPr>
          <w:noProof/>
        </w:rPr>
        <w:t>5</w:t>
      </w:r>
      <w:r w:rsidR="00955FF2">
        <w:rPr>
          <w:lang w:eastAsia="en-AU"/>
        </w:rPr>
        <w:fldChar w:fldCharType="end"/>
      </w:r>
      <w:r w:rsidR="003816D3">
        <w:t xml:space="preserve">, </w:t>
      </w:r>
      <w:r w:rsidR="003816D3" w:rsidRPr="009043A5">
        <w:fldChar w:fldCharType="begin"/>
      </w:r>
      <w:r w:rsidR="003816D3" w:rsidRPr="009043A5">
        <w:instrText xml:space="preserve"> REF _Ref491341033 \h </w:instrText>
      </w:r>
      <w:r w:rsidR="003816D3" w:rsidRPr="009043A5">
        <w:fldChar w:fldCharType="separate"/>
      </w:r>
      <w:r w:rsidR="003053D1" w:rsidRPr="00AA6FF4">
        <w:t xml:space="preserve">Figure </w:t>
      </w:r>
      <w:r w:rsidR="003053D1">
        <w:rPr>
          <w:noProof/>
        </w:rPr>
        <w:t>28</w:t>
      </w:r>
      <w:r w:rsidR="003816D3" w:rsidRPr="009043A5">
        <w:fldChar w:fldCharType="end"/>
      </w:r>
      <w:r w:rsidR="003816D3" w:rsidRPr="009043A5">
        <w:t>a</w:t>
      </w:r>
      <w:r w:rsidR="003816D3">
        <w:t xml:space="preserve">). The </w:t>
      </w:r>
      <w:r w:rsidR="00345FFA">
        <w:t xml:space="preserve">impact of </w:t>
      </w:r>
      <w:r w:rsidR="00ED4F46">
        <w:t>c</w:t>
      </w:r>
      <w:r w:rsidR="00345FFA">
        <w:t xml:space="preserve">yclone Debbie </w:t>
      </w:r>
      <w:r w:rsidR="000655F6">
        <w:t>h</w:t>
      </w:r>
      <w:r w:rsidR="00345FFA">
        <w:t xml:space="preserve">as resulted in regional declines in all indicator scores </w:t>
      </w:r>
      <w:r w:rsidR="003816D3">
        <w:rPr>
          <w:lang w:eastAsia="en-AU"/>
        </w:rPr>
        <w:t>(</w:t>
      </w:r>
      <w:r w:rsidR="003816D3" w:rsidRPr="009043A5">
        <w:fldChar w:fldCharType="begin"/>
      </w:r>
      <w:r w:rsidR="003816D3" w:rsidRPr="009043A5">
        <w:instrText xml:space="preserve"> REF _Ref491341013 \h </w:instrText>
      </w:r>
      <w:r w:rsidR="003816D3" w:rsidRPr="009043A5">
        <w:fldChar w:fldCharType="separate"/>
      </w:r>
      <w:r w:rsidR="003053D1" w:rsidRPr="00DF2CE7">
        <w:t xml:space="preserve">Table </w:t>
      </w:r>
      <w:r w:rsidR="003053D1">
        <w:rPr>
          <w:noProof/>
        </w:rPr>
        <w:t>13</w:t>
      </w:r>
      <w:r w:rsidR="003816D3" w:rsidRPr="009043A5">
        <w:fldChar w:fldCharType="end"/>
      </w:r>
      <w:r w:rsidR="003816D3">
        <w:t>)</w:t>
      </w:r>
      <w:r w:rsidR="003816D3">
        <w:rPr>
          <w:lang w:eastAsia="en-AU"/>
        </w:rPr>
        <w:t xml:space="preserve">. </w:t>
      </w:r>
      <w:r w:rsidR="00345FFA">
        <w:rPr>
          <w:lang w:eastAsia="en-AU"/>
        </w:rPr>
        <w:t xml:space="preserve">Only scores for the cover change indicator have not </w:t>
      </w:r>
      <w:r w:rsidR="00955FF2">
        <w:rPr>
          <w:lang w:eastAsia="en-AU"/>
        </w:rPr>
        <w:t xml:space="preserve">consistently </w:t>
      </w:r>
      <w:r w:rsidR="00345FFA">
        <w:rPr>
          <w:lang w:eastAsia="en-AU"/>
        </w:rPr>
        <w:t xml:space="preserve">declined, however scores for this indicator have been consistently low </w:t>
      </w:r>
      <w:r w:rsidR="002B15E9">
        <w:rPr>
          <w:lang w:eastAsia="en-AU"/>
        </w:rPr>
        <w:t>since surveys began in 2005 (</w:t>
      </w:r>
      <w:r w:rsidR="00955FF2">
        <w:rPr>
          <w:lang w:eastAsia="en-AU"/>
        </w:rPr>
        <w:fldChar w:fldCharType="begin"/>
      </w:r>
      <w:r w:rsidR="00955FF2">
        <w:rPr>
          <w:lang w:eastAsia="en-AU"/>
        </w:rPr>
        <w:instrText xml:space="preserve"> REF _Ref30758363 \h </w:instrText>
      </w:r>
      <w:r w:rsidR="00955FF2">
        <w:rPr>
          <w:lang w:eastAsia="en-AU"/>
        </w:rPr>
      </w:r>
      <w:r w:rsidR="00955FF2">
        <w:rPr>
          <w:lang w:eastAsia="en-AU"/>
        </w:rPr>
        <w:fldChar w:fldCharType="separate"/>
      </w:r>
      <w:r w:rsidR="003053D1">
        <w:t xml:space="preserve">Figure </w:t>
      </w:r>
      <w:r w:rsidR="003053D1">
        <w:rPr>
          <w:noProof/>
        </w:rPr>
        <w:t>26</w:t>
      </w:r>
      <w:r w:rsidR="00955FF2">
        <w:rPr>
          <w:lang w:eastAsia="en-AU"/>
        </w:rPr>
        <w:fldChar w:fldCharType="end"/>
      </w:r>
      <w:r w:rsidR="002B15E9">
        <w:rPr>
          <w:lang w:eastAsia="en-AU"/>
        </w:rPr>
        <w:t>).</w:t>
      </w:r>
      <w:r w:rsidR="003816D3">
        <w:t xml:space="preserve"> </w:t>
      </w:r>
    </w:p>
    <w:p w14:paraId="53C13EA0" w14:textId="052C4210" w:rsidR="00E61037" w:rsidRDefault="00435B75" w:rsidP="00446236">
      <w:pPr>
        <w:rPr>
          <w:lang w:eastAsia="en-AU"/>
        </w:rPr>
      </w:pPr>
      <w:r w:rsidRPr="008E61D9">
        <w:rPr>
          <w:lang w:eastAsia="en-AU"/>
        </w:rPr>
        <w:lastRenderedPageBreak/>
        <w:t xml:space="preserve">The bloom in macroalgae observed in 2018 </w:t>
      </w:r>
      <w:r w:rsidR="00A91580" w:rsidRPr="008E61D9">
        <w:rPr>
          <w:lang w:eastAsia="en-AU"/>
        </w:rPr>
        <w:t xml:space="preserve">following the lagged colonisation of </w:t>
      </w:r>
      <w:r w:rsidR="00A70AD3">
        <w:rPr>
          <w:lang w:eastAsia="en-AU"/>
        </w:rPr>
        <w:t xml:space="preserve">available </w:t>
      </w:r>
      <w:r w:rsidR="00A91580" w:rsidRPr="008E61D9">
        <w:rPr>
          <w:lang w:eastAsia="en-AU"/>
        </w:rPr>
        <w:t>space (</w:t>
      </w:r>
      <w:r w:rsidR="00A91580" w:rsidRPr="008E61D9">
        <w:rPr>
          <w:lang w:eastAsia="en-AU"/>
        </w:rPr>
        <w:fldChar w:fldCharType="begin"/>
      </w:r>
      <w:r w:rsidR="00A91580" w:rsidRPr="008E61D9">
        <w:rPr>
          <w:lang w:eastAsia="en-AU"/>
        </w:rPr>
        <w:instrText xml:space="preserve"> REF _Ref491341033 \h </w:instrText>
      </w:r>
      <w:r w:rsidR="00A91580" w:rsidRPr="008E61D9">
        <w:rPr>
          <w:lang w:eastAsia="en-AU"/>
        </w:rPr>
      </w:r>
      <w:r w:rsidR="00A91580" w:rsidRPr="008E61D9">
        <w:rPr>
          <w:lang w:eastAsia="en-AU"/>
        </w:rPr>
        <w:fldChar w:fldCharType="separate"/>
      </w:r>
      <w:r w:rsidR="003053D1" w:rsidRPr="00AA6FF4">
        <w:t xml:space="preserve">Figure </w:t>
      </w:r>
      <w:r w:rsidR="003053D1">
        <w:rPr>
          <w:noProof/>
        </w:rPr>
        <w:t>28</w:t>
      </w:r>
      <w:r w:rsidR="00A91580" w:rsidRPr="008E61D9">
        <w:rPr>
          <w:lang w:eastAsia="en-AU"/>
        </w:rPr>
        <w:fldChar w:fldCharType="end"/>
      </w:r>
      <w:r w:rsidR="00955FF2">
        <w:rPr>
          <w:lang w:eastAsia="en-AU"/>
        </w:rPr>
        <w:t>b</w:t>
      </w:r>
      <w:r w:rsidR="00A91580" w:rsidRPr="008E61D9">
        <w:rPr>
          <w:lang w:eastAsia="en-AU"/>
        </w:rPr>
        <w:t xml:space="preserve">) </w:t>
      </w:r>
      <w:r w:rsidRPr="008E61D9">
        <w:rPr>
          <w:lang w:eastAsia="en-AU"/>
        </w:rPr>
        <w:t xml:space="preserve">continues to </w:t>
      </w:r>
      <w:r w:rsidR="004F20AB">
        <w:rPr>
          <w:lang w:eastAsia="en-AU"/>
        </w:rPr>
        <w:t>a</w:t>
      </w:r>
      <w:r w:rsidR="004F20AB" w:rsidRPr="008E61D9">
        <w:rPr>
          <w:lang w:eastAsia="en-AU"/>
        </w:rPr>
        <w:t xml:space="preserve">ffect </w:t>
      </w:r>
      <w:r w:rsidR="00A91580" w:rsidRPr="008E61D9">
        <w:rPr>
          <w:lang w:eastAsia="en-AU"/>
        </w:rPr>
        <w:t>scores for this indicator</w:t>
      </w:r>
      <w:r w:rsidR="00ED4F46">
        <w:t>. Since c</w:t>
      </w:r>
      <w:r w:rsidR="002B15E9">
        <w:t>yclone Debbie</w:t>
      </w:r>
      <w:r w:rsidR="00955FF2">
        <w:t>,</w:t>
      </w:r>
      <w:r w:rsidR="002B15E9">
        <w:t xml:space="preserve"> macroalgal communities have been in a state of succession</w:t>
      </w:r>
      <w:r w:rsidR="00FC26C2" w:rsidRPr="008E61D9">
        <w:t xml:space="preserve">. </w:t>
      </w:r>
      <w:r w:rsidR="002B15E9">
        <w:t>A</w:t>
      </w:r>
      <w:r w:rsidR="00FC26C2" w:rsidRPr="008E61D9">
        <w:t xml:space="preserve">t Double Cone </w:t>
      </w:r>
      <w:r w:rsidR="002B15E9">
        <w:t xml:space="preserve">macroalgae cover has declined as thick mats of </w:t>
      </w:r>
      <w:r w:rsidR="00FC26C2" w:rsidRPr="008E61D9">
        <w:t xml:space="preserve">red macroalgae </w:t>
      </w:r>
      <w:r w:rsidR="002B15E9">
        <w:t xml:space="preserve">observed in 2018 are being replaced by a lower cover of potentially persistent </w:t>
      </w:r>
      <w:r w:rsidR="00FC26C2" w:rsidRPr="008E61D9">
        <w:t xml:space="preserve">brown </w:t>
      </w:r>
      <w:r w:rsidR="003C2138" w:rsidRPr="008E61D9">
        <w:t>macroalgae</w:t>
      </w:r>
      <w:r w:rsidR="00FC26C2" w:rsidRPr="008E61D9">
        <w:t xml:space="preserve"> </w:t>
      </w:r>
      <w:r w:rsidR="00FC26C2" w:rsidRPr="008E61D9">
        <w:rPr>
          <w:i/>
        </w:rPr>
        <w:t>Lobophora</w:t>
      </w:r>
      <w:r w:rsidR="00FC26C2" w:rsidRPr="008E61D9">
        <w:t xml:space="preserve"> and </w:t>
      </w:r>
      <w:r w:rsidR="00FC26C2" w:rsidRPr="008E61D9">
        <w:rPr>
          <w:i/>
        </w:rPr>
        <w:t>Sargassum</w:t>
      </w:r>
      <w:r w:rsidR="00FC26C2" w:rsidRPr="008E61D9">
        <w:t xml:space="preserve"> </w:t>
      </w:r>
      <w:r w:rsidR="00F234C6" w:rsidRPr="008E61D9">
        <w:t>(</w:t>
      </w:r>
      <w:r w:rsidR="00427E3C">
        <w:fldChar w:fldCharType="begin"/>
      </w:r>
      <w:r w:rsidR="00427E3C">
        <w:instrText xml:space="preserve"> REF _Ref30661025 \h </w:instrText>
      </w:r>
      <w:r w:rsidR="00427E3C">
        <w:fldChar w:fldCharType="separate"/>
      </w:r>
      <w:r w:rsidR="003053D1">
        <w:t xml:space="preserve">Table A </w:t>
      </w:r>
      <w:r w:rsidR="003053D1">
        <w:rPr>
          <w:noProof/>
        </w:rPr>
        <w:t>12</w:t>
      </w:r>
      <w:r w:rsidR="00427E3C">
        <w:fldChar w:fldCharType="end"/>
      </w:r>
      <w:r w:rsidR="00F234C6" w:rsidRPr="008E61D9">
        <w:rPr>
          <w:lang w:eastAsia="en-AU"/>
        </w:rPr>
        <w:t xml:space="preserve">). </w:t>
      </w:r>
      <w:r w:rsidR="00FC26C2" w:rsidRPr="008E61D9">
        <w:rPr>
          <w:lang w:eastAsia="en-AU"/>
        </w:rPr>
        <w:t>Similarly</w:t>
      </w:r>
      <w:r w:rsidR="00231FBE">
        <w:rPr>
          <w:lang w:eastAsia="en-AU"/>
        </w:rPr>
        <w:t>,</w:t>
      </w:r>
      <w:r w:rsidR="00FC26C2" w:rsidRPr="008E61D9">
        <w:rPr>
          <w:lang w:eastAsia="en-AU"/>
        </w:rPr>
        <w:t xml:space="preserve"> at Pine the initial increase in macroalgae cover was dominated by </w:t>
      </w:r>
      <w:r w:rsidR="00FC26C2" w:rsidRPr="008E61D9">
        <w:rPr>
          <w:i/>
          <w:lang w:eastAsia="en-AU"/>
        </w:rPr>
        <w:t>Lobophora</w:t>
      </w:r>
      <w:r w:rsidR="00FC26C2" w:rsidRPr="008E61D9">
        <w:rPr>
          <w:lang w:eastAsia="en-AU"/>
        </w:rPr>
        <w:t xml:space="preserve"> and red macroalgae species</w:t>
      </w:r>
      <w:r w:rsidR="008E61D9" w:rsidRPr="008E61D9">
        <w:rPr>
          <w:lang w:eastAsia="en-AU"/>
        </w:rPr>
        <w:t xml:space="preserve"> </w:t>
      </w:r>
      <w:r w:rsidR="00AA6C24">
        <w:rPr>
          <w:lang w:eastAsia="en-AU"/>
        </w:rPr>
        <w:t>that</w:t>
      </w:r>
      <w:r w:rsidR="00AA6C24" w:rsidRPr="008E61D9">
        <w:rPr>
          <w:lang w:eastAsia="en-AU"/>
        </w:rPr>
        <w:t xml:space="preserve"> </w:t>
      </w:r>
      <w:r w:rsidR="008E61D9" w:rsidRPr="008E61D9">
        <w:rPr>
          <w:lang w:eastAsia="en-AU"/>
        </w:rPr>
        <w:t>are now being replaced by</w:t>
      </w:r>
      <w:r w:rsidR="00FC26C2" w:rsidRPr="008E61D9">
        <w:rPr>
          <w:lang w:eastAsia="en-AU"/>
        </w:rPr>
        <w:t xml:space="preserve"> </w:t>
      </w:r>
      <w:r w:rsidR="008E61D9" w:rsidRPr="008E61D9">
        <w:rPr>
          <w:i/>
          <w:lang w:eastAsia="en-AU"/>
        </w:rPr>
        <w:t>Sargassum</w:t>
      </w:r>
      <w:r w:rsidR="008E61D9" w:rsidRPr="008E61D9">
        <w:rPr>
          <w:lang w:eastAsia="en-AU"/>
        </w:rPr>
        <w:t xml:space="preserve"> which was common prior to 2017 (</w:t>
      </w:r>
      <w:r w:rsidR="00955FF2">
        <w:rPr>
          <w:lang w:eastAsia="en-AU"/>
        </w:rPr>
        <w:fldChar w:fldCharType="begin"/>
      </w:r>
      <w:r w:rsidR="00955FF2">
        <w:rPr>
          <w:lang w:eastAsia="en-AU"/>
        </w:rPr>
        <w:instrText xml:space="preserve"> REF _Ref30661025 \h </w:instrText>
      </w:r>
      <w:r w:rsidR="00955FF2">
        <w:rPr>
          <w:lang w:eastAsia="en-AU"/>
        </w:rPr>
      </w:r>
      <w:r w:rsidR="00955FF2">
        <w:rPr>
          <w:lang w:eastAsia="en-AU"/>
        </w:rPr>
        <w:fldChar w:fldCharType="separate"/>
      </w:r>
      <w:r w:rsidR="003053D1">
        <w:t xml:space="preserve">Table A </w:t>
      </w:r>
      <w:r w:rsidR="003053D1">
        <w:rPr>
          <w:noProof/>
        </w:rPr>
        <w:t>12</w:t>
      </w:r>
      <w:r w:rsidR="00955FF2">
        <w:rPr>
          <w:lang w:eastAsia="en-AU"/>
        </w:rPr>
        <w:fldChar w:fldCharType="end"/>
      </w:r>
      <w:r w:rsidR="008E61D9" w:rsidRPr="008E61D9">
        <w:rPr>
          <w:lang w:eastAsia="en-AU"/>
        </w:rPr>
        <w:t>).</w:t>
      </w:r>
    </w:p>
    <w:p w14:paraId="343DFB0A" w14:textId="23142EE0" w:rsidR="00427E3C" w:rsidRPr="00A70AD3" w:rsidRDefault="00427E3C" w:rsidP="00427E3C">
      <w:r>
        <w:rPr>
          <w:lang w:eastAsia="en-AU"/>
        </w:rPr>
        <w:t>Prior to c</w:t>
      </w:r>
      <w:r w:rsidRPr="00A70AD3">
        <w:rPr>
          <w:lang w:eastAsia="en-AU"/>
        </w:rPr>
        <w:t>yclone Debbie, the only acute disturbance events recorded since 2005 were f</w:t>
      </w:r>
      <w:r>
        <w:t>looding in 2009 and c</w:t>
      </w:r>
      <w:r w:rsidRPr="00A70AD3">
        <w:t>yclone Ului in 2010 (</w:t>
      </w:r>
      <w:r w:rsidRPr="00A70AD3">
        <w:fldChar w:fldCharType="begin"/>
      </w:r>
      <w:r w:rsidRPr="00A70AD3">
        <w:instrText xml:space="preserve"> REF _Ref491342894 \h </w:instrText>
      </w:r>
      <w:r w:rsidRPr="00A70AD3">
        <w:fldChar w:fldCharType="separate"/>
      </w:r>
      <w:r w:rsidR="003053D1" w:rsidRPr="00CE4E0F">
        <w:t xml:space="preserve">Figure </w:t>
      </w:r>
      <w:r w:rsidR="003053D1">
        <w:rPr>
          <w:noProof/>
        </w:rPr>
        <w:t>27</w:t>
      </w:r>
      <w:r w:rsidRPr="00A70AD3">
        <w:fldChar w:fldCharType="end"/>
      </w:r>
      <w:r w:rsidRPr="00A70AD3">
        <w:t>e). These contributed to a slight decline in the coral index through to 2012. Daydream was severely impacted by cyclone Ului, losing 47% of the coral cover at 5 m depth (</w:t>
      </w:r>
      <w:r w:rsidRPr="00A70AD3">
        <w:fldChar w:fldCharType="begin"/>
      </w:r>
      <w:r w:rsidRPr="00A70AD3">
        <w:instrText xml:space="preserve"> REF _Ref528591004 \h </w:instrText>
      </w:r>
      <w:r w:rsidRPr="00A70AD3">
        <w:fldChar w:fldCharType="separate"/>
      </w:r>
      <w:r w:rsidR="003053D1" w:rsidRPr="002445C4">
        <w:t xml:space="preserve">Figure A </w:t>
      </w:r>
      <w:r w:rsidR="003053D1">
        <w:rPr>
          <w:noProof/>
        </w:rPr>
        <w:t>5</w:t>
      </w:r>
      <w:r w:rsidRPr="00A70AD3">
        <w:fldChar w:fldCharType="end"/>
      </w:r>
      <w:r w:rsidRPr="00A70AD3">
        <w:t>,</w:t>
      </w:r>
      <w:r>
        <w:t xml:space="preserve"> </w:t>
      </w:r>
      <w:r>
        <w:fldChar w:fldCharType="begin"/>
      </w:r>
      <w:r>
        <w:instrText xml:space="preserve"> REF _Ref30660433 \h </w:instrText>
      </w:r>
      <w:r>
        <w:fldChar w:fldCharType="separate"/>
      </w:r>
      <w:r w:rsidR="003053D1">
        <w:t xml:space="preserve">Table A </w:t>
      </w:r>
      <w:r w:rsidR="003053D1">
        <w:rPr>
          <w:noProof/>
        </w:rPr>
        <w:t>7</w:t>
      </w:r>
      <w:r>
        <w:fldChar w:fldCharType="end"/>
      </w:r>
      <w:r w:rsidRPr="00A70AD3">
        <w:t>). By 2016, coral cover at Daydream had recovered to its former level.</w:t>
      </w:r>
      <w:r>
        <w:t xml:space="preserve"> Following cyclone Debbie, cyclones now contribute to 73% of coral loss since 2005 (</w:t>
      </w:r>
      <w:r w:rsidRPr="00A70AD3">
        <w:fldChar w:fldCharType="begin"/>
      </w:r>
      <w:r w:rsidRPr="00A70AD3">
        <w:instrText xml:space="preserve"> REF _Ref491342894 \h </w:instrText>
      </w:r>
      <w:r w:rsidRPr="00A70AD3">
        <w:fldChar w:fldCharType="separate"/>
      </w:r>
      <w:r w:rsidR="003053D1" w:rsidRPr="00CE4E0F">
        <w:t xml:space="preserve">Figure </w:t>
      </w:r>
      <w:r w:rsidR="003053D1">
        <w:rPr>
          <w:noProof/>
        </w:rPr>
        <w:t>27</w:t>
      </w:r>
      <w:r w:rsidRPr="00A70AD3">
        <w:fldChar w:fldCharType="end"/>
      </w:r>
      <w:r w:rsidRPr="00A70AD3">
        <w:t>e</w:t>
      </w:r>
      <w:r>
        <w:t xml:space="preserve">). </w:t>
      </w:r>
    </w:p>
    <w:p w14:paraId="314B63BC" w14:textId="77777777" w:rsidR="00427E3C" w:rsidRPr="00ED4F46" w:rsidRDefault="00427E3C" w:rsidP="00446236">
      <w:pPr>
        <w:rPr>
          <w:lang w:eastAsia="en-AU"/>
        </w:rPr>
      </w:pPr>
    </w:p>
    <w:p w14:paraId="53C13EA1" w14:textId="076F2386" w:rsidR="006177B6" w:rsidRPr="00DF2CE7" w:rsidRDefault="00A84742" w:rsidP="002B5296">
      <w:pPr>
        <w:pStyle w:val="Caption"/>
        <w:rPr>
          <w:rFonts w:ascii="Arial" w:hAnsi="Arial" w:cs="Arial"/>
          <w:i/>
          <w:vanish/>
          <w:specVanish/>
        </w:rPr>
      </w:pPr>
      <w:bookmarkStart w:id="417" w:name="_Ref491341013"/>
      <w:bookmarkStart w:id="418" w:name="_Toc35947199"/>
      <w:bookmarkStart w:id="419" w:name="_Toc528333645"/>
      <w:r w:rsidRPr="00DF2CE7">
        <w:t xml:space="preserve">Table </w:t>
      </w:r>
      <w:r w:rsidRPr="00DF2CE7">
        <w:rPr>
          <w:noProof/>
        </w:rPr>
        <w:fldChar w:fldCharType="begin"/>
      </w:r>
      <w:r w:rsidRPr="00DF2CE7">
        <w:rPr>
          <w:noProof/>
        </w:rPr>
        <w:instrText xml:space="preserve"> SEQ Table \* ARABIC </w:instrText>
      </w:r>
      <w:r w:rsidRPr="00DF2CE7">
        <w:rPr>
          <w:noProof/>
        </w:rPr>
        <w:fldChar w:fldCharType="separate"/>
      </w:r>
      <w:r w:rsidR="003053D1">
        <w:rPr>
          <w:noProof/>
        </w:rPr>
        <w:t>13</w:t>
      </w:r>
      <w:r w:rsidRPr="00DF2CE7">
        <w:rPr>
          <w:noProof/>
        </w:rPr>
        <w:fldChar w:fldCharType="end"/>
      </w:r>
      <w:bookmarkEnd w:id="417"/>
      <w:r w:rsidRPr="00DF2CE7">
        <w:t xml:space="preserve"> Index and indicator score comparisons in the </w:t>
      </w:r>
      <w:r w:rsidR="005F2B5B">
        <w:t>Mackay-Whitsunday</w:t>
      </w:r>
      <w:r w:rsidRPr="00DF2CE7">
        <w:t xml:space="preserve"> Region</w:t>
      </w:r>
      <w:bookmarkEnd w:id="418"/>
    </w:p>
    <w:p w14:paraId="53C13EA2" w14:textId="77777777" w:rsidR="00A84742" w:rsidRPr="0094743B" w:rsidRDefault="006177B6">
      <w:pPr>
        <w:pStyle w:val="Caption"/>
        <w:rPr>
          <w:rStyle w:val="IntenseReference"/>
        </w:rPr>
      </w:pPr>
      <w:r w:rsidRPr="0094743B">
        <w:rPr>
          <w:rStyle w:val="IntenseReference"/>
        </w:rPr>
        <w:t>.</w:t>
      </w:r>
      <w:r w:rsidR="00A84742" w:rsidRPr="0094743B">
        <w:rPr>
          <w:rStyle w:val="IntenseReference"/>
        </w:rPr>
        <w:t xml:space="preserve"> Data compare the changes in scores between local maxima and minima in the index time-series. For the index, and each indicator, the observed change in the sub-regional score and the probability that the change was greater or less than zero (no change) are presented. Shading is used as a visual aid to highlight the magnitude of the probability the score improved (blue shades) or declined (red shades). Probabilities are derived from the posterior distribution of observed score changes at each reef and depth.</w:t>
      </w:r>
      <w:bookmarkEnd w:id="419"/>
    </w:p>
    <w:tbl>
      <w:tblPr>
        <w:tblW w:w="8926"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Caption w:val="Statistical comparison between index and metric scores between local maxima and minima in the time-series of scores in the region"/>
        <w:tblDescription w:val="A table listing the maxima in minima index scores and significance of changes in the index and each metric. The salient results are discussed in the main text. &#10;"/>
      </w:tblPr>
      <w:tblGrid>
        <w:gridCol w:w="1074"/>
        <w:gridCol w:w="350"/>
        <w:gridCol w:w="625"/>
        <w:gridCol w:w="625"/>
        <w:gridCol w:w="625"/>
        <w:gridCol w:w="625"/>
        <w:gridCol w:w="625"/>
        <w:gridCol w:w="626"/>
        <w:gridCol w:w="625"/>
        <w:gridCol w:w="625"/>
        <w:gridCol w:w="625"/>
        <w:gridCol w:w="625"/>
        <w:gridCol w:w="625"/>
        <w:gridCol w:w="626"/>
      </w:tblGrid>
      <w:tr w:rsidR="00CE4E0F" w:rsidRPr="00DF2CE7" w14:paraId="53C13EAB" w14:textId="77777777" w:rsidTr="004F16D3">
        <w:trPr>
          <w:trHeight w:val="300"/>
        </w:trPr>
        <w:tc>
          <w:tcPr>
            <w:tcW w:w="1074" w:type="dxa"/>
            <w:vMerge w:val="restart"/>
            <w:shd w:val="clear" w:color="auto" w:fill="auto"/>
            <w:noWrap/>
            <w:tcMar>
              <w:left w:w="57" w:type="dxa"/>
              <w:right w:w="57" w:type="dxa"/>
            </w:tcMar>
            <w:vAlign w:val="bottom"/>
          </w:tcPr>
          <w:p w14:paraId="53C13EA3" w14:textId="77777777" w:rsidR="00A84742" w:rsidRPr="00DF2CE7" w:rsidRDefault="00A84742" w:rsidP="00A84742">
            <w:pPr>
              <w:spacing w:after="0"/>
              <w:rPr>
                <w:rFonts w:ascii="Arial Narrow" w:hAnsi="Arial Narrow"/>
                <w:sz w:val="20"/>
                <w:lang w:eastAsia="en-AU"/>
              </w:rPr>
            </w:pPr>
            <w:r w:rsidRPr="00DF2CE7">
              <w:rPr>
                <w:rFonts w:ascii="Arial Narrow" w:hAnsi="Arial Narrow"/>
                <w:sz w:val="20"/>
                <w:lang w:eastAsia="en-AU"/>
              </w:rPr>
              <w:t>Period</w:t>
            </w:r>
          </w:p>
        </w:tc>
        <w:tc>
          <w:tcPr>
            <w:tcW w:w="350" w:type="dxa"/>
            <w:vMerge w:val="restart"/>
            <w:shd w:val="clear" w:color="auto" w:fill="auto"/>
            <w:noWrap/>
            <w:tcMar>
              <w:left w:w="57" w:type="dxa"/>
              <w:right w:w="57" w:type="dxa"/>
            </w:tcMar>
            <w:textDirection w:val="btLr"/>
            <w:vAlign w:val="bottom"/>
          </w:tcPr>
          <w:p w14:paraId="53C13EA4" w14:textId="77777777" w:rsidR="00A84742" w:rsidRPr="00DF2CE7" w:rsidRDefault="00A84742" w:rsidP="00A84742">
            <w:pPr>
              <w:spacing w:after="0"/>
              <w:ind w:left="113" w:right="113"/>
              <w:jc w:val="center"/>
              <w:rPr>
                <w:rFonts w:ascii="Arial Narrow" w:hAnsi="Arial Narrow"/>
                <w:sz w:val="20"/>
                <w:lang w:eastAsia="en-AU"/>
              </w:rPr>
            </w:pPr>
            <w:r w:rsidRPr="00DF2CE7">
              <w:rPr>
                <w:rFonts w:ascii="Arial Narrow" w:hAnsi="Arial Narrow"/>
                <w:sz w:val="20"/>
                <w:lang w:eastAsia="en-AU"/>
              </w:rPr>
              <w:t>Depth</w:t>
            </w:r>
          </w:p>
        </w:tc>
        <w:tc>
          <w:tcPr>
            <w:tcW w:w="1250" w:type="dxa"/>
            <w:gridSpan w:val="2"/>
            <w:shd w:val="clear" w:color="auto" w:fill="auto"/>
            <w:noWrap/>
            <w:tcMar>
              <w:left w:w="57" w:type="dxa"/>
              <w:right w:w="57" w:type="dxa"/>
            </w:tcMar>
            <w:vAlign w:val="bottom"/>
          </w:tcPr>
          <w:p w14:paraId="53C13EA5" w14:textId="77777777" w:rsidR="00A84742" w:rsidRPr="00DF2CE7" w:rsidRDefault="00A84742" w:rsidP="00A84742">
            <w:pPr>
              <w:spacing w:after="0"/>
              <w:jc w:val="center"/>
              <w:rPr>
                <w:rFonts w:ascii="Arial Narrow" w:hAnsi="Arial Narrow"/>
                <w:sz w:val="20"/>
                <w:lang w:eastAsia="en-AU"/>
              </w:rPr>
            </w:pPr>
            <w:r w:rsidRPr="00DF2CE7">
              <w:rPr>
                <w:rFonts w:ascii="Arial Narrow" w:hAnsi="Arial Narrow"/>
                <w:sz w:val="20"/>
                <w:lang w:eastAsia="en-AU"/>
              </w:rPr>
              <w:t>Condition Index</w:t>
            </w:r>
          </w:p>
        </w:tc>
        <w:tc>
          <w:tcPr>
            <w:tcW w:w="1250" w:type="dxa"/>
            <w:gridSpan w:val="2"/>
            <w:shd w:val="clear" w:color="auto" w:fill="auto"/>
            <w:noWrap/>
            <w:tcMar>
              <w:left w:w="57" w:type="dxa"/>
              <w:right w:w="57" w:type="dxa"/>
            </w:tcMar>
            <w:vAlign w:val="bottom"/>
          </w:tcPr>
          <w:p w14:paraId="53C13EA6" w14:textId="77777777" w:rsidR="00A84742" w:rsidRPr="00DF2CE7" w:rsidRDefault="00A84742" w:rsidP="00A84742">
            <w:pPr>
              <w:spacing w:after="0"/>
              <w:jc w:val="center"/>
              <w:rPr>
                <w:rFonts w:ascii="Arial Narrow" w:hAnsi="Arial Narrow"/>
                <w:sz w:val="20"/>
                <w:lang w:eastAsia="en-AU"/>
              </w:rPr>
            </w:pPr>
            <w:r w:rsidRPr="00DF2CE7">
              <w:rPr>
                <w:rFonts w:ascii="Arial Narrow" w:hAnsi="Arial Narrow"/>
                <w:sz w:val="20"/>
                <w:lang w:eastAsia="en-AU"/>
              </w:rPr>
              <w:t>Coral Cover</w:t>
            </w:r>
          </w:p>
        </w:tc>
        <w:tc>
          <w:tcPr>
            <w:tcW w:w="1251" w:type="dxa"/>
            <w:gridSpan w:val="2"/>
            <w:shd w:val="clear" w:color="auto" w:fill="auto"/>
            <w:noWrap/>
            <w:tcMar>
              <w:left w:w="57" w:type="dxa"/>
              <w:right w:w="57" w:type="dxa"/>
            </w:tcMar>
            <w:vAlign w:val="bottom"/>
          </w:tcPr>
          <w:p w14:paraId="53C13EA7" w14:textId="77777777" w:rsidR="00A84742" w:rsidRPr="00DF2CE7" w:rsidRDefault="00A84742" w:rsidP="00A84742">
            <w:pPr>
              <w:spacing w:after="0"/>
              <w:jc w:val="center"/>
              <w:rPr>
                <w:rFonts w:ascii="Arial Narrow" w:hAnsi="Arial Narrow"/>
                <w:sz w:val="20"/>
                <w:lang w:eastAsia="en-AU"/>
              </w:rPr>
            </w:pPr>
            <w:r w:rsidRPr="00DF2CE7">
              <w:rPr>
                <w:rFonts w:ascii="Arial Narrow" w:hAnsi="Arial Narrow"/>
                <w:sz w:val="20"/>
                <w:lang w:eastAsia="en-AU"/>
              </w:rPr>
              <w:t>Macroalgae</w:t>
            </w:r>
          </w:p>
        </w:tc>
        <w:tc>
          <w:tcPr>
            <w:tcW w:w="1250" w:type="dxa"/>
            <w:gridSpan w:val="2"/>
            <w:shd w:val="clear" w:color="auto" w:fill="auto"/>
            <w:noWrap/>
            <w:tcMar>
              <w:left w:w="57" w:type="dxa"/>
              <w:right w:w="57" w:type="dxa"/>
            </w:tcMar>
            <w:vAlign w:val="bottom"/>
          </w:tcPr>
          <w:p w14:paraId="53C13EA8" w14:textId="77777777" w:rsidR="00A84742" w:rsidRPr="00DF2CE7" w:rsidRDefault="00A84742" w:rsidP="00A84742">
            <w:pPr>
              <w:spacing w:after="0"/>
              <w:jc w:val="center"/>
              <w:rPr>
                <w:rFonts w:ascii="Arial Narrow" w:hAnsi="Arial Narrow"/>
                <w:sz w:val="20"/>
                <w:lang w:eastAsia="en-AU"/>
              </w:rPr>
            </w:pPr>
            <w:r w:rsidRPr="00DF2CE7">
              <w:rPr>
                <w:rFonts w:ascii="Arial Narrow" w:hAnsi="Arial Narrow"/>
                <w:sz w:val="20"/>
                <w:lang w:eastAsia="en-AU"/>
              </w:rPr>
              <w:t>Juvenile</w:t>
            </w:r>
          </w:p>
        </w:tc>
        <w:tc>
          <w:tcPr>
            <w:tcW w:w="1250" w:type="dxa"/>
            <w:gridSpan w:val="2"/>
            <w:shd w:val="clear" w:color="auto" w:fill="auto"/>
            <w:noWrap/>
            <w:tcMar>
              <w:left w:w="57" w:type="dxa"/>
              <w:right w:w="57" w:type="dxa"/>
            </w:tcMar>
            <w:vAlign w:val="bottom"/>
          </w:tcPr>
          <w:p w14:paraId="53C13EA9" w14:textId="77777777" w:rsidR="00A84742" w:rsidRPr="00DF2CE7" w:rsidRDefault="00A84742" w:rsidP="00A84742">
            <w:pPr>
              <w:spacing w:after="0"/>
              <w:jc w:val="center"/>
              <w:rPr>
                <w:rFonts w:ascii="Arial Narrow" w:hAnsi="Arial Narrow"/>
                <w:sz w:val="20"/>
                <w:lang w:eastAsia="en-AU"/>
              </w:rPr>
            </w:pPr>
            <w:r w:rsidRPr="00DF2CE7">
              <w:rPr>
                <w:rFonts w:ascii="Arial Narrow" w:hAnsi="Arial Narrow"/>
                <w:sz w:val="20"/>
                <w:lang w:eastAsia="en-AU"/>
              </w:rPr>
              <w:t>Cover Change</w:t>
            </w:r>
          </w:p>
        </w:tc>
        <w:tc>
          <w:tcPr>
            <w:tcW w:w="1251" w:type="dxa"/>
            <w:gridSpan w:val="2"/>
            <w:shd w:val="clear" w:color="auto" w:fill="auto"/>
            <w:noWrap/>
            <w:tcMar>
              <w:left w:w="57" w:type="dxa"/>
              <w:right w:w="57" w:type="dxa"/>
            </w:tcMar>
            <w:vAlign w:val="bottom"/>
          </w:tcPr>
          <w:p w14:paraId="53C13EAA" w14:textId="77777777" w:rsidR="00A84742" w:rsidRPr="00DF2CE7" w:rsidRDefault="00A84742" w:rsidP="00A84742">
            <w:pPr>
              <w:spacing w:after="0"/>
              <w:jc w:val="center"/>
              <w:rPr>
                <w:rFonts w:ascii="Arial Narrow" w:hAnsi="Arial Narrow"/>
                <w:sz w:val="20"/>
                <w:lang w:eastAsia="en-AU"/>
              </w:rPr>
            </w:pPr>
            <w:r w:rsidRPr="00DF2CE7">
              <w:rPr>
                <w:rFonts w:ascii="Arial Narrow" w:hAnsi="Arial Narrow"/>
                <w:sz w:val="20"/>
                <w:lang w:eastAsia="en-AU"/>
              </w:rPr>
              <w:t>Composition</w:t>
            </w:r>
          </w:p>
        </w:tc>
      </w:tr>
      <w:tr w:rsidR="00CE4E0F" w:rsidRPr="00DF2CE7" w14:paraId="53C13EBA" w14:textId="77777777" w:rsidTr="004F16D3">
        <w:trPr>
          <w:trHeight w:val="520"/>
        </w:trPr>
        <w:tc>
          <w:tcPr>
            <w:tcW w:w="1074" w:type="dxa"/>
            <w:vMerge/>
            <w:shd w:val="clear" w:color="auto" w:fill="auto"/>
            <w:noWrap/>
            <w:tcMar>
              <w:left w:w="57" w:type="dxa"/>
              <w:right w:w="57" w:type="dxa"/>
            </w:tcMar>
            <w:vAlign w:val="bottom"/>
          </w:tcPr>
          <w:p w14:paraId="53C13EAC" w14:textId="77777777" w:rsidR="00A84742" w:rsidRPr="00DF2CE7" w:rsidRDefault="00A84742" w:rsidP="00A84742">
            <w:pPr>
              <w:spacing w:after="0"/>
              <w:rPr>
                <w:rFonts w:ascii="Arial Narrow" w:hAnsi="Arial Narrow"/>
                <w:sz w:val="20"/>
                <w:lang w:eastAsia="en-AU"/>
              </w:rPr>
            </w:pPr>
          </w:p>
        </w:tc>
        <w:tc>
          <w:tcPr>
            <w:tcW w:w="350" w:type="dxa"/>
            <w:vMerge/>
            <w:shd w:val="clear" w:color="auto" w:fill="auto"/>
            <w:noWrap/>
            <w:tcMar>
              <w:left w:w="57" w:type="dxa"/>
              <w:right w:w="57" w:type="dxa"/>
            </w:tcMar>
            <w:vAlign w:val="bottom"/>
          </w:tcPr>
          <w:p w14:paraId="53C13EAD" w14:textId="77777777" w:rsidR="00A84742" w:rsidRPr="00DF2CE7" w:rsidRDefault="00A84742" w:rsidP="00A84742">
            <w:pPr>
              <w:spacing w:after="0"/>
              <w:jc w:val="center"/>
              <w:rPr>
                <w:rFonts w:ascii="Arial Narrow" w:hAnsi="Arial Narrow"/>
                <w:sz w:val="20"/>
                <w:lang w:eastAsia="en-AU"/>
              </w:rPr>
            </w:pPr>
          </w:p>
        </w:tc>
        <w:tc>
          <w:tcPr>
            <w:tcW w:w="625" w:type="dxa"/>
            <w:shd w:val="clear" w:color="auto" w:fill="auto"/>
            <w:noWrap/>
            <w:tcMar>
              <w:left w:w="57" w:type="dxa"/>
              <w:right w:w="57" w:type="dxa"/>
            </w:tcMar>
            <w:vAlign w:val="bottom"/>
          </w:tcPr>
          <w:p w14:paraId="53C13EAE" w14:textId="77777777" w:rsidR="00A84742" w:rsidRPr="00DF2CE7" w:rsidRDefault="00A84742" w:rsidP="00A84742">
            <w:pPr>
              <w:spacing w:after="0"/>
              <w:rPr>
                <w:rFonts w:ascii="Arial Narrow" w:hAnsi="Arial Narrow"/>
                <w:sz w:val="20"/>
                <w:lang w:eastAsia="en-AU"/>
              </w:rPr>
            </w:pPr>
            <w:r w:rsidRPr="00DF2CE7">
              <w:rPr>
                <w:rFonts w:ascii="Arial Narrow" w:hAnsi="Arial Narrow"/>
                <w:sz w:val="20"/>
                <w:lang w:eastAsia="en-AU"/>
              </w:rPr>
              <w:t>Score</w:t>
            </w:r>
          </w:p>
        </w:tc>
        <w:tc>
          <w:tcPr>
            <w:tcW w:w="625" w:type="dxa"/>
            <w:shd w:val="clear" w:color="auto" w:fill="auto"/>
            <w:noWrap/>
            <w:tcMar>
              <w:left w:w="57" w:type="dxa"/>
              <w:right w:w="57" w:type="dxa"/>
            </w:tcMar>
            <w:vAlign w:val="bottom"/>
          </w:tcPr>
          <w:p w14:paraId="53C13EAF" w14:textId="77777777" w:rsidR="00A84742" w:rsidRPr="00DF2CE7" w:rsidRDefault="00A84742" w:rsidP="00A84742">
            <w:pPr>
              <w:spacing w:after="0"/>
              <w:rPr>
                <w:rFonts w:ascii="Arial Narrow" w:hAnsi="Arial Narrow"/>
                <w:sz w:val="20"/>
                <w:lang w:eastAsia="en-AU"/>
              </w:rPr>
            </w:pPr>
            <w:r w:rsidRPr="00DF2CE7">
              <w:rPr>
                <w:rFonts w:ascii="Arial Narrow" w:hAnsi="Arial Narrow"/>
                <w:sz w:val="20"/>
                <w:lang w:eastAsia="en-AU"/>
              </w:rPr>
              <w:t>P</w:t>
            </w:r>
          </w:p>
        </w:tc>
        <w:tc>
          <w:tcPr>
            <w:tcW w:w="625" w:type="dxa"/>
            <w:shd w:val="clear" w:color="auto" w:fill="auto"/>
            <w:noWrap/>
            <w:tcMar>
              <w:left w:w="57" w:type="dxa"/>
              <w:right w:w="57" w:type="dxa"/>
            </w:tcMar>
            <w:vAlign w:val="bottom"/>
          </w:tcPr>
          <w:p w14:paraId="53C13EB0" w14:textId="77777777" w:rsidR="00A84742" w:rsidRPr="00DF2CE7" w:rsidRDefault="00A84742" w:rsidP="00A84742">
            <w:pPr>
              <w:spacing w:after="0"/>
              <w:rPr>
                <w:rFonts w:ascii="Arial Narrow" w:hAnsi="Arial Narrow"/>
                <w:sz w:val="20"/>
                <w:lang w:eastAsia="en-AU"/>
              </w:rPr>
            </w:pPr>
            <w:r w:rsidRPr="00DF2CE7">
              <w:rPr>
                <w:rFonts w:ascii="Arial Narrow" w:hAnsi="Arial Narrow"/>
                <w:sz w:val="20"/>
                <w:lang w:eastAsia="en-AU"/>
              </w:rPr>
              <w:t>Score</w:t>
            </w:r>
          </w:p>
        </w:tc>
        <w:tc>
          <w:tcPr>
            <w:tcW w:w="625" w:type="dxa"/>
            <w:shd w:val="clear" w:color="auto" w:fill="auto"/>
            <w:noWrap/>
            <w:tcMar>
              <w:left w:w="57" w:type="dxa"/>
              <w:right w:w="57" w:type="dxa"/>
            </w:tcMar>
            <w:vAlign w:val="bottom"/>
          </w:tcPr>
          <w:p w14:paraId="53C13EB1" w14:textId="77777777" w:rsidR="00A84742" w:rsidRPr="00DF2CE7" w:rsidRDefault="00A84742" w:rsidP="00A84742">
            <w:pPr>
              <w:spacing w:after="0"/>
              <w:rPr>
                <w:rFonts w:ascii="Arial Narrow" w:hAnsi="Arial Narrow"/>
                <w:sz w:val="20"/>
                <w:lang w:eastAsia="en-AU"/>
              </w:rPr>
            </w:pPr>
            <w:r w:rsidRPr="00DF2CE7">
              <w:rPr>
                <w:rFonts w:ascii="Arial Narrow" w:hAnsi="Arial Narrow"/>
                <w:sz w:val="20"/>
                <w:lang w:eastAsia="en-AU"/>
              </w:rPr>
              <w:t>P</w:t>
            </w:r>
          </w:p>
        </w:tc>
        <w:tc>
          <w:tcPr>
            <w:tcW w:w="625" w:type="dxa"/>
            <w:shd w:val="clear" w:color="auto" w:fill="auto"/>
            <w:noWrap/>
            <w:tcMar>
              <w:left w:w="57" w:type="dxa"/>
              <w:right w:w="57" w:type="dxa"/>
            </w:tcMar>
            <w:vAlign w:val="bottom"/>
          </w:tcPr>
          <w:p w14:paraId="53C13EB2" w14:textId="77777777" w:rsidR="00A84742" w:rsidRPr="00DF2CE7" w:rsidRDefault="00A84742" w:rsidP="00A84742">
            <w:pPr>
              <w:spacing w:after="0"/>
              <w:rPr>
                <w:rFonts w:ascii="Arial Narrow" w:hAnsi="Arial Narrow"/>
                <w:sz w:val="20"/>
                <w:lang w:eastAsia="en-AU"/>
              </w:rPr>
            </w:pPr>
            <w:r w:rsidRPr="00DF2CE7">
              <w:rPr>
                <w:rFonts w:ascii="Arial Narrow" w:hAnsi="Arial Narrow"/>
                <w:sz w:val="20"/>
                <w:lang w:eastAsia="en-AU"/>
              </w:rPr>
              <w:t>Score</w:t>
            </w:r>
          </w:p>
        </w:tc>
        <w:tc>
          <w:tcPr>
            <w:tcW w:w="626" w:type="dxa"/>
            <w:shd w:val="clear" w:color="auto" w:fill="auto"/>
            <w:noWrap/>
            <w:tcMar>
              <w:left w:w="57" w:type="dxa"/>
              <w:right w:w="57" w:type="dxa"/>
            </w:tcMar>
            <w:vAlign w:val="bottom"/>
          </w:tcPr>
          <w:p w14:paraId="53C13EB3" w14:textId="77777777" w:rsidR="00A84742" w:rsidRPr="00DF2CE7" w:rsidRDefault="00A84742" w:rsidP="00A84742">
            <w:pPr>
              <w:spacing w:after="0"/>
              <w:rPr>
                <w:rFonts w:ascii="Arial Narrow" w:hAnsi="Arial Narrow"/>
                <w:sz w:val="20"/>
                <w:lang w:eastAsia="en-AU"/>
              </w:rPr>
            </w:pPr>
            <w:r w:rsidRPr="00DF2CE7">
              <w:rPr>
                <w:rFonts w:ascii="Arial Narrow" w:hAnsi="Arial Narrow"/>
                <w:sz w:val="20"/>
                <w:lang w:eastAsia="en-AU"/>
              </w:rPr>
              <w:t>P</w:t>
            </w:r>
          </w:p>
        </w:tc>
        <w:tc>
          <w:tcPr>
            <w:tcW w:w="625" w:type="dxa"/>
            <w:shd w:val="clear" w:color="auto" w:fill="auto"/>
            <w:noWrap/>
            <w:tcMar>
              <w:left w:w="57" w:type="dxa"/>
              <w:right w:w="57" w:type="dxa"/>
            </w:tcMar>
            <w:vAlign w:val="bottom"/>
          </w:tcPr>
          <w:p w14:paraId="53C13EB4" w14:textId="77777777" w:rsidR="00A84742" w:rsidRPr="00DF2CE7" w:rsidRDefault="00A84742" w:rsidP="00A84742">
            <w:pPr>
              <w:spacing w:after="0"/>
              <w:rPr>
                <w:rFonts w:ascii="Arial Narrow" w:hAnsi="Arial Narrow"/>
                <w:sz w:val="20"/>
                <w:lang w:eastAsia="en-AU"/>
              </w:rPr>
            </w:pPr>
            <w:r w:rsidRPr="00DF2CE7">
              <w:rPr>
                <w:rFonts w:ascii="Arial Narrow" w:hAnsi="Arial Narrow"/>
                <w:sz w:val="20"/>
                <w:lang w:eastAsia="en-AU"/>
              </w:rPr>
              <w:t>Score</w:t>
            </w:r>
          </w:p>
        </w:tc>
        <w:tc>
          <w:tcPr>
            <w:tcW w:w="625" w:type="dxa"/>
            <w:shd w:val="clear" w:color="auto" w:fill="auto"/>
            <w:noWrap/>
            <w:tcMar>
              <w:left w:w="57" w:type="dxa"/>
              <w:right w:w="57" w:type="dxa"/>
            </w:tcMar>
            <w:vAlign w:val="bottom"/>
          </w:tcPr>
          <w:p w14:paraId="53C13EB5" w14:textId="77777777" w:rsidR="00A84742" w:rsidRPr="00DF2CE7" w:rsidRDefault="00A84742" w:rsidP="00A84742">
            <w:pPr>
              <w:spacing w:after="0"/>
              <w:rPr>
                <w:rFonts w:ascii="Arial Narrow" w:hAnsi="Arial Narrow"/>
                <w:sz w:val="20"/>
                <w:lang w:eastAsia="en-AU"/>
              </w:rPr>
            </w:pPr>
            <w:r w:rsidRPr="00DF2CE7">
              <w:rPr>
                <w:rFonts w:ascii="Arial Narrow" w:hAnsi="Arial Narrow"/>
                <w:sz w:val="20"/>
                <w:lang w:eastAsia="en-AU"/>
              </w:rPr>
              <w:t>P</w:t>
            </w:r>
          </w:p>
        </w:tc>
        <w:tc>
          <w:tcPr>
            <w:tcW w:w="625" w:type="dxa"/>
            <w:shd w:val="clear" w:color="auto" w:fill="auto"/>
            <w:noWrap/>
            <w:tcMar>
              <w:left w:w="57" w:type="dxa"/>
              <w:right w:w="57" w:type="dxa"/>
            </w:tcMar>
            <w:vAlign w:val="bottom"/>
          </w:tcPr>
          <w:p w14:paraId="53C13EB6" w14:textId="77777777" w:rsidR="00A84742" w:rsidRPr="00DF2CE7" w:rsidRDefault="00A84742" w:rsidP="00A84742">
            <w:pPr>
              <w:spacing w:after="0"/>
              <w:rPr>
                <w:rFonts w:ascii="Arial Narrow" w:hAnsi="Arial Narrow"/>
                <w:sz w:val="20"/>
                <w:lang w:eastAsia="en-AU"/>
              </w:rPr>
            </w:pPr>
            <w:r w:rsidRPr="00DF2CE7">
              <w:rPr>
                <w:rFonts w:ascii="Arial Narrow" w:hAnsi="Arial Narrow"/>
                <w:sz w:val="20"/>
                <w:lang w:eastAsia="en-AU"/>
              </w:rPr>
              <w:t>Score</w:t>
            </w:r>
          </w:p>
        </w:tc>
        <w:tc>
          <w:tcPr>
            <w:tcW w:w="625" w:type="dxa"/>
            <w:shd w:val="clear" w:color="auto" w:fill="auto"/>
            <w:noWrap/>
            <w:tcMar>
              <w:left w:w="57" w:type="dxa"/>
              <w:right w:w="57" w:type="dxa"/>
            </w:tcMar>
            <w:vAlign w:val="bottom"/>
          </w:tcPr>
          <w:p w14:paraId="53C13EB7" w14:textId="77777777" w:rsidR="00A84742" w:rsidRPr="00DF2CE7" w:rsidRDefault="00A84742" w:rsidP="00A84742">
            <w:pPr>
              <w:spacing w:after="0"/>
              <w:rPr>
                <w:rFonts w:ascii="Arial Narrow" w:hAnsi="Arial Narrow"/>
                <w:sz w:val="20"/>
                <w:lang w:eastAsia="en-AU"/>
              </w:rPr>
            </w:pPr>
            <w:r w:rsidRPr="00DF2CE7">
              <w:rPr>
                <w:rFonts w:ascii="Arial Narrow" w:hAnsi="Arial Narrow"/>
                <w:sz w:val="20"/>
                <w:lang w:eastAsia="en-AU"/>
              </w:rPr>
              <w:t>P</w:t>
            </w:r>
          </w:p>
        </w:tc>
        <w:tc>
          <w:tcPr>
            <w:tcW w:w="625" w:type="dxa"/>
            <w:shd w:val="clear" w:color="auto" w:fill="auto"/>
            <w:noWrap/>
            <w:tcMar>
              <w:left w:w="57" w:type="dxa"/>
              <w:right w:w="57" w:type="dxa"/>
            </w:tcMar>
            <w:vAlign w:val="bottom"/>
          </w:tcPr>
          <w:p w14:paraId="53C13EB8" w14:textId="77777777" w:rsidR="00A84742" w:rsidRPr="00DF2CE7" w:rsidRDefault="00A84742" w:rsidP="00A84742">
            <w:pPr>
              <w:spacing w:after="0"/>
              <w:rPr>
                <w:rFonts w:ascii="Arial Narrow" w:hAnsi="Arial Narrow"/>
                <w:sz w:val="20"/>
                <w:lang w:eastAsia="en-AU"/>
              </w:rPr>
            </w:pPr>
            <w:r w:rsidRPr="00DF2CE7">
              <w:rPr>
                <w:rFonts w:ascii="Arial Narrow" w:hAnsi="Arial Narrow"/>
                <w:sz w:val="20"/>
                <w:lang w:eastAsia="en-AU"/>
              </w:rPr>
              <w:t>Score</w:t>
            </w:r>
          </w:p>
        </w:tc>
        <w:tc>
          <w:tcPr>
            <w:tcW w:w="626" w:type="dxa"/>
            <w:shd w:val="clear" w:color="auto" w:fill="auto"/>
            <w:noWrap/>
            <w:tcMar>
              <w:left w:w="57" w:type="dxa"/>
              <w:right w:w="57" w:type="dxa"/>
            </w:tcMar>
            <w:vAlign w:val="bottom"/>
          </w:tcPr>
          <w:p w14:paraId="53C13EB9" w14:textId="77777777" w:rsidR="00A84742" w:rsidRPr="00DF2CE7" w:rsidRDefault="00A84742" w:rsidP="00A84742">
            <w:pPr>
              <w:spacing w:after="0"/>
              <w:rPr>
                <w:rFonts w:ascii="Arial Narrow" w:hAnsi="Arial Narrow"/>
                <w:sz w:val="20"/>
                <w:lang w:eastAsia="en-AU"/>
              </w:rPr>
            </w:pPr>
            <w:r w:rsidRPr="00DF2CE7">
              <w:rPr>
                <w:rFonts w:ascii="Arial Narrow" w:hAnsi="Arial Narrow"/>
                <w:sz w:val="20"/>
                <w:lang w:eastAsia="en-AU"/>
              </w:rPr>
              <w:t>P</w:t>
            </w:r>
          </w:p>
        </w:tc>
      </w:tr>
      <w:tr w:rsidR="00CE4E0F" w:rsidRPr="00DF2CE7" w14:paraId="53C13EC9" w14:textId="77777777" w:rsidTr="004F16D3">
        <w:trPr>
          <w:cantSplit/>
          <w:trHeight w:hRule="exact" w:val="301"/>
        </w:trPr>
        <w:tc>
          <w:tcPr>
            <w:tcW w:w="1074" w:type="dxa"/>
            <w:vMerge w:val="restart"/>
            <w:shd w:val="clear" w:color="auto" w:fill="auto"/>
            <w:noWrap/>
            <w:tcMar>
              <w:left w:w="57" w:type="dxa"/>
              <w:right w:w="57" w:type="dxa"/>
            </w:tcMar>
            <w:vAlign w:val="center"/>
          </w:tcPr>
          <w:p w14:paraId="53C13EBB" w14:textId="77777777" w:rsidR="00A84742" w:rsidRPr="00DF2CE7" w:rsidRDefault="00A84742" w:rsidP="00A84742">
            <w:pPr>
              <w:spacing w:after="0"/>
              <w:rPr>
                <w:rFonts w:ascii="Arial Narrow" w:hAnsi="Arial Narrow"/>
                <w:bCs/>
                <w:sz w:val="20"/>
              </w:rPr>
            </w:pPr>
            <w:r w:rsidRPr="00DF2CE7">
              <w:rPr>
                <w:rFonts w:ascii="Arial Narrow" w:hAnsi="Arial Narrow"/>
                <w:bCs/>
                <w:sz w:val="20"/>
              </w:rPr>
              <w:t>2008 to 2012</w:t>
            </w:r>
          </w:p>
        </w:tc>
        <w:tc>
          <w:tcPr>
            <w:tcW w:w="350" w:type="dxa"/>
            <w:shd w:val="clear" w:color="auto" w:fill="auto"/>
            <w:noWrap/>
            <w:tcMar>
              <w:left w:w="57" w:type="dxa"/>
              <w:right w:w="57" w:type="dxa"/>
            </w:tcMar>
            <w:vAlign w:val="center"/>
          </w:tcPr>
          <w:p w14:paraId="53C13EBC"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2</w:t>
            </w:r>
          </w:p>
        </w:tc>
        <w:tc>
          <w:tcPr>
            <w:tcW w:w="625" w:type="dxa"/>
            <w:shd w:val="clear" w:color="auto" w:fill="F2DBDB" w:themeFill="accent2" w:themeFillTint="33"/>
            <w:noWrap/>
            <w:tcMar>
              <w:left w:w="57" w:type="dxa"/>
              <w:right w:w="57" w:type="dxa"/>
            </w:tcMar>
            <w:vAlign w:val="center"/>
          </w:tcPr>
          <w:p w14:paraId="53C13EBD"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-0.07</w:t>
            </w:r>
          </w:p>
        </w:tc>
        <w:tc>
          <w:tcPr>
            <w:tcW w:w="625" w:type="dxa"/>
            <w:shd w:val="clear" w:color="auto" w:fill="F2DBDB" w:themeFill="accent2" w:themeFillTint="33"/>
            <w:noWrap/>
            <w:tcMar>
              <w:left w:w="57" w:type="dxa"/>
              <w:right w:w="57" w:type="dxa"/>
            </w:tcMar>
            <w:vAlign w:val="center"/>
          </w:tcPr>
          <w:p w14:paraId="53C13EBE"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0.77</w:t>
            </w:r>
          </w:p>
        </w:tc>
        <w:tc>
          <w:tcPr>
            <w:tcW w:w="625" w:type="dxa"/>
            <w:shd w:val="clear" w:color="auto" w:fill="D99594"/>
            <w:noWrap/>
            <w:tcMar>
              <w:left w:w="57" w:type="dxa"/>
              <w:right w:w="57" w:type="dxa"/>
            </w:tcMar>
            <w:vAlign w:val="center"/>
          </w:tcPr>
          <w:p w14:paraId="53C13EBF"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-0.07</w:t>
            </w:r>
          </w:p>
        </w:tc>
        <w:tc>
          <w:tcPr>
            <w:tcW w:w="625" w:type="dxa"/>
            <w:shd w:val="clear" w:color="auto" w:fill="D99594"/>
            <w:noWrap/>
            <w:tcMar>
              <w:left w:w="57" w:type="dxa"/>
              <w:right w:w="57" w:type="dxa"/>
            </w:tcMar>
            <w:vAlign w:val="center"/>
          </w:tcPr>
          <w:p w14:paraId="53C13EC0"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0.91</w:t>
            </w:r>
          </w:p>
        </w:tc>
        <w:tc>
          <w:tcPr>
            <w:tcW w:w="625" w:type="dxa"/>
            <w:shd w:val="clear" w:color="auto" w:fill="auto"/>
            <w:noWrap/>
            <w:tcMar>
              <w:left w:w="57" w:type="dxa"/>
              <w:right w:w="57" w:type="dxa"/>
            </w:tcMar>
            <w:vAlign w:val="center"/>
          </w:tcPr>
          <w:p w14:paraId="53C13EC1" w14:textId="77777777" w:rsidR="00A84742" w:rsidRPr="00DF2CE7" w:rsidRDefault="00FD1D79" w:rsidP="00A84742">
            <w:pPr>
              <w:spacing w:after="0"/>
              <w:jc w:val="center"/>
              <w:rPr>
                <w:rFonts w:ascii="Arial Narrow" w:hAnsi="Arial Narrow"/>
                <w:bCs/>
                <w:sz w:val="20"/>
              </w:rPr>
            </w:pPr>
            <w:r>
              <w:rPr>
                <w:rFonts w:ascii="Arial Narrow" w:hAnsi="Arial Narrow"/>
                <w:bCs/>
                <w:sz w:val="20"/>
              </w:rPr>
              <w:t>0.00</w:t>
            </w:r>
          </w:p>
        </w:tc>
        <w:tc>
          <w:tcPr>
            <w:tcW w:w="626" w:type="dxa"/>
            <w:shd w:val="clear" w:color="auto" w:fill="auto"/>
            <w:noWrap/>
            <w:tcMar>
              <w:left w:w="57" w:type="dxa"/>
              <w:right w:w="57" w:type="dxa"/>
            </w:tcMar>
            <w:vAlign w:val="center"/>
          </w:tcPr>
          <w:p w14:paraId="53C13EC2" w14:textId="77777777" w:rsidR="00A84742" w:rsidRPr="00DF2CE7" w:rsidRDefault="00FD1D79" w:rsidP="00A84742">
            <w:pPr>
              <w:spacing w:after="0"/>
              <w:jc w:val="center"/>
              <w:rPr>
                <w:rFonts w:ascii="Arial Narrow" w:hAnsi="Arial Narrow"/>
                <w:bCs/>
                <w:sz w:val="20"/>
              </w:rPr>
            </w:pPr>
            <w:r>
              <w:rPr>
                <w:rFonts w:ascii="Arial Narrow" w:hAnsi="Arial Narrow"/>
                <w:bCs/>
                <w:sz w:val="20"/>
              </w:rPr>
              <w:t>0.00</w:t>
            </w:r>
          </w:p>
        </w:tc>
        <w:tc>
          <w:tcPr>
            <w:tcW w:w="625" w:type="dxa"/>
            <w:shd w:val="clear" w:color="auto" w:fill="E5B8B7"/>
            <w:noWrap/>
            <w:tcMar>
              <w:left w:w="57" w:type="dxa"/>
              <w:right w:w="57" w:type="dxa"/>
            </w:tcMar>
            <w:vAlign w:val="center"/>
          </w:tcPr>
          <w:p w14:paraId="53C13EC3"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-0.08</w:t>
            </w:r>
          </w:p>
        </w:tc>
        <w:tc>
          <w:tcPr>
            <w:tcW w:w="625" w:type="dxa"/>
            <w:shd w:val="clear" w:color="auto" w:fill="E5B8B7"/>
            <w:noWrap/>
            <w:tcMar>
              <w:left w:w="57" w:type="dxa"/>
              <w:right w:w="57" w:type="dxa"/>
            </w:tcMar>
            <w:vAlign w:val="center"/>
          </w:tcPr>
          <w:p w14:paraId="53C13EC4"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0.80</w:t>
            </w:r>
          </w:p>
        </w:tc>
        <w:tc>
          <w:tcPr>
            <w:tcW w:w="625" w:type="dxa"/>
            <w:shd w:val="clear" w:color="auto" w:fill="auto"/>
            <w:noWrap/>
            <w:tcMar>
              <w:left w:w="57" w:type="dxa"/>
              <w:right w:w="57" w:type="dxa"/>
            </w:tcMar>
            <w:vAlign w:val="center"/>
          </w:tcPr>
          <w:p w14:paraId="53C13EC5"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-0.05</w:t>
            </w:r>
          </w:p>
        </w:tc>
        <w:tc>
          <w:tcPr>
            <w:tcW w:w="625" w:type="dxa"/>
            <w:shd w:val="clear" w:color="auto" w:fill="auto"/>
            <w:noWrap/>
            <w:tcMar>
              <w:left w:w="57" w:type="dxa"/>
              <w:right w:w="57" w:type="dxa"/>
            </w:tcMar>
            <w:vAlign w:val="center"/>
          </w:tcPr>
          <w:p w14:paraId="53C13EC6"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0.60</w:t>
            </w:r>
          </w:p>
        </w:tc>
        <w:tc>
          <w:tcPr>
            <w:tcW w:w="625" w:type="dxa"/>
            <w:shd w:val="clear" w:color="auto" w:fill="F2DBDB" w:themeFill="accent2" w:themeFillTint="33"/>
            <w:noWrap/>
            <w:tcMar>
              <w:left w:w="57" w:type="dxa"/>
              <w:right w:w="57" w:type="dxa"/>
            </w:tcMar>
            <w:vAlign w:val="center"/>
          </w:tcPr>
          <w:p w14:paraId="53C13EC7"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-0.14</w:t>
            </w:r>
          </w:p>
        </w:tc>
        <w:tc>
          <w:tcPr>
            <w:tcW w:w="626" w:type="dxa"/>
            <w:shd w:val="clear" w:color="auto" w:fill="F2DBDB" w:themeFill="accent2" w:themeFillTint="33"/>
            <w:noWrap/>
            <w:tcMar>
              <w:left w:w="57" w:type="dxa"/>
              <w:right w:w="57" w:type="dxa"/>
            </w:tcMar>
            <w:vAlign w:val="center"/>
          </w:tcPr>
          <w:p w14:paraId="53C13EC8"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0.72</w:t>
            </w:r>
          </w:p>
        </w:tc>
      </w:tr>
      <w:tr w:rsidR="00CE4E0F" w:rsidRPr="00DF2CE7" w14:paraId="53C13ED8" w14:textId="77777777" w:rsidTr="004F16D3">
        <w:trPr>
          <w:cantSplit/>
          <w:trHeight w:hRule="exact" w:val="301"/>
        </w:trPr>
        <w:tc>
          <w:tcPr>
            <w:tcW w:w="1074" w:type="dxa"/>
            <w:vMerge/>
            <w:shd w:val="clear" w:color="auto" w:fill="auto"/>
            <w:noWrap/>
            <w:tcMar>
              <w:left w:w="57" w:type="dxa"/>
              <w:right w:w="57" w:type="dxa"/>
            </w:tcMar>
            <w:vAlign w:val="center"/>
          </w:tcPr>
          <w:p w14:paraId="53C13ECA" w14:textId="77777777" w:rsidR="00A84742" w:rsidRPr="00DF2CE7" w:rsidRDefault="00A84742" w:rsidP="00A84742">
            <w:pPr>
              <w:spacing w:after="0"/>
              <w:jc w:val="right"/>
              <w:rPr>
                <w:rFonts w:ascii="Arial Narrow" w:hAnsi="Arial Narrow"/>
                <w:bCs/>
                <w:sz w:val="20"/>
              </w:rPr>
            </w:pPr>
          </w:p>
        </w:tc>
        <w:tc>
          <w:tcPr>
            <w:tcW w:w="350" w:type="dxa"/>
            <w:shd w:val="clear" w:color="auto" w:fill="auto"/>
            <w:noWrap/>
            <w:tcMar>
              <w:left w:w="57" w:type="dxa"/>
              <w:right w:w="57" w:type="dxa"/>
            </w:tcMar>
            <w:vAlign w:val="center"/>
          </w:tcPr>
          <w:p w14:paraId="53C13ECB"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5</w:t>
            </w:r>
          </w:p>
        </w:tc>
        <w:tc>
          <w:tcPr>
            <w:tcW w:w="625" w:type="dxa"/>
            <w:shd w:val="clear" w:color="auto" w:fill="E5B8B7" w:themeFill="accent2" w:themeFillTint="66"/>
            <w:noWrap/>
            <w:tcMar>
              <w:left w:w="57" w:type="dxa"/>
              <w:right w:w="57" w:type="dxa"/>
            </w:tcMar>
            <w:vAlign w:val="center"/>
          </w:tcPr>
          <w:p w14:paraId="53C13ECC"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-0.08</w:t>
            </w:r>
          </w:p>
        </w:tc>
        <w:tc>
          <w:tcPr>
            <w:tcW w:w="625" w:type="dxa"/>
            <w:shd w:val="clear" w:color="auto" w:fill="E5B8B7" w:themeFill="accent2" w:themeFillTint="66"/>
            <w:noWrap/>
            <w:tcMar>
              <w:left w:w="57" w:type="dxa"/>
              <w:right w:w="57" w:type="dxa"/>
            </w:tcMar>
            <w:vAlign w:val="center"/>
          </w:tcPr>
          <w:p w14:paraId="53C13ECD"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0.80</w:t>
            </w:r>
          </w:p>
        </w:tc>
        <w:tc>
          <w:tcPr>
            <w:tcW w:w="625" w:type="dxa"/>
            <w:shd w:val="clear" w:color="auto" w:fill="E5B8B7"/>
            <w:noWrap/>
            <w:tcMar>
              <w:left w:w="57" w:type="dxa"/>
              <w:right w:w="57" w:type="dxa"/>
            </w:tcMar>
            <w:vAlign w:val="center"/>
          </w:tcPr>
          <w:p w14:paraId="53C13ECE"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-0.10</w:t>
            </w:r>
          </w:p>
        </w:tc>
        <w:tc>
          <w:tcPr>
            <w:tcW w:w="625" w:type="dxa"/>
            <w:shd w:val="clear" w:color="auto" w:fill="E5B8B7"/>
            <w:noWrap/>
            <w:tcMar>
              <w:left w:w="57" w:type="dxa"/>
              <w:right w:w="57" w:type="dxa"/>
            </w:tcMar>
            <w:vAlign w:val="center"/>
          </w:tcPr>
          <w:p w14:paraId="53C13ECF"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0.87</w:t>
            </w:r>
          </w:p>
        </w:tc>
        <w:tc>
          <w:tcPr>
            <w:tcW w:w="625" w:type="dxa"/>
            <w:shd w:val="clear" w:color="auto" w:fill="auto"/>
            <w:noWrap/>
            <w:tcMar>
              <w:left w:w="57" w:type="dxa"/>
              <w:right w:w="57" w:type="dxa"/>
            </w:tcMar>
            <w:vAlign w:val="center"/>
          </w:tcPr>
          <w:p w14:paraId="53C13ED0" w14:textId="77777777" w:rsidR="00A84742" w:rsidRPr="00DF2CE7" w:rsidRDefault="00FD1D79" w:rsidP="00A84742">
            <w:pPr>
              <w:spacing w:after="0"/>
              <w:jc w:val="center"/>
              <w:rPr>
                <w:rFonts w:ascii="Arial Narrow" w:hAnsi="Arial Narrow"/>
                <w:bCs/>
                <w:sz w:val="20"/>
              </w:rPr>
            </w:pPr>
            <w:r>
              <w:rPr>
                <w:rFonts w:ascii="Arial Narrow" w:hAnsi="Arial Narrow"/>
                <w:bCs/>
                <w:sz w:val="20"/>
              </w:rPr>
              <w:t>0.00</w:t>
            </w:r>
          </w:p>
        </w:tc>
        <w:tc>
          <w:tcPr>
            <w:tcW w:w="626" w:type="dxa"/>
            <w:shd w:val="clear" w:color="auto" w:fill="auto"/>
            <w:noWrap/>
            <w:tcMar>
              <w:left w:w="57" w:type="dxa"/>
              <w:right w:w="57" w:type="dxa"/>
            </w:tcMar>
            <w:vAlign w:val="center"/>
          </w:tcPr>
          <w:p w14:paraId="53C13ED1"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0.63</w:t>
            </w:r>
          </w:p>
        </w:tc>
        <w:tc>
          <w:tcPr>
            <w:tcW w:w="625" w:type="dxa"/>
            <w:shd w:val="clear" w:color="auto" w:fill="auto"/>
            <w:noWrap/>
            <w:tcMar>
              <w:left w:w="57" w:type="dxa"/>
              <w:right w:w="57" w:type="dxa"/>
            </w:tcMar>
            <w:vAlign w:val="center"/>
          </w:tcPr>
          <w:p w14:paraId="53C13ED2"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-0.03</w:t>
            </w:r>
          </w:p>
        </w:tc>
        <w:tc>
          <w:tcPr>
            <w:tcW w:w="625" w:type="dxa"/>
            <w:shd w:val="clear" w:color="auto" w:fill="auto"/>
            <w:noWrap/>
            <w:tcMar>
              <w:left w:w="57" w:type="dxa"/>
              <w:right w:w="57" w:type="dxa"/>
            </w:tcMar>
            <w:vAlign w:val="center"/>
          </w:tcPr>
          <w:p w14:paraId="53C13ED3"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0.61</w:t>
            </w:r>
          </w:p>
        </w:tc>
        <w:tc>
          <w:tcPr>
            <w:tcW w:w="625" w:type="dxa"/>
            <w:shd w:val="clear" w:color="auto" w:fill="auto"/>
            <w:noWrap/>
            <w:tcMar>
              <w:left w:w="57" w:type="dxa"/>
              <w:right w:w="57" w:type="dxa"/>
            </w:tcMar>
            <w:vAlign w:val="center"/>
          </w:tcPr>
          <w:p w14:paraId="53C13ED4"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-0.03</w:t>
            </w:r>
          </w:p>
        </w:tc>
        <w:tc>
          <w:tcPr>
            <w:tcW w:w="625" w:type="dxa"/>
            <w:shd w:val="clear" w:color="auto" w:fill="auto"/>
            <w:noWrap/>
            <w:tcMar>
              <w:left w:w="57" w:type="dxa"/>
              <w:right w:w="57" w:type="dxa"/>
            </w:tcMar>
            <w:vAlign w:val="center"/>
          </w:tcPr>
          <w:p w14:paraId="53C13ED5"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0.53</w:t>
            </w:r>
          </w:p>
        </w:tc>
        <w:tc>
          <w:tcPr>
            <w:tcW w:w="625" w:type="dxa"/>
            <w:shd w:val="clear" w:color="auto" w:fill="E5B8B7"/>
            <w:noWrap/>
            <w:tcMar>
              <w:left w:w="57" w:type="dxa"/>
              <w:right w:w="57" w:type="dxa"/>
            </w:tcMar>
            <w:vAlign w:val="center"/>
          </w:tcPr>
          <w:p w14:paraId="53C13ED6"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-0.25</w:t>
            </w:r>
          </w:p>
        </w:tc>
        <w:tc>
          <w:tcPr>
            <w:tcW w:w="626" w:type="dxa"/>
            <w:shd w:val="clear" w:color="auto" w:fill="E5B8B7"/>
            <w:noWrap/>
            <w:tcMar>
              <w:left w:w="57" w:type="dxa"/>
              <w:right w:w="57" w:type="dxa"/>
            </w:tcMar>
            <w:vAlign w:val="center"/>
          </w:tcPr>
          <w:p w14:paraId="53C13ED7"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0.83</w:t>
            </w:r>
          </w:p>
        </w:tc>
      </w:tr>
      <w:tr w:rsidR="00CE4E0F" w:rsidRPr="00DF2CE7" w14:paraId="53C13EE7" w14:textId="77777777" w:rsidTr="004F16D3">
        <w:trPr>
          <w:cantSplit/>
          <w:trHeight w:hRule="exact" w:val="301"/>
        </w:trPr>
        <w:tc>
          <w:tcPr>
            <w:tcW w:w="1074" w:type="dxa"/>
            <w:vMerge w:val="restart"/>
            <w:shd w:val="clear" w:color="auto" w:fill="auto"/>
            <w:noWrap/>
            <w:tcMar>
              <w:left w:w="57" w:type="dxa"/>
              <w:right w:w="57" w:type="dxa"/>
            </w:tcMar>
            <w:vAlign w:val="center"/>
          </w:tcPr>
          <w:p w14:paraId="53C13ED9" w14:textId="77777777" w:rsidR="00A84742" w:rsidRPr="00DF2CE7" w:rsidRDefault="00A84742" w:rsidP="00A84742">
            <w:pPr>
              <w:spacing w:after="0"/>
              <w:rPr>
                <w:rFonts w:ascii="Arial Narrow" w:hAnsi="Arial Narrow"/>
                <w:bCs/>
                <w:sz w:val="20"/>
              </w:rPr>
            </w:pPr>
            <w:r w:rsidRPr="00DF2CE7">
              <w:rPr>
                <w:rFonts w:ascii="Arial Narrow" w:hAnsi="Arial Narrow"/>
                <w:bCs/>
                <w:sz w:val="20"/>
              </w:rPr>
              <w:t>2012 to 2016</w:t>
            </w:r>
          </w:p>
        </w:tc>
        <w:tc>
          <w:tcPr>
            <w:tcW w:w="350" w:type="dxa"/>
            <w:shd w:val="clear" w:color="auto" w:fill="auto"/>
            <w:noWrap/>
            <w:tcMar>
              <w:left w:w="57" w:type="dxa"/>
              <w:right w:w="57" w:type="dxa"/>
            </w:tcMar>
            <w:vAlign w:val="center"/>
          </w:tcPr>
          <w:p w14:paraId="53C13EDA"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2</w:t>
            </w:r>
          </w:p>
        </w:tc>
        <w:tc>
          <w:tcPr>
            <w:tcW w:w="625" w:type="dxa"/>
            <w:shd w:val="clear" w:color="auto" w:fill="548DD4"/>
            <w:noWrap/>
            <w:tcMar>
              <w:left w:w="57" w:type="dxa"/>
              <w:right w:w="57" w:type="dxa"/>
            </w:tcMar>
            <w:vAlign w:val="center"/>
          </w:tcPr>
          <w:p w14:paraId="53C13EDB"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0.16</w:t>
            </w:r>
          </w:p>
        </w:tc>
        <w:tc>
          <w:tcPr>
            <w:tcW w:w="625" w:type="dxa"/>
            <w:shd w:val="clear" w:color="auto" w:fill="548DD4"/>
            <w:noWrap/>
            <w:tcMar>
              <w:left w:w="57" w:type="dxa"/>
              <w:right w:w="57" w:type="dxa"/>
            </w:tcMar>
            <w:vAlign w:val="center"/>
          </w:tcPr>
          <w:p w14:paraId="53C13EDC"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0.99</w:t>
            </w:r>
          </w:p>
        </w:tc>
        <w:tc>
          <w:tcPr>
            <w:tcW w:w="625" w:type="dxa"/>
            <w:shd w:val="clear" w:color="auto" w:fill="548DD4"/>
            <w:noWrap/>
            <w:tcMar>
              <w:left w:w="57" w:type="dxa"/>
              <w:right w:w="57" w:type="dxa"/>
            </w:tcMar>
            <w:vAlign w:val="center"/>
          </w:tcPr>
          <w:p w14:paraId="53C13EDD"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0.15</w:t>
            </w:r>
          </w:p>
        </w:tc>
        <w:tc>
          <w:tcPr>
            <w:tcW w:w="625" w:type="dxa"/>
            <w:shd w:val="clear" w:color="auto" w:fill="548DD4"/>
            <w:noWrap/>
            <w:tcMar>
              <w:left w:w="57" w:type="dxa"/>
              <w:right w:w="57" w:type="dxa"/>
            </w:tcMar>
            <w:vAlign w:val="center"/>
          </w:tcPr>
          <w:p w14:paraId="53C13EDE"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0.95</w:t>
            </w:r>
          </w:p>
        </w:tc>
        <w:tc>
          <w:tcPr>
            <w:tcW w:w="625" w:type="dxa"/>
            <w:shd w:val="clear" w:color="auto" w:fill="auto"/>
            <w:noWrap/>
            <w:tcMar>
              <w:left w:w="57" w:type="dxa"/>
              <w:right w:w="57" w:type="dxa"/>
            </w:tcMar>
            <w:vAlign w:val="center"/>
          </w:tcPr>
          <w:p w14:paraId="53C13EDF" w14:textId="77777777" w:rsidR="00A84742" w:rsidRPr="00DF2CE7" w:rsidRDefault="00FD1D79" w:rsidP="00A84742">
            <w:pPr>
              <w:spacing w:after="0"/>
              <w:jc w:val="center"/>
              <w:rPr>
                <w:rFonts w:ascii="Arial Narrow" w:hAnsi="Arial Narrow"/>
                <w:bCs/>
                <w:sz w:val="20"/>
              </w:rPr>
            </w:pPr>
            <w:r>
              <w:rPr>
                <w:rFonts w:ascii="Arial Narrow" w:hAnsi="Arial Narrow"/>
                <w:bCs/>
                <w:sz w:val="20"/>
              </w:rPr>
              <w:t>0.00</w:t>
            </w:r>
          </w:p>
        </w:tc>
        <w:tc>
          <w:tcPr>
            <w:tcW w:w="626" w:type="dxa"/>
            <w:shd w:val="clear" w:color="auto" w:fill="auto"/>
            <w:noWrap/>
            <w:tcMar>
              <w:left w:w="57" w:type="dxa"/>
              <w:right w:w="57" w:type="dxa"/>
            </w:tcMar>
            <w:vAlign w:val="center"/>
          </w:tcPr>
          <w:p w14:paraId="53C13EE0"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NA</w:t>
            </w:r>
          </w:p>
        </w:tc>
        <w:tc>
          <w:tcPr>
            <w:tcW w:w="625" w:type="dxa"/>
            <w:shd w:val="clear" w:color="auto" w:fill="8DB3E2"/>
            <w:noWrap/>
            <w:tcMar>
              <w:left w:w="57" w:type="dxa"/>
              <w:right w:w="57" w:type="dxa"/>
            </w:tcMar>
            <w:vAlign w:val="center"/>
          </w:tcPr>
          <w:p w14:paraId="53C13EE1"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0.18</w:t>
            </w:r>
          </w:p>
        </w:tc>
        <w:tc>
          <w:tcPr>
            <w:tcW w:w="625" w:type="dxa"/>
            <w:shd w:val="clear" w:color="auto" w:fill="8DB3E2"/>
            <w:noWrap/>
            <w:tcMar>
              <w:left w:w="57" w:type="dxa"/>
              <w:right w:w="57" w:type="dxa"/>
            </w:tcMar>
            <w:vAlign w:val="center"/>
          </w:tcPr>
          <w:p w14:paraId="53C13EE2"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0.86</w:t>
            </w:r>
          </w:p>
        </w:tc>
        <w:tc>
          <w:tcPr>
            <w:tcW w:w="625" w:type="dxa"/>
            <w:shd w:val="clear" w:color="auto" w:fill="C6D9F1" w:themeFill="text2" w:themeFillTint="33"/>
            <w:noWrap/>
            <w:tcMar>
              <w:left w:w="57" w:type="dxa"/>
              <w:right w:w="57" w:type="dxa"/>
            </w:tcMar>
            <w:vAlign w:val="center"/>
          </w:tcPr>
          <w:p w14:paraId="53C13EE3"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0.20</w:t>
            </w:r>
          </w:p>
        </w:tc>
        <w:tc>
          <w:tcPr>
            <w:tcW w:w="625" w:type="dxa"/>
            <w:shd w:val="clear" w:color="auto" w:fill="C6D9F1" w:themeFill="text2" w:themeFillTint="33"/>
            <w:noWrap/>
            <w:tcMar>
              <w:left w:w="57" w:type="dxa"/>
              <w:right w:w="57" w:type="dxa"/>
            </w:tcMar>
            <w:vAlign w:val="center"/>
          </w:tcPr>
          <w:p w14:paraId="53C13EE4"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0.76</w:t>
            </w:r>
          </w:p>
        </w:tc>
        <w:tc>
          <w:tcPr>
            <w:tcW w:w="625" w:type="dxa"/>
            <w:shd w:val="clear" w:color="auto" w:fill="8DB3E2"/>
            <w:noWrap/>
            <w:tcMar>
              <w:left w:w="57" w:type="dxa"/>
              <w:right w:w="57" w:type="dxa"/>
            </w:tcMar>
            <w:vAlign w:val="center"/>
          </w:tcPr>
          <w:p w14:paraId="53C13EE5"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0.29</w:t>
            </w:r>
          </w:p>
        </w:tc>
        <w:tc>
          <w:tcPr>
            <w:tcW w:w="626" w:type="dxa"/>
            <w:shd w:val="clear" w:color="auto" w:fill="8DB3E2"/>
            <w:noWrap/>
            <w:tcMar>
              <w:left w:w="57" w:type="dxa"/>
              <w:right w:w="57" w:type="dxa"/>
            </w:tcMar>
            <w:vAlign w:val="center"/>
          </w:tcPr>
          <w:p w14:paraId="53C13EE6"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0.86</w:t>
            </w:r>
          </w:p>
        </w:tc>
      </w:tr>
      <w:tr w:rsidR="00ED70EF" w:rsidRPr="00DF2CE7" w14:paraId="53C13EF6" w14:textId="77777777" w:rsidTr="00ED70EF">
        <w:trPr>
          <w:cantSplit/>
          <w:trHeight w:hRule="exact" w:val="301"/>
        </w:trPr>
        <w:tc>
          <w:tcPr>
            <w:tcW w:w="1074" w:type="dxa"/>
            <w:vMerge/>
            <w:shd w:val="clear" w:color="auto" w:fill="auto"/>
            <w:noWrap/>
            <w:tcMar>
              <w:left w:w="57" w:type="dxa"/>
              <w:right w:w="57" w:type="dxa"/>
            </w:tcMar>
            <w:vAlign w:val="center"/>
          </w:tcPr>
          <w:p w14:paraId="53C13EE8" w14:textId="77777777" w:rsidR="00A84742" w:rsidRPr="00DF2CE7" w:rsidRDefault="00A84742" w:rsidP="00A84742">
            <w:pPr>
              <w:spacing w:after="0"/>
              <w:jc w:val="right"/>
              <w:rPr>
                <w:rFonts w:ascii="Arial Narrow" w:hAnsi="Arial Narrow"/>
                <w:bCs/>
                <w:sz w:val="20"/>
              </w:rPr>
            </w:pPr>
          </w:p>
        </w:tc>
        <w:tc>
          <w:tcPr>
            <w:tcW w:w="350" w:type="dxa"/>
            <w:shd w:val="clear" w:color="auto" w:fill="auto"/>
            <w:noWrap/>
            <w:tcMar>
              <w:left w:w="57" w:type="dxa"/>
              <w:right w:w="57" w:type="dxa"/>
            </w:tcMar>
            <w:vAlign w:val="center"/>
          </w:tcPr>
          <w:p w14:paraId="53C13EE9"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5</w:t>
            </w:r>
          </w:p>
        </w:tc>
        <w:tc>
          <w:tcPr>
            <w:tcW w:w="625" w:type="dxa"/>
            <w:shd w:val="clear" w:color="auto" w:fill="C6D9F1" w:themeFill="text2" w:themeFillTint="33"/>
            <w:noWrap/>
            <w:tcMar>
              <w:left w:w="57" w:type="dxa"/>
              <w:right w:w="57" w:type="dxa"/>
            </w:tcMar>
            <w:vAlign w:val="center"/>
          </w:tcPr>
          <w:p w14:paraId="53C13EEA"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0.09</w:t>
            </w:r>
          </w:p>
        </w:tc>
        <w:tc>
          <w:tcPr>
            <w:tcW w:w="625" w:type="dxa"/>
            <w:shd w:val="clear" w:color="auto" w:fill="C6D9F1" w:themeFill="text2" w:themeFillTint="33"/>
            <w:noWrap/>
            <w:tcMar>
              <w:left w:w="57" w:type="dxa"/>
              <w:right w:w="57" w:type="dxa"/>
            </w:tcMar>
            <w:vAlign w:val="center"/>
          </w:tcPr>
          <w:p w14:paraId="53C13EEB"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0.77</w:t>
            </w:r>
          </w:p>
        </w:tc>
        <w:tc>
          <w:tcPr>
            <w:tcW w:w="625" w:type="dxa"/>
            <w:shd w:val="clear" w:color="auto" w:fill="C6D9F1" w:themeFill="text2" w:themeFillTint="33"/>
            <w:noWrap/>
            <w:tcMar>
              <w:left w:w="57" w:type="dxa"/>
              <w:right w:w="57" w:type="dxa"/>
            </w:tcMar>
            <w:vAlign w:val="center"/>
          </w:tcPr>
          <w:p w14:paraId="53C13EEC"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0.06</w:t>
            </w:r>
          </w:p>
        </w:tc>
        <w:tc>
          <w:tcPr>
            <w:tcW w:w="625" w:type="dxa"/>
            <w:shd w:val="clear" w:color="auto" w:fill="C6D9F1" w:themeFill="text2" w:themeFillTint="33"/>
            <w:noWrap/>
            <w:tcMar>
              <w:left w:w="57" w:type="dxa"/>
              <w:right w:w="57" w:type="dxa"/>
            </w:tcMar>
            <w:vAlign w:val="center"/>
          </w:tcPr>
          <w:p w14:paraId="53C13EED"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0.72</w:t>
            </w:r>
          </w:p>
        </w:tc>
        <w:tc>
          <w:tcPr>
            <w:tcW w:w="625" w:type="dxa"/>
            <w:shd w:val="clear" w:color="auto" w:fill="auto"/>
            <w:noWrap/>
            <w:tcMar>
              <w:left w:w="57" w:type="dxa"/>
              <w:right w:w="57" w:type="dxa"/>
            </w:tcMar>
            <w:vAlign w:val="center"/>
          </w:tcPr>
          <w:p w14:paraId="53C13EEE"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-0.01</w:t>
            </w:r>
          </w:p>
        </w:tc>
        <w:tc>
          <w:tcPr>
            <w:tcW w:w="626" w:type="dxa"/>
            <w:shd w:val="clear" w:color="auto" w:fill="auto"/>
            <w:noWrap/>
            <w:tcMar>
              <w:left w:w="57" w:type="dxa"/>
              <w:right w:w="57" w:type="dxa"/>
            </w:tcMar>
            <w:vAlign w:val="center"/>
          </w:tcPr>
          <w:p w14:paraId="53C13EEF"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0.63</w:t>
            </w:r>
          </w:p>
        </w:tc>
        <w:tc>
          <w:tcPr>
            <w:tcW w:w="625" w:type="dxa"/>
            <w:shd w:val="clear" w:color="auto" w:fill="C6D9F1" w:themeFill="text2" w:themeFillTint="33"/>
            <w:noWrap/>
            <w:tcMar>
              <w:left w:w="57" w:type="dxa"/>
              <w:right w:w="57" w:type="dxa"/>
            </w:tcMar>
            <w:vAlign w:val="center"/>
          </w:tcPr>
          <w:p w14:paraId="53C13EF0"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0.17</w:t>
            </w:r>
          </w:p>
        </w:tc>
        <w:tc>
          <w:tcPr>
            <w:tcW w:w="625" w:type="dxa"/>
            <w:shd w:val="clear" w:color="auto" w:fill="C6D9F1"/>
            <w:noWrap/>
            <w:tcMar>
              <w:left w:w="57" w:type="dxa"/>
              <w:right w:w="57" w:type="dxa"/>
            </w:tcMar>
            <w:vAlign w:val="center"/>
          </w:tcPr>
          <w:p w14:paraId="53C13EF1"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0.75</w:t>
            </w:r>
          </w:p>
        </w:tc>
        <w:tc>
          <w:tcPr>
            <w:tcW w:w="625" w:type="dxa"/>
            <w:shd w:val="clear" w:color="auto" w:fill="auto"/>
            <w:noWrap/>
            <w:tcMar>
              <w:left w:w="57" w:type="dxa"/>
              <w:right w:w="57" w:type="dxa"/>
            </w:tcMar>
            <w:vAlign w:val="center"/>
          </w:tcPr>
          <w:p w14:paraId="53C13EF2"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0.05</w:t>
            </w:r>
          </w:p>
        </w:tc>
        <w:tc>
          <w:tcPr>
            <w:tcW w:w="625" w:type="dxa"/>
            <w:shd w:val="clear" w:color="auto" w:fill="auto"/>
            <w:noWrap/>
            <w:tcMar>
              <w:left w:w="57" w:type="dxa"/>
              <w:right w:w="57" w:type="dxa"/>
            </w:tcMar>
            <w:vAlign w:val="center"/>
          </w:tcPr>
          <w:p w14:paraId="53C13EF3"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0.57</w:t>
            </w:r>
          </w:p>
        </w:tc>
        <w:tc>
          <w:tcPr>
            <w:tcW w:w="625" w:type="dxa"/>
            <w:shd w:val="clear" w:color="auto" w:fill="auto"/>
            <w:noWrap/>
            <w:tcMar>
              <w:left w:w="57" w:type="dxa"/>
              <w:right w:w="57" w:type="dxa"/>
            </w:tcMar>
            <w:vAlign w:val="center"/>
          </w:tcPr>
          <w:p w14:paraId="53C13EF4"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0.15</w:t>
            </w:r>
          </w:p>
        </w:tc>
        <w:tc>
          <w:tcPr>
            <w:tcW w:w="626" w:type="dxa"/>
            <w:shd w:val="clear" w:color="auto" w:fill="auto"/>
            <w:noWrap/>
            <w:tcMar>
              <w:left w:w="57" w:type="dxa"/>
              <w:right w:w="57" w:type="dxa"/>
            </w:tcMar>
            <w:vAlign w:val="center"/>
          </w:tcPr>
          <w:p w14:paraId="53C13EF5" w14:textId="77777777" w:rsidR="00A84742" w:rsidRPr="00DF2CE7" w:rsidRDefault="00A84742" w:rsidP="00A84742">
            <w:pPr>
              <w:spacing w:after="0"/>
              <w:jc w:val="center"/>
              <w:rPr>
                <w:rFonts w:ascii="Arial Narrow" w:hAnsi="Arial Narrow"/>
                <w:bCs/>
                <w:sz w:val="20"/>
              </w:rPr>
            </w:pPr>
            <w:r w:rsidRPr="00DF2CE7">
              <w:rPr>
                <w:rFonts w:ascii="Arial Narrow" w:hAnsi="Arial Narrow"/>
                <w:bCs/>
                <w:sz w:val="20"/>
              </w:rPr>
              <w:t>0.68</w:t>
            </w:r>
          </w:p>
        </w:tc>
      </w:tr>
      <w:tr w:rsidR="00DF2CE7" w:rsidRPr="00DF2CE7" w14:paraId="53C13F05" w14:textId="77777777" w:rsidTr="00DF2CE7">
        <w:trPr>
          <w:cantSplit/>
          <w:trHeight w:hRule="exact" w:val="301"/>
        </w:trPr>
        <w:tc>
          <w:tcPr>
            <w:tcW w:w="1074" w:type="dxa"/>
            <w:vMerge w:val="restart"/>
            <w:shd w:val="clear" w:color="auto" w:fill="auto"/>
            <w:noWrap/>
            <w:tcMar>
              <w:left w:w="57" w:type="dxa"/>
              <w:right w:w="57" w:type="dxa"/>
            </w:tcMar>
            <w:vAlign w:val="center"/>
          </w:tcPr>
          <w:p w14:paraId="53C13EF7" w14:textId="77777777" w:rsidR="00DF2CE7" w:rsidRPr="00DF2CE7" w:rsidRDefault="00DF2CE7" w:rsidP="00DF2CE7">
            <w:pPr>
              <w:spacing w:after="0"/>
              <w:jc w:val="right"/>
              <w:rPr>
                <w:rFonts w:ascii="Arial Narrow" w:hAnsi="Arial Narrow"/>
                <w:bCs/>
                <w:sz w:val="20"/>
              </w:rPr>
            </w:pPr>
            <w:r w:rsidRPr="00DF2CE7">
              <w:rPr>
                <w:rFonts w:ascii="Arial Narrow" w:hAnsi="Arial Narrow"/>
                <w:bCs/>
                <w:sz w:val="20"/>
              </w:rPr>
              <w:t>2016 to 2019</w:t>
            </w:r>
          </w:p>
        </w:tc>
        <w:tc>
          <w:tcPr>
            <w:tcW w:w="350" w:type="dxa"/>
            <w:shd w:val="clear" w:color="auto" w:fill="auto"/>
            <w:noWrap/>
            <w:tcMar>
              <w:left w:w="57" w:type="dxa"/>
              <w:right w:w="57" w:type="dxa"/>
            </w:tcMar>
            <w:vAlign w:val="center"/>
          </w:tcPr>
          <w:p w14:paraId="53C13EF8" w14:textId="77777777" w:rsidR="00DF2CE7" w:rsidRPr="00DF2CE7" w:rsidRDefault="00DF2CE7" w:rsidP="00DF2CE7">
            <w:pPr>
              <w:spacing w:after="0"/>
              <w:jc w:val="center"/>
              <w:rPr>
                <w:rFonts w:ascii="Arial Narrow" w:hAnsi="Arial Narrow"/>
                <w:bCs/>
                <w:sz w:val="20"/>
              </w:rPr>
            </w:pPr>
            <w:r w:rsidRPr="00DF2CE7">
              <w:rPr>
                <w:rFonts w:ascii="Arial Narrow" w:hAnsi="Arial Narrow"/>
                <w:bCs/>
                <w:sz w:val="20"/>
              </w:rPr>
              <w:t>2</w:t>
            </w:r>
          </w:p>
        </w:tc>
        <w:tc>
          <w:tcPr>
            <w:tcW w:w="625" w:type="dxa"/>
            <w:shd w:val="clear" w:color="auto" w:fill="D99594"/>
            <w:noWrap/>
            <w:tcMar>
              <w:left w:w="57" w:type="dxa"/>
              <w:right w:w="57" w:type="dxa"/>
            </w:tcMar>
          </w:tcPr>
          <w:p w14:paraId="53C13EF9" w14:textId="77777777" w:rsidR="00DF2CE7" w:rsidRPr="00DF2CE7" w:rsidRDefault="00DF2CE7" w:rsidP="00DF2CE7">
            <w:pPr>
              <w:spacing w:after="0"/>
              <w:jc w:val="center"/>
              <w:rPr>
                <w:rFonts w:ascii="Arial Narrow" w:hAnsi="Arial Narrow"/>
                <w:bCs/>
                <w:sz w:val="20"/>
                <w:szCs w:val="20"/>
              </w:rPr>
            </w:pPr>
            <w:r w:rsidRPr="00DF2CE7">
              <w:rPr>
                <w:rFonts w:ascii="Arial Narrow" w:hAnsi="Arial Narrow"/>
                <w:sz w:val="20"/>
                <w:szCs w:val="20"/>
              </w:rPr>
              <w:t>-0.37</w:t>
            </w:r>
          </w:p>
        </w:tc>
        <w:tc>
          <w:tcPr>
            <w:tcW w:w="625" w:type="dxa"/>
            <w:shd w:val="clear" w:color="auto" w:fill="D99594" w:themeFill="accent2" w:themeFillTint="99"/>
            <w:noWrap/>
            <w:tcMar>
              <w:left w:w="57" w:type="dxa"/>
              <w:right w:w="57" w:type="dxa"/>
            </w:tcMar>
          </w:tcPr>
          <w:p w14:paraId="53C13EFA" w14:textId="77777777" w:rsidR="00DF2CE7" w:rsidRPr="00DF2CE7" w:rsidRDefault="00DF2CE7" w:rsidP="00DF2CE7">
            <w:pPr>
              <w:spacing w:after="0"/>
              <w:jc w:val="center"/>
              <w:rPr>
                <w:rFonts w:ascii="Arial Narrow" w:hAnsi="Arial Narrow"/>
                <w:bCs/>
                <w:sz w:val="20"/>
                <w:szCs w:val="20"/>
              </w:rPr>
            </w:pPr>
            <w:r w:rsidRPr="00DF2CE7">
              <w:rPr>
                <w:rFonts w:ascii="Arial Narrow" w:hAnsi="Arial Narrow"/>
                <w:sz w:val="20"/>
                <w:szCs w:val="20"/>
              </w:rPr>
              <w:t>0.92</w:t>
            </w:r>
          </w:p>
        </w:tc>
        <w:tc>
          <w:tcPr>
            <w:tcW w:w="625" w:type="dxa"/>
            <w:shd w:val="clear" w:color="auto" w:fill="DA9694"/>
            <w:noWrap/>
            <w:tcMar>
              <w:left w:w="57" w:type="dxa"/>
              <w:right w:w="57" w:type="dxa"/>
            </w:tcMar>
          </w:tcPr>
          <w:p w14:paraId="53C13EFB" w14:textId="77777777" w:rsidR="00DF2CE7" w:rsidRPr="00DF2CE7" w:rsidRDefault="00DF2CE7" w:rsidP="00DF2CE7">
            <w:pPr>
              <w:jc w:val="center"/>
              <w:rPr>
                <w:rFonts w:ascii="Arial Narrow" w:hAnsi="Arial Narrow"/>
                <w:sz w:val="20"/>
                <w:szCs w:val="20"/>
              </w:rPr>
            </w:pPr>
            <w:r w:rsidRPr="00DF2CE7">
              <w:rPr>
                <w:rFonts w:ascii="Arial Narrow" w:hAnsi="Arial Narrow"/>
                <w:sz w:val="20"/>
                <w:szCs w:val="20"/>
              </w:rPr>
              <w:t>-0.55</w:t>
            </w:r>
          </w:p>
        </w:tc>
        <w:tc>
          <w:tcPr>
            <w:tcW w:w="625" w:type="dxa"/>
            <w:shd w:val="clear" w:color="auto" w:fill="DA9694"/>
            <w:noWrap/>
            <w:tcMar>
              <w:left w:w="57" w:type="dxa"/>
              <w:right w:w="57" w:type="dxa"/>
            </w:tcMar>
          </w:tcPr>
          <w:p w14:paraId="53C13EFC" w14:textId="77777777" w:rsidR="00DF2CE7" w:rsidRPr="00DF2CE7" w:rsidRDefault="00DF2CE7" w:rsidP="00DF2CE7">
            <w:pPr>
              <w:jc w:val="center"/>
              <w:rPr>
                <w:rFonts w:ascii="Arial Narrow" w:hAnsi="Arial Narrow"/>
                <w:sz w:val="20"/>
                <w:szCs w:val="20"/>
              </w:rPr>
            </w:pPr>
            <w:r w:rsidRPr="00DF2CE7">
              <w:rPr>
                <w:rFonts w:ascii="Arial Narrow" w:hAnsi="Arial Narrow"/>
                <w:sz w:val="20"/>
                <w:szCs w:val="20"/>
              </w:rPr>
              <w:t>0.98</w:t>
            </w:r>
          </w:p>
        </w:tc>
        <w:tc>
          <w:tcPr>
            <w:tcW w:w="625" w:type="dxa"/>
            <w:shd w:val="clear" w:color="auto" w:fill="F2DBDB"/>
            <w:noWrap/>
            <w:tcMar>
              <w:left w:w="57" w:type="dxa"/>
              <w:right w:w="57" w:type="dxa"/>
            </w:tcMar>
          </w:tcPr>
          <w:p w14:paraId="53C13EFD" w14:textId="77777777" w:rsidR="00DF2CE7" w:rsidRPr="00DF2CE7" w:rsidRDefault="00DF2CE7" w:rsidP="00DF2CE7">
            <w:pPr>
              <w:jc w:val="center"/>
              <w:rPr>
                <w:rFonts w:ascii="Arial Narrow" w:hAnsi="Arial Narrow"/>
                <w:sz w:val="20"/>
                <w:szCs w:val="20"/>
              </w:rPr>
            </w:pPr>
            <w:r w:rsidRPr="00DF2CE7">
              <w:rPr>
                <w:rFonts w:ascii="Arial Narrow" w:hAnsi="Arial Narrow"/>
                <w:sz w:val="20"/>
                <w:szCs w:val="20"/>
              </w:rPr>
              <w:t>-0.30</w:t>
            </w:r>
          </w:p>
        </w:tc>
        <w:tc>
          <w:tcPr>
            <w:tcW w:w="626" w:type="dxa"/>
            <w:shd w:val="clear" w:color="auto" w:fill="F2DBDB" w:themeFill="accent2" w:themeFillTint="33"/>
            <w:noWrap/>
            <w:tcMar>
              <w:left w:w="57" w:type="dxa"/>
              <w:right w:w="57" w:type="dxa"/>
            </w:tcMar>
          </w:tcPr>
          <w:p w14:paraId="53C13EFE" w14:textId="77777777" w:rsidR="00DF2CE7" w:rsidRPr="00DF2CE7" w:rsidRDefault="00DF2CE7" w:rsidP="00DF2CE7">
            <w:pPr>
              <w:jc w:val="center"/>
              <w:rPr>
                <w:rFonts w:ascii="Arial Narrow" w:hAnsi="Arial Narrow"/>
                <w:sz w:val="20"/>
                <w:szCs w:val="20"/>
              </w:rPr>
            </w:pPr>
            <w:r w:rsidRPr="00DF2CE7">
              <w:rPr>
                <w:rFonts w:ascii="Arial Narrow" w:hAnsi="Arial Narrow"/>
                <w:sz w:val="20"/>
                <w:szCs w:val="20"/>
              </w:rPr>
              <w:t>0.73</w:t>
            </w:r>
          </w:p>
        </w:tc>
        <w:tc>
          <w:tcPr>
            <w:tcW w:w="625" w:type="dxa"/>
            <w:shd w:val="clear" w:color="auto" w:fill="D99594" w:themeFill="accent2" w:themeFillTint="99"/>
            <w:noWrap/>
            <w:tcMar>
              <w:left w:w="57" w:type="dxa"/>
              <w:right w:w="57" w:type="dxa"/>
            </w:tcMar>
          </w:tcPr>
          <w:p w14:paraId="53C13EFF" w14:textId="77777777" w:rsidR="00DF2CE7" w:rsidRPr="00DF2CE7" w:rsidRDefault="00DF2CE7" w:rsidP="00DF2CE7">
            <w:pPr>
              <w:jc w:val="center"/>
              <w:rPr>
                <w:rFonts w:ascii="Arial Narrow" w:hAnsi="Arial Narrow"/>
                <w:sz w:val="20"/>
                <w:szCs w:val="20"/>
              </w:rPr>
            </w:pPr>
            <w:r w:rsidRPr="00DF2CE7">
              <w:rPr>
                <w:rFonts w:ascii="Arial Narrow" w:hAnsi="Arial Narrow"/>
                <w:sz w:val="20"/>
                <w:szCs w:val="20"/>
              </w:rPr>
              <w:t>-0.39</w:t>
            </w:r>
          </w:p>
        </w:tc>
        <w:tc>
          <w:tcPr>
            <w:tcW w:w="625" w:type="dxa"/>
            <w:shd w:val="clear" w:color="auto" w:fill="D99594" w:themeFill="accent2" w:themeFillTint="99"/>
            <w:noWrap/>
            <w:tcMar>
              <w:left w:w="57" w:type="dxa"/>
              <w:right w:w="57" w:type="dxa"/>
            </w:tcMar>
          </w:tcPr>
          <w:p w14:paraId="53C13F00" w14:textId="77777777" w:rsidR="00DF2CE7" w:rsidRPr="00DF2CE7" w:rsidRDefault="00DF2CE7" w:rsidP="00DF2CE7">
            <w:pPr>
              <w:jc w:val="center"/>
              <w:rPr>
                <w:rFonts w:ascii="Arial Narrow" w:hAnsi="Arial Narrow"/>
                <w:sz w:val="20"/>
                <w:szCs w:val="20"/>
              </w:rPr>
            </w:pPr>
            <w:r w:rsidRPr="00DF2CE7">
              <w:rPr>
                <w:rFonts w:ascii="Arial Narrow" w:hAnsi="Arial Narrow"/>
                <w:sz w:val="20"/>
                <w:szCs w:val="20"/>
              </w:rPr>
              <w:t>0.98</w:t>
            </w:r>
          </w:p>
        </w:tc>
        <w:tc>
          <w:tcPr>
            <w:tcW w:w="625" w:type="dxa"/>
            <w:shd w:val="clear" w:color="auto" w:fill="E5B8B7"/>
            <w:noWrap/>
            <w:tcMar>
              <w:left w:w="57" w:type="dxa"/>
              <w:right w:w="57" w:type="dxa"/>
            </w:tcMar>
          </w:tcPr>
          <w:p w14:paraId="53C13F01" w14:textId="77777777" w:rsidR="00DF2CE7" w:rsidRPr="00DF2CE7" w:rsidRDefault="00DF2CE7" w:rsidP="00DF2CE7">
            <w:pPr>
              <w:jc w:val="center"/>
              <w:rPr>
                <w:rFonts w:ascii="Arial Narrow" w:hAnsi="Arial Narrow"/>
                <w:sz w:val="20"/>
                <w:szCs w:val="20"/>
              </w:rPr>
            </w:pPr>
            <w:r w:rsidRPr="00DF2CE7">
              <w:rPr>
                <w:rFonts w:ascii="Arial Narrow" w:hAnsi="Arial Narrow"/>
                <w:sz w:val="20"/>
                <w:szCs w:val="20"/>
              </w:rPr>
              <w:t>-0.24</w:t>
            </w:r>
          </w:p>
        </w:tc>
        <w:tc>
          <w:tcPr>
            <w:tcW w:w="625" w:type="dxa"/>
            <w:shd w:val="clear" w:color="auto" w:fill="E5B8B7"/>
            <w:noWrap/>
            <w:tcMar>
              <w:left w:w="57" w:type="dxa"/>
              <w:right w:w="57" w:type="dxa"/>
            </w:tcMar>
          </w:tcPr>
          <w:p w14:paraId="53C13F02" w14:textId="77777777" w:rsidR="00DF2CE7" w:rsidRPr="00DF2CE7" w:rsidRDefault="00DF2CE7" w:rsidP="00DF2CE7">
            <w:pPr>
              <w:jc w:val="center"/>
              <w:rPr>
                <w:rFonts w:ascii="Arial Narrow" w:hAnsi="Arial Narrow"/>
                <w:sz w:val="20"/>
                <w:szCs w:val="20"/>
              </w:rPr>
            </w:pPr>
            <w:r w:rsidRPr="00DF2CE7">
              <w:rPr>
                <w:rFonts w:ascii="Arial Narrow" w:hAnsi="Arial Narrow"/>
                <w:sz w:val="20"/>
                <w:szCs w:val="20"/>
              </w:rPr>
              <w:t>0.81</w:t>
            </w:r>
          </w:p>
        </w:tc>
        <w:tc>
          <w:tcPr>
            <w:tcW w:w="625" w:type="dxa"/>
            <w:shd w:val="clear" w:color="auto" w:fill="F2DBDB" w:themeFill="accent2" w:themeFillTint="33"/>
            <w:noWrap/>
            <w:tcMar>
              <w:left w:w="57" w:type="dxa"/>
              <w:right w:w="57" w:type="dxa"/>
            </w:tcMar>
          </w:tcPr>
          <w:p w14:paraId="53C13F03" w14:textId="77777777" w:rsidR="00DF2CE7" w:rsidRPr="00DF2CE7" w:rsidRDefault="00DF2CE7" w:rsidP="00DF2CE7">
            <w:pPr>
              <w:jc w:val="center"/>
              <w:rPr>
                <w:rFonts w:ascii="Arial Narrow" w:hAnsi="Arial Narrow"/>
                <w:sz w:val="20"/>
                <w:szCs w:val="20"/>
              </w:rPr>
            </w:pPr>
            <w:r w:rsidRPr="00DF2CE7">
              <w:rPr>
                <w:rFonts w:ascii="Arial Narrow" w:hAnsi="Arial Narrow"/>
                <w:sz w:val="20"/>
                <w:szCs w:val="20"/>
              </w:rPr>
              <w:t>-0.36</w:t>
            </w:r>
          </w:p>
        </w:tc>
        <w:tc>
          <w:tcPr>
            <w:tcW w:w="626" w:type="dxa"/>
            <w:shd w:val="clear" w:color="auto" w:fill="F2DBDB" w:themeFill="accent2" w:themeFillTint="33"/>
            <w:noWrap/>
            <w:tcMar>
              <w:left w:w="57" w:type="dxa"/>
              <w:right w:w="57" w:type="dxa"/>
            </w:tcMar>
          </w:tcPr>
          <w:p w14:paraId="53C13F04" w14:textId="77777777" w:rsidR="00DF2CE7" w:rsidRPr="00DF2CE7" w:rsidRDefault="00DF2CE7" w:rsidP="00DF2CE7">
            <w:pPr>
              <w:spacing w:after="0"/>
              <w:jc w:val="center"/>
              <w:rPr>
                <w:rFonts w:ascii="Arial Narrow" w:hAnsi="Arial Narrow"/>
                <w:bCs/>
                <w:sz w:val="20"/>
                <w:szCs w:val="20"/>
              </w:rPr>
            </w:pPr>
            <w:r w:rsidRPr="00DF2CE7">
              <w:rPr>
                <w:rFonts w:ascii="Arial Narrow" w:hAnsi="Arial Narrow"/>
                <w:sz w:val="20"/>
                <w:szCs w:val="20"/>
              </w:rPr>
              <w:t>0.74</w:t>
            </w:r>
          </w:p>
        </w:tc>
      </w:tr>
      <w:tr w:rsidR="00DF2CE7" w:rsidRPr="00DF2CE7" w14:paraId="53C13F14" w14:textId="77777777" w:rsidTr="00DF2CE7">
        <w:trPr>
          <w:cantSplit/>
          <w:trHeight w:hRule="exact" w:val="301"/>
        </w:trPr>
        <w:tc>
          <w:tcPr>
            <w:tcW w:w="1074" w:type="dxa"/>
            <w:vMerge/>
            <w:shd w:val="clear" w:color="auto" w:fill="auto"/>
            <w:noWrap/>
            <w:tcMar>
              <w:left w:w="57" w:type="dxa"/>
              <w:right w:w="57" w:type="dxa"/>
            </w:tcMar>
            <w:vAlign w:val="center"/>
          </w:tcPr>
          <w:p w14:paraId="53C13F06" w14:textId="77777777" w:rsidR="00DF2CE7" w:rsidRPr="00DF2CE7" w:rsidRDefault="00DF2CE7" w:rsidP="00DF2CE7">
            <w:pPr>
              <w:spacing w:after="0"/>
              <w:jc w:val="right"/>
              <w:rPr>
                <w:rFonts w:ascii="Arial Narrow" w:hAnsi="Arial Narrow"/>
                <w:bCs/>
                <w:sz w:val="20"/>
              </w:rPr>
            </w:pPr>
          </w:p>
        </w:tc>
        <w:tc>
          <w:tcPr>
            <w:tcW w:w="350" w:type="dxa"/>
            <w:shd w:val="clear" w:color="auto" w:fill="auto"/>
            <w:noWrap/>
            <w:tcMar>
              <w:left w:w="57" w:type="dxa"/>
              <w:right w:w="57" w:type="dxa"/>
            </w:tcMar>
            <w:vAlign w:val="center"/>
          </w:tcPr>
          <w:p w14:paraId="53C13F07" w14:textId="77777777" w:rsidR="00DF2CE7" w:rsidRPr="00DF2CE7" w:rsidRDefault="00DF2CE7" w:rsidP="00DF2CE7">
            <w:pPr>
              <w:spacing w:after="0"/>
              <w:jc w:val="center"/>
              <w:rPr>
                <w:rFonts w:ascii="Arial Narrow" w:hAnsi="Arial Narrow"/>
                <w:bCs/>
                <w:sz w:val="20"/>
              </w:rPr>
            </w:pPr>
            <w:r w:rsidRPr="00DF2CE7">
              <w:rPr>
                <w:rFonts w:ascii="Arial Narrow" w:hAnsi="Arial Narrow"/>
                <w:bCs/>
                <w:sz w:val="20"/>
              </w:rPr>
              <w:t>5</w:t>
            </w:r>
          </w:p>
        </w:tc>
        <w:tc>
          <w:tcPr>
            <w:tcW w:w="625" w:type="dxa"/>
            <w:shd w:val="clear" w:color="auto" w:fill="D99594"/>
            <w:noWrap/>
            <w:tcMar>
              <w:left w:w="57" w:type="dxa"/>
              <w:right w:w="57" w:type="dxa"/>
            </w:tcMar>
          </w:tcPr>
          <w:p w14:paraId="53C13F08" w14:textId="77777777" w:rsidR="00DF2CE7" w:rsidRPr="00DF2CE7" w:rsidRDefault="00DF2CE7" w:rsidP="00DF2CE7">
            <w:pPr>
              <w:spacing w:after="0"/>
              <w:jc w:val="center"/>
              <w:rPr>
                <w:rFonts w:ascii="Arial Narrow" w:hAnsi="Arial Narrow"/>
                <w:bCs/>
                <w:sz w:val="20"/>
                <w:szCs w:val="20"/>
              </w:rPr>
            </w:pPr>
            <w:r w:rsidRPr="00DF2CE7">
              <w:rPr>
                <w:rFonts w:ascii="Arial Narrow" w:hAnsi="Arial Narrow"/>
                <w:sz w:val="20"/>
                <w:szCs w:val="20"/>
              </w:rPr>
              <w:t>-0.27</w:t>
            </w:r>
          </w:p>
        </w:tc>
        <w:tc>
          <w:tcPr>
            <w:tcW w:w="625" w:type="dxa"/>
            <w:shd w:val="clear" w:color="auto" w:fill="D99594"/>
            <w:noWrap/>
            <w:tcMar>
              <w:left w:w="57" w:type="dxa"/>
              <w:right w:w="57" w:type="dxa"/>
            </w:tcMar>
          </w:tcPr>
          <w:p w14:paraId="53C13F09" w14:textId="77777777" w:rsidR="00DF2CE7" w:rsidRPr="00DF2CE7" w:rsidRDefault="00DF2CE7" w:rsidP="00DF2CE7">
            <w:pPr>
              <w:spacing w:after="0"/>
              <w:jc w:val="center"/>
              <w:rPr>
                <w:rFonts w:ascii="Arial Narrow" w:hAnsi="Arial Narrow"/>
                <w:bCs/>
                <w:sz w:val="20"/>
                <w:szCs w:val="20"/>
              </w:rPr>
            </w:pPr>
            <w:r w:rsidRPr="00DF2CE7">
              <w:rPr>
                <w:rFonts w:ascii="Arial Narrow" w:hAnsi="Arial Narrow"/>
                <w:sz w:val="20"/>
                <w:szCs w:val="20"/>
              </w:rPr>
              <w:t>0.93</w:t>
            </w:r>
          </w:p>
        </w:tc>
        <w:tc>
          <w:tcPr>
            <w:tcW w:w="625" w:type="dxa"/>
            <w:shd w:val="clear" w:color="auto" w:fill="D99594"/>
            <w:noWrap/>
            <w:tcMar>
              <w:left w:w="57" w:type="dxa"/>
              <w:right w:w="57" w:type="dxa"/>
            </w:tcMar>
          </w:tcPr>
          <w:p w14:paraId="53C13F0A" w14:textId="77777777" w:rsidR="00DF2CE7" w:rsidRPr="00DF2CE7" w:rsidRDefault="00DF2CE7" w:rsidP="00DF2CE7">
            <w:pPr>
              <w:jc w:val="center"/>
              <w:rPr>
                <w:rFonts w:ascii="Arial Narrow" w:hAnsi="Arial Narrow"/>
                <w:sz w:val="20"/>
                <w:szCs w:val="20"/>
              </w:rPr>
            </w:pPr>
            <w:r w:rsidRPr="00DF2CE7">
              <w:rPr>
                <w:rFonts w:ascii="Arial Narrow" w:hAnsi="Arial Narrow"/>
                <w:sz w:val="20"/>
                <w:szCs w:val="20"/>
              </w:rPr>
              <w:t>-0.39</w:t>
            </w:r>
          </w:p>
        </w:tc>
        <w:tc>
          <w:tcPr>
            <w:tcW w:w="625" w:type="dxa"/>
            <w:shd w:val="clear" w:color="auto" w:fill="D99594"/>
            <w:noWrap/>
            <w:tcMar>
              <w:left w:w="57" w:type="dxa"/>
              <w:right w:w="57" w:type="dxa"/>
            </w:tcMar>
          </w:tcPr>
          <w:p w14:paraId="53C13F0B" w14:textId="77777777" w:rsidR="00DF2CE7" w:rsidRPr="00DF2CE7" w:rsidRDefault="00DF2CE7" w:rsidP="00DF2CE7">
            <w:pPr>
              <w:jc w:val="center"/>
              <w:rPr>
                <w:rFonts w:ascii="Arial Narrow" w:hAnsi="Arial Narrow"/>
                <w:sz w:val="20"/>
                <w:szCs w:val="20"/>
              </w:rPr>
            </w:pPr>
            <w:r w:rsidRPr="00DF2CE7">
              <w:rPr>
                <w:rFonts w:ascii="Arial Narrow" w:hAnsi="Arial Narrow"/>
                <w:sz w:val="20"/>
                <w:szCs w:val="20"/>
              </w:rPr>
              <w:t>0.97</w:t>
            </w:r>
          </w:p>
        </w:tc>
        <w:tc>
          <w:tcPr>
            <w:tcW w:w="625" w:type="dxa"/>
            <w:shd w:val="clear" w:color="auto" w:fill="F2DBDB"/>
            <w:noWrap/>
            <w:tcMar>
              <w:left w:w="57" w:type="dxa"/>
              <w:right w:w="57" w:type="dxa"/>
            </w:tcMar>
          </w:tcPr>
          <w:p w14:paraId="53C13F0C" w14:textId="77777777" w:rsidR="00DF2CE7" w:rsidRPr="00DF2CE7" w:rsidRDefault="00DF2CE7" w:rsidP="00DF2CE7">
            <w:pPr>
              <w:jc w:val="center"/>
              <w:rPr>
                <w:rFonts w:ascii="Arial Narrow" w:hAnsi="Arial Narrow"/>
                <w:sz w:val="20"/>
                <w:szCs w:val="20"/>
              </w:rPr>
            </w:pPr>
            <w:r w:rsidRPr="00DF2CE7">
              <w:rPr>
                <w:rFonts w:ascii="Arial Narrow" w:hAnsi="Arial Narrow"/>
                <w:sz w:val="20"/>
                <w:szCs w:val="20"/>
              </w:rPr>
              <w:t>-0.21</w:t>
            </w:r>
          </w:p>
        </w:tc>
        <w:tc>
          <w:tcPr>
            <w:tcW w:w="626" w:type="dxa"/>
            <w:shd w:val="clear" w:color="auto" w:fill="F2DBDB"/>
            <w:noWrap/>
            <w:tcMar>
              <w:left w:w="57" w:type="dxa"/>
              <w:right w:w="57" w:type="dxa"/>
            </w:tcMar>
          </w:tcPr>
          <w:p w14:paraId="53C13F0D" w14:textId="77777777" w:rsidR="00DF2CE7" w:rsidRPr="00DF2CE7" w:rsidRDefault="00DF2CE7" w:rsidP="00DF2CE7">
            <w:pPr>
              <w:jc w:val="center"/>
              <w:rPr>
                <w:rFonts w:ascii="Arial Narrow" w:hAnsi="Arial Narrow"/>
                <w:sz w:val="20"/>
                <w:szCs w:val="20"/>
              </w:rPr>
            </w:pPr>
            <w:r w:rsidRPr="00DF2CE7">
              <w:rPr>
                <w:rFonts w:ascii="Arial Narrow" w:hAnsi="Arial Narrow"/>
                <w:sz w:val="20"/>
                <w:szCs w:val="20"/>
              </w:rPr>
              <w:t>0.72</w:t>
            </w:r>
          </w:p>
        </w:tc>
        <w:tc>
          <w:tcPr>
            <w:tcW w:w="625" w:type="dxa"/>
            <w:shd w:val="clear" w:color="auto" w:fill="D99594"/>
            <w:noWrap/>
            <w:tcMar>
              <w:left w:w="57" w:type="dxa"/>
              <w:right w:w="57" w:type="dxa"/>
            </w:tcMar>
          </w:tcPr>
          <w:p w14:paraId="53C13F0E" w14:textId="77777777" w:rsidR="00DF2CE7" w:rsidRPr="00DF2CE7" w:rsidRDefault="00DF2CE7" w:rsidP="00DF2CE7">
            <w:pPr>
              <w:jc w:val="center"/>
              <w:rPr>
                <w:rFonts w:ascii="Arial Narrow" w:hAnsi="Arial Narrow"/>
                <w:sz w:val="20"/>
                <w:szCs w:val="20"/>
              </w:rPr>
            </w:pPr>
            <w:r w:rsidRPr="00DF2CE7">
              <w:rPr>
                <w:rFonts w:ascii="Arial Narrow" w:hAnsi="Arial Narrow"/>
                <w:sz w:val="20"/>
                <w:szCs w:val="20"/>
              </w:rPr>
              <w:t>-0.40</w:t>
            </w:r>
          </w:p>
        </w:tc>
        <w:tc>
          <w:tcPr>
            <w:tcW w:w="625" w:type="dxa"/>
            <w:shd w:val="clear" w:color="auto" w:fill="D99594"/>
            <w:noWrap/>
            <w:tcMar>
              <w:left w:w="57" w:type="dxa"/>
              <w:right w:w="57" w:type="dxa"/>
            </w:tcMar>
          </w:tcPr>
          <w:p w14:paraId="53C13F0F" w14:textId="77777777" w:rsidR="00DF2CE7" w:rsidRPr="00DF2CE7" w:rsidRDefault="00DF2CE7" w:rsidP="00DF2CE7">
            <w:pPr>
              <w:jc w:val="center"/>
              <w:rPr>
                <w:rFonts w:ascii="Arial Narrow" w:hAnsi="Arial Narrow"/>
                <w:sz w:val="20"/>
                <w:szCs w:val="20"/>
              </w:rPr>
            </w:pPr>
            <w:r w:rsidRPr="00DF2CE7">
              <w:rPr>
                <w:rFonts w:ascii="Arial Narrow" w:hAnsi="Arial Narrow"/>
                <w:sz w:val="20"/>
                <w:szCs w:val="20"/>
              </w:rPr>
              <w:t>0.93</w:t>
            </w:r>
          </w:p>
        </w:tc>
        <w:tc>
          <w:tcPr>
            <w:tcW w:w="625" w:type="dxa"/>
            <w:shd w:val="clear" w:color="auto" w:fill="auto"/>
            <w:noWrap/>
            <w:tcMar>
              <w:left w:w="57" w:type="dxa"/>
              <w:right w:w="57" w:type="dxa"/>
            </w:tcMar>
          </w:tcPr>
          <w:p w14:paraId="53C13F10" w14:textId="77777777" w:rsidR="00DF2CE7" w:rsidRPr="00DF2CE7" w:rsidRDefault="00DF2CE7" w:rsidP="00DF2CE7">
            <w:pPr>
              <w:jc w:val="center"/>
              <w:rPr>
                <w:rFonts w:ascii="Arial Narrow" w:hAnsi="Arial Narrow"/>
                <w:sz w:val="20"/>
                <w:szCs w:val="20"/>
              </w:rPr>
            </w:pPr>
            <w:r w:rsidRPr="00DF2CE7">
              <w:rPr>
                <w:rFonts w:ascii="Arial Narrow" w:hAnsi="Arial Narrow"/>
                <w:sz w:val="20"/>
                <w:szCs w:val="20"/>
              </w:rPr>
              <w:t>-0.11</w:t>
            </w:r>
          </w:p>
        </w:tc>
        <w:tc>
          <w:tcPr>
            <w:tcW w:w="625" w:type="dxa"/>
            <w:shd w:val="clear" w:color="auto" w:fill="auto"/>
            <w:noWrap/>
            <w:tcMar>
              <w:left w:w="57" w:type="dxa"/>
              <w:right w:w="57" w:type="dxa"/>
            </w:tcMar>
          </w:tcPr>
          <w:p w14:paraId="53C13F11" w14:textId="77777777" w:rsidR="00DF2CE7" w:rsidRPr="00DF2CE7" w:rsidRDefault="00DF2CE7" w:rsidP="00DF2CE7">
            <w:pPr>
              <w:jc w:val="center"/>
              <w:rPr>
                <w:rFonts w:ascii="Arial Narrow" w:hAnsi="Arial Narrow"/>
                <w:sz w:val="20"/>
                <w:szCs w:val="20"/>
              </w:rPr>
            </w:pPr>
            <w:r w:rsidRPr="00DF2CE7">
              <w:rPr>
                <w:rFonts w:ascii="Arial Narrow" w:hAnsi="Arial Narrow"/>
                <w:sz w:val="20"/>
                <w:szCs w:val="20"/>
              </w:rPr>
              <w:t>0.67</w:t>
            </w:r>
          </w:p>
        </w:tc>
        <w:tc>
          <w:tcPr>
            <w:tcW w:w="625" w:type="dxa"/>
            <w:shd w:val="clear" w:color="auto" w:fill="F2DBDB"/>
            <w:noWrap/>
            <w:tcMar>
              <w:left w:w="57" w:type="dxa"/>
              <w:right w:w="57" w:type="dxa"/>
            </w:tcMar>
          </w:tcPr>
          <w:p w14:paraId="53C13F12" w14:textId="77777777" w:rsidR="00DF2CE7" w:rsidRPr="00DF2CE7" w:rsidRDefault="00DF2CE7" w:rsidP="00DF2CE7">
            <w:pPr>
              <w:jc w:val="center"/>
              <w:rPr>
                <w:rFonts w:ascii="Arial Narrow" w:hAnsi="Arial Narrow"/>
                <w:sz w:val="20"/>
                <w:szCs w:val="20"/>
              </w:rPr>
            </w:pPr>
            <w:r w:rsidRPr="00DF2CE7">
              <w:rPr>
                <w:rFonts w:ascii="Arial Narrow" w:hAnsi="Arial Narrow"/>
                <w:sz w:val="20"/>
                <w:szCs w:val="20"/>
              </w:rPr>
              <w:t>-0.25</w:t>
            </w:r>
          </w:p>
        </w:tc>
        <w:tc>
          <w:tcPr>
            <w:tcW w:w="626" w:type="dxa"/>
            <w:shd w:val="clear" w:color="auto" w:fill="F2DBDB"/>
            <w:noWrap/>
            <w:tcMar>
              <w:left w:w="57" w:type="dxa"/>
              <w:right w:w="57" w:type="dxa"/>
            </w:tcMar>
          </w:tcPr>
          <w:p w14:paraId="53C13F13" w14:textId="77777777" w:rsidR="00DF2CE7" w:rsidRPr="00DF2CE7" w:rsidRDefault="00DF2CE7" w:rsidP="00DF2CE7">
            <w:pPr>
              <w:spacing w:after="0"/>
              <w:jc w:val="center"/>
              <w:rPr>
                <w:rFonts w:ascii="Arial Narrow" w:hAnsi="Arial Narrow"/>
                <w:bCs/>
                <w:sz w:val="20"/>
                <w:szCs w:val="20"/>
              </w:rPr>
            </w:pPr>
            <w:r w:rsidRPr="00DF2CE7">
              <w:rPr>
                <w:rFonts w:ascii="Arial Narrow" w:hAnsi="Arial Narrow"/>
                <w:sz w:val="20"/>
                <w:szCs w:val="20"/>
              </w:rPr>
              <w:t>0.76</w:t>
            </w:r>
          </w:p>
        </w:tc>
      </w:tr>
    </w:tbl>
    <w:p w14:paraId="53C13F15" w14:textId="77777777" w:rsidR="00A84742" w:rsidRPr="004B2398" w:rsidRDefault="00A84742" w:rsidP="00A84742">
      <w:pPr>
        <w:rPr>
          <w:color w:val="000000" w:themeColor="text1"/>
        </w:rPr>
      </w:pPr>
    </w:p>
    <w:p w14:paraId="54DFE748" w14:textId="77777777" w:rsidR="003053D1" w:rsidRDefault="00A74E94" w:rsidP="00777077">
      <w:pPr>
        <w:rPr>
          <w:bCs/>
        </w:rPr>
      </w:pPr>
      <w:r w:rsidRPr="001738F0">
        <w:rPr>
          <w:lang w:eastAsia="en-AU"/>
        </w:rPr>
        <w:lastRenderedPageBreak/>
        <w:t>Chronic stress remains the second highest contribut</w:t>
      </w:r>
      <w:r>
        <w:rPr>
          <w:lang w:eastAsia="en-AU"/>
        </w:rPr>
        <w:t>or</w:t>
      </w:r>
      <w:r w:rsidRPr="001738F0">
        <w:rPr>
          <w:lang w:eastAsia="en-AU"/>
        </w:rPr>
        <w:t xml:space="preserve"> to the loss of hard coral in the region (</w:t>
      </w:r>
      <w:r w:rsidRPr="001738F0">
        <w:fldChar w:fldCharType="begin"/>
      </w:r>
      <w:r w:rsidRPr="001738F0">
        <w:instrText xml:space="preserve"> REF _Ref491342894 \h </w:instrText>
      </w:r>
      <w:r w:rsidRPr="001738F0">
        <w:fldChar w:fldCharType="separate"/>
      </w:r>
      <w:r w:rsidR="003053D1" w:rsidRPr="00CE4E0F">
        <w:t xml:space="preserve">Figure </w:t>
      </w:r>
      <w:r w:rsidR="003053D1">
        <w:rPr>
          <w:noProof/>
        </w:rPr>
        <w:t>27</w:t>
      </w:r>
      <w:r w:rsidRPr="001738F0">
        <w:fldChar w:fldCharType="end"/>
      </w:r>
      <w:r w:rsidRPr="001738F0">
        <w:t>e</w:t>
      </w:r>
      <w:r w:rsidRPr="001738F0">
        <w:rPr>
          <w:lang w:eastAsia="en-AU"/>
        </w:rPr>
        <w:t>). The influence of chronic environmental pressures in the region is demonstrated by the marked differences in the composition of coral communities between 2 m and 5 m depths (</w:t>
      </w:r>
      <w:r w:rsidRPr="001738F0">
        <w:rPr>
          <w:shd w:val="clear" w:color="auto" w:fill="E1E3E6"/>
          <w:lang w:eastAsia="en-AU"/>
        </w:rPr>
        <w:fldChar w:fldCharType="begin"/>
      </w:r>
      <w:r w:rsidRPr="001738F0">
        <w:rPr>
          <w:lang w:eastAsia="en-AU"/>
        </w:rPr>
        <w:instrText xml:space="preserve"> REF _Ref491341033 \h </w:instrText>
      </w:r>
      <w:r w:rsidRPr="001738F0">
        <w:rPr>
          <w:shd w:val="clear" w:color="auto" w:fill="E1E3E6"/>
          <w:lang w:eastAsia="en-AU"/>
        </w:rPr>
      </w:r>
      <w:r w:rsidRPr="001738F0">
        <w:rPr>
          <w:shd w:val="clear" w:color="auto" w:fill="E1E3E6"/>
          <w:lang w:eastAsia="en-AU"/>
        </w:rPr>
        <w:fldChar w:fldCharType="separate"/>
      </w:r>
      <w:r w:rsidR="003053D1" w:rsidRPr="00AA6FF4">
        <w:t xml:space="preserve">Figure </w:t>
      </w:r>
      <w:r w:rsidR="003053D1">
        <w:rPr>
          <w:noProof/>
        </w:rPr>
        <w:t>28</w:t>
      </w:r>
      <w:r w:rsidRPr="001738F0">
        <w:rPr>
          <w:shd w:val="clear" w:color="auto" w:fill="E1E3E6"/>
          <w:lang w:eastAsia="en-AU"/>
        </w:rPr>
        <w:fldChar w:fldCharType="end"/>
      </w:r>
      <w:r w:rsidR="005C590E">
        <w:rPr>
          <w:shd w:val="clear" w:color="auto" w:fill="E1E3E6"/>
          <w:lang w:eastAsia="en-AU"/>
        </w:rPr>
        <w:t>e</w:t>
      </w:r>
      <w:r w:rsidRPr="001738F0">
        <w:rPr>
          <w:lang w:eastAsia="en-AU"/>
        </w:rPr>
        <w:t xml:space="preserve">, </w:t>
      </w:r>
      <w:r w:rsidRPr="001738F0">
        <w:rPr>
          <w:shd w:val="clear" w:color="auto" w:fill="E1E3E6"/>
          <w:lang w:eastAsia="en-AU"/>
        </w:rPr>
        <w:fldChar w:fldCharType="begin"/>
      </w:r>
      <w:r w:rsidRPr="001738F0">
        <w:rPr>
          <w:lang w:eastAsia="en-AU"/>
        </w:rPr>
        <w:instrText xml:space="preserve"> REF _Ref528591004 \h </w:instrText>
      </w:r>
      <w:r w:rsidRPr="001738F0">
        <w:rPr>
          <w:shd w:val="clear" w:color="auto" w:fill="E1E3E6"/>
          <w:lang w:eastAsia="en-AU"/>
        </w:rPr>
      </w:r>
      <w:r w:rsidRPr="001738F0">
        <w:rPr>
          <w:shd w:val="clear" w:color="auto" w:fill="E1E3E6"/>
          <w:lang w:eastAsia="en-AU"/>
        </w:rPr>
        <w:fldChar w:fldCharType="separate"/>
      </w:r>
      <w:r w:rsidR="003053D1" w:rsidRPr="002445C4">
        <w:t xml:space="preserve">Figure A </w:t>
      </w:r>
      <w:r w:rsidR="003053D1">
        <w:rPr>
          <w:noProof/>
        </w:rPr>
        <w:t>5</w:t>
      </w:r>
      <w:r w:rsidRPr="001738F0">
        <w:rPr>
          <w:shd w:val="clear" w:color="auto" w:fill="E1E3E6"/>
          <w:lang w:eastAsia="en-AU"/>
        </w:rPr>
        <w:fldChar w:fldCharType="end"/>
      </w:r>
      <w:r w:rsidRPr="001738F0">
        <w:rPr>
          <w:lang w:eastAsia="en-AU"/>
        </w:rPr>
        <w:t>).</w:t>
      </w:r>
      <w:r w:rsidRPr="001738F0">
        <w:t xml:space="preserve"> </w:t>
      </w:r>
      <w:r w:rsidRPr="001738F0">
        <w:rPr>
          <w:lang w:eastAsia="en-AU"/>
        </w:rPr>
        <w:t>High turbidity at most of the MMP reef sites (</w:t>
      </w:r>
      <w:r w:rsidR="005C590E">
        <w:rPr>
          <w:lang w:eastAsia="en-AU"/>
        </w:rPr>
        <w:fldChar w:fldCharType="begin"/>
      </w:r>
      <w:r w:rsidR="005C590E">
        <w:rPr>
          <w:lang w:eastAsia="en-AU"/>
        </w:rPr>
        <w:instrText xml:space="preserve"> REF _Ref30754952 \h </w:instrText>
      </w:r>
      <w:r w:rsidR="005C590E">
        <w:rPr>
          <w:lang w:eastAsia="en-AU"/>
        </w:rPr>
      </w:r>
      <w:r w:rsidR="005C590E">
        <w:rPr>
          <w:lang w:eastAsia="en-AU"/>
        </w:rPr>
        <w:fldChar w:fldCharType="separate"/>
      </w:r>
      <w:r w:rsidR="003053D1">
        <w:t xml:space="preserve">Table A </w:t>
      </w:r>
      <w:r w:rsidR="003053D1">
        <w:rPr>
          <w:noProof/>
        </w:rPr>
        <w:t>9</w:t>
      </w:r>
      <w:r w:rsidR="005C590E">
        <w:rPr>
          <w:lang w:eastAsia="en-AU"/>
        </w:rPr>
        <w:fldChar w:fldCharType="end"/>
      </w:r>
      <w:r w:rsidRPr="001738F0">
        <w:rPr>
          <w:lang w:eastAsia="en-AU"/>
        </w:rPr>
        <w:t>), in combination with limited exposure to wave energy among the Whitsunday Islands, results in reduced availability of light and accumulation of fine sediments at 5 m depths and the selection for corals tolerant of these conditions</w:t>
      </w:r>
      <w:r w:rsidR="005C590E">
        <w:rPr>
          <w:lang w:eastAsia="en-AU"/>
        </w:rPr>
        <w:t xml:space="preserve"> </w:t>
      </w:r>
      <w:r w:rsidRPr="001738F0">
        <w:rPr>
          <w:lang w:eastAsia="en-AU"/>
        </w:rPr>
        <w:t xml:space="preserve"> (Oculinidae, Pectiniidae, Agariciidae, Poritidae (genus </w:t>
      </w:r>
      <w:r w:rsidRPr="001738F0">
        <w:rPr>
          <w:i/>
          <w:iCs/>
          <w:lang w:eastAsia="en-AU"/>
        </w:rPr>
        <w:t>Goniopora</w:t>
      </w:r>
      <w:r w:rsidRPr="001738F0">
        <w:rPr>
          <w:lang w:eastAsia="en-AU"/>
        </w:rPr>
        <w:t>))</w:t>
      </w:r>
      <w:r w:rsidR="005C590E">
        <w:rPr>
          <w:lang w:eastAsia="en-AU"/>
        </w:rPr>
        <w:t xml:space="preserve">. In contrast, </w:t>
      </w:r>
      <w:r w:rsidRPr="001738F0">
        <w:rPr>
          <w:lang w:eastAsia="en-AU"/>
        </w:rPr>
        <w:t xml:space="preserve">Acroporidae and Poritidae (genus </w:t>
      </w:r>
      <w:r w:rsidRPr="001738F0">
        <w:rPr>
          <w:i/>
          <w:iCs/>
          <w:lang w:eastAsia="en-AU"/>
        </w:rPr>
        <w:t>Porites</w:t>
      </w:r>
      <w:r w:rsidRPr="001738F0">
        <w:rPr>
          <w:lang w:eastAsia="en-AU"/>
        </w:rPr>
        <w:t xml:space="preserve">) are most common </w:t>
      </w:r>
      <w:r w:rsidR="005C590E">
        <w:rPr>
          <w:lang w:eastAsia="en-AU"/>
        </w:rPr>
        <w:t xml:space="preserve">at 2 m depths </w:t>
      </w:r>
      <w:r w:rsidRPr="001738F0">
        <w:rPr>
          <w:lang w:eastAsia="en-AU"/>
        </w:rPr>
        <w:t>(</w:t>
      </w:r>
      <w:r w:rsidRPr="001738F0">
        <w:rPr>
          <w:lang w:eastAsia="en-AU"/>
        </w:rPr>
        <w:fldChar w:fldCharType="begin"/>
      </w:r>
      <w:r w:rsidRPr="001738F0">
        <w:rPr>
          <w:lang w:eastAsia="en-AU"/>
        </w:rPr>
        <w:instrText xml:space="preserve"> REF _Ref528591004 \h </w:instrText>
      </w:r>
      <w:r w:rsidRPr="001738F0">
        <w:rPr>
          <w:lang w:eastAsia="en-AU"/>
        </w:rPr>
      </w:r>
      <w:r w:rsidRPr="001738F0">
        <w:rPr>
          <w:lang w:eastAsia="en-AU"/>
        </w:rPr>
        <w:fldChar w:fldCharType="separate"/>
      </w:r>
      <w:r w:rsidR="003053D1" w:rsidRPr="002445C4">
        <w:t xml:space="preserve">Figure A </w:t>
      </w:r>
      <w:r w:rsidR="003053D1">
        <w:rPr>
          <w:noProof/>
        </w:rPr>
        <w:t>5</w:t>
      </w:r>
      <w:r w:rsidRPr="001738F0">
        <w:rPr>
          <w:lang w:eastAsia="en-AU"/>
        </w:rPr>
        <w:fldChar w:fldCharType="end"/>
      </w:r>
      <w:r w:rsidRPr="001738F0">
        <w:rPr>
          <w:lang w:eastAsia="en-AU"/>
        </w:rPr>
        <w:t>).</w:t>
      </w:r>
      <w:r w:rsidR="005C590E">
        <w:rPr>
          <w:lang w:eastAsia="en-AU"/>
        </w:rPr>
        <w:t xml:space="preserve"> Reductions in the composition metric score following cyclones imply additional selective pressures on those species sensitive to poor water quality.</w:t>
      </w:r>
      <w:r w:rsidRPr="001738F0">
        <w:rPr>
          <w:lang w:eastAsia="en-AU"/>
        </w:rPr>
        <w:t xml:space="preserve"> The pressure imposed by the water quality in this region is also expressed by relatively low scores for the cover change indicator (</w:t>
      </w:r>
      <w:r w:rsidR="005C590E">
        <w:rPr>
          <w:lang w:eastAsia="en-AU"/>
        </w:rPr>
        <w:fldChar w:fldCharType="begin"/>
      </w:r>
      <w:r w:rsidR="005C590E">
        <w:rPr>
          <w:lang w:eastAsia="en-AU"/>
        </w:rPr>
        <w:instrText xml:space="preserve"> REF _Ref30758363 \h </w:instrText>
      </w:r>
      <w:r w:rsidR="005C590E">
        <w:rPr>
          <w:lang w:eastAsia="en-AU"/>
        </w:rPr>
      </w:r>
      <w:r w:rsidR="005C590E">
        <w:rPr>
          <w:lang w:eastAsia="en-AU"/>
        </w:rPr>
        <w:fldChar w:fldCharType="separate"/>
      </w:r>
      <w:r w:rsidR="003053D1">
        <w:t xml:space="preserve">Figure </w:t>
      </w:r>
      <w:r w:rsidR="003053D1">
        <w:rPr>
          <w:noProof/>
        </w:rPr>
        <w:t>26</w:t>
      </w:r>
      <w:r w:rsidR="005C590E">
        <w:rPr>
          <w:lang w:eastAsia="en-AU"/>
        </w:rPr>
        <w:fldChar w:fldCharType="end"/>
      </w:r>
      <w:r>
        <w:rPr>
          <w:lang w:eastAsia="en-AU"/>
        </w:rPr>
        <w:t>), that in turn contribute</w:t>
      </w:r>
      <w:r w:rsidRPr="001738F0">
        <w:rPr>
          <w:lang w:eastAsia="en-AU"/>
        </w:rPr>
        <w:t xml:space="preserve"> to the frequently categorised chronic stresses (</w:t>
      </w:r>
      <w:r w:rsidRPr="001738F0">
        <w:rPr>
          <w:lang w:eastAsia="en-AU"/>
        </w:rPr>
        <w:fldChar w:fldCharType="begin"/>
      </w:r>
      <w:r w:rsidRPr="001738F0">
        <w:rPr>
          <w:lang w:eastAsia="en-AU"/>
        </w:rPr>
        <w:instrText xml:space="preserve"> REF _Ref491342894 \h </w:instrText>
      </w:r>
      <w:r w:rsidRPr="001738F0">
        <w:rPr>
          <w:lang w:eastAsia="en-AU"/>
        </w:rPr>
      </w:r>
      <w:r w:rsidRPr="001738F0">
        <w:rPr>
          <w:lang w:eastAsia="en-AU"/>
        </w:rPr>
        <w:fldChar w:fldCharType="separate"/>
      </w:r>
      <w:r w:rsidR="003053D1" w:rsidRPr="00CE4E0F">
        <w:t xml:space="preserve">Figure </w:t>
      </w:r>
      <w:r w:rsidR="003053D1">
        <w:rPr>
          <w:noProof/>
        </w:rPr>
        <w:t>27</w:t>
      </w:r>
      <w:r w:rsidRPr="001738F0">
        <w:rPr>
          <w:lang w:eastAsia="en-AU"/>
        </w:rPr>
        <w:fldChar w:fldCharType="end"/>
      </w:r>
      <w:r w:rsidRPr="001738F0">
        <w:rPr>
          <w:lang w:eastAsia="en-AU"/>
        </w:rPr>
        <w:t>e).</w:t>
      </w:r>
      <w:r>
        <w:rPr>
          <w:lang w:eastAsia="en-AU"/>
        </w:rPr>
        <w:t xml:space="preserve"> </w:t>
      </w:r>
      <w:r w:rsidR="005C590E">
        <w:rPr>
          <w:lang w:eastAsia="en-AU"/>
        </w:rPr>
        <w:t xml:space="preserve">This is particularly concern for reefs dominated by corals other than Acroporidae as their growth expectation is low within the model. </w:t>
      </w:r>
      <w:r>
        <w:rPr>
          <w:lang w:eastAsia="en-AU"/>
        </w:rPr>
        <w:t>With a decline in the long-term water quality index and short-term index value of poor in 2019 (</w:t>
      </w:r>
      <w:r>
        <w:rPr>
          <w:lang w:eastAsia="en-AU"/>
        </w:rPr>
        <w:fldChar w:fldCharType="begin"/>
      </w:r>
      <w:r>
        <w:rPr>
          <w:lang w:eastAsia="en-AU"/>
        </w:rPr>
        <w:instrText xml:space="preserve"> REF _Ref528591655 \h </w:instrText>
      </w:r>
      <w:r>
        <w:rPr>
          <w:lang w:eastAsia="en-AU"/>
        </w:rPr>
      </w:r>
      <w:r>
        <w:rPr>
          <w:lang w:eastAsia="en-AU"/>
        </w:rPr>
        <w:fldChar w:fldCharType="separate"/>
      </w:r>
    </w:p>
    <w:p w14:paraId="53C13F17" w14:textId="3E4FE9F3" w:rsidR="00A74E94" w:rsidRPr="001738F0" w:rsidRDefault="003053D1" w:rsidP="00A74E94">
      <w:pPr>
        <w:textAlignment w:val="baseline"/>
        <w:rPr>
          <w:lang w:eastAsia="en-AU"/>
        </w:rPr>
      </w:pPr>
      <w:r w:rsidRPr="00D758C6">
        <w:t xml:space="preserve">Figure A </w:t>
      </w:r>
      <w:r>
        <w:rPr>
          <w:noProof/>
        </w:rPr>
        <w:t>14</w:t>
      </w:r>
      <w:r w:rsidR="00A74E94">
        <w:rPr>
          <w:lang w:eastAsia="en-AU"/>
        </w:rPr>
        <w:fldChar w:fldCharType="end"/>
      </w:r>
      <w:r w:rsidR="00A74E94">
        <w:rPr>
          <w:lang w:eastAsia="en-AU"/>
        </w:rPr>
        <w:t>) there is little prospect for an improvement on this front.</w:t>
      </w:r>
    </w:p>
    <w:p w14:paraId="53C13F18" w14:textId="5C7364CD" w:rsidR="00A74E94" w:rsidRPr="004B2398" w:rsidRDefault="00A74E94" w:rsidP="00A74E94">
      <w:pPr>
        <w:textAlignment w:val="baseline"/>
        <w:rPr>
          <w:color w:val="000000" w:themeColor="text1"/>
          <w:lang w:eastAsia="en-AU"/>
        </w:rPr>
      </w:pPr>
      <w:r w:rsidRPr="001738F0">
        <w:rPr>
          <w:lang w:eastAsia="en-AU"/>
        </w:rPr>
        <w:t>High incidence of coral disease were observed in 2007 and 2008 as discharge from local catchments rose to above median levels (</w:t>
      </w:r>
      <w:r w:rsidR="005C590E">
        <w:rPr>
          <w:lang w:eastAsia="en-AU"/>
        </w:rPr>
        <w:fldChar w:fldCharType="begin"/>
      </w:r>
      <w:r w:rsidR="005C590E">
        <w:rPr>
          <w:lang w:eastAsia="en-AU"/>
        </w:rPr>
        <w:instrText xml:space="preserve"> REF _Ref491342894 \h </w:instrText>
      </w:r>
      <w:r w:rsidR="005C590E">
        <w:rPr>
          <w:lang w:eastAsia="en-AU"/>
        </w:rPr>
      </w:r>
      <w:r w:rsidR="005C590E">
        <w:rPr>
          <w:lang w:eastAsia="en-AU"/>
        </w:rPr>
        <w:fldChar w:fldCharType="separate"/>
      </w:r>
      <w:r w:rsidR="003053D1" w:rsidRPr="00CE4E0F">
        <w:t xml:space="preserve">Figure </w:t>
      </w:r>
      <w:r w:rsidR="003053D1">
        <w:rPr>
          <w:noProof/>
        </w:rPr>
        <w:t>27</w:t>
      </w:r>
      <w:r w:rsidR="005C590E">
        <w:rPr>
          <w:lang w:eastAsia="en-AU"/>
        </w:rPr>
        <w:fldChar w:fldCharType="end"/>
      </w:r>
      <w:r w:rsidR="005C590E">
        <w:rPr>
          <w:lang w:eastAsia="en-AU"/>
        </w:rPr>
        <w:t>d</w:t>
      </w:r>
      <w:r w:rsidRPr="001738F0">
        <w:rPr>
          <w:lang w:eastAsia="en-AU"/>
        </w:rPr>
        <w:t>), and then in the two years following cyclone Ului</w:t>
      </w:r>
      <w:r w:rsidR="005C590E">
        <w:rPr>
          <w:lang w:eastAsia="en-AU"/>
        </w:rPr>
        <w:t xml:space="preserve">, </w:t>
      </w:r>
      <w:r>
        <w:rPr>
          <w:lang w:eastAsia="en-AU"/>
        </w:rPr>
        <w:t xml:space="preserve">again coinciding with </w:t>
      </w:r>
      <w:r w:rsidRPr="001738F0">
        <w:rPr>
          <w:lang w:eastAsia="en-AU"/>
        </w:rPr>
        <w:t>high river discharges (</w:t>
      </w:r>
      <w:r w:rsidRPr="001738F0">
        <w:rPr>
          <w:lang w:eastAsia="en-AU"/>
        </w:rPr>
        <w:fldChar w:fldCharType="begin"/>
      </w:r>
      <w:r w:rsidRPr="001738F0">
        <w:rPr>
          <w:lang w:eastAsia="en-AU"/>
        </w:rPr>
        <w:instrText xml:space="preserve"> REF _Ref491342894 \h </w:instrText>
      </w:r>
      <w:r w:rsidRPr="001738F0">
        <w:rPr>
          <w:lang w:eastAsia="en-AU"/>
        </w:rPr>
      </w:r>
      <w:r w:rsidRPr="001738F0">
        <w:rPr>
          <w:lang w:eastAsia="en-AU"/>
        </w:rPr>
        <w:fldChar w:fldCharType="separate"/>
      </w:r>
      <w:r w:rsidR="003053D1" w:rsidRPr="00CE4E0F">
        <w:t xml:space="preserve">Figure </w:t>
      </w:r>
      <w:r w:rsidR="003053D1">
        <w:rPr>
          <w:noProof/>
        </w:rPr>
        <w:t>27</w:t>
      </w:r>
      <w:r w:rsidRPr="001738F0">
        <w:rPr>
          <w:lang w:eastAsia="en-AU"/>
        </w:rPr>
        <w:fldChar w:fldCharType="end"/>
      </w:r>
      <w:r w:rsidRPr="001738F0">
        <w:rPr>
          <w:lang w:eastAsia="en-AU"/>
        </w:rPr>
        <w:t>d, e,</w:t>
      </w:r>
      <w:r w:rsidRPr="00CE4E0F">
        <w:rPr>
          <w:color w:val="548DD4" w:themeColor="text2" w:themeTint="99"/>
          <w:lang w:eastAsia="en-AU"/>
        </w:rPr>
        <w:t xml:space="preserve"> </w:t>
      </w:r>
      <w:r w:rsidRPr="00CE4E0F">
        <w:rPr>
          <w:color w:val="548DD4" w:themeColor="text2" w:themeTint="99"/>
          <w:lang w:eastAsia="en-AU"/>
        </w:rPr>
        <w:fldChar w:fldCharType="begin"/>
      </w:r>
      <w:r w:rsidRPr="00CE4E0F">
        <w:rPr>
          <w:color w:val="548DD4" w:themeColor="text2" w:themeTint="99"/>
          <w:lang w:eastAsia="en-AU"/>
        </w:rPr>
        <w:instrText xml:space="preserve"> REF _Ref528577145 \h </w:instrText>
      </w:r>
      <w:r w:rsidRPr="00CE4E0F">
        <w:rPr>
          <w:color w:val="548DD4" w:themeColor="text2" w:themeTint="99"/>
          <w:lang w:eastAsia="en-AU"/>
        </w:rPr>
      </w:r>
      <w:r w:rsidRPr="00CE4E0F">
        <w:rPr>
          <w:color w:val="548DD4" w:themeColor="text2" w:themeTint="99"/>
          <w:lang w:eastAsia="en-AU"/>
        </w:rPr>
        <w:fldChar w:fldCharType="separate"/>
      </w:r>
      <w:r w:rsidR="003053D1" w:rsidRPr="002445C4">
        <w:t xml:space="preserve">Figure A </w:t>
      </w:r>
      <w:r w:rsidR="003053D1">
        <w:rPr>
          <w:noProof/>
        </w:rPr>
        <w:t>7</w:t>
      </w:r>
      <w:r w:rsidRPr="00CE4E0F">
        <w:rPr>
          <w:color w:val="548DD4" w:themeColor="text2" w:themeTint="99"/>
          <w:lang w:eastAsia="en-AU"/>
        </w:rPr>
        <w:fldChar w:fldCharType="end"/>
      </w:r>
      <w:r w:rsidRPr="00643D85">
        <w:rPr>
          <w:color w:val="000000" w:themeColor="text1"/>
          <w:lang w:eastAsia="en-AU"/>
        </w:rPr>
        <w:t>)</w:t>
      </w:r>
      <w:r w:rsidRPr="00CE4E0F">
        <w:rPr>
          <w:color w:val="548DD4" w:themeColor="text2" w:themeTint="99"/>
          <w:lang w:eastAsia="en-AU"/>
        </w:rPr>
        <w:t xml:space="preserve">. </w:t>
      </w:r>
      <w:r w:rsidRPr="00643D85">
        <w:rPr>
          <w:color w:val="000000" w:themeColor="text1"/>
          <w:lang w:eastAsia="en-AU"/>
        </w:rPr>
        <w:t xml:space="preserve">Disease was noted as a cause for decline in coral cover at Dent Island in 2019 again coinciding with above median discharges from the local catchment, however this did not translate into a </w:t>
      </w:r>
      <w:r w:rsidR="00181182" w:rsidRPr="00643D85">
        <w:rPr>
          <w:color w:val="000000" w:themeColor="text1"/>
          <w:lang w:eastAsia="en-AU"/>
        </w:rPr>
        <w:t>region</w:t>
      </w:r>
      <w:r w:rsidR="00181182">
        <w:rPr>
          <w:color w:val="000000" w:themeColor="text1"/>
          <w:lang w:eastAsia="en-AU"/>
        </w:rPr>
        <w:t>-</w:t>
      </w:r>
      <w:r w:rsidRPr="00643D85">
        <w:rPr>
          <w:color w:val="000000" w:themeColor="text1"/>
          <w:lang w:eastAsia="en-AU"/>
        </w:rPr>
        <w:t>wide increase in disease, primarily due to the current low coral cover on most reefs</w:t>
      </w:r>
      <w:r>
        <w:rPr>
          <w:color w:val="000000" w:themeColor="text1"/>
          <w:lang w:eastAsia="en-AU"/>
        </w:rPr>
        <w:t xml:space="preserve"> </w:t>
      </w:r>
      <w:r w:rsidR="00096B3B">
        <w:rPr>
          <w:color w:val="000000" w:themeColor="text1"/>
          <w:lang w:eastAsia="en-AU"/>
        </w:rPr>
        <w:t>(</w:t>
      </w:r>
      <w:r w:rsidR="00427E3C">
        <w:rPr>
          <w:color w:val="000000" w:themeColor="text1"/>
          <w:lang w:eastAsia="en-AU"/>
        </w:rPr>
        <w:fldChar w:fldCharType="begin"/>
      </w:r>
      <w:r w:rsidR="00427E3C">
        <w:rPr>
          <w:color w:val="000000" w:themeColor="text1"/>
          <w:lang w:eastAsia="en-AU"/>
        </w:rPr>
        <w:instrText xml:space="preserve"> REF _Ref528577145 \h </w:instrText>
      </w:r>
      <w:r w:rsidR="00427E3C">
        <w:rPr>
          <w:color w:val="000000" w:themeColor="text1"/>
          <w:lang w:eastAsia="en-AU"/>
        </w:rPr>
      </w:r>
      <w:r w:rsidR="00427E3C">
        <w:rPr>
          <w:color w:val="000000" w:themeColor="text1"/>
          <w:lang w:eastAsia="en-AU"/>
        </w:rPr>
        <w:fldChar w:fldCharType="separate"/>
      </w:r>
      <w:r w:rsidR="003053D1" w:rsidRPr="002445C4">
        <w:t xml:space="preserve">Figure A </w:t>
      </w:r>
      <w:r w:rsidR="003053D1">
        <w:rPr>
          <w:noProof/>
        </w:rPr>
        <w:t>7</w:t>
      </w:r>
      <w:r w:rsidR="00427E3C">
        <w:rPr>
          <w:color w:val="000000" w:themeColor="text1"/>
          <w:lang w:eastAsia="en-AU"/>
        </w:rPr>
        <w:fldChar w:fldCharType="end"/>
      </w:r>
      <w:r w:rsidR="00096B3B">
        <w:rPr>
          <w:color w:val="000000" w:themeColor="text1"/>
          <w:lang w:eastAsia="en-AU"/>
        </w:rPr>
        <w:t xml:space="preserve">, </w:t>
      </w:r>
      <w:r w:rsidR="00096B3B">
        <w:rPr>
          <w:color w:val="000000" w:themeColor="text1"/>
          <w:lang w:eastAsia="en-AU"/>
        </w:rPr>
        <w:fldChar w:fldCharType="begin"/>
      </w:r>
      <w:r w:rsidR="00096B3B">
        <w:rPr>
          <w:color w:val="000000" w:themeColor="text1"/>
          <w:lang w:eastAsia="en-AU"/>
        </w:rPr>
        <w:instrText xml:space="preserve"> REF _Ref491341033 \h </w:instrText>
      </w:r>
      <w:r w:rsidR="00096B3B">
        <w:rPr>
          <w:color w:val="000000" w:themeColor="text1"/>
          <w:lang w:eastAsia="en-AU"/>
        </w:rPr>
      </w:r>
      <w:r w:rsidR="00096B3B">
        <w:rPr>
          <w:color w:val="000000" w:themeColor="text1"/>
          <w:lang w:eastAsia="en-AU"/>
        </w:rPr>
        <w:fldChar w:fldCharType="separate"/>
      </w:r>
      <w:r w:rsidR="003053D1" w:rsidRPr="00AA6FF4">
        <w:t xml:space="preserve">Figure </w:t>
      </w:r>
      <w:r w:rsidR="003053D1">
        <w:rPr>
          <w:noProof/>
        </w:rPr>
        <w:t>28</w:t>
      </w:r>
      <w:r w:rsidR="00096B3B">
        <w:rPr>
          <w:color w:val="000000" w:themeColor="text1"/>
          <w:lang w:eastAsia="en-AU"/>
        </w:rPr>
        <w:fldChar w:fldCharType="end"/>
      </w:r>
      <w:r w:rsidR="00096B3B">
        <w:rPr>
          <w:color w:val="000000" w:themeColor="text1"/>
          <w:lang w:eastAsia="en-AU"/>
        </w:rPr>
        <w:t>a)</w:t>
      </w:r>
      <w:r w:rsidR="00096B3B">
        <w:rPr>
          <w:color w:val="548DD4" w:themeColor="text2" w:themeTint="99"/>
          <w:lang w:eastAsia="en-AU"/>
        </w:rPr>
        <w:t>.</w:t>
      </w:r>
    </w:p>
    <w:p w14:paraId="53C13F19" w14:textId="281B4A77" w:rsidR="00A74E94" w:rsidRPr="00014B00" w:rsidRDefault="00A74E94" w:rsidP="00A74E94">
      <w:pPr>
        <w:spacing w:after="0"/>
        <w:textAlignment w:val="baseline"/>
        <w:rPr>
          <w:color w:val="000000" w:themeColor="text1"/>
        </w:rPr>
      </w:pPr>
      <w:r w:rsidRPr="00014B00">
        <w:rPr>
          <w:color w:val="000000" w:themeColor="text1"/>
        </w:rPr>
        <w:t>Direct impacts due to flooding were recorded only in 2009 (</w:t>
      </w:r>
      <w:r w:rsidRPr="00014B00">
        <w:rPr>
          <w:color w:val="000000" w:themeColor="text1"/>
        </w:rPr>
        <w:fldChar w:fldCharType="begin"/>
      </w:r>
      <w:r w:rsidRPr="00014B00">
        <w:rPr>
          <w:color w:val="000000" w:themeColor="text1"/>
        </w:rPr>
        <w:instrText xml:space="preserve"> REF _Ref491342894 \h </w:instrText>
      </w:r>
      <w:r w:rsidRPr="00014B00">
        <w:rPr>
          <w:color w:val="000000" w:themeColor="text1"/>
        </w:rPr>
      </w:r>
      <w:r w:rsidRPr="00014B00">
        <w:rPr>
          <w:color w:val="000000" w:themeColor="text1"/>
        </w:rPr>
        <w:fldChar w:fldCharType="separate"/>
      </w:r>
      <w:r w:rsidR="003053D1" w:rsidRPr="00CE4E0F">
        <w:t xml:space="preserve">Figure </w:t>
      </w:r>
      <w:r w:rsidR="003053D1">
        <w:rPr>
          <w:noProof/>
        </w:rPr>
        <w:t>27</w:t>
      </w:r>
      <w:r w:rsidRPr="00014B00">
        <w:rPr>
          <w:color w:val="000000" w:themeColor="text1"/>
        </w:rPr>
        <w:fldChar w:fldCharType="end"/>
      </w:r>
      <w:r w:rsidRPr="00014B00">
        <w:rPr>
          <w:color w:val="000000" w:themeColor="text1"/>
        </w:rPr>
        <w:t>e), attributed primarily to the high loads of sediments observed on corals during surveys. The source of these sediments is not clear as the local rivers did not experience extreme flooding over the preceding summer (</w:t>
      </w:r>
      <w:r w:rsidRPr="00014B00">
        <w:rPr>
          <w:color w:val="000000" w:themeColor="text1"/>
        </w:rPr>
        <w:fldChar w:fldCharType="begin"/>
      </w:r>
      <w:r w:rsidRPr="00014B00">
        <w:rPr>
          <w:color w:val="000000" w:themeColor="text1"/>
        </w:rPr>
        <w:instrText xml:space="preserve"> REF _Ref491342894 \h </w:instrText>
      </w:r>
      <w:r w:rsidRPr="00014B00">
        <w:rPr>
          <w:color w:val="000000" w:themeColor="text1"/>
        </w:rPr>
      </w:r>
      <w:r w:rsidRPr="00014B00">
        <w:rPr>
          <w:color w:val="000000" w:themeColor="text1"/>
        </w:rPr>
        <w:fldChar w:fldCharType="separate"/>
      </w:r>
      <w:r w:rsidR="003053D1" w:rsidRPr="00CE4E0F">
        <w:t xml:space="preserve">Figure </w:t>
      </w:r>
      <w:r w:rsidR="003053D1">
        <w:rPr>
          <w:noProof/>
        </w:rPr>
        <w:t>27</w:t>
      </w:r>
      <w:r w:rsidRPr="00014B00">
        <w:rPr>
          <w:color w:val="000000" w:themeColor="text1"/>
        </w:rPr>
        <w:fldChar w:fldCharType="end"/>
      </w:r>
      <w:r w:rsidRPr="00014B00">
        <w:rPr>
          <w:color w:val="000000" w:themeColor="text1"/>
        </w:rPr>
        <w:t xml:space="preserve">d), although local heavy rainfall did result in several land-slides along the adjacent ranges. </w:t>
      </w:r>
    </w:p>
    <w:p w14:paraId="53C13F1A" w14:textId="77777777" w:rsidR="001A5F06" w:rsidRPr="004B2398" w:rsidRDefault="001A5F06" w:rsidP="001A5F06">
      <w:pPr>
        <w:spacing w:after="0"/>
        <w:textAlignment w:val="baseline"/>
        <w:rPr>
          <w:color w:val="000000" w:themeColor="text1"/>
        </w:rPr>
      </w:pPr>
    </w:p>
    <w:p w14:paraId="53C13F1B" w14:textId="77777777" w:rsidR="00A84742" w:rsidRPr="004B2398" w:rsidRDefault="00400C25" w:rsidP="00A84742">
      <w:pPr>
        <w:spacing w:before="5"/>
        <w:ind w:left="5" w:right="5"/>
        <w:jc w:val="center"/>
        <w:rPr>
          <w:color w:val="000000" w:themeColor="text1"/>
        </w:rPr>
      </w:pPr>
      <w:r>
        <w:rPr>
          <w:noProof/>
          <w:color w:val="548DD4" w:themeColor="text2" w:themeTint="99"/>
          <w:lang w:eastAsia="en-AU"/>
        </w:rPr>
        <w:drawing>
          <wp:inline distT="0" distB="0" distL="0" distR="0" wp14:anchorId="53C15F60" wp14:editId="6B033463">
            <wp:extent cx="6120765" cy="6591300"/>
            <wp:effectExtent l="0" t="0" r="0" b="0"/>
            <wp:docPr id="30" name="Picture 30" descr="shows distribution of pressures since 2005. Includes temperature, river discharge and hard coral cover loss attribution. Body text provides details" title="Mackay-Whitsunday Region environmental press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Env_Whitsunday.png"/>
                    <pic:cNvPicPr/>
                  </pic:nvPicPr>
                  <pic:blipFill>
                    <a:blip r:embed="rId60" cstate="print">
                      <a:extLst>
                        <a:ext uri="{28A0092B-C50C-407E-A947-70E740481C1C}">
                          <a14:useLocalDpi xmlns:a14="http://schemas.microsoft.com/office/drawing/2010/main" val="0"/>
                        </a:ext>
                      </a:extLst>
                    </a:blip>
                    <a:stretch>
                      <a:fillRect/>
                    </a:stretch>
                  </pic:blipFill>
                  <pic:spPr>
                    <a:xfrm>
                      <a:off x="0" y="0"/>
                      <a:ext cx="6120765" cy="6591300"/>
                    </a:xfrm>
                    <a:prstGeom prst="rect">
                      <a:avLst/>
                    </a:prstGeom>
                  </pic:spPr>
                </pic:pic>
              </a:graphicData>
            </a:graphic>
          </wp:inline>
        </w:drawing>
      </w:r>
    </w:p>
    <w:p w14:paraId="53C13F1C" w14:textId="3ACCA3A0" w:rsidR="006177B6" w:rsidRPr="00CE4E0F" w:rsidRDefault="00A84742" w:rsidP="002B5296">
      <w:pPr>
        <w:pStyle w:val="Caption"/>
        <w:rPr>
          <w:rFonts w:ascii="Arial" w:hAnsi="Arial" w:cs="Arial"/>
          <w:i/>
          <w:vanish/>
          <w:specVanish/>
        </w:rPr>
      </w:pPr>
      <w:bookmarkStart w:id="420" w:name="_Ref491342894"/>
      <w:bookmarkStart w:id="421" w:name="_Toc35947177"/>
      <w:bookmarkStart w:id="422" w:name="_Ref438121092"/>
      <w:bookmarkStart w:id="423" w:name="_Toc437597639"/>
      <w:bookmarkStart w:id="424" w:name="_Toc437423857"/>
      <w:bookmarkStart w:id="425" w:name="_Toc437424036"/>
      <w:bookmarkStart w:id="426" w:name="_Toc437424305"/>
      <w:bookmarkStart w:id="427" w:name="_Toc530654919"/>
      <w:bookmarkStart w:id="428" w:name="_Toc534965127"/>
      <w:r w:rsidRPr="00CE4E0F">
        <w:lastRenderedPageBreak/>
        <w:t xml:space="preserve">Figure </w:t>
      </w:r>
      <w:r w:rsidR="005D7AC6" w:rsidRPr="00CE4E0F">
        <w:rPr>
          <w:noProof/>
        </w:rPr>
        <w:fldChar w:fldCharType="begin"/>
      </w:r>
      <w:r w:rsidR="005D7AC6" w:rsidRPr="00CE4E0F">
        <w:rPr>
          <w:noProof/>
        </w:rPr>
        <w:instrText xml:space="preserve"> SEQ Figure \* ARABIC </w:instrText>
      </w:r>
      <w:r w:rsidR="005D7AC6" w:rsidRPr="00CE4E0F">
        <w:rPr>
          <w:noProof/>
        </w:rPr>
        <w:fldChar w:fldCharType="separate"/>
      </w:r>
      <w:r w:rsidR="003053D1">
        <w:rPr>
          <w:noProof/>
        </w:rPr>
        <w:t>27</w:t>
      </w:r>
      <w:r w:rsidR="005D7AC6" w:rsidRPr="00CE4E0F">
        <w:rPr>
          <w:noProof/>
        </w:rPr>
        <w:fldChar w:fldCharType="end"/>
      </w:r>
      <w:bookmarkEnd w:id="420"/>
      <w:r w:rsidRPr="00CE4E0F">
        <w:t xml:space="preserve"> </w:t>
      </w:r>
      <w:r w:rsidR="005F2B5B">
        <w:t>Mackay-Whitsunday</w:t>
      </w:r>
      <w:r w:rsidRPr="00CE4E0F">
        <w:t xml:space="preserve"> Region environmental pressures</w:t>
      </w:r>
      <w:bookmarkEnd w:id="421"/>
    </w:p>
    <w:p w14:paraId="53C13F1D" w14:textId="77777777" w:rsidR="00A84742" w:rsidRPr="00CE4E0F" w:rsidRDefault="006177B6">
      <w:pPr>
        <w:pStyle w:val="Caption"/>
      </w:pPr>
      <w:r w:rsidRPr="00CE4E0F">
        <w:t>.</w:t>
      </w:r>
      <w:bookmarkStart w:id="429" w:name="_Toc437597640"/>
      <w:bookmarkEnd w:id="422"/>
      <w:bookmarkEnd w:id="423"/>
      <w:bookmarkEnd w:id="424"/>
      <w:bookmarkEnd w:id="425"/>
      <w:bookmarkEnd w:id="426"/>
      <w:r w:rsidR="00A84742" w:rsidRPr="00CE4E0F">
        <w:t xml:space="preserve"> </w:t>
      </w:r>
      <w:bookmarkEnd w:id="429"/>
      <w:r w:rsidR="00A84742" w:rsidRPr="003E1937">
        <w:rPr>
          <w:rStyle w:val="IntenseReference"/>
        </w:rPr>
        <w:t>Maps show location of monitoring sites, red symbols MMP, yellow symbols LTMP along with a) mean chlorophyll a exceedance of wet season Guideline (0.63ugL-1) and b) mean Non Algal Particulate concentrations. Water quality data are mean levels over the period 2003–2018 (Chl) and 2003–2018 (NAP). c) Seasonally adjusted temperature deviation, timing of cyclones and storms indicated by black arrows, accumulated degree heating days over the summer period (1st of December – 31st March) as reported by BoM (black symbols) and derived from in situ loggers (grey symbols) d) Combined daily (blue) and annual water year – October to September (red) discharge for the Carmila and Sandy creeks, Gregory, O’Connell and Pioneer rivers, red dashed line represents long-term median discharge (1986–2016). e) break-down of hard coral cover loss by disturbance type; length of bars represents the mean loss of cover across all reefs.</w:t>
      </w:r>
      <w:bookmarkEnd w:id="427"/>
      <w:bookmarkEnd w:id="428"/>
      <w:r w:rsidR="001A5F06" w:rsidRPr="003E1937">
        <w:rPr>
          <w:rStyle w:val="IntenseReference"/>
        </w:rPr>
        <w:t xml:space="preserve"> </w:t>
      </w:r>
      <w:r w:rsidR="00A84742" w:rsidRPr="00CE4E0F">
        <w:br w:type="page"/>
      </w:r>
    </w:p>
    <w:p w14:paraId="53C13F1E" w14:textId="77777777" w:rsidR="00360B16" w:rsidRPr="00CE4E0F" w:rsidRDefault="00360B16">
      <w:pPr>
        <w:pStyle w:val="Caption"/>
      </w:pPr>
    </w:p>
    <w:p w14:paraId="53C13F1F" w14:textId="77777777" w:rsidR="00A84742" w:rsidRPr="004B2398" w:rsidRDefault="003E1937" w:rsidP="00A84742">
      <w:pPr>
        <w:rPr>
          <w:rFonts w:asciiTheme="minorHAnsi" w:hAnsiTheme="minorHAnsi" w:cstheme="minorBidi"/>
          <w:color w:val="000000" w:themeColor="text1"/>
        </w:rPr>
      </w:pPr>
      <w:r>
        <w:rPr>
          <w:rFonts w:asciiTheme="minorHAnsi" w:hAnsiTheme="minorHAnsi" w:cstheme="minorBidi"/>
          <w:noProof/>
          <w:color w:val="548DD4" w:themeColor="text2" w:themeTint="99"/>
          <w:lang w:eastAsia="en-AU"/>
        </w:rPr>
        <w:drawing>
          <wp:inline distT="0" distB="0" distL="0" distR="0" wp14:anchorId="53C15F62" wp14:editId="180FB45C">
            <wp:extent cx="6120765" cy="5353050"/>
            <wp:effectExtent l="0" t="0" r="0" b="0"/>
            <wp:docPr id="7430" name="Picture 7430" descr="shows a range of individual indicator scores since 2005" title="Mackay-Whitsunday Region index and indicator tre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0" name="Mackay_plots_noWQ.png"/>
                    <pic:cNvPicPr/>
                  </pic:nvPicPr>
                  <pic:blipFill>
                    <a:blip r:embed="rId61" cstate="print">
                      <a:extLst>
                        <a:ext uri="{28A0092B-C50C-407E-A947-70E740481C1C}">
                          <a14:useLocalDpi xmlns:a14="http://schemas.microsoft.com/office/drawing/2010/main" val="0"/>
                        </a:ext>
                      </a:extLst>
                    </a:blip>
                    <a:stretch>
                      <a:fillRect/>
                    </a:stretch>
                  </pic:blipFill>
                  <pic:spPr>
                    <a:xfrm>
                      <a:off x="0" y="0"/>
                      <a:ext cx="6120765" cy="5353050"/>
                    </a:xfrm>
                    <a:prstGeom prst="rect">
                      <a:avLst/>
                    </a:prstGeom>
                  </pic:spPr>
                </pic:pic>
              </a:graphicData>
            </a:graphic>
          </wp:inline>
        </w:drawing>
      </w:r>
    </w:p>
    <w:p w14:paraId="53C13F20" w14:textId="3FB1D140" w:rsidR="006177B6" w:rsidRPr="00AA6FF4" w:rsidRDefault="00A84742" w:rsidP="002B5296">
      <w:pPr>
        <w:pStyle w:val="Caption"/>
        <w:rPr>
          <w:rFonts w:ascii="Arial" w:hAnsi="Arial" w:cs="Arial"/>
          <w:i/>
          <w:vanish/>
          <w:specVanish/>
        </w:rPr>
      </w:pPr>
      <w:bookmarkStart w:id="430" w:name="_Ref491341033"/>
      <w:bookmarkStart w:id="431" w:name="_Toc35947178"/>
      <w:bookmarkStart w:id="432" w:name="_Toc392930507"/>
      <w:bookmarkStart w:id="433" w:name="_Toc530654920"/>
      <w:bookmarkStart w:id="434" w:name="_Toc534965128"/>
      <w:r w:rsidRPr="00AA6FF4">
        <w:t xml:space="preserve">Figure </w:t>
      </w:r>
      <w:r w:rsidR="005D7AC6" w:rsidRPr="00AA6FF4">
        <w:rPr>
          <w:noProof/>
        </w:rPr>
        <w:fldChar w:fldCharType="begin"/>
      </w:r>
      <w:r w:rsidR="005D7AC6" w:rsidRPr="00AA6FF4">
        <w:rPr>
          <w:noProof/>
        </w:rPr>
        <w:instrText xml:space="preserve"> SEQ Figure \* ARABIC </w:instrText>
      </w:r>
      <w:r w:rsidR="005D7AC6" w:rsidRPr="00AA6FF4">
        <w:rPr>
          <w:noProof/>
        </w:rPr>
        <w:fldChar w:fldCharType="separate"/>
      </w:r>
      <w:r w:rsidR="003053D1">
        <w:rPr>
          <w:noProof/>
        </w:rPr>
        <w:t>28</w:t>
      </w:r>
      <w:r w:rsidR="005D7AC6" w:rsidRPr="00AA6FF4">
        <w:rPr>
          <w:noProof/>
        </w:rPr>
        <w:fldChar w:fldCharType="end"/>
      </w:r>
      <w:bookmarkEnd w:id="430"/>
      <w:r w:rsidRPr="00AA6FF4">
        <w:t xml:space="preserve"> </w:t>
      </w:r>
      <w:r w:rsidR="005F2B5B">
        <w:t>Mackay-Whitsunday</w:t>
      </w:r>
      <w:r w:rsidRPr="00AA6FF4">
        <w:t xml:space="preserve"> Region index and indicator trends</w:t>
      </w:r>
      <w:bookmarkEnd w:id="431"/>
    </w:p>
    <w:p w14:paraId="53C13F21" w14:textId="77777777" w:rsidR="00A84742" w:rsidRPr="0094743B" w:rsidRDefault="006177B6">
      <w:pPr>
        <w:pStyle w:val="Caption"/>
        <w:rPr>
          <w:rStyle w:val="IntenseReference"/>
        </w:rPr>
      </w:pPr>
      <w:r w:rsidRPr="00AA6FF4">
        <w:t>.</w:t>
      </w:r>
      <w:bookmarkEnd w:id="432"/>
      <w:r w:rsidR="00A84742" w:rsidRPr="00AA6FF4">
        <w:t xml:space="preserve"> </w:t>
      </w:r>
      <w:r w:rsidR="00A84742" w:rsidRPr="0094743B">
        <w:rPr>
          <w:rStyle w:val="IntenseReference"/>
        </w:rPr>
        <w:t xml:space="preserve">a – </w:t>
      </w:r>
      <w:r w:rsidR="003E1937" w:rsidRPr="0094743B">
        <w:rPr>
          <w:rStyle w:val="IntenseReference"/>
        </w:rPr>
        <w:t>e</w:t>
      </w:r>
      <w:r w:rsidR="00A84742" w:rsidRPr="0094743B">
        <w:rPr>
          <w:rStyle w:val="IntenseReference"/>
        </w:rPr>
        <w:t>) trends in individual indicators, (blue lines) bound by 95% confidence intervals of those trends (shading), grey lines represent observed profiles at 5 m (dashed) and 2 m (solid) depths for individual reefs.</w:t>
      </w:r>
      <w:bookmarkEnd w:id="433"/>
      <w:bookmarkEnd w:id="434"/>
    </w:p>
    <w:p w14:paraId="53C13F22" w14:textId="77777777" w:rsidR="00A84742" w:rsidRPr="004B2398" w:rsidRDefault="00A84742" w:rsidP="00A84742">
      <w:pPr>
        <w:jc w:val="left"/>
        <w:rPr>
          <w:color w:val="000000" w:themeColor="text1"/>
        </w:rPr>
      </w:pPr>
      <w:r w:rsidRPr="00CE4E0F">
        <w:rPr>
          <w:color w:val="548DD4" w:themeColor="text2" w:themeTint="99"/>
        </w:rPr>
        <w:br w:type="page"/>
      </w:r>
    </w:p>
    <w:p w14:paraId="53C13F23" w14:textId="77777777" w:rsidR="00A84742" w:rsidRPr="00CE4E0F" w:rsidRDefault="0096490D" w:rsidP="006F1D4F">
      <w:pPr>
        <w:pStyle w:val="Heading2"/>
      </w:pPr>
      <w:bookmarkStart w:id="435" w:name="_Toc437424411"/>
      <w:bookmarkStart w:id="436" w:name="_Toc437424535"/>
      <w:bookmarkStart w:id="437" w:name="_Toc437432466"/>
      <w:bookmarkStart w:id="438" w:name="_Toc437432539"/>
      <w:bookmarkStart w:id="439" w:name="_Toc526246919"/>
      <w:bookmarkStart w:id="440" w:name="_Toc530654972"/>
      <w:bookmarkStart w:id="441" w:name="_Ref35861769"/>
      <w:bookmarkStart w:id="442" w:name="_Toc35947126"/>
      <w:r w:rsidRPr="00CE4E0F">
        <w:lastRenderedPageBreak/>
        <w:t>Fitzroy r</w:t>
      </w:r>
      <w:r w:rsidR="00A84742" w:rsidRPr="00CE4E0F">
        <w:t>egion</w:t>
      </w:r>
      <w:bookmarkEnd w:id="435"/>
      <w:bookmarkEnd w:id="436"/>
      <w:bookmarkEnd w:id="437"/>
      <w:bookmarkEnd w:id="438"/>
      <w:bookmarkEnd w:id="439"/>
      <w:bookmarkEnd w:id="440"/>
      <w:bookmarkEnd w:id="441"/>
      <w:bookmarkEnd w:id="442"/>
      <w:r w:rsidR="00A84742" w:rsidRPr="00CE4E0F">
        <w:t xml:space="preserve"> </w:t>
      </w:r>
    </w:p>
    <w:p w14:paraId="53C13F24" w14:textId="534A3353" w:rsidR="004A44E9" w:rsidRDefault="00ED4F46" w:rsidP="00A84742">
      <w:r>
        <w:t>The c</w:t>
      </w:r>
      <w:r w:rsidR="00A84742" w:rsidRPr="00F1495A">
        <w:t xml:space="preserve">oral </w:t>
      </w:r>
      <w:r>
        <w:t>index score</w:t>
      </w:r>
      <w:r w:rsidR="00A84742" w:rsidRPr="00F1495A">
        <w:t xml:space="preserve"> in the Fitzroy Region</w:t>
      </w:r>
      <w:r w:rsidR="00F1495A" w:rsidRPr="00F1495A">
        <w:t xml:space="preserve"> remains</w:t>
      </w:r>
      <w:r w:rsidR="00A84742" w:rsidRPr="00F1495A">
        <w:t xml:space="preserve"> </w:t>
      </w:r>
      <w:r w:rsidR="001D18DB">
        <w:t>‘</w:t>
      </w:r>
      <w:r w:rsidR="00A84742" w:rsidRPr="00F1495A">
        <w:t>poor</w:t>
      </w:r>
      <w:r w:rsidR="001D18DB">
        <w:t>’</w:t>
      </w:r>
      <w:r w:rsidR="00A84742" w:rsidRPr="00F1495A">
        <w:t xml:space="preserve"> </w:t>
      </w:r>
      <w:r w:rsidR="00EE21FD">
        <w:t>but</w:t>
      </w:r>
      <w:r w:rsidR="00F1495A" w:rsidRPr="00F1495A">
        <w:t xml:space="preserve"> continues</w:t>
      </w:r>
      <w:r w:rsidR="00A84742" w:rsidRPr="00F1495A">
        <w:t xml:space="preserve"> to improve from </w:t>
      </w:r>
      <w:r w:rsidR="00EE21FD">
        <w:t xml:space="preserve">the </w:t>
      </w:r>
      <w:r w:rsidR="00B137BE">
        <w:t>‘</w:t>
      </w:r>
      <w:r w:rsidR="00A84742" w:rsidRPr="00F1495A">
        <w:t>very poor</w:t>
      </w:r>
      <w:r w:rsidR="00B137BE">
        <w:t>’</w:t>
      </w:r>
      <w:r w:rsidR="00A84742" w:rsidRPr="00F1495A">
        <w:t xml:space="preserve"> </w:t>
      </w:r>
      <w:r w:rsidR="00EE21FD">
        <w:t xml:space="preserve">condition observed in </w:t>
      </w:r>
      <w:r w:rsidR="00A84742" w:rsidRPr="00F1495A">
        <w:t>2014 (</w:t>
      </w:r>
      <w:r w:rsidR="005C590E">
        <w:fldChar w:fldCharType="begin"/>
      </w:r>
      <w:r w:rsidR="005C590E">
        <w:instrText xml:space="preserve"> REF _Ref30759991 \h </w:instrText>
      </w:r>
      <w:r w:rsidR="005C590E">
        <w:fldChar w:fldCharType="separate"/>
      </w:r>
      <w:r w:rsidR="003053D1">
        <w:t xml:space="preserve">Figure </w:t>
      </w:r>
      <w:r w:rsidR="003053D1">
        <w:rPr>
          <w:noProof/>
        </w:rPr>
        <w:t>29</w:t>
      </w:r>
      <w:r w:rsidR="005C590E">
        <w:fldChar w:fldCharType="end"/>
      </w:r>
      <w:r w:rsidR="005C590E">
        <w:t xml:space="preserve">, </w:t>
      </w:r>
      <w:r w:rsidR="00A84742" w:rsidRPr="00F1495A">
        <w:fldChar w:fldCharType="begin"/>
      </w:r>
      <w:r w:rsidR="00A84742" w:rsidRPr="00F1495A">
        <w:instrText xml:space="preserve"> REF _Ref491345107 \h </w:instrText>
      </w:r>
      <w:r w:rsidR="00A84742" w:rsidRPr="00F1495A">
        <w:fldChar w:fldCharType="separate"/>
      </w:r>
      <w:r w:rsidR="003053D1" w:rsidRPr="00ED70EF">
        <w:t xml:space="preserve">Table </w:t>
      </w:r>
      <w:r w:rsidR="003053D1">
        <w:rPr>
          <w:noProof/>
        </w:rPr>
        <w:t>14</w:t>
      </w:r>
      <w:r w:rsidR="00A84742" w:rsidRPr="00F1495A">
        <w:fldChar w:fldCharType="end"/>
      </w:r>
      <w:r w:rsidR="00A84742" w:rsidRPr="00F1495A">
        <w:t xml:space="preserve">). </w:t>
      </w:r>
    </w:p>
    <w:p w14:paraId="53C13F25" w14:textId="77777777" w:rsidR="00EA2DC1" w:rsidRDefault="00EA2DC1" w:rsidP="00A84742">
      <w:r>
        <w:rPr>
          <w:noProof/>
          <w:lang w:eastAsia="en-AU"/>
        </w:rPr>
        <w:drawing>
          <wp:inline distT="0" distB="0" distL="0" distR="0" wp14:anchorId="53C15F64" wp14:editId="00A1966A">
            <wp:extent cx="6120765" cy="3288859"/>
            <wp:effectExtent l="0" t="0" r="0" b="6985"/>
            <wp:docPr id="7428" name="Picture 7428" descr="shows range of condition scores since 2005 rnages from poor to very poor and ends at poor in this monitoring year" title="Trends in Coral index and contributing indicator scores for the Fitzroy 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8" name="Fit.worm.with.indicators.png"/>
                    <pic:cNvPicPr/>
                  </pic:nvPicPr>
                  <pic:blipFill rotWithShape="1">
                    <a:blip r:embed="rId62" cstate="print">
                      <a:extLst>
                        <a:ext uri="{28A0092B-C50C-407E-A947-70E740481C1C}">
                          <a14:useLocalDpi xmlns:a14="http://schemas.microsoft.com/office/drawing/2010/main" val="0"/>
                        </a:ext>
                      </a:extLst>
                    </a:blip>
                    <a:srcRect t="5967"/>
                    <a:stretch/>
                  </pic:blipFill>
                  <pic:spPr bwMode="auto">
                    <a:xfrm>
                      <a:off x="0" y="0"/>
                      <a:ext cx="6120765" cy="3288859"/>
                    </a:xfrm>
                    <a:prstGeom prst="rect">
                      <a:avLst/>
                    </a:prstGeom>
                    <a:ln>
                      <a:noFill/>
                    </a:ln>
                    <a:extLst>
                      <a:ext uri="{53640926-AAD7-44D8-BBD7-CCE9431645EC}">
                        <a14:shadowObscured xmlns:a14="http://schemas.microsoft.com/office/drawing/2010/main"/>
                      </a:ext>
                    </a:extLst>
                  </pic:spPr>
                </pic:pic>
              </a:graphicData>
            </a:graphic>
          </wp:inline>
        </w:drawing>
      </w:r>
    </w:p>
    <w:p w14:paraId="53C13F26" w14:textId="6C3748A3" w:rsidR="00F115AB" w:rsidRPr="0062064A" w:rsidRDefault="005C590E" w:rsidP="002B5296">
      <w:pPr>
        <w:pStyle w:val="Caption"/>
        <w:rPr>
          <w:rStyle w:val="FigureChar"/>
          <w:rFonts w:eastAsia="SimSun"/>
          <w:vanish/>
          <w:specVanish/>
        </w:rPr>
      </w:pPr>
      <w:bookmarkStart w:id="443" w:name="_Ref30759991"/>
      <w:bookmarkStart w:id="444" w:name="_Toc35947179"/>
      <w:r>
        <w:t xml:space="preserve">Figure </w:t>
      </w:r>
      <w:r>
        <w:fldChar w:fldCharType="begin"/>
      </w:r>
      <w:r>
        <w:instrText xml:space="preserve"> SEQ Figure \* ARABIC </w:instrText>
      </w:r>
      <w:r>
        <w:fldChar w:fldCharType="separate"/>
      </w:r>
      <w:r w:rsidR="003053D1">
        <w:rPr>
          <w:noProof/>
        </w:rPr>
        <w:t>29</w:t>
      </w:r>
      <w:r>
        <w:fldChar w:fldCharType="end"/>
      </w:r>
      <w:bookmarkEnd w:id="443"/>
      <w:r>
        <w:t xml:space="preserve"> </w:t>
      </w:r>
      <w:r w:rsidR="00F115AB">
        <w:t>Trends in</w:t>
      </w:r>
      <w:r w:rsidR="00F115AB" w:rsidRPr="00AA24BD">
        <w:t xml:space="preserve"> Coral index</w:t>
      </w:r>
      <w:r w:rsidR="00F115AB">
        <w:t xml:space="preserve"> and</w:t>
      </w:r>
      <w:r w:rsidR="00F115AB" w:rsidRPr="00AA24BD">
        <w:t xml:space="preserve"> contributing indicator scores</w:t>
      </w:r>
      <w:r w:rsidR="00F115AB">
        <w:t xml:space="preserve"> for the Fitzroy region</w:t>
      </w:r>
      <w:bookmarkEnd w:id="444"/>
    </w:p>
    <w:p w14:paraId="53C13F27" w14:textId="77777777" w:rsidR="00F115AB" w:rsidRPr="00AA24BD" w:rsidRDefault="00F115AB">
      <w:pPr>
        <w:pStyle w:val="Caption"/>
      </w:pPr>
      <w:r w:rsidRPr="00AA24BD">
        <w:t xml:space="preserve">. </w:t>
      </w:r>
      <w:r>
        <w:t>Coral index scores are coloured by report card categories: red=’very poor’, orange = ‘poor’. Error in index score derived from bootstrapped distributions of indicator scores at individual reefs.</w:t>
      </w:r>
    </w:p>
    <w:p w14:paraId="53C13F28" w14:textId="34C5E5BF" w:rsidR="00A84742" w:rsidRPr="00F1495A" w:rsidRDefault="00A84742" w:rsidP="00A84742">
      <w:r w:rsidRPr="00F1495A">
        <w:t xml:space="preserve">Improvements in </w:t>
      </w:r>
      <w:r w:rsidR="00EE21FD">
        <w:t xml:space="preserve">index scores reflect </w:t>
      </w:r>
      <w:r w:rsidRPr="00F1495A">
        <w:t xml:space="preserve">improvement in scores for </w:t>
      </w:r>
      <w:r w:rsidR="00F1495A" w:rsidRPr="00F1495A">
        <w:t>all</w:t>
      </w:r>
      <w:r w:rsidRPr="00F1495A">
        <w:t xml:space="preserve"> </w:t>
      </w:r>
      <w:r w:rsidR="00F1495A" w:rsidRPr="00F1495A">
        <w:t>indicators</w:t>
      </w:r>
      <w:r w:rsidRPr="00F1495A">
        <w:t xml:space="preserve"> at both 2 m and 5 m depths </w:t>
      </w:r>
      <w:r w:rsidR="00EE21FD">
        <w:t xml:space="preserve">of most reefs </w:t>
      </w:r>
      <w:r w:rsidRPr="00F1495A">
        <w:t>(</w:t>
      </w:r>
      <w:r w:rsidRPr="00F1495A">
        <w:fldChar w:fldCharType="begin"/>
      </w:r>
      <w:r w:rsidRPr="00F1495A">
        <w:instrText xml:space="preserve"> REF _Ref491345107 \h </w:instrText>
      </w:r>
      <w:r w:rsidRPr="00F1495A">
        <w:fldChar w:fldCharType="separate"/>
      </w:r>
      <w:r w:rsidR="003053D1" w:rsidRPr="00ED70EF">
        <w:t xml:space="preserve">Table </w:t>
      </w:r>
      <w:r w:rsidR="003053D1">
        <w:rPr>
          <w:noProof/>
        </w:rPr>
        <w:t>14</w:t>
      </w:r>
      <w:r w:rsidRPr="00F1495A">
        <w:fldChar w:fldCharType="end"/>
      </w:r>
      <w:r w:rsidRPr="00F1495A">
        <w:t xml:space="preserve">, </w:t>
      </w:r>
      <w:r w:rsidRPr="00F1495A">
        <w:fldChar w:fldCharType="begin"/>
      </w:r>
      <w:r w:rsidRPr="00F1495A">
        <w:instrText xml:space="preserve"> REF _Ref491345128 \h </w:instrText>
      </w:r>
      <w:r w:rsidRPr="00F1495A">
        <w:fldChar w:fldCharType="separate"/>
      </w:r>
      <w:r w:rsidR="003053D1" w:rsidRPr="00AA6FF4">
        <w:t xml:space="preserve">Figure </w:t>
      </w:r>
      <w:r w:rsidR="003053D1">
        <w:rPr>
          <w:noProof/>
        </w:rPr>
        <w:t>31</w:t>
      </w:r>
      <w:r w:rsidRPr="00F1495A">
        <w:fldChar w:fldCharType="end"/>
      </w:r>
      <w:r w:rsidR="005C590E">
        <w:t>a,c</w:t>
      </w:r>
      <w:r w:rsidRPr="00F1495A">
        <w:t xml:space="preserve">,d). Despite these improvements </w:t>
      </w:r>
      <w:r w:rsidR="00F1495A" w:rsidRPr="00F1495A">
        <w:t xml:space="preserve">the scores for individual indicators range from </w:t>
      </w:r>
      <w:r w:rsidR="00B35416">
        <w:t>‘</w:t>
      </w:r>
      <w:r w:rsidR="00F1495A" w:rsidRPr="00F1495A">
        <w:t>very poor</w:t>
      </w:r>
      <w:r w:rsidR="00B35416">
        <w:t>’</w:t>
      </w:r>
      <w:r w:rsidR="00F1495A" w:rsidRPr="00F1495A">
        <w:t xml:space="preserve"> for </w:t>
      </w:r>
      <w:r w:rsidRPr="00F1495A">
        <w:t xml:space="preserve">macroalgae </w:t>
      </w:r>
      <w:r w:rsidR="00F1495A" w:rsidRPr="00F1495A">
        <w:t xml:space="preserve">to </w:t>
      </w:r>
      <w:r w:rsidR="00B35416">
        <w:t>‘</w:t>
      </w:r>
      <w:r w:rsidR="00F1495A" w:rsidRPr="00F1495A">
        <w:t>moderate</w:t>
      </w:r>
      <w:r w:rsidR="00B35416">
        <w:t>’</w:t>
      </w:r>
      <w:r w:rsidR="00F1495A" w:rsidRPr="00F1495A">
        <w:t xml:space="preserve"> for change in cover, the remaining indicators </w:t>
      </w:r>
      <w:r w:rsidR="00A21720">
        <w:t>being ‘</w:t>
      </w:r>
      <w:r w:rsidR="00F1495A" w:rsidRPr="00F1495A">
        <w:t>poor</w:t>
      </w:r>
      <w:r w:rsidR="00A21720">
        <w:t>’</w:t>
      </w:r>
      <w:r w:rsidR="00F1495A" w:rsidRPr="00F1495A">
        <w:t xml:space="preserve"> </w:t>
      </w:r>
      <w:r w:rsidRPr="00F1495A">
        <w:t>(</w:t>
      </w:r>
      <w:r w:rsidR="005C590E">
        <w:fldChar w:fldCharType="begin"/>
      </w:r>
      <w:r w:rsidR="005C590E">
        <w:instrText xml:space="preserve"> REF _Ref30759991 \h </w:instrText>
      </w:r>
      <w:r w:rsidR="005C590E">
        <w:fldChar w:fldCharType="separate"/>
      </w:r>
      <w:r w:rsidR="003053D1">
        <w:t xml:space="preserve">Figure </w:t>
      </w:r>
      <w:r w:rsidR="003053D1">
        <w:rPr>
          <w:noProof/>
        </w:rPr>
        <w:t>29</w:t>
      </w:r>
      <w:r w:rsidR="005C590E">
        <w:fldChar w:fldCharType="end"/>
      </w:r>
      <w:r w:rsidR="005C590E">
        <w:t xml:space="preserve">, </w:t>
      </w:r>
      <w:r w:rsidR="005C590E">
        <w:fldChar w:fldCharType="begin"/>
      </w:r>
      <w:r w:rsidR="005C590E">
        <w:instrText xml:space="preserve"> REF _Ref30749162 \h </w:instrText>
      </w:r>
      <w:r w:rsidR="005C590E">
        <w:fldChar w:fldCharType="separate"/>
      </w:r>
      <w:r w:rsidR="003053D1">
        <w:t xml:space="preserve">Table A </w:t>
      </w:r>
      <w:r w:rsidR="003053D1">
        <w:rPr>
          <w:noProof/>
        </w:rPr>
        <w:t>8</w:t>
      </w:r>
      <w:r w:rsidR="005C590E">
        <w:fldChar w:fldCharType="end"/>
      </w:r>
      <w:r w:rsidRPr="00F1495A">
        <w:t xml:space="preserve">). </w:t>
      </w:r>
    </w:p>
    <w:p w14:paraId="53C13F29" w14:textId="0932CE13" w:rsidR="006177B6" w:rsidRPr="00ED70EF" w:rsidRDefault="00A84742" w:rsidP="002B5296">
      <w:pPr>
        <w:pStyle w:val="Caption"/>
        <w:rPr>
          <w:rFonts w:ascii="Arial" w:hAnsi="Arial" w:cs="Arial"/>
          <w:i/>
          <w:vanish/>
          <w:specVanish/>
        </w:rPr>
      </w:pPr>
      <w:bookmarkStart w:id="445" w:name="_Ref491345107"/>
      <w:bookmarkStart w:id="446" w:name="_Toc35947200"/>
      <w:bookmarkStart w:id="447" w:name="_Toc528333646"/>
      <w:r w:rsidRPr="00ED70EF">
        <w:t xml:space="preserve">Table </w:t>
      </w:r>
      <w:r w:rsidRPr="00ED70EF">
        <w:rPr>
          <w:noProof/>
        </w:rPr>
        <w:fldChar w:fldCharType="begin"/>
      </w:r>
      <w:r w:rsidRPr="00ED70EF">
        <w:rPr>
          <w:noProof/>
        </w:rPr>
        <w:instrText xml:space="preserve"> SEQ Table \* ARABIC </w:instrText>
      </w:r>
      <w:r w:rsidRPr="00ED70EF">
        <w:rPr>
          <w:noProof/>
        </w:rPr>
        <w:fldChar w:fldCharType="separate"/>
      </w:r>
      <w:r w:rsidR="003053D1">
        <w:rPr>
          <w:noProof/>
        </w:rPr>
        <w:t>14</w:t>
      </w:r>
      <w:r w:rsidRPr="00ED70EF">
        <w:rPr>
          <w:noProof/>
        </w:rPr>
        <w:fldChar w:fldCharType="end"/>
      </w:r>
      <w:bookmarkEnd w:id="445"/>
      <w:r w:rsidRPr="00ED70EF">
        <w:t xml:space="preserve"> Index and indicator score comparisons in the Fitzroy Region</w:t>
      </w:r>
      <w:bookmarkEnd w:id="446"/>
    </w:p>
    <w:p w14:paraId="53C13F2A" w14:textId="77777777" w:rsidR="00A84742" w:rsidRPr="0094743B" w:rsidRDefault="006177B6">
      <w:pPr>
        <w:pStyle w:val="Caption"/>
        <w:rPr>
          <w:rStyle w:val="IntenseReference"/>
        </w:rPr>
      </w:pPr>
      <w:r w:rsidRPr="0094743B">
        <w:rPr>
          <w:rStyle w:val="IntenseReference"/>
        </w:rPr>
        <w:t>.</w:t>
      </w:r>
      <w:r w:rsidR="00A84742" w:rsidRPr="0094743B">
        <w:rPr>
          <w:rStyle w:val="IntenseReference"/>
        </w:rPr>
        <w:t xml:space="preserve"> Data compare the changes in scores between local maxima and minima in the index time-series. For the index, and each indicator, the observed change in the sub-regional score and the probability that the change was greater or less than zero (no change) are presented. Shading is used as a visual aid to highlight the magnitude of the probability the score improved (blue shades) or declined (red shades). Probabilities are derived from the posterior distribution of observed score changes at each reef and depth.</w:t>
      </w:r>
      <w:bookmarkEnd w:id="447"/>
    </w:p>
    <w:tbl>
      <w:tblPr>
        <w:tblW w:w="8926"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Caption w:val="Statistical comparison between index and metric scores between local maxima and minima in the time-series of scores in the region"/>
        <w:tblDescription w:val="A table listing the maxima in minima index scores and significance of changes in the index and each metric. The salient results are discussed in the main text. &#10;"/>
      </w:tblPr>
      <w:tblGrid>
        <w:gridCol w:w="1074"/>
        <w:gridCol w:w="350"/>
        <w:gridCol w:w="625"/>
        <w:gridCol w:w="625"/>
        <w:gridCol w:w="625"/>
        <w:gridCol w:w="625"/>
        <w:gridCol w:w="625"/>
        <w:gridCol w:w="626"/>
        <w:gridCol w:w="625"/>
        <w:gridCol w:w="625"/>
        <w:gridCol w:w="625"/>
        <w:gridCol w:w="625"/>
        <w:gridCol w:w="625"/>
        <w:gridCol w:w="626"/>
      </w:tblGrid>
      <w:tr w:rsidR="00CE4E0F" w:rsidRPr="00ED70EF" w14:paraId="53C13F33" w14:textId="77777777" w:rsidTr="004F16D3">
        <w:trPr>
          <w:trHeight w:val="300"/>
        </w:trPr>
        <w:tc>
          <w:tcPr>
            <w:tcW w:w="1074" w:type="dxa"/>
            <w:vMerge w:val="restart"/>
            <w:shd w:val="clear" w:color="auto" w:fill="auto"/>
            <w:noWrap/>
            <w:tcMar>
              <w:left w:w="57" w:type="dxa"/>
              <w:right w:w="57" w:type="dxa"/>
            </w:tcMar>
            <w:vAlign w:val="bottom"/>
          </w:tcPr>
          <w:p w14:paraId="53C13F2B" w14:textId="77777777" w:rsidR="00A84742" w:rsidRPr="00ED70EF" w:rsidRDefault="00A84742" w:rsidP="00A84742">
            <w:pPr>
              <w:spacing w:after="0"/>
              <w:rPr>
                <w:rFonts w:ascii="Arial Narrow" w:hAnsi="Arial Narrow"/>
                <w:sz w:val="20"/>
                <w:lang w:eastAsia="en-AU"/>
              </w:rPr>
            </w:pPr>
            <w:r w:rsidRPr="00ED70EF">
              <w:rPr>
                <w:rFonts w:ascii="Arial Narrow" w:hAnsi="Arial Narrow"/>
                <w:sz w:val="20"/>
                <w:lang w:eastAsia="en-AU"/>
              </w:rPr>
              <w:t>Period</w:t>
            </w:r>
          </w:p>
        </w:tc>
        <w:tc>
          <w:tcPr>
            <w:tcW w:w="350" w:type="dxa"/>
            <w:vMerge w:val="restart"/>
            <w:shd w:val="clear" w:color="auto" w:fill="auto"/>
            <w:noWrap/>
            <w:tcMar>
              <w:left w:w="57" w:type="dxa"/>
              <w:right w:w="57" w:type="dxa"/>
            </w:tcMar>
            <w:textDirection w:val="btLr"/>
            <w:vAlign w:val="bottom"/>
          </w:tcPr>
          <w:p w14:paraId="53C13F2C" w14:textId="77777777" w:rsidR="00A84742" w:rsidRPr="00ED70EF" w:rsidRDefault="00A84742" w:rsidP="00A84742">
            <w:pPr>
              <w:spacing w:after="0"/>
              <w:ind w:left="113" w:right="113"/>
              <w:jc w:val="center"/>
              <w:rPr>
                <w:rFonts w:ascii="Arial Narrow" w:hAnsi="Arial Narrow"/>
                <w:sz w:val="20"/>
                <w:lang w:eastAsia="en-AU"/>
              </w:rPr>
            </w:pPr>
            <w:r w:rsidRPr="00ED70EF">
              <w:rPr>
                <w:rFonts w:ascii="Arial Narrow" w:hAnsi="Arial Narrow"/>
                <w:sz w:val="20"/>
                <w:lang w:eastAsia="en-AU"/>
              </w:rPr>
              <w:t>Depth</w:t>
            </w:r>
          </w:p>
        </w:tc>
        <w:tc>
          <w:tcPr>
            <w:tcW w:w="1250" w:type="dxa"/>
            <w:gridSpan w:val="2"/>
            <w:shd w:val="clear" w:color="auto" w:fill="auto"/>
            <w:noWrap/>
            <w:tcMar>
              <w:left w:w="57" w:type="dxa"/>
              <w:right w:w="57" w:type="dxa"/>
            </w:tcMar>
            <w:vAlign w:val="bottom"/>
          </w:tcPr>
          <w:p w14:paraId="53C13F2D" w14:textId="77777777" w:rsidR="00A84742" w:rsidRPr="00ED70EF" w:rsidRDefault="00A84742" w:rsidP="00A84742">
            <w:pPr>
              <w:spacing w:after="0"/>
              <w:jc w:val="center"/>
              <w:rPr>
                <w:rFonts w:ascii="Arial Narrow" w:hAnsi="Arial Narrow"/>
                <w:sz w:val="20"/>
                <w:lang w:eastAsia="en-AU"/>
              </w:rPr>
            </w:pPr>
            <w:r w:rsidRPr="00ED70EF">
              <w:rPr>
                <w:rFonts w:ascii="Arial Narrow" w:hAnsi="Arial Narrow"/>
                <w:sz w:val="20"/>
                <w:lang w:eastAsia="en-AU"/>
              </w:rPr>
              <w:t>Condition Index</w:t>
            </w:r>
          </w:p>
        </w:tc>
        <w:tc>
          <w:tcPr>
            <w:tcW w:w="1250" w:type="dxa"/>
            <w:gridSpan w:val="2"/>
            <w:shd w:val="clear" w:color="auto" w:fill="auto"/>
            <w:noWrap/>
            <w:tcMar>
              <w:left w:w="57" w:type="dxa"/>
              <w:right w:w="57" w:type="dxa"/>
            </w:tcMar>
            <w:vAlign w:val="bottom"/>
          </w:tcPr>
          <w:p w14:paraId="53C13F2E" w14:textId="77777777" w:rsidR="00A84742" w:rsidRPr="00ED70EF" w:rsidRDefault="00A84742" w:rsidP="00A84742">
            <w:pPr>
              <w:spacing w:after="0"/>
              <w:jc w:val="center"/>
              <w:rPr>
                <w:rFonts w:ascii="Arial Narrow" w:hAnsi="Arial Narrow"/>
                <w:sz w:val="20"/>
                <w:lang w:eastAsia="en-AU"/>
              </w:rPr>
            </w:pPr>
            <w:r w:rsidRPr="00ED70EF">
              <w:rPr>
                <w:rFonts w:ascii="Arial Narrow" w:hAnsi="Arial Narrow"/>
                <w:sz w:val="20"/>
                <w:lang w:eastAsia="en-AU"/>
              </w:rPr>
              <w:t>Coral Cover</w:t>
            </w:r>
          </w:p>
        </w:tc>
        <w:tc>
          <w:tcPr>
            <w:tcW w:w="1251" w:type="dxa"/>
            <w:gridSpan w:val="2"/>
            <w:shd w:val="clear" w:color="auto" w:fill="auto"/>
            <w:noWrap/>
            <w:tcMar>
              <w:left w:w="57" w:type="dxa"/>
              <w:right w:w="57" w:type="dxa"/>
            </w:tcMar>
            <w:vAlign w:val="bottom"/>
          </w:tcPr>
          <w:p w14:paraId="53C13F2F" w14:textId="77777777" w:rsidR="00A84742" w:rsidRPr="00ED70EF" w:rsidRDefault="00A84742" w:rsidP="00A84742">
            <w:pPr>
              <w:spacing w:after="0"/>
              <w:jc w:val="center"/>
              <w:rPr>
                <w:rFonts w:ascii="Arial Narrow" w:hAnsi="Arial Narrow"/>
                <w:sz w:val="20"/>
                <w:lang w:eastAsia="en-AU"/>
              </w:rPr>
            </w:pPr>
            <w:r w:rsidRPr="00ED70EF">
              <w:rPr>
                <w:rFonts w:ascii="Arial Narrow" w:hAnsi="Arial Narrow"/>
                <w:sz w:val="20"/>
                <w:lang w:eastAsia="en-AU"/>
              </w:rPr>
              <w:t>Macroalgae</w:t>
            </w:r>
          </w:p>
        </w:tc>
        <w:tc>
          <w:tcPr>
            <w:tcW w:w="1250" w:type="dxa"/>
            <w:gridSpan w:val="2"/>
            <w:shd w:val="clear" w:color="auto" w:fill="auto"/>
            <w:noWrap/>
            <w:tcMar>
              <w:left w:w="57" w:type="dxa"/>
              <w:right w:w="57" w:type="dxa"/>
            </w:tcMar>
            <w:vAlign w:val="bottom"/>
          </w:tcPr>
          <w:p w14:paraId="53C13F30" w14:textId="77777777" w:rsidR="00A84742" w:rsidRPr="00ED70EF" w:rsidRDefault="00A84742" w:rsidP="00A84742">
            <w:pPr>
              <w:spacing w:after="0"/>
              <w:jc w:val="center"/>
              <w:rPr>
                <w:rFonts w:ascii="Arial Narrow" w:hAnsi="Arial Narrow"/>
                <w:sz w:val="20"/>
                <w:lang w:eastAsia="en-AU"/>
              </w:rPr>
            </w:pPr>
            <w:r w:rsidRPr="00ED70EF">
              <w:rPr>
                <w:rFonts w:ascii="Arial Narrow" w:hAnsi="Arial Narrow"/>
                <w:sz w:val="20"/>
                <w:lang w:eastAsia="en-AU"/>
              </w:rPr>
              <w:t>Juvenile</w:t>
            </w:r>
          </w:p>
        </w:tc>
        <w:tc>
          <w:tcPr>
            <w:tcW w:w="1250" w:type="dxa"/>
            <w:gridSpan w:val="2"/>
            <w:shd w:val="clear" w:color="auto" w:fill="auto"/>
            <w:noWrap/>
            <w:tcMar>
              <w:left w:w="57" w:type="dxa"/>
              <w:right w:w="57" w:type="dxa"/>
            </w:tcMar>
            <w:vAlign w:val="bottom"/>
          </w:tcPr>
          <w:p w14:paraId="53C13F31" w14:textId="77777777" w:rsidR="00A84742" w:rsidRPr="00ED70EF" w:rsidRDefault="00A84742" w:rsidP="00A84742">
            <w:pPr>
              <w:spacing w:after="0"/>
              <w:jc w:val="center"/>
              <w:rPr>
                <w:rFonts w:ascii="Arial Narrow" w:hAnsi="Arial Narrow"/>
                <w:sz w:val="20"/>
                <w:lang w:eastAsia="en-AU"/>
              </w:rPr>
            </w:pPr>
            <w:r w:rsidRPr="00ED70EF">
              <w:rPr>
                <w:rFonts w:ascii="Arial Narrow" w:hAnsi="Arial Narrow"/>
                <w:sz w:val="20"/>
                <w:lang w:eastAsia="en-AU"/>
              </w:rPr>
              <w:t>Cover Change</w:t>
            </w:r>
          </w:p>
        </w:tc>
        <w:tc>
          <w:tcPr>
            <w:tcW w:w="1251" w:type="dxa"/>
            <w:gridSpan w:val="2"/>
            <w:shd w:val="clear" w:color="auto" w:fill="auto"/>
            <w:noWrap/>
            <w:tcMar>
              <w:left w:w="57" w:type="dxa"/>
              <w:right w:w="57" w:type="dxa"/>
            </w:tcMar>
            <w:vAlign w:val="bottom"/>
          </w:tcPr>
          <w:p w14:paraId="53C13F32" w14:textId="77777777" w:rsidR="00A84742" w:rsidRPr="00ED70EF" w:rsidRDefault="00A84742" w:rsidP="00A84742">
            <w:pPr>
              <w:spacing w:after="0"/>
              <w:jc w:val="center"/>
              <w:rPr>
                <w:rFonts w:ascii="Arial Narrow" w:hAnsi="Arial Narrow"/>
                <w:sz w:val="20"/>
                <w:lang w:eastAsia="en-AU"/>
              </w:rPr>
            </w:pPr>
            <w:r w:rsidRPr="00ED70EF">
              <w:rPr>
                <w:rFonts w:ascii="Arial Narrow" w:hAnsi="Arial Narrow"/>
                <w:sz w:val="20"/>
                <w:lang w:eastAsia="en-AU"/>
              </w:rPr>
              <w:t>Composition</w:t>
            </w:r>
          </w:p>
        </w:tc>
      </w:tr>
      <w:tr w:rsidR="00CE4E0F" w:rsidRPr="00ED70EF" w14:paraId="53C13F42" w14:textId="77777777" w:rsidTr="004F16D3">
        <w:trPr>
          <w:trHeight w:val="520"/>
        </w:trPr>
        <w:tc>
          <w:tcPr>
            <w:tcW w:w="1074" w:type="dxa"/>
            <w:vMerge/>
            <w:shd w:val="clear" w:color="auto" w:fill="auto"/>
            <w:noWrap/>
            <w:tcMar>
              <w:left w:w="57" w:type="dxa"/>
              <w:right w:w="57" w:type="dxa"/>
            </w:tcMar>
            <w:vAlign w:val="bottom"/>
          </w:tcPr>
          <w:p w14:paraId="53C13F34" w14:textId="77777777" w:rsidR="00A84742" w:rsidRPr="00ED70EF" w:rsidRDefault="00A84742" w:rsidP="00A84742">
            <w:pPr>
              <w:spacing w:after="0"/>
              <w:rPr>
                <w:rFonts w:ascii="Arial Narrow" w:hAnsi="Arial Narrow"/>
                <w:sz w:val="20"/>
                <w:lang w:eastAsia="en-AU"/>
              </w:rPr>
            </w:pPr>
          </w:p>
        </w:tc>
        <w:tc>
          <w:tcPr>
            <w:tcW w:w="350" w:type="dxa"/>
            <w:vMerge/>
            <w:shd w:val="clear" w:color="auto" w:fill="auto"/>
            <w:noWrap/>
            <w:tcMar>
              <w:left w:w="57" w:type="dxa"/>
              <w:right w:w="57" w:type="dxa"/>
            </w:tcMar>
            <w:vAlign w:val="bottom"/>
          </w:tcPr>
          <w:p w14:paraId="53C13F35" w14:textId="77777777" w:rsidR="00A84742" w:rsidRPr="00ED70EF" w:rsidRDefault="00A84742" w:rsidP="00A84742">
            <w:pPr>
              <w:spacing w:after="0"/>
              <w:jc w:val="center"/>
              <w:rPr>
                <w:rFonts w:ascii="Arial Narrow" w:hAnsi="Arial Narrow"/>
                <w:sz w:val="20"/>
                <w:lang w:eastAsia="en-AU"/>
              </w:rPr>
            </w:pPr>
          </w:p>
        </w:tc>
        <w:tc>
          <w:tcPr>
            <w:tcW w:w="625" w:type="dxa"/>
            <w:shd w:val="clear" w:color="auto" w:fill="auto"/>
            <w:noWrap/>
            <w:tcMar>
              <w:left w:w="57" w:type="dxa"/>
              <w:right w:w="57" w:type="dxa"/>
            </w:tcMar>
            <w:vAlign w:val="bottom"/>
          </w:tcPr>
          <w:p w14:paraId="53C13F36" w14:textId="77777777" w:rsidR="00A84742" w:rsidRPr="00ED70EF" w:rsidRDefault="00A84742" w:rsidP="00A84742">
            <w:pPr>
              <w:spacing w:after="0"/>
              <w:rPr>
                <w:rFonts w:ascii="Arial Narrow" w:hAnsi="Arial Narrow"/>
                <w:sz w:val="20"/>
                <w:lang w:eastAsia="en-AU"/>
              </w:rPr>
            </w:pPr>
            <w:r w:rsidRPr="00ED70EF">
              <w:rPr>
                <w:rFonts w:ascii="Arial Narrow" w:hAnsi="Arial Narrow"/>
                <w:sz w:val="20"/>
                <w:lang w:eastAsia="en-AU"/>
              </w:rPr>
              <w:t>Score</w:t>
            </w:r>
          </w:p>
        </w:tc>
        <w:tc>
          <w:tcPr>
            <w:tcW w:w="625" w:type="dxa"/>
            <w:shd w:val="clear" w:color="auto" w:fill="auto"/>
            <w:noWrap/>
            <w:tcMar>
              <w:left w:w="57" w:type="dxa"/>
              <w:right w:w="57" w:type="dxa"/>
            </w:tcMar>
            <w:vAlign w:val="bottom"/>
          </w:tcPr>
          <w:p w14:paraId="53C13F37" w14:textId="77777777" w:rsidR="00A84742" w:rsidRPr="00ED70EF" w:rsidRDefault="00A84742" w:rsidP="00A84742">
            <w:pPr>
              <w:spacing w:after="0"/>
              <w:rPr>
                <w:rFonts w:ascii="Arial Narrow" w:hAnsi="Arial Narrow"/>
                <w:sz w:val="20"/>
                <w:lang w:eastAsia="en-AU"/>
              </w:rPr>
            </w:pPr>
            <w:r w:rsidRPr="00ED70EF">
              <w:rPr>
                <w:rFonts w:ascii="Arial Narrow" w:hAnsi="Arial Narrow"/>
                <w:sz w:val="20"/>
                <w:lang w:eastAsia="en-AU"/>
              </w:rPr>
              <w:t>P</w:t>
            </w:r>
          </w:p>
        </w:tc>
        <w:tc>
          <w:tcPr>
            <w:tcW w:w="625" w:type="dxa"/>
            <w:shd w:val="clear" w:color="auto" w:fill="auto"/>
            <w:noWrap/>
            <w:tcMar>
              <w:left w:w="57" w:type="dxa"/>
              <w:right w:w="57" w:type="dxa"/>
            </w:tcMar>
            <w:vAlign w:val="bottom"/>
          </w:tcPr>
          <w:p w14:paraId="53C13F38" w14:textId="77777777" w:rsidR="00A84742" w:rsidRPr="00ED70EF" w:rsidRDefault="00A84742" w:rsidP="00A84742">
            <w:pPr>
              <w:spacing w:after="0"/>
              <w:rPr>
                <w:rFonts w:ascii="Arial Narrow" w:hAnsi="Arial Narrow"/>
                <w:sz w:val="20"/>
                <w:lang w:eastAsia="en-AU"/>
              </w:rPr>
            </w:pPr>
            <w:r w:rsidRPr="00ED70EF">
              <w:rPr>
                <w:rFonts w:ascii="Arial Narrow" w:hAnsi="Arial Narrow"/>
                <w:sz w:val="20"/>
                <w:lang w:eastAsia="en-AU"/>
              </w:rPr>
              <w:t>Score</w:t>
            </w:r>
          </w:p>
        </w:tc>
        <w:tc>
          <w:tcPr>
            <w:tcW w:w="625" w:type="dxa"/>
            <w:shd w:val="clear" w:color="auto" w:fill="auto"/>
            <w:noWrap/>
            <w:tcMar>
              <w:left w:w="57" w:type="dxa"/>
              <w:right w:w="57" w:type="dxa"/>
            </w:tcMar>
            <w:vAlign w:val="bottom"/>
          </w:tcPr>
          <w:p w14:paraId="53C13F39" w14:textId="77777777" w:rsidR="00A84742" w:rsidRPr="00ED70EF" w:rsidRDefault="00A84742" w:rsidP="00A84742">
            <w:pPr>
              <w:spacing w:after="0"/>
              <w:rPr>
                <w:rFonts w:ascii="Arial Narrow" w:hAnsi="Arial Narrow"/>
                <w:sz w:val="20"/>
                <w:lang w:eastAsia="en-AU"/>
              </w:rPr>
            </w:pPr>
            <w:r w:rsidRPr="00ED70EF">
              <w:rPr>
                <w:rFonts w:ascii="Arial Narrow" w:hAnsi="Arial Narrow"/>
                <w:sz w:val="20"/>
                <w:lang w:eastAsia="en-AU"/>
              </w:rPr>
              <w:t>P</w:t>
            </w:r>
          </w:p>
        </w:tc>
        <w:tc>
          <w:tcPr>
            <w:tcW w:w="625" w:type="dxa"/>
            <w:shd w:val="clear" w:color="auto" w:fill="auto"/>
            <w:noWrap/>
            <w:tcMar>
              <w:left w:w="57" w:type="dxa"/>
              <w:right w:w="57" w:type="dxa"/>
            </w:tcMar>
            <w:vAlign w:val="bottom"/>
          </w:tcPr>
          <w:p w14:paraId="53C13F3A" w14:textId="77777777" w:rsidR="00A84742" w:rsidRPr="00ED70EF" w:rsidRDefault="00A84742" w:rsidP="00A84742">
            <w:pPr>
              <w:spacing w:after="0"/>
              <w:rPr>
                <w:rFonts w:ascii="Arial Narrow" w:hAnsi="Arial Narrow"/>
                <w:sz w:val="20"/>
                <w:lang w:eastAsia="en-AU"/>
              </w:rPr>
            </w:pPr>
            <w:r w:rsidRPr="00ED70EF">
              <w:rPr>
                <w:rFonts w:ascii="Arial Narrow" w:hAnsi="Arial Narrow"/>
                <w:sz w:val="20"/>
                <w:lang w:eastAsia="en-AU"/>
              </w:rPr>
              <w:t>Score</w:t>
            </w:r>
          </w:p>
        </w:tc>
        <w:tc>
          <w:tcPr>
            <w:tcW w:w="626" w:type="dxa"/>
            <w:shd w:val="clear" w:color="auto" w:fill="auto"/>
            <w:noWrap/>
            <w:tcMar>
              <w:left w:w="57" w:type="dxa"/>
              <w:right w:w="57" w:type="dxa"/>
            </w:tcMar>
            <w:vAlign w:val="bottom"/>
          </w:tcPr>
          <w:p w14:paraId="53C13F3B" w14:textId="77777777" w:rsidR="00A84742" w:rsidRPr="00ED70EF" w:rsidRDefault="00A84742" w:rsidP="00A84742">
            <w:pPr>
              <w:spacing w:after="0"/>
              <w:rPr>
                <w:rFonts w:ascii="Arial Narrow" w:hAnsi="Arial Narrow"/>
                <w:sz w:val="20"/>
                <w:lang w:eastAsia="en-AU"/>
              </w:rPr>
            </w:pPr>
            <w:r w:rsidRPr="00ED70EF">
              <w:rPr>
                <w:rFonts w:ascii="Arial Narrow" w:hAnsi="Arial Narrow"/>
                <w:sz w:val="20"/>
                <w:lang w:eastAsia="en-AU"/>
              </w:rPr>
              <w:t>P</w:t>
            </w:r>
          </w:p>
        </w:tc>
        <w:tc>
          <w:tcPr>
            <w:tcW w:w="625" w:type="dxa"/>
            <w:shd w:val="clear" w:color="auto" w:fill="auto"/>
            <w:noWrap/>
            <w:tcMar>
              <w:left w:w="57" w:type="dxa"/>
              <w:right w:w="57" w:type="dxa"/>
            </w:tcMar>
            <w:vAlign w:val="bottom"/>
          </w:tcPr>
          <w:p w14:paraId="53C13F3C" w14:textId="77777777" w:rsidR="00A84742" w:rsidRPr="00ED70EF" w:rsidRDefault="00A84742" w:rsidP="00A84742">
            <w:pPr>
              <w:spacing w:after="0"/>
              <w:rPr>
                <w:rFonts w:ascii="Arial Narrow" w:hAnsi="Arial Narrow"/>
                <w:sz w:val="20"/>
                <w:lang w:eastAsia="en-AU"/>
              </w:rPr>
            </w:pPr>
            <w:r w:rsidRPr="00ED70EF">
              <w:rPr>
                <w:rFonts w:ascii="Arial Narrow" w:hAnsi="Arial Narrow"/>
                <w:sz w:val="20"/>
                <w:lang w:eastAsia="en-AU"/>
              </w:rPr>
              <w:t>Score</w:t>
            </w:r>
          </w:p>
        </w:tc>
        <w:tc>
          <w:tcPr>
            <w:tcW w:w="625" w:type="dxa"/>
            <w:shd w:val="clear" w:color="auto" w:fill="auto"/>
            <w:noWrap/>
            <w:tcMar>
              <w:left w:w="57" w:type="dxa"/>
              <w:right w:w="57" w:type="dxa"/>
            </w:tcMar>
            <w:vAlign w:val="bottom"/>
          </w:tcPr>
          <w:p w14:paraId="53C13F3D" w14:textId="77777777" w:rsidR="00A84742" w:rsidRPr="00ED70EF" w:rsidRDefault="00A84742" w:rsidP="00A84742">
            <w:pPr>
              <w:spacing w:after="0"/>
              <w:rPr>
                <w:rFonts w:ascii="Arial Narrow" w:hAnsi="Arial Narrow"/>
                <w:sz w:val="20"/>
                <w:lang w:eastAsia="en-AU"/>
              </w:rPr>
            </w:pPr>
            <w:r w:rsidRPr="00ED70EF">
              <w:rPr>
                <w:rFonts w:ascii="Arial Narrow" w:hAnsi="Arial Narrow"/>
                <w:sz w:val="20"/>
                <w:lang w:eastAsia="en-AU"/>
              </w:rPr>
              <w:t>P</w:t>
            </w:r>
          </w:p>
        </w:tc>
        <w:tc>
          <w:tcPr>
            <w:tcW w:w="625" w:type="dxa"/>
            <w:shd w:val="clear" w:color="auto" w:fill="auto"/>
            <w:noWrap/>
            <w:tcMar>
              <w:left w:w="57" w:type="dxa"/>
              <w:right w:w="57" w:type="dxa"/>
            </w:tcMar>
            <w:vAlign w:val="bottom"/>
          </w:tcPr>
          <w:p w14:paraId="53C13F3E" w14:textId="77777777" w:rsidR="00A84742" w:rsidRPr="00ED70EF" w:rsidRDefault="00A84742" w:rsidP="00A84742">
            <w:pPr>
              <w:spacing w:after="0"/>
              <w:rPr>
                <w:rFonts w:ascii="Arial Narrow" w:hAnsi="Arial Narrow"/>
                <w:sz w:val="20"/>
                <w:lang w:eastAsia="en-AU"/>
              </w:rPr>
            </w:pPr>
            <w:r w:rsidRPr="00ED70EF">
              <w:rPr>
                <w:rFonts w:ascii="Arial Narrow" w:hAnsi="Arial Narrow"/>
                <w:sz w:val="20"/>
                <w:lang w:eastAsia="en-AU"/>
              </w:rPr>
              <w:t>Score</w:t>
            </w:r>
          </w:p>
        </w:tc>
        <w:tc>
          <w:tcPr>
            <w:tcW w:w="625" w:type="dxa"/>
            <w:shd w:val="clear" w:color="auto" w:fill="auto"/>
            <w:noWrap/>
            <w:tcMar>
              <w:left w:w="57" w:type="dxa"/>
              <w:right w:w="57" w:type="dxa"/>
            </w:tcMar>
            <w:vAlign w:val="bottom"/>
          </w:tcPr>
          <w:p w14:paraId="53C13F3F" w14:textId="77777777" w:rsidR="00A84742" w:rsidRPr="00ED70EF" w:rsidRDefault="00A84742" w:rsidP="00A84742">
            <w:pPr>
              <w:spacing w:after="0"/>
              <w:rPr>
                <w:rFonts w:ascii="Arial Narrow" w:hAnsi="Arial Narrow"/>
                <w:sz w:val="20"/>
                <w:lang w:eastAsia="en-AU"/>
              </w:rPr>
            </w:pPr>
            <w:r w:rsidRPr="00ED70EF">
              <w:rPr>
                <w:rFonts w:ascii="Arial Narrow" w:hAnsi="Arial Narrow"/>
                <w:sz w:val="20"/>
                <w:lang w:eastAsia="en-AU"/>
              </w:rPr>
              <w:t>P</w:t>
            </w:r>
          </w:p>
        </w:tc>
        <w:tc>
          <w:tcPr>
            <w:tcW w:w="625" w:type="dxa"/>
            <w:shd w:val="clear" w:color="auto" w:fill="auto"/>
            <w:noWrap/>
            <w:tcMar>
              <w:left w:w="57" w:type="dxa"/>
              <w:right w:w="57" w:type="dxa"/>
            </w:tcMar>
            <w:vAlign w:val="bottom"/>
          </w:tcPr>
          <w:p w14:paraId="53C13F40" w14:textId="77777777" w:rsidR="00A84742" w:rsidRPr="00ED70EF" w:rsidRDefault="00A84742" w:rsidP="00A84742">
            <w:pPr>
              <w:spacing w:after="0"/>
              <w:rPr>
                <w:rFonts w:ascii="Arial Narrow" w:hAnsi="Arial Narrow"/>
                <w:sz w:val="20"/>
                <w:lang w:eastAsia="en-AU"/>
              </w:rPr>
            </w:pPr>
            <w:r w:rsidRPr="00ED70EF">
              <w:rPr>
                <w:rFonts w:ascii="Arial Narrow" w:hAnsi="Arial Narrow"/>
                <w:sz w:val="20"/>
                <w:lang w:eastAsia="en-AU"/>
              </w:rPr>
              <w:t>Score</w:t>
            </w:r>
          </w:p>
        </w:tc>
        <w:tc>
          <w:tcPr>
            <w:tcW w:w="626" w:type="dxa"/>
            <w:shd w:val="clear" w:color="auto" w:fill="auto"/>
            <w:noWrap/>
            <w:tcMar>
              <w:left w:w="57" w:type="dxa"/>
              <w:right w:w="57" w:type="dxa"/>
            </w:tcMar>
            <w:vAlign w:val="bottom"/>
          </w:tcPr>
          <w:p w14:paraId="53C13F41" w14:textId="77777777" w:rsidR="00A84742" w:rsidRPr="00ED70EF" w:rsidRDefault="00A84742" w:rsidP="00A84742">
            <w:pPr>
              <w:spacing w:after="0"/>
              <w:rPr>
                <w:rFonts w:ascii="Arial Narrow" w:hAnsi="Arial Narrow"/>
                <w:sz w:val="20"/>
                <w:lang w:eastAsia="en-AU"/>
              </w:rPr>
            </w:pPr>
            <w:r w:rsidRPr="00ED70EF">
              <w:rPr>
                <w:rFonts w:ascii="Arial Narrow" w:hAnsi="Arial Narrow"/>
                <w:sz w:val="20"/>
                <w:lang w:eastAsia="en-AU"/>
              </w:rPr>
              <w:t>P</w:t>
            </w:r>
          </w:p>
        </w:tc>
      </w:tr>
      <w:tr w:rsidR="00CE4E0F" w:rsidRPr="00ED70EF" w14:paraId="53C13F51" w14:textId="77777777" w:rsidTr="004F16D3">
        <w:trPr>
          <w:cantSplit/>
          <w:trHeight w:hRule="exact" w:val="301"/>
        </w:trPr>
        <w:tc>
          <w:tcPr>
            <w:tcW w:w="1074" w:type="dxa"/>
            <w:vMerge w:val="restart"/>
            <w:shd w:val="clear" w:color="auto" w:fill="auto"/>
            <w:noWrap/>
            <w:tcMar>
              <w:left w:w="57" w:type="dxa"/>
              <w:right w:w="57" w:type="dxa"/>
            </w:tcMar>
            <w:vAlign w:val="center"/>
          </w:tcPr>
          <w:p w14:paraId="53C13F43" w14:textId="77777777" w:rsidR="00A84742" w:rsidRPr="00ED70EF" w:rsidRDefault="00A84742" w:rsidP="00A84742">
            <w:pPr>
              <w:spacing w:after="0"/>
              <w:rPr>
                <w:rFonts w:ascii="Arial Narrow" w:hAnsi="Arial Narrow"/>
                <w:bCs/>
                <w:sz w:val="20"/>
              </w:rPr>
            </w:pPr>
            <w:r w:rsidRPr="00ED70EF">
              <w:rPr>
                <w:rFonts w:ascii="Arial Narrow" w:hAnsi="Arial Narrow"/>
                <w:bCs/>
                <w:sz w:val="20"/>
              </w:rPr>
              <w:t>2007 to 2014</w:t>
            </w:r>
          </w:p>
        </w:tc>
        <w:tc>
          <w:tcPr>
            <w:tcW w:w="350" w:type="dxa"/>
            <w:shd w:val="clear" w:color="auto" w:fill="auto"/>
            <w:noWrap/>
            <w:tcMar>
              <w:left w:w="57" w:type="dxa"/>
              <w:right w:w="57" w:type="dxa"/>
            </w:tcMar>
            <w:vAlign w:val="center"/>
          </w:tcPr>
          <w:p w14:paraId="53C13F44" w14:textId="77777777" w:rsidR="00A84742" w:rsidRPr="00ED70EF" w:rsidRDefault="00A84742" w:rsidP="00A84742">
            <w:pPr>
              <w:spacing w:after="0"/>
              <w:jc w:val="center"/>
              <w:rPr>
                <w:rFonts w:ascii="Arial Narrow" w:hAnsi="Arial Narrow"/>
                <w:bCs/>
                <w:sz w:val="20"/>
              </w:rPr>
            </w:pPr>
            <w:r w:rsidRPr="00ED70EF">
              <w:rPr>
                <w:rFonts w:ascii="Arial Narrow" w:hAnsi="Arial Narrow"/>
                <w:bCs/>
                <w:sz w:val="20"/>
              </w:rPr>
              <w:t>2</w:t>
            </w:r>
          </w:p>
        </w:tc>
        <w:tc>
          <w:tcPr>
            <w:tcW w:w="625" w:type="dxa"/>
            <w:tcBorders>
              <w:top w:val="single" w:sz="4" w:space="0" w:color="auto"/>
              <w:left w:val="nil"/>
              <w:bottom w:val="single" w:sz="4" w:space="0" w:color="auto"/>
              <w:right w:val="single" w:sz="4" w:space="0" w:color="auto"/>
            </w:tcBorders>
            <w:shd w:val="clear" w:color="000000" w:fill="DA9694"/>
            <w:noWrap/>
            <w:tcMar>
              <w:left w:w="57" w:type="dxa"/>
              <w:right w:w="57" w:type="dxa"/>
            </w:tcMar>
            <w:vAlign w:val="center"/>
          </w:tcPr>
          <w:p w14:paraId="53C13F45" w14:textId="77777777" w:rsidR="00A84742" w:rsidRPr="00ED70EF" w:rsidRDefault="00A84742" w:rsidP="00A84742">
            <w:pPr>
              <w:spacing w:after="0"/>
              <w:jc w:val="center"/>
              <w:rPr>
                <w:rFonts w:ascii="Arial Narrow" w:hAnsi="Arial Narrow"/>
                <w:bCs/>
                <w:sz w:val="20"/>
              </w:rPr>
            </w:pPr>
            <w:r w:rsidRPr="00ED70EF">
              <w:rPr>
                <w:rFonts w:ascii="Arial Narrow" w:hAnsi="Arial Narrow"/>
                <w:sz w:val="20"/>
              </w:rPr>
              <w:t>-0.25</w:t>
            </w:r>
          </w:p>
        </w:tc>
        <w:tc>
          <w:tcPr>
            <w:tcW w:w="625" w:type="dxa"/>
            <w:tcBorders>
              <w:top w:val="single" w:sz="4" w:space="0" w:color="auto"/>
              <w:left w:val="single" w:sz="4" w:space="0" w:color="auto"/>
              <w:bottom w:val="single" w:sz="4" w:space="0" w:color="auto"/>
              <w:right w:val="single" w:sz="4" w:space="0" w:color="auto"/>
            </w:tcBorders>
            <w:shd w:val="clear" w:color="000000" w:fill="DA9694"/>
            <w:noWrap/>
            <w:tcMar>
              <w:left w:w="57" w:type="dxa"/>
              <w:right w:w="57" w:type="dxa"/>
            </w:tcMar>
            <w:vAlign w:val="center"/>
          </w:tcPr>
          <w:p w14:paraId="53C13F46" w14:textId="77777777" w:rsidR="00A84742" w:rsidRPr="00ED70EF" w:rsidRDefault="00A84742" w:rsidP="00A84742">
            <w:pPr>
              <w:spacing w:after="0"/>
              <w:jc w:val="center"/>
              <w:rPr>
                <w:rFonts w:ascii="Arial Narrow" w:hAnsi="Arial Narrow"/>
                <w:bCs/>
                <w:sz w:val="20"/>
              </w:rPr>
            </w:pPr>
            <w:r w:rsidRPr="00ED70EF">
              <w:rPr>
                <w:rFonts w:ascii="Arial Narrow" w:hAnsi="Arial Narrow"/>
                <w:sz w:val="20"/>
              </w:rPr>
              <w:t>0.92</w:t>
            </w:r>
          </w:p>
        </w:tc>
        <w:tc>
          <w:tcPr>
            <w:tcW w:w="625" w:type="dxa"/>
            <w:tcBorders>
              <w:top w:val="single" w:sz="4" w:space="0" w:color="auto"/>
              <w:left w:val="single" w:sz="4" w:space="0" w:color="auto"/>
              <w:bottom w:val="single" w:sz="4" w:space="0" w:color="auto"/>
              <w:right w:val="single" w:sz="4" w:space="0" w:color="auto"/>
            </w:tcBorders>
            <w:shd w:val="clear" w:color="000000" w:fill="E6B8B7"/>
            <w:noWrap/>
            <w:tcMar>
              <w:left w:w="57" w:type="dxa"/>
              <w:right w:w="57" w:type="dxa"/>
            </w:tcMar>
            <w:vAlign w:val="center"/>
          </w:tcPr>
          <w:p w14:paraId="53C13F47" w14:textId="77777777" w:rsidR="00A84742" w:rsidRPr="00ED70EF" w:rsidRDefault="00A84742" w:rsidP="00A84742">
            <w:pPr>
              <w:spacing w:after="0"/>
              <w:jc w:val="center"/>
              <w:rPr>
                <w:rFonts w:ascii="Arial Narrow" w:hAnsi="Arial Narrow"/>
                <w:bCs/>
                <w:sz w:val="20"/>
              </w:rPr>
            </w:pPr>
            <w:r w:rsidRPr="00ED70EF">
              <w:rPr>
                <w:rFonts w:ascii="Arial Narrow" w:hAnsi="Arial Narrow"/>
                <w:sz w:val="20"/>
              </w:rPr>
              <w:t>-0.36</w:t>
            </w:r>
          </w:p>
        </w:tc>
        <w:tc>
          <w:tcPr>
            <w:tcW w:w="625" w:type="dxa"/>
            <w:tcBorders>
              <w:top w:val="single" w:sz="4" w:space="0" w:color="auto"/>
              <w:left w:val="single" w:sz="4" w:space="0" w:color="auto"/>
              <w:bottom w:val="single" w:sz="4" w:space="0" w:color="auto"/>
              <w:right w:val="single" w:sz="4" w:space="0" w:color="auto"/>
            </w:tcBorders>
            <w:shd w:val="clear" w:color="000000" w:fill="E6B8B7"/>
            <w:noWrap/>
            <w:tcMar>
              <w:left w:w="57" w:type="dxa"/>
              <w:right w:w="57" w:type="dxa"/>
            </w:tcMar>
            <w:vAlign w:val="center"/>
          </w:tcPr>
          <w:p w14:paraId="53C13F48" w14:textId="77777777" w:rsidR="00A84742" w:rsidRPr="00ED70EF" w:rsidRDefault="00A84742" w:rsidP="00A84742">
            <w:pPr>
              <w:spacing w:after="0"/>
              <w:jc w:val="center"/>
              <w:rPr>
                <w:rFonts w:ascii="Arial Narrow" w:hAnsi="Arial Narrow"/>
                <w:bCs/>
                <w:sz w:val="20"/>
              </w:rPr>
            </w:pPr>
            <w:r w:rsidRPr="00ED70EF">
              <w:rPr>
                <w:rFonts w:ascii="Arial Narrow" w:hAnsi="Arial Narrow"/>
                <w:sz w:val="20"/>
              </w:rPr>
              <w:t>0.85</w:t>
            </w:r>
          </w:p>
        </w:tc>
        <w:tc>
          <w:tcPr>
            <w:tcW w:w="625"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tcPr>
          <w:p w14:paraId="53C13F49" w14:textId="77777777" w:rsidR="00A84742" w:rsidRPr="00ED70EF" w:rsidRDefault="00A84742" w:rsidP="00A84742">
            <w:pPr>
              <w:spacing w:after="0"/>
              <w:jc w:val="center"/>
              <w:rPr>
                <w:rFonts w:ascii="Arial Narrow" w:hAnsi="Arial Narrow"/>
                <w:bCs/>
                <w:sz w:val="20"/>
              </w:rPr>
            </w:pPr>
            <w:r w:rsidRPr="00ED70EF">
              <w:rPr>
                <w:rFonts w:ascii="Arial Narrow" w:hAnsi="Arial Narrow"/>
                <w:sz w:val="20"/>
              </w:rPr>
              <w:t>-0.05</w:t>
            </w:r>
          </w:p>
        </w:tc>
        <w:tc>
          <w:tcPr>
            <w:tcW w:w="626"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tcPr>
          <w:p w14:paraId="53C13F4A" w14:textId="77777777" w:rsidR="00A84742" w:rsidRPr="00ED70EF" w:rsidRDefault="00A84742" w:rsidP="00A84742">
            <w:pPr>
              <w:spacing w:after="0"/>
              <w:jc w:val="center"/>
              <w:rPr>
                <w:rFonts w:ascii="Arial Narrow" w:hAnsi="Arial Narrow"/>
                <w:bCs/>
                <w:sz w:val="20"/>
              </w:rPr>
            </w:pPr>
            <w:r w:rsidRPr="00ED70EF">
              <w:rPr>
                <w:rFonts w:ascii="Arial Narrow" w:hAnsi="Arial Narrow"/>
                <w:sz w:val="20"/>
              </w:rPr>
              <w:t>0.67</w:t>
            </w:r>
          </w:p>
        </w:tc>
        <w:tc>
          <w:tcPr>
            <w:tcW w:w="625"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tcPr>
          <w:p w14:paraId="53C13F4B" w14:textId="77777777" w:rsidR="00A84742" w:rsidRPr="00ED70EF" w:rsidRDefault="00A84742" w:rsidP="00A84742">
            <w:pPr>
              <w:spacing w:after="0"/>
              <w:jc w:val="center"/>
              <w:rPr>
                <w:rFonts w:ascii="Arial Narrow" w:hAnsi="Arial Narrow"/>
                <w:bCs/>
                <w:sz w:val="20"/>
              </w:rPr>
            </w:pPr>
            <w:r w:rsidRPr="00ED70EF">
              <w:rPr>
                <w:rFonts w:ascii="Arial Narrow" w:hAnsi="Arial Narrow"/>
                <w:sz w:val="20"/>
              </w:rPr>
              <w:t>-0.06</w:t>
            </w:r>
          </w:p>
        </w:tc>
        <w:tc>
          <w:tcPr>
            <w:tcW w:w="625"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tcPr>
          <w:p w14:paraId="53C13F4C" w14:textId="77777777" w:rsidR="00A84742" w:rsidRPr="00ED70EF" w:rsidRDefault="00A84742" w:rsidP="00A84742">
            <w:pPr>
              <w:spacing w:after="0"/>
              <w:jc w:val="center"/>
              <w:rPr>
                <w:rFonts w:ascii="Arial Narrow" w:hAnsi="Arial Narrow"/>
                <w:bCs/>
                <w:sz w:val="20"/>
              </w:rPr>
            </w:pPr>
            <w:r w:rsidRPr="00ED70EF">
              <w:rPr>
                <w:rFonts w:ascii="Arial Narrow" w:hAnsi="Arial Narrow"/>
                <w:sz w:val="20"/>
              </w:rPr>
              <w:t>0.61</w:t>
            </w:r>
          </w:p>
        </w:tc>
        <w:tc>
          <w:tcPr>
            <w:tcW w:w="625" w:type="dxa"/>
            <w:tcBorders>
              <w:top w:val="single" w:sz="4" w:space="0" w:color="auto"/>
              <w:left w:val="single" w:sz="4" w:space="0" w:color="auto"/>
              <w:bottom w:val="single" w:sz="4" w:space="0" w:color="auto"/>
              <w:right w:val="single" w:sz="4" w:space="0" w:color="auto"/>
            </w:tcBorders>
            <w:shd w:val="clear" w:color="auto" w:fill="E6B8B7"/>
            <w:noWrap/>
            <w:tcMar>
              <w:left w:w="57" w:type="dxa"/>
              <w:right w:w="57" w:type="dxa"/>
            </w:tcMar>
            <w:vAlign w:val="center"/>
          </w:tcPr>
          <w:p w14:paraId="53C13F4D" w14:textId="77777777" w:rsidR="00A84742" w:rsidRPr="00ED70EF" w:rsidRDefault="00A84742" w:rsidP="00A84742">
            <w:pPr>
              <w:spacing w:after="0"/>
              <w:jc w:val="center"/>
              <w:rPr>
                <w:rFonts w:ascii="Arial Narrow" w:hAnsi="Arial Narrow"/>
                <w:bCs/>
                <w:sz w:val="20"/>
              </w:rPr>
            </w:pPr>
            <w:r w:rsidRPr="00ED70EF">
              <w:rPr>
                <w:rFonts w:ascii="Arial Narrow" w:hAnsi="Arial Narrow"/>
                <w:sz w:val="20"/>
              </w:rPr>
              <w:t>-0.41</w:t>
            </w:r>
          </w:p>
        </w:tc>
        <w:tc>
          <w:tcPr>
            <w:tcW w:w="625" w:type="dxa"/>
            <w:tcBorders>
              <w:top w:val="single" w:sz="4" w:space="0" w:color="auto"/>
              <w:left w:val="single" w:sz="4" w:space="0" w:color="auto"/>
              <w:bottom w:val="single" w:sz="4" w:space="0" w:color="auto"/>
              <w:right w:val="single" w:sz="4" w:space="0" w:color="auto"/>
            </w:tcBorders>
            <w:shd w:val="clear" w:color="auto" w:fill="E6B8B7"/>
            <w:noWrap/>
            <w:tcMar>
              <w:left w:w="57" w:type="dxa"/>
              <w:right w:w="57" w:type="dxa"/>
            </w:tcMar>
            <w:vAlign w:val="center"/>
          </w:tcPr>
          <w:p w14:paraId="53C13F4E" w14:textId="77777777" w:rsidR="00A84742" w:rsidRPr="00ED70EF" w:rsidRDefault="00A84742" w:rsidP="00A84742">
            <w:pPr>
              <w:spacing w:after="0"/>
              <w:jc w:val="center"/>
              <w:rPr>
                <w:rFonts w:ascii="Arial Narrow" w:hAnsi="Arial Narrow"/>
                <w:bCs/>
                <w:sz w:val="20"/>
              </w:rPr>
            </w:pPr>
            <w:r w:rsidRPr="00ED70EF">
              <w:rPr>
                <w:rFonts w:ascii="Arial Narrow" w:hAnsi="Arial Narrow"/>
                <w:sz w:val="20"/>
              </w:rPr>
              <w:t>0.88</w:t>
            </w:r>
          </w:p>
        </w:tc>
        <w:tc>
          <w:tcPr>
            <w:tcW w:w="625" w:type="dxa"/>
            <w:tcBorders>
              <w:top w:val="single" w:sz="4" w:space="0" w:color="auto"/>
              <w:left w:val="single" w:sz="4" w:space="0" w:color="auto"/>
              <w:bottom w:val="single" w:sz="4" w:space="0" w:color="auto"/>
              <w:right w:val="single" w:sz="4" w:space="0" w:color="auto"/>
            </w:tcBorders>
            <w:shd w:val="clear" w:color="000000" w:fill="DA9694"/>
            <w:noWrap/>
            <w:tcMar>
              <w:left w:w="57" w:type="dxa"/>
              <w:right w:w="57" w:type="dxa"/>
            </w:tcMar>
            <w:vAlign w:val="center"/>
          </w:tcPr>
          <w:p w14:paraId="53C13F4F" w14:textId="77777777" w:rsidR="00A84742" w:rsidRPr="00ED70EF" w:rsidRDefault="00A84742" w:rsidP="00A84742">
            <w:pPr>
              <w:spacing w:after="0"/>
              <w:jc w:val="center"/>
              <w:rPr>
                <w:rFonts w:ascii="Arial Narrow" w:hAnsi="Arial Narrow"/>
                <w:bCs/>
                <w:sz w:val="20"/>
              </w:rPr>
            </w:pPr>
            <w:r w:rsidRPr="00ED70EF">
              <w:rPr>
                <w:rFonts w:ascii="Arial Narrow" w:hAnsi="Arial Narrow"/>
                <w:sz w:val="20"/>
              </w:rPr>
              <w:t>-0.42</w:t>
            </w:r>
          </w:p>
        </w:tc>
        <w:tc>
          <w:tcPr>
            <w:tcW w:w="626" w:type="dxa"/>
            <w:tcBorders>
              <w:top w:val="single" w:sz="4" w:space="0" w:color="auto"/>
              <w:left w:val="single" w:sz="4" w:space="0" w:color="auto"/>
              <w:bottom w:val="single" w:sz="4" w:space="0" w:color="auto"/>
              <w:right w:val="single" w:sz="4" w:space="0" w:color="auto"/>
            </w:tcBorders>
            <w:shd w:val="clear" w:color="000000" w:fill="DA9694"/>
            <w:noWrap/>
            <w:tcMar>
              <w:left w:w="57" w:type="dxa"/>
              <w:right w:w="57" w:type="dxa"/>
            </w:tcMar>
            <w:vAlign w:val="center"/>
          </w:tcPr>
          <w:p w14:paraId="53C13F50" w14:textId="77777777" w:rsidR="00A84742" w:rsidRPr="00ED70EF" w:rsidRDefault="00A84742" w:rsidP="00A84742">
            <w:pPr>
              <w:spacing w:after="0"/>
              <w:jc w:val="center"/>
              <w:rPr>
                <w:rFonts w:ascii="Arial Narrow" w:hAnsi="Arial Narrow"/>
                <w:bCs/>
                <w:sz w:val="20"/>
              </w:rPr>
            </w:pPr>
            <w:r w:rsidRPr="00ED70EF">
              <w:rPr>
                <w:rFonts w:ascii="Arial Narrow" w:hAnsi="Arial Narrow"/>
                <w:sz w:val="20"/>
              </w:rPr>
              <w:t>0.98</w:t>
            </w:r>
          </w:p>
        </w:tc>
      </w:tr>
      <w:tr w:rsidR="00CE4E0F" w:rsidRPr="00ED70EF" w14:paraId="53C13F60" w14:textId="77777777" w:rsidTr="004F16D3">
        <w:trPr>
          <w:cantSplit/>
          <w:trHeight w:hRule="exact" w:val="301"/>
        </w:trPr>
        <w:tc>
          <w:tcPr>
            <w:tcW w:w="1074" w:type="dxa"/>
            <w:vMerge/>
            <w:shd w:val="clear" w:color="auto" w:fill="auto"/>
            <w:noWrap/>
            <w:tcMar>
              <w:left w:w="57" w:type="dxa"/>
              <w:right w:w="57" w:type="dxa"/>
            </w:tcMar>
            <w:vAlign w:val="center"/>
          </w:tcPr>
          <w:p w14:paraId="53C13F52" w14:textId="77777777" w:rsidR="00A84742" w:rsidRPr="00ED70EF" w:rsidRDefault="00A84742" w:rsidP="00A84742">
            <w:pPr>
              <w:spacing w:after="0"/>
              <w:jc w:val="right"/>
              <w:rPr>
                <w:rFonts w:ascii="Arial Narrow" w:hAnsi="Arial Narrow"/>
                <w:bCs/>
                <w:sz w:val="20"/>
              </w:rPr>
            </w:pPr>
          </w:p>
        </w:tc>
        <w:tc>
          <w:tcPr>
            <w:tcW w:w="350" w:type="dxa"/>
            <w:shd w:val="clear" w:color="auto" w:fill="auto"/>
            <w:noWrap/>
            <w:tcMar>
              <w:left w:w="57" w:type="dxa"/>
              <w:right w:w="57" w:type="dxa"/>
            </w:tcMar>
            <w:vAlign w:val="center"/>
          </w:tcPr>
          <w:p w14:paraId="53C13F53" w14:textId="77777777" w:rsidR="00A84742" w:rsidRPr="00ED70EF" w:rsidRDefault="00A84742" w:rsidP="00A84742">
            <w:pPr>
              <w:spacing w:after="0"/>
              <w:jc w:val="center"/>
              <w:rPr>
                <w:rFonts w:ascii="Arial Narrow" w:hAnsi="Arial Narrow"/>
                <w:bCs/>
                <w:sz w:val="20"/>
              </w:rPr>
            </w:pPr>
            <w:r w:rsidRPr="00ED70EF">
              <w:rPr>
                <w:rFonts w:ascii="Arial Narrow" w:hAnsi="Arial Narrow"/>
                <w:bCs/>
                <w:sz w:val="20"/>
              </w:rPr>
              <w:t>5</w:t>
            </w:r>
          </w:p>
        </w:tc>
        <w:tc>
          <w:tcPr>
            <w:tcW w:w="625" w:type="dxa"/>
            <w:tcBorders>
              <w:top w:val="single" w:sz="4" w:space="0" w:color="auto"/>
              <w:left w:val="nil"/>
              <w:bottom w:val="single" w:sz="4" w:space="0" w:color="auto"/>
              <w:right w:val="single" w:sz="4" w:space="0" w:color="auto"/>
            </w:tcBorders>
            <w:shd w:val="clear" w:color="auto" w:fill="DA9694"/>
            <w:noWrap/>
            <w:tcMar>
              <w:left w:w="57" w:type="dxa"/>
              <w:right w:w="57" w:type="dxa"/>
            </w:tcMar>
            <w:vAlign w:val="center"/>
          </w:tcPr>
          <w:p w14:paraId="53C13F54" w14:textId="77777777" w:rsidR="00A84742" w:rsidRPr="00ED70EF" w:rsidRDefault="00A84742" w:rsidP="00A84742">
            <w:pPr>
              <w:spacing w:after="0"/>
              <w:jc w:val="center"/>
              <w:rPr>
                <w:rFonts w:ascii="Arial Narrow" w:hAnsi="Arial Narrow"/>
                <w:bCs/>
                <w:sz w:val="20"/>
              </w:rPr>
            </w:pPr>
            <w:r w:rsidRPr="00ED70EF">
              <w:rPr>
                <w:rFonts w:ascii="Arial Narrow" w:hAnsi="Arial Narrow"/>
                <w:sz w:val="20"/>
              </w:rPr>
              <w:t>-0.15</w:t>
            </w:r>
          </w:p>
        </w:tc>
        <w:tc>
          <w:tcPr>
            <w:tcW w:w="625" w:type="dxa"/>
            <w:tcBorders>
              <w:top w:val="single" w:sz="4" w:space="0" w:color="auto"/>
              <w:left w:val="single" w:sz="4" w:space="0" w:color="auto"/>
              <w:bottom w:val="single" w:sz="4" w:space="0" w:color="auto"/>
              <w:right w:val="single" w:sz="4" w:space="0" w:color="auto"/>
            </w:tcBorders>
            <w:shd w:val="clear" w:color="auto" w:fill="DA9694"/>
            <w:noWrap/>
            <w:tcMar>
              <w:left w:w="57" w:type="dxa"/>
              <w:right w:w="57" w:type="dxa"/>
            </w:tcMar>
            <w:vAlign w:val="center"/>
          </w:tcPr>
          <w:p w14:paraId="53C13F55" w14:textId="77777777" w:rsidR="00A84742" w:rsidRPr="00ED70EF" w:rsidRDefault="00A84742" w:rsidP="00A84742">
            <w:pPr>
              <w:spacing w:after="0"/>
              <w:jc w:val="center"/>
              <w:rPr>
                <w:rFonts w:ascii="Arial Narrow" w:hAnsi="Arial Narrow"/>
                <w:bCs/>
                <w:sz w:val="20"/>
              </w:rPr>
            </w:pPr>
            <w:r w:rsidRPr="00ED70EF">
              <w:rPr>
                <w:rFonts w:ascii="Arial Narrow" w:hAnsi="Arial Narrow"/>
                <w:sz w:val="20"/>
              </w:rPr>
              <w:t>0.92</w:t>
            </w:r>
          </w:p>
        </w:tc>
        <w:tc>
          <w:tcPr>
            <w:tcW w:w="625" w:type="dxa"/>
            <w:tcBorders>
              <w:top w:val="single" w:sz="4" w:space="0" w:color="auto"/>
              <w:left w:val="single" w:sz="4" w:space="0" w:color="auto"/>
              <w:bottom w:val="single" w:sz="4" w:space="0" w:color="auto"/>
              <w:right w:val="single" w:sz="4" w:space="0" w:color="auto"/>
            </w:tcBorders>
            <w:shd w:val="clear" w:color="000000" w:fill="DA9694"/>
            <w:noWrap/>
            <w:tcMar>
              <w:left w:w="57" w:type="dxa"/>
              <w:right w:w="57" w:type="dxa"/>
            </w:tcMar>
            <w:vAlign w:val="center"/>
          </w:tcPr>
          <w:p w14:paraId="53C13F56" w14:textId="77777777" w:rsidR="00A84742" w:rsidRPr="00ED70EF" w:rsidRDefault="00A84742" w:rsidP="00A84742">
            <w:pPr>
              <w:spacing w:after="0"/>
              <w:jc w:val="center"/>
              <w:rPr>
                <w:rFonts w:ascii="Arial Narrow" w:hAnsi="Arial Narrow"/>
                <w:bCs/>
                <w:sz w:val="20"/>
              </w:rPr>
            </w:pPr>
            <w:r w:rsidRPr="00ED70EF">
              <w:rPr>
                <w:rFonts w:ascii="Arial Narrow" w:hAnsi="Arial Narrow"/>
                <w:sz w:val="20"/>
              </w:rPr>
              <w:t>-0.28</w:t>
            </w:r>
          </w:p>
        </w:tc>
        <w:tc>
          <w:tcPr>
            <w:tcW w:w="625" w:type="dxa"/>
            <w:tcBorders>
              <w:top w:val="single" w:sz="4" w:space="0" w:color="auto"/>
              <w:left w:val="single" w:sz="4" w:space="0" w:color="auto"/>
              <w:bottom w:val="single" w:sz="4" w:space="0" w:color="auto"/>
              <w:right w:val="single" w:sz="4" w:space="0" w:color="auto"/>
            </w:tcBorders>
            <w:shd w:val="clear" w:color="000000" w:fill="DA9694"/>
            <w:noWrap/>
            <w:tcMar>
              <w:left w:w="57" w:type="dxa"/>
              <w:right w:w="57" w:type="dxa"/>
            </w:tcMar>
            <w:vAlign w:val="center"/>
          </w:tcPr>
          <w:p w14:paraId="53C13F57" w14:textId="77777777" w:rsidR="00A84742" w:rsidRPr="00ED70EF" w:rsidRDefault="00A84742" w:rsidP="00A84742">
            <w:pPr>
              <w:spacing w:after="0"/>
              <w:jc w:val="center"/>
              <w:rPr>
                <w:rFonts w:ascii="Arial Narrow" w:hAnsi="Arial Narrow"/>
                <w:bCs/>
                <w:sz w:val="20"/>
              </w:rPr>
            </w:pPr>
            <w:r w:rsidRPr="00ED70EF">
              <w:rPr>
                <w:rFonts w:ascii="Arial Narrow" w:hAnsi="Arial Narrow"/>
                <w:sz w:val="20"/>
              </w:rPr>
              <w:t>0.93</w:t>
            </w:r>
          </w:p>
        </w:tc>
        <w:tc>
          <w:tcPr>
            <w:tcW w:w="625"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tcPr>
          <w:p w14:paraId="53C13F58" w14:textId="77777777" w:rsidR="00A84742" w:rsidRPr="00ED70EF" w:rsidRDefault="00A84742" w:rsidP="00A84742">
            <w:pPr>
              <w:spacing w:after="0"/>
              <w:jc w:val="center"/>
              <w:rPr>
                <w:rFonts w:ascii="Arial Narrow" w:hAnsi="Arial Narrow"/>
                <w:bCs/>
                <w:sz w:val="20"/>
              </w:rPr>
            </w:pPr>
            <w:r w:rsidRPr="00ED70EF">
              <w:rPr>
                <w:rFonts w:ascii="Arial Narrow" w:hAnsi="Arial Narrow"/>
                <w:sz w:val="20"/>
              </w:rPr>
              <w:t>0</w:t>
            </w:r>
          </w:p>
        </w:tc>
        <w:tc>
          <w:tcPr>
            <w:tcW w:w="626"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tcPr>
          <w:p w14:paraId="53C13F59" w14:textId="77777777" w:rsidR="00A84742" w:rsidRPr="00ED70EF" w:rsidRDefault="00A84742" w:rsidP="00A84742">
            <w:pPr>
              <w:spacing w:after="0"/>
              <w:jc w:val="center"/>
              <w:rPr>
                <w:rFonts w:ascii="Arial Narrow" w:hAnsi="Arial Narrow"/>
                <w:bCs/>
                <w:sz w:val="20"/>
              </w:rPr>
            </w:pPr>
            <w:r w:rsidRPr="00ED70EF">
              <w:rPr>
                <w:rFonts w:ascii="Arial Narrow" w:hAnsi="Arial Narrow"/>
                <w:sz w:val="20"/>
              </w:rPr>
              <w:t>NA</w:t>
            </w:r>
          </w:p>
        </w:tc>
        <w:tc>
          <w:tcPr>
            <w:tcW w:w="625"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tcPr>
          <w:p w14:paraId="53C13F5A" w14:textId="77777777" w:rsidR="00A84742" w:rsidRPr="00ED70EF" w:rsidRDefault="00A84742" w:rsidP="00A84742">
            <w:pPr>
              <w:spacing w:after="0"/>
              <w:jc w:val="center"/>
              <w:rPr>
                <w:rFonts w:ascii="Arial Narrow" w:hAnsi="Arial Narrow"/>
                <w:bCs/>
                <w:sz w:val="20"/>
              </w:rPr>
            </w:pPr>
            <w:r w:rsidRPr="00ED70EF">
              <w:rPr>
                <w:rFonts w:ascii="Arial Narrow" w:hAnsi="Arial Narrow"/>
                <w:sz w:val="20"/>
              </w:rPr>
              <w:t>0.02</w:t>
            </w:r>
          </w:p>
        </w:tc>
        <w:tc>
          <w:tcPr>
            <w:tcW w:w="625"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tcPr>
          <w:p w14:paraId="53C13F5B" w14:textId="77777777" w:rsidR="00A84742" w:rsidRPr="00ED70EF" w:rsidRDefault="00A84742" w:rsidP="00A84742">
            <w:pPr>
              <w:spacing w:after="0"/>
              <w:jc w:val="center"/>
              <w:rPr>
                <w:rFonts w:ascii="Arial Narrow" w:hAnsi="Arial Narrow"/>
                <w:bCs/>
                <w:sz w:val="20"/>
              </w:rPr>
            </w:pPr>
            <w:r w:rsidRPr="00ED70EF">
              <w:rPr>
                <w:rFonts w:ascii="Arial Narrow" w:hAnsi="Arial Narrow"/>
                <w:sz w:val="20"/>
              </w:rPr>
              <w:t>0.57</w:t>
            </w:r>
          </w:p>
        </w:tc>
        <w:tc>
          <w:tcPr>
            <w:tcW w:w="625"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Mar>
              <w:left w:w="57" w:type="dxa"/>
              <w:right w:w="57" w:type="dxa"/>
            </w:tcMar>
            <w:vAlign w:val="center"/>
          </w:tcPr>
          <w:p w14:paraId="53C13F5C" w14:textId="77777777" w:rsidR="00A84742" w:rsidRPr="00ED70EF" w:rsidRDefault="00A84742" w:rsidP="00A84742">
            <w:pPr>
              <w:spacing w:after="0"/>
              <w:jc w:val="center"/>
              <w:rPr>
                <w:rFonts w:ascii="Arial Narrow" w:hAnsi="Arial Narrow"/>
                <w:bCs/>
                <w:sz w:val="20"/>
              </w:rPr>
            </w:pPr>
            <w:r w:rsidRPr="00ED70EF">
              <w:rPr>
                <w:rFonts w:ascii="Arial Narrow" w:hAnsi="Arial Narrow"/>
                <w:sz w:val="20"/>
              </w:rPr>
              <w:t>-0.13</w:t>
            </w:r>
          </w:p>
        </w:tc>
        <w:tc>
          <w:tcPr>
            <w:tcW w:w="625" w:type="dxa"/>
            <w:tcBorders>
              <w:top w:val="single" w:sz="4" w:space="0" w:color="auto"/>
              <w:left w:val="single" w:sz="4" w:space="0" w:color="auto"/>
              <w:bottom w:val="single" w:sz="4" w:space="0" w:color="auto"/>
              <w:right w:val="single" w:sz="4" w:space="0" w:color="auto"/>
            </w:tcBorders>
            <w:shd w:val="clear" w:color="auto" w:fill="F2DBDB" w:themeFill="accent2" w:themeFillTint="33"/>
            <w:noWrap/>
            <w:tcMar>
              <w:left w:w="57" w:type="dxa"/>
              <w:right w:w="57" w:type="dxa"/>
            </w:tcMar>
            <w:vAlign w:val="center"/>
          </w:tcPr>
          <w:p w14:paraId="53C13F5D" w14:textId="77777777" w:rsidR="00A84742" w:rsidRPr="00ED70EF" w:rsidRDefault="00A84742" w:rsidP="00A84742">
            <w:pPr>
              <w:spacing w:after="0"/>
              <w:jc w:val="center"/>
              <w:rPr>
                <w:rFonts w:ascii="Arial Narrow" w:hAnsi="Arial Narrow"/>
                <w:bCs/>
                <w:sz w:val="20"/>
              </w:rPr>
            </w:pPr>
            <w:r w:rsidRPr="00ED70EF">
              <w:rPr>
                <w:rFonts w:ascii="Arial Narrow" w:hAnsi="Arial Narrow"/>
                <w:sz w:val="20"/>
              </w:rPr>
              <w:t>0.72</w:t>
            </w:r>
          </w:p>
        </w:tc>
        <w:tc>
          <w:tcPr>
            <w:tcW w:w="625" w:type="dxa"/>
            <w:tcBorders>
              <w:top w:val="single" w:sz="4" w:space="0" w:color="auto"/>
              <w:left w:val="single" w:sz="4" w:space="0" w:color="auto"/>
              <w:bottom w:val="single" w:sz="4" w:space="0" w:color="auto"/>
              <w:right w:val="single" w:sz="4" w:space="0" w:color="auto"/>
            </w:tcBorders>
            <w:shd w:val="clear" w:color="auto" w:fill="D99594" w:themeFill="accent2" w:themeFillTint="99"/>
            <w:noWrap/>
            <w:tcMar>
              <w:left w:w="57" w:type="dxa"/>
              <w:right w:w="57" w:type="dxa"/>
            </w:tcMar>
            <w:vAlign w:val="center"/>
          </w:tcPr>
          <w:p w14:paraId="53C13F5E" w14:textId="77777777" w:rsidR="00A84742" w:rsidRPr="00ED70EF" w:rsidRDefault="00A84742" w:rsidP="00A84742">
            <w:pPr>
              <w:spacing w:after="0"/>
              <w:jc w:val="center"/>
              <w:rPr>
                <w:rFonts w:ascii="Arial Narrow" w:hAnsi="Arial Narrow"/>
                <w:bCs/>
                <w:sz w:val="20"/>
              </w:rPr>
            </w:pPr>
            <w:r w:rsidRPr="00ED70EF">
              <w:rPr>
                <w:rFonts w:ascii="Arial Narrow" w:hAnsi="Arial Narrow"/>
                <w:sz w:val="20"/>
              </w:rPr>
              <w:t>-0.33</w:t>
            </w:r>
          </w:p>
        </w:tc>
        <w:tc>
          <w:tcPr>
            <w:tcW w:w="626" w:type="dxa"/>
            <w:tcBorders>
              <w:top w:val="single" w:sz="4" w:space="0" w:color="auto"/>
              <w:left w:val="single" w:sz="4" w:space="0" w:color="auto"/>
              <w:bottom w:val="single" w:sz="4" w:space="0" w:color="auto"/>
              <w:right w:val="single" w:sz="4" w:space="0" w:color="auto"/>
            </w:tcBorders>
            <w:shd w:val="clear" w:color="auto" w:fill="D99594" w:themeFill="accent2" w:themeFillTint="99"/>
            <w:noWrap/>
            <w:tcMar>
              <w:left w:w="57" w:type="dxa"/>
              <w:right w:w="57" w:type="dxa"/>
            </w:tcMar>
            <w:vAlign w:val="center"/>
          </w:tcPr>
          <w:p w14:paraId="53C13F5F" w14:textId="77777777" w:rsidR="00A84742" w:rsidRPr="00ED70EF" w:rsidRDefault="00A84742" w:rsidP="00A84742">
            <w:pPr>
              <w:spacing w:after="0"/>
              <w:jc w:val="center"/>
              <w:rPr>
                <w:rFonts w:ascii="Arial Narrow" w:hAnsi="Arial Narrow"/>
                <w:bCs/>
                <w:sz w:val="20"/>
              </w:rPr>
            </w:pPr>
            <w:r w:rsidRPr="00ED70EF">
              <w:rPr>
                <w:rFonts w:ascii="Arial Narrow" w:hAnsi="Arial Narrow"/>
                <w:sz w:val="20"/>
              </w:rPr>
              <w:t>0.90</w:t>
            </w:r>
          </w:p>
        </w:tc>
      </w:tr>
      <w:tr w:rsidR="00ED70EF" w:rsidRPr="00ED70EF" w14:paraId="53C13F6F" w14:textId="77777777" w:rsidTr="00ED70EF">
        <w:trPr>
          <w:cantSplit/>
          <w:trHeight w:hRule="exact" w:val="301"/>
        </w:trPr>
        <w:tc>
          <w:tcPr>
            <w:tcW w:w="1074" w:type="dxa"/>
            <w:vMerge w:val="restart"/>
            <w:shd w:val="clear" w:color="auto" w:fill="auto"/>
            <w:noWrap/>
            <w:tcMar>
              <w:left w:w="57" w:type="dxa"/>
              <w:right w:w="57" w:type="dxa"/>
            </w:tcMar>
            <w:vAlign w:val="center"/>
          </w:tcPr>
          <w:p w14:paraId="53C13F61" w14:textId="77777777" w:rsidR="00FC286E" w:rsidRPr="00ED70EF" w:rsidRDefault="00FC286E" w:rsidP="00FC286E">
            <w:pPr>
              <w:spacing w:after="0"/>
              <w:rPr>
                <w:rFonts w:ascii="Arial Narrow" w:hAnsi="Arial Narrow"/>
                <w:bCs/>
                <w:sz w:val="20"/>
              </w:rPr>
            </w:pPr>
            <w:r w:rsidRPr="00ED70EF">
              <w:rPr>
                <w:rFonts w:ascii="Arial Narrow" w:hAnsi="Arial Narrow"/>
                <w:bCs/>
                <w:sz w:val="20"/>
              </w:rPr>
              <w:t>2014 to 201</w:t>
            </w:r>
            <w:r w:rsidR="00601979">
              <w:rPr>
                <w:rFonts w:ascii="Arial Narrow" w:hAnsi="Arial Narrow"/>
                <w:bCs/>
                <w:sz w:val="20"/>
              </w:rPr>
              <w:t>9</w:t>
            </w:r>
          </w:p>
        </w:tc>
        <w:tc>
          <w:tcPr>
            <w:tcW w:w="350" w:type="dxa"/>
            <w:shd w:val="clear" w:color="auto" w:fill="auto"/>
            <w:noWrap/>
            <w:tcMar>
              <w:left w:w="57" w:type="dxa"/>
              <w:right w:w="57" w:type="dxa"/>
            </w:tcMar>
            <w:vAlign w:val="center"/>
          </w:tcPr>
          <w:p w14:paraId="53C13F62" w14:textId="77777777" w:rsidR="00FC286E" w:rsidRPr="00ED70EF" w:rsidRDefault="00FC286E" w:rsidP="00FC286E">
            <w:pPr>
              <w:spacing w:after="0"/>
              <w:jc w:val="center"/>
              <w:rPr>
                <w:rFonts w:ascii="Arial Narrow" w:hAnsi="Arial Narrow"/>
                <w:bCs/>
                <w:sz w:val="20"/>
              </w:rPr>
            </w:pPr>
            <w:r w:rsidRPr="00ED70EF">
              <w:rPr>
                <w:rFonts w:ascii="Arial Narrow" w:hAnsi="Arial Narrow"/>
                <w:bCs/>
                <w:sz w:val="20"/>
              </w:rPr>
              <w:t>2</w:t>
            </w:r>
          </w:p>
        </w:tc>
        <w:tc>
          <w:tcPr>
            <w:tcW w:w="625" w:type="dxa"/>
            <w:tcBorders>
              <w:top w:val="single" w:sz="4" w:space="0" w:color="auto"/>
              <w:left w:val="nil"/>
              <w:bottom w:val="single" w:sz="4" w:space="0" w:color="auto"/>
              <w:right w:val="single" w:sz="4" w:space="0" w:color="auto"/>
            </w:tcBorders>
            <w:shd w:val="clear" w:color="auto" w:fill="538DD5"/>
            <w:noWrap/>
            <w:tcMar>
              <w:left w:w="57" w:type="dxa"/>
              <w:right w:w="57" w:type="dxa"/>
            </w:tcMar>
          </w:tcPr>
          <w:p w14:paraId="53C13F63" w14:textId="77777777" w:rsidR="00FC286E" w:rsidRPr="00ED70EF" w:rsidRDefault="00FC286E" w:rsidP="00FC286E">
            <w:pPr>
              <w:spacing w:after="0"/>
              <w:jc w:val="center"/>
              <w:rPr>
                <w:rFonts w:ascii="Arial Narrow" w:hAnsi="Arial Narrow"/>
                <w:bCs/>
                <w:sz w:val="20"/>
                <w:szCs w:val="20"/>
              </w:rPr>
            </w:pPr>
            <w:r w:rsidRPr="00ED70EF">
              <w:rPr>
                <w:rFonts w:ascii="Arial Narrow" w:hAnsi="Arial Narrow"/>
                <w:sz w:val="20"/>
                <w:szCs w:val="20"/>
              </w:rPr>
              <w:t>0.18</w:t>
            </w:r>
          </w:p>
        </w:tc>
        <w:tc>
          <w:tcPr>
            <w:tcW w:w="625" w:type="dxa"/>
            <w:tcBorders>
              <w:top w:val="single" w:sz="4" w:space="0" w:color="auto"/>
              <w:left w:val="single" w:sz="4" w:space="0" w:color="auto"/>
              <w:bottom w:val="single" w:sz="4" w:space="0" w:color="auto"/>
              <w:right w:val="single" w:sz="4" w:space="0" w:color="auto"/>
            </w:tcBorders>
            <w:shd w:val="clear" w:color="auto" w:fill="538DD5"/>
            <w:noWrap/>
            <w:tcMar>
              <w:left w:w="57" w:type="dxa"/>
              <w:right w:w="57" w:type="dxa"/>
            </w:tcMar>
          </w:tcPr>
          <w:p w14:paraId="53C13F64" w14:textId="77777777" w:rsidR="00FC286E" w:rsidRPr="00ED70EF" w:rsidRDefault="00FC286E" w:rsidP="00FC286E">
            <w:pPr>
              <w:spacing w:after="0"/>
              <w:jc w:val="center"/>
              <w:rPr>
                <w:rFonts w:ascii="Arial Narrow" w:hAnsi="Arial Narrow"/>
                <w:bCs/>
                <w:sz w:val="20"/>
                <w:szCs w:val="20"/>
              </w:rPr>
            </w:pPr>
            <w:r w:rsidRPr="00ED70EF">
              <w:rPr>
                <w:rFonts w:ascii="Arial Narrow" w:hAnsi="Arial Narrow"/>
                <w:sz w:val="20"/>
                <w:szCs w:val="20"/>
              </w:rPr>
              <w:t>1.00</w:t>
            </w:r>
          </w:p>
        </w:tc>
        <w:tc>
          <w:tcPr>
            <w:tcW w:w="625" w:type="dxa"/>
            <w:tcBorders>
              <w:top w:val="single" w:sz="4" w:space="0" w:color="auto"/>
              <w:left w:val="single" w:sz="4" w:space="0" w:color="auto"/>
              <w:bottom w:val="single" w:sz="4" w:space="0" w:color="auto"/>
              <w:right w:val="single" w:sz="4" w:space="0" w:color="auto"/>
            </w:tcBorders>
            <w:shd w:val="clear" w:color="auto" w:fill="8DB3E2"/>
            <w:noWrap/>
            <w:tcMar>
              <w:left w:w="57" w:type="dxa"/>
              <w:right w:w="57" w:type="dxa"/>
            </w:tcMar>
          </w:tcPr>
          <w:p w14:paraId="53C13F65" w14:textId="77777777" w:rsidR="00FC286E" w:rsidRPr="00ED70EF" w:rsidRDefault="00FC286E" w:rsidP="00FC286E">
            <w:pPr>
              <w:jc w:val="center"/>
              <w:rPr>
                <w:rFonts w:ascii="Arial Narrow" w:hAnsi="Arial Narrow"/>
                <w:sz w:val="20"/>
                <w:szCs w:val="20"/>
              </w:rPr>
            </w:pPr>
            <w:r w:rsidRPr="00ED70EF">
              <w:rPr>
                <w:rFonts w:ascii="Arial Narrow" w:hAnsi="Arial Narrow"/>
                <w:sz w:val="20"/>
                <w:szCs w:val="20"/>
              </w:rPr>
              <w:t>0.13</w:t>
            </w:r>
          </w:p>
        </w:tc>
        <w:tc>
          <w:tcPr>
            <w:tcW w:w="625" w:type="dxa"/>
            <w:tcBorders>
              <w:top w:val="single" w:sz="4" w:space="0" w:color="auto"/>
              <w:left w:val="single" w:sz="4" w:space="0" w:color="auto"/>
              <w:bottom w:val="single" w:sz="4" w:space="0" w:color="auto"/>
              <w:right w:val="single" w:sz="4" w:space="0" w:color="auto"/>
            </w:tcBorders>
            <w:shd w:val="clear" w:color="auto" w:fill="8DB3E2"/>
            <w:noWrap/>
            <w:tcMar>
              <w:left w:w="57" w:type="dxa"/>
              <w:right w:w="57" w:type="dxa"/>
            </w:tcMar>
          </w:tcPr>
          <w:p w14:paraId="53C13F66" w14:textId="77777777" w:rsidR="00FC286E" w:rsidRPr="00ED70EF" w:rsidRDefault="00FC286E" w:rsidP="00FC286E">
            <w:pPr>
              <w:jc w:val="center"/>
              <w:rPr>
                <w:rFonts w:ascii="Arial Narrow" w:hAnsi="Arial Narrow"/>
                <w:sz w:val="20"/>
                <w:szCs w:val="20"/>
              </w:rPr>
            </w:pPr>
            <w:r w:rsidRPr="00ED70EF">
              <w:rPr>
                <w:rFonts w:ascii="Arial Narrow" w:hAnsi="Arial Narrow"/>
                <w:sz w:val="20"/>
                <w:szCs w:val="20"/>
              </w:rPr>
              <w:t>0.89</w:t>
            </w:r>
          </w:p>
        </w:tc>
        <w:tc>
          <w:tcPr>
            <w:tcW w:w="625" w:type="dxa"/>
            <w:tcBorders>
              <w:top w:val="single" w:sz="4" w:space="0" w:color="auto"/>
              <w:left w:val="single" w:sz="4" w:space="0" w:color="auto"/>
              <w:bottom w:val="single" w:sz="4" w:space="0" w:color="auto"/>
              <w:right w:val="single" w:sz="4" w:space="0" w:color="auto"/>
            </w:tcBorders>
            <w:shd w:val="clear" w:color="auto" w:fill="C6D9F1" w:themeFill="text2" w:themeFillTint="33"/>
            <w:noWrap/>
            <w:tcMar>
              <w:left w:w="57" w:type="dxa"/>
              <w:right w:w="57" w:type="dxa"/>
            </w:tcMar>
          </w:tcPr>
          <w:p w14:paraId="53C13F67" w14:textId="77777777" w:rsidR="00FC286E" w:rsidRPr="00ED70EF" w:rsidRDefault="00FC286E" w:rsidP="00FC286E">
            <w:pPr>
              <w:jc w:val="center"/>
              <w:rPr>
                <w:rFonts w:ascii="Arial Narrow" w:hAnsi="Arial Narrow"/>
                <w:sz w:val="20"/>
                <w:szCs w:val="20"/>
              </w:rPr>
            </w:pPr>
            <w:r w:rsidRPr="00ED70EF">
              <w:rPr>
                <w:rFonts w:ascii="Arial Narrow" w:hAnsi="Arial Narrow"/>
                <w:sz w:val="20"/>
                <w:szCs w:val="20"/>
              </w:rPr>
              <w:t>0.09</w:t>
            </w:r>
          </w:p>
        </w:tc>
        <w:tc>
          <w:tcPr>
            <w:tcW w:w="626" w:type="dxa"/>
            <w:tcBorders>
              <w:top w:val="single" w:sz="4" w:space="0" w:color="auto"/>
              <w:left w:val="single" w:sz="4" w:space="0" w:color="auto"/>
              <w:bottom w:val="single" w:sz="4" w:space="0" w:color="auto"/>
              <w:right w:val="single" w:sz="4" w:space="0" w:color="auto"/>
            </w:tcBorders>
            <w:shd w:val="clear" w:color="auto" w:fill="C6D9F1" w:themeFill="text2" w:themeFillTint="33"/>
            <w:noWrap/>
            <w:tcMar>
              <w:left w:w="57" w:type="dxa"/>
              <w:right w:w="57" w:type="dxa"/>
            </w:tcMar>
          </w:tcPr>
          <w:p w14:paraId="53C13F68" w14:textId="77777777" w:rsidR="00FC286E" w:rsidRPr="00ED70EF" w:rsidRDefault="00FC286E" w:rsidP="00FC286E">
            <w:pPr>
              <w:jc w:val="center"/>
              <w:rPr>
                <w:rFonts w:ascii="Arial Narrow" w:hAnsi="Arial Narrow"/>
                <w:sz w:val="20"/>
                <w:szCs w:val="20"/>
              </w:rPr>
            </w:pPr>
            <w:r w:rsidRPr="00ED70EF">
              <w:rPr>
                <w:rFonts w:ascii="Arial Narrow" w:hAnsi="Arial Narrow"/>
                <w:sz w:val="20"/>
                <w:szCs w:val="20"/>
              </w:rPr>
              <w:t>0.74</w:t>
            </w:r>
          </w:p>
        </w:tc>
        <w:tc>
          <w:tcPr>
            <w:tcW w:w="625" w:type="dxa"/>
            <w:tcBorders>
              <w:top w:val="single" w:sz="4" w:space="0" w:color="auto"/>
              <w:left w:val="single" w:sz="4" w:space="0" w:color="auto"/>
              <w:bottom w:val="single" w:sz="4" w:space="0" w:color="auto"/>
              <w:right w:val="single" w:sz="4" w:space="0" w:color="auto"/>
            </w:tcBorders>
            <w:shd w:val="clear" w:color="auto" w:fill="8DB3E2" w:themeFill="text2" w:themeFillTint="66"/>
            <w:noWrap/>
            <w:tcMar>
              <w:left w:w="57" w:type="dxa"/>
              <w:right w:w="57" w:type="dxa"/>
            </w:tcMar>
          </w:tcPr>
          <w:p w14:paraId="53C13F69" w14:textId="77777777" w:rsidR="00FC286E" w:rsidRPr="00ED70EF" w:rsidRDefault="00FC286E" w:rsidP="00FC286E">
            <w:pPr>
              <w:jc w:val="center"/>
              <w:rPr>
                <w:rFonts w:ascii="Arial Narrow" w:hAnsi="Arial Narrow"/>
                <w:sz w:val="20"/>
                <w:szCs w:val="20"/>
              </w:rPr>
            </w:pPr>
            <w:r w:rsidRPr="00ED70EF">
              <w:rPr>
                <w:rFonts w:ascii="Arial Narrow" w:hAnsi="Arial Narrow"/>
                <w:sz w:val="20"/>
                <w:szCs w:val="20"/>
              </w:rPr>
              <w:t>0.23</w:t>
            </w:r>
          </w:p>
        </w:tc>
        <w:tc>
          <w:tcPr>
            <w:tcW w:w="625" w:type="dxa"/>
            <w:tcBorders>
              <w:top w:val="single" w:sz="4" w:space="0" w:color="auto"/>
              <w:left w:val="single" w:sz="4" w:space="0" w:color="auto"/>
              <w:bottom w:val="single" w:sz="4" w:space="0" w:color="auto"/>
              <w:right w:val="single" w:sz="4" w:space="0" w:color="auto"/>
            </w:tcBorders>
            <w:shd w:val="clear" w:color="auto" w:fill="8DB3E2" w:themeFill="text2" w:themeFillTint="66"/>
            <w:noWrap/>
            <w:tcMar>
              <w:left w:w="57" w:type="dxa"/>
              <w:right w:w="57" w:type="dxa"/>
            </w:tcMar>
          </w:tcPr>
          <w:p w14:paraId="53C13F6A" w14:textId="77777777" w:rsidR="00FC286E" w:rsidRPr="00ED70EF" w:rsidRDefault="00FC286E" w:rsidP="00FC286E">
            <w:pPr>
              <w:jc w:val="center"/>
              <w:rPr>
                <w:rFonts w:ascii="Arial Narrow" w:hAnsi="Arial Narrow"/>
                <w:sz w:val="20"/>
                <w:szCs w:val="20"/>
              </w:rPr>
            </w:pPr>
            <w:r w:rsidRPr="00ED70EF">
              <w:rPr>
                <w:rFonts w:ascii="Arial Narrow" w:hAnsi="Arial Narrow"/>
                <w:sz w:val="20"/>
                <w:szCs w:val="20"/>
              </w:rPr>
              <w:t>0.84</w:t>
            </w:r>
          </w:p>
        </w:tc>
        <w:tc>
          <w:tcPr>
            <w:tcW w:w="625" w:type="dxa"/>
            <w:tcBorders>
              <w:top w:val="single" w:sz="4" w:space="0" w:color="auto"/>
              <w:left w:val="single" w:sz="4" w:space="0" w:color="auto"/>
              <w:bottom w:val="single" w:sz="4" w:space="0" w:color="auto"/>
              <w:right w:val="single" w:sz="4" w:space="0" w:color="auto"/>
            </w:tcBorders>
            <w:shd w:val="clear" w:color="auto" w:fill="C6D9F1"/>
            <w:noWrap/>
            <w:tcMar>
              <w:left w:w="57" w:type="dxa"/>
              <w:right w:w="57" w:type="dxa"/>
            </w:tcMar>
          </w:tcPr>
          <w:p w14:paraId="53C13F6B" w14:textId="77777777" w:rsidR="00FC286E" w:rsidRPr="00ED70EF" w:rsidRDefault="00FC286E" w:rsidP="00FC286E">
            <w:pPr>
              <w:jc w:val="center"/>
              <w:rPr>
                <w:rFonts w:ascii="Arial Narrow" w:hAnsi="Arial Narrow"/>
                <w:sz w:val="20"/>
                <w:szCs w:val="20"/>
              </w:rPr>
            </w:pPr>
            <w:r w:rsidRPr="00ED70EF">
              <w:rPr>
                <w:rFonts w:ascii="Arial Narrow" w:hAnsi="Arial Narrow"/>
                <w:sz w:val="20"/>
                <w:szCs w:val="20"/>
              </w:rPr>
              <w:t>0.20</w:t>
            </w:r>
          </w:p>
        </w:tc>
        <w:tc>
          <w:tcPr>
            <w:tcW w:w="625" w:type="dxa"/>
            <w:tcBorders>
              <w:top w:val="single" w:sz="4" w:space="0" w:color="auto"/>
              <w:left w:val="single" w:sz="4" w:space="0" w:color="auto"/>
              <w:bottom w:val="single" w:sz="4" w:space="0" w:color="auto"/>
              <w:right w:val="single" w:sz="4" w:space="0" w:color="auto"/>
            </w:tcBorders>
            <w:shd w:val="clear" w:color="auto" w:fill="C6D9F1"/>
            <w:noWrap/>
            <w:tcMar>
              <w:left w:w="57" w:type="dxa"/>
              <w:right w:w="57" w:type="dxa"/>
            </w:tcMar>
          </w:tcPr>
          <w:p w14:paraId="53C13F6C" w14:textId="77777777" w:rsidR="00FC286E" w:rsidRPr="00ED70EF" w:rsidRDefault="00FC286E" w:rsidP="00FC286E">
            <w:pPr>
              <w:jc w:val="center"/>
              <w:rPr>
                <w:rFonts w:ascii="Arial Narrow" w:hAnsi="Arial Narrow"/>
                <w:sz w:val="20"/>
                <w:szCs w:val="20"/>
              </w:rPr>
            </w:pPr>
            <w:r w:rsidRPr="00ED70EF">
              <w:rPr>
                <w:rFonts w:ascii="Arial Narrow" w:hAnsi="Arial Narrow"/>
                <w:sz w:val="20"/>
                <w:szCs w:val="20"/>
              </w:rPr>
              <w:t>0.75</w:t>
            </w:r>
          </w:p>
        </w:tc>
        <w:tc>
          <w:tcPr>
            <w:tcW w:w="625" w:type="dxa"/>
            <w:tcBorders>
              <w:top w:val="single" w:sz="4" w:space="0" w:color="auto"/>
              <w:left w:val="single" w:sz="4" w:space="0" w:color="auto"/>
              <w:bottom w:val="single" w:sz="4" w:space="0" w:color="auto"/>
              <w:right w:val="single" w:sz="4" w:space="0" w:color="auto"/>
            </w:tcBorders>
            <w:shd w:val="clear" w:color="auto" w:fill="C6D9F1"/>
            <w:noWrap/>
            <w:tcMar>
              <w:left w:w="57" w:type="dxa"/>
              <w:right w:w="57" w:type="dxa"/>
            </w:tcMar>
          </w:tcPr>
          <w:p w14:paraId="53C13F6D" w14:textId="77777777" w:rsidR="00FC286E" w:rsidRPr="00ED70EF" w:rsidRDefault="00FC286E" w:rsidP="00FC286E">
            <w:pPr>
              <w:jc w:val="center"/>
              <w:rPr>
                <w:rFonts w:ascii="Arial Narrow" w:hAnsi="Arial Narrow"/>
                <w:sz w:val="20"/>
                <w:szCs w:val="20"/>
              </w:rPr>
            </w:pPr>
            <w:r w:rsidRPr="00ED70EF">
              <w:rPr>
                <w:rFonts w:ascii="Arial Narrow" w:hAnsi="Arial Narrow"/>
                <w:sz w:val="20"/>
                <w:szCs w:val="20"/>
              </w:rPr>
              <w:t>0.25</w:t>
            </w:r>
          </w:p>
        </w:tc>
        <w:tc>
          <w:tcPr>
            <w:tcW w:w="626" w:type="dxa"/>
            <w:tcBorders>
              <w:top w:val="single" w:sz="4" w:space="0" w:color="auto"/>
              <w:left w:val="single" w:sz="4" w:space="0" w:color="auto"/>
              <w:bottom w:val="single" w:sz="4" w:space="0" w:color="auto"/>
              <w:right w:val="single" w:sz="4" w:space="0" w:color="auto"/>
            </w:tcBorders>
            <w:shd w:val="clear" w:color="auto" w:fill="C6D9F1"/>
            <w:noWrap/>
            <w:tcMar>
              <w:left w:w="57" w:type="dxa"/>
              <w:right w:w="57" w:type="dxa"/>
            </w:tcMar>
          </w:tcPr>
          <w:p w14:paraId="53C13F6E" w14:textId="77777777" w:rsidR="00FC286E" w:rsidRPr="00ED70EF" w:rsidRDefault="00FC286E" w:rsidP="00FC286E">
            <w:pPr>
              <w:jc w:val="center"/>
              <w:rPr>
                <w:rFonts w:ascii="Arial Narrow" w:hAnsi="Arial Narrow"/>
                <w:sz w:val="20"/>
                <w:szCs w:val="20"/>
              </w:rPr>
            </w:pPr>
            <w:r w:rsidRPr="00ED70EF">
              <w:rPr>
                <w:rFonts w:ascii="Arial Narrow" w:hAnsi="Arial Narrow"/>
                <w:sz w:val="20"/>
                <w:szCs w:val="20"/>
              </w:rPr>
              <w:t>0.74</w:t>
            </w:r>
          </w:p>
        </w:tc>
      </w:tr>
      <w:tr w:rsidR="00ED70EF" w:rsidRPr="00ED70EF" w14:paraId="53C13F7E" w14:textId="77777777" w:rsidTr="00ED70EF">
        <w:trPr>
          <w:cantSplit/>
          <w:trHeight w:hRule="exact" w:val="301"/>
        </w:trPr>
        <w:tc>
          <w:tcPr>
            <w:tcW w:w="1074" w:type="dxa"/>
            <w:vMerge/>
            <w:shd w:val="clear" w:color="auto" w:fill="auto"/>
            <w:noWrap/>
            <w:tcMar>
              <w:left w:w="57" w:type="dxa"/>
              <w:right w:w="57" w:type="dxa"/>
            </w:tcMar>
            <w:vAlign w:val="center"/>
          </w:tcPr>
          <w:p w14:paraId="53C13F70" w14:textId="77777777" w:rsidR="00FC286E" w:rsidRPr="00ED70EF" w:rsidRDefault="00FC286E" w:rsidP="00FC286E">
            <w:pPr>
              <w:spacing w:after="0"/>
              <w:jc w:val="right"/>
              <w:rPr>
                <w:rFonts w:ascii="Arial Narrow" w:hAnsi="Arial Narrow"/>
                <w:bCs/>
                <w:sz w:val="20"/>
              </w:rPr>
            </w:pPr>
          </w:p>
        </w:tc>
        <w:tc>
          <w:tcPr>
            <w:tcW w:w="350" w:type="dxa"/>
            <w:shd w:val="clear" w:color="auto" w:fill="auto"/>
            <w:noWrap/>
            <w:tcMar>
              <w:left w:w="57" w:type="dxa"/>
              <w:right w:w="57" w:type="dxa"/>
            </w:tcMar>
            <w:vAlign w:val="center"/>
          </w:tcPr>
          <w:p w14:paraId="53C13F71" w14:textId="77777777" w:rsidR="00FC286E" w:rsidRPr="00ED70EF" w:rsidRDefault="00FC286E" w:rsidP="00FC286E">
            <w:pPr>
              <w:spacing w:after="0"/>
              <w:jc w:val="center"/>
              <w:rPr>
                <w:rFonts w:ascii="Arial Narrow" w:hAnsi="Arial Narrow"/>
                <w:bCs/>
                <w:sz w:val="20"/>
              </w:rPr>
            </w:pPr>
            <w:r w:rsidRPr="00ED70EF">
              <w:rPr>
                <w:rFonts w:ascii="Arial Narrow" w:hAnsi="Arial Narrow"/>
                <w:bCs/>
                <w:sz w:val="20"/>
              </w:rPr>
              <w:t>5</w:t>
            </w:r>
          </w:p>
        </w:tc>
        <w:tc>
          <w:tcPr>
            <w:tcW w:w="625" w:type="dxa"/>
            <w:tcBorders>
              <w:top w:val="single" w:sz="4" w:space="0" w:color="auto"/>
              <w:left w:val="nil"/>
              <w:bottom w:val="single" w:sz="4" w:space="0" w:color="auto"/>
              <w:right w:val="single" w:sz="4" w:space="0" w:color="auto"/>
            </w:tcBorders>
            <w:shd w:val="clear" w:color="auto" w:fill="538DD5"/>
            <w:noWrap/>
            <w:tcMar>
              <w:left w:w="57" w:type="dxa"/>
              <w:right w:w="57" w:type="dxa"/>
            </w:tcMar>
          </w:tcPr>
          <w:p w14:paraId="53C13F72" w14:textId="77777777" w:rsidR="00FC286E" w:rsidRPr="00ED70EF" w:rsidRDefault="00FC286E" w:rsidP="00FC286E">
            <w:pPr>
              <w:spacing w:after="0"/>
              <w:jc w:val="center"/>
              <w:rPr>
                <w:rFonts w:ascii="Arial Narrow" w:hAnsi="Arial Narrow"/>
                <w:bCs/>
                <w:sz w:val="20"/>
                <w:szCs w:val="20"/>
              </w:rPr>
            </w:pPr>
            <w:r w:rsidRPr="00ED70EF">
              <w:rPr>
                <w:rFonts w:ascii="Arial Narrow" w:hAnsi="Arial Narrow"/>
                <w:sz w:val="20"/>
                <w:szCs w:val="20"/>
              </w:rPr>
              <w:t>0.17</w:t>
            </w:r>
          </w:p>
        </w:tc>
        <w:tc>
          <w:tcPr>
            <w:tcW w:w="625" w:type="dxa"/>
            <w:tcBorders>
              <w:top w:val="single" w:sz="4" w:space="0" w:color="auto"/>
              <w:left w:val="single" w:sz="4" w:space="0" w:color="auto"/>
              <w:bottom w:val="single" w:sz="4" w:space="0" w:color="auto"/>
              <w:right w:val="single" w:sz="4" w:space="0" w:color="auto"/>
            </w:tcBorders>
            <w:shd w:val="clear" w:color="auto" w:fill="538DD5"/>
            <w:noWrap/>
            <w:tcMar>
              <w:left w:w="57" w:type="dxa"/>
              <w:right w:w="57" w:type="dxa"/>
            </w:tcMar>
          </w:tcPr>
          <w:p w14:paraId="53C13F73" w14:textId="77777777" w:rsidR="00FC286E" w:rsidRPr="00ED70EF" w:rsidRDefault="00FC286E" w:rsidP="00FC286E">
            <w:pPr>
              <w:spacing w:after="0"/>
              <w:jc w:val="center"/>
              <w:rPr>
                <w:rFonts w:ascii="Arial Narrow" w:hAnsi="Arial Narrow"/>
                <w:bCs/>
                <w:sz w:val="20"/>
                <w:szCs w:val="20"/>
              </w:rPr>
            </w:pPr>
            <w:r w:rsidRPr="00ED70EF">
              <w:rPr>
                <w:rFonts w:ascii="Arial Narrow" w:hAnsi="Arial Narrow"/>
                <w:sz w:val="20"/>
                <w:szCs w:val="20"/>
              </w:rPr>
              <w:t>0.92</w:t>
            </w:r>
          </w:p>
        </w:tc>
        <w:tc>
          <w:tcPr>
            <w:tcW w:w="625" w:type="dxa"/>
            <w:tcBorders>
              <w:top w:val="single" w:sz="4" w:space="0" w:color="auto"/>
              <w:left w:val="single" w:sz="4" w:space="0" w:color="auto"/>
              <w:bottom w:val="single" w:sz="4" w:space="0" w:color="auto"/>
              <w:right w:val="single" w:sz="4" w:space="0" w:color="auto"/>
            </w:tcBorders>
            <w:shd w:val="clear" w:color="auto" w:fill="C6D9F1" w:themeFill="text2" w:themeFillTint="33"/>
            <w:noWrap/>
            <w:tcMar>
              <w:left w:w="57" w:type="dxa"/>
              <w:right w:w="57" w:type="dxa"/>
            </w:tcMar>
          </w:tcPr>
          <w:p w14:paraId="53C13F74" w14:textId="77777777" w:rsidR="00FC286E" w:rsidRPr="00ED70EF" w:rsidRDefault="00FC286E" w:rsidP="00FC286E">
            <w:pPr>
              <w:jc w:val="center"/>
              <w:rPr>
                <w:rFonts w:ascii="Arial Narrow" w:hAnsi="Arial Narrow"/>
                <w:sz w:val="20"/>
                <w:szCs w:val="20"/>
              </w:rPr>
            </w:pPr>
            <w:r w:rsidRPr="00ED70EF">
              <w:rPr>
                <w:rFonts w:ascii="Arial Narrow" w:hAnsi="Arial Narrow"/>
                <w:sz w:val="20"/>
                <w:szCs w:val="20"/>
              </w:rPr>
              <w:t>0.11</w:t>
            </w:r>
          </w:p>
        </w:tc>
        <w:tc>
          <w:tcPr>
            <w:tcW w:w="625" w:type="dxa"/>
            <w:tcBorders>
              <w:top w:val="single" w:sz="4" w:space="0" w:color="auto"/>
              <w:left w:val="single" w:sz="4" w:space="0" w:color="auto"/>
              <w:bottom w:val="single" w:sz="4" w:space="0" w:color="auto"/>
              <w:right w:val="single" w:sz="4" w:space="0" w:color="auto"/>
            </w:tcBorders>
            <w:shd w:val="clear" w:color="auto" w:fill="C6D9F1" w:themeFill="text2" w:themeFillTint="33"/>
            <w:noWrap/>
            <w:tcMar>
              <w:left w:w="57" w:type="dxa"/>
              <w:right w:w="57" w:type="dxa"/>
            </w:tcMar>
          </w:tcPr>
          <w:p w14:paraId="53C13F75" w14:textId="77777777" w:rsidR="00FC286E" w:rsidRPr="00ED70EF" w:rsidRDefault="00FC286E" w:rsidP="00FC286E">
            <w:pPr>
              <w:jc w:val="center"/>
              <w:rPr>
                <w:rFonts w:ascii="Arial Narrow" w:hAnsi="Arial Narrow"/>
                <w:sz w:val="20"/>
                <w:szCs w:val="20"/>
              </w:rPr>
            </w:pPr>
            <w:r w:rsidRPr="00ED70EF">
              <w:rPr>
                <w:rFonts w:ascii="Arial Narrow" w:hAnsi="Arial Narrow"/>
                <w:sz w:val="20"/>
                <w:szCs w:val="20"/>
              </w:rPr>
              <w:t>0.74</w:t>
            </w:r>
          </w:p>
        </w:tc>
        <w:tc>
          <w:tcPr>
            <w:tcW w:w="625" w:type="dxa"/>
            <w:tcBorders>
              <w:top w:val="single" w:sz="4" w:space="0" w:color="auto"/>
              <w:left w:val="single" w:sz="4" w:space="0" w:color="auto"/>
              <w:bottom w:val="single" w:sz="4" w:space="0" w:color="auto"/>
              <w:right w:val="single" w:sz="4" w:space="0" w:color="auto"/>
            </w:tcBorders>
            <w:shd w:val="clear" w:color="auto" w:fill="C6D9F1" w:themeFill="text2" w:themeFillTint="33"/>
            <w:noWrap/>
            <w:tcMar>
              <w:left w:w="57" w:type="dxa"/>
              <w:right w:w="57" w:type="dxa"/>
            </w:tcMar>
          </w:tcPr>
          <w:p w14:paraId="53C13F76" w14:textId="77777777" w:rsidR="00FC286E" w:rsidRPr="00ED70EF" w:rsidRDefault="00FC286E" w:rsidP="00FC286E">
            <w:pPr>
              <w:jc w:val="center"/>
              <w:rPr>
                <w:rFonts w:ascii="Arial Narrow" w:hAnsi="Arial Narrow"/>
                <w:sz w:val="20"/>
                <w:szCs w:val="20"/>
              </w:rPr>
            </w:pPr>
            <w:r w:rsidRPr="00ED70EF">
              <w:rPr>
                <w:rFonts w:ascii="Arial Narrow" w:hAnsi="Arial Narrow"/>
                <w:sz w:val="20"/>
                <w:szCs w:val="20"/>
              </w:rPr>
              <w:t>0.09</w:t>
            </w:r>
          </w:p>
        </w:tc>
        <w:tc>
          <w:tcPr>
            <w:tcW w:w="626" w:type="dxa"/>
            <w:tcBorders>
              <w:top w:val="single" w:sz="4" w:space="0" w:color="auto"/>
              <w:left w:val="single" w:sz="4" w:space="0" w:color="auto"/>
              <w:bottom w:val="single" w:sz="4" w:space="0" w:color="auto"/>
              <w:right w:val="single" w:sz="4" w:space="0" w:color="auto"/>
            </w:tcBorders>
            <w:shd w:val="clear" w:color="auto" w:fill="C6D9F1" w:themeFill="text2" w:themeFillTint="33"/>
            <w:noWrap/>
            <w:tcMar>
              <w:left w:w="57" w:type="dxa"/>
              <w:right w:w="57" w:type="dxa"/>
            </w:tcMar>
          </w:tcPr>
          <w:p w14:paraId="53C13F77" w14:textId="77777777" w:rsidR="00FC286E" w:rsidRPr="00ED70EF" w:rsidRDefault="00FC286E" w:rsidP="00FC286E">
            <w:pPr>
              <w:jc w:val="center"/>
              <w:rPr>
                <w:rFonts w:ascii="Arial Narrow" w:hAnsi="Arial Narrow"/>
                <w:sz w:val="20"/>
                <w:szCs w:val="20"/>
              </w:rPr>
            </w:pPr>
            <w:r w:rsidRPr="00ED70EF">
              <w:rPr>
                <w:rFonts w:ascii="Arial Narrow" w:hAnsi="Arial Narrow"/>
                <w:sz w:val="20"/>
                <w:szCs w:val="20"/>
              </w:rPr>
              <w:t>0.75</w:t>
            </w:r>
          </w:p>
        </w:tc>
        <w:tc>
          <w:tcPr>
            <w:tcW w:w="625" w:type="dxa"/>
            <w:tcBorders>
              <w:top w:val="single" w:sz="4" w:space="0" w:color="auto"/>
              <w:left w:val="single" w:sz="4" w:space="0" w:color="auto"/>
              <w:bottom w:val="single" w:sz="4" w:space="0" w:color="auto"/>
              <w:right w:val="single" w:sz="4" w:space="0" w:color="auto"/>
            </w:tcBorders>
            <w:shd w:val="clear" w:color="auto" w:fill="C6D9F1"/>
            <w:noWrap/>
            <w:tcMar>
              <w:left w:w="57" w:type="dxa"/>
              <w:right w:w="57" w:type="dxa"/>
            </w:tcMar>
          </w:tcPr>
          <w:p w14:paraId="53C13F78" w14:textId="77777777" w:rsidR="00FC286E" w:rsidRPr="00ED70EF" w:rsidRDefault="00FC286E" w:rsidP="00FC286E">
            <w:pPr>
              <w:jc w:val="center"/>
              <w:rPr>
                <w:rFonts w:ascii="Arial Narrow" w:hAnsi="Arial Narrow"/>
                <w:sz w:val="20"/>
                <w:szCs w:val="20"/>
              </w:rPr>
            </w:pPr>
            <w:r w:rsidRPr="00ED70EF">
              <w:rPr>
                <w:rFonts w:ascii="Arial Narrow" w:hAnsi="Arial Narrow"/>
                <w:sz w:val="20"/>
                <w:szCs w:val="20"/>
              </w:rPr>
              <w:t>0.13</w:t>
            </w:r>
          </w:p>
        </w:tc>
        <w:tc>
          <w:tcPr>
            <w:tcW w:w="625" w:type="dxa"/>
            <w:tcBorders>
              <w:top w:val="single" w:sz="4" w:space="0" w:color="auto"/>
              <w:left w:val="single" w:sz="4" w:space="0" w:color="auto"/>
              <w:bottom w:val="single" w:sz="4" w:space="0" w:color="auto"/>
              <w:right w:val="single" w:sz="4" w:space="0" w:color="auto"/>
            </w:tcBorders>
            <w:shd w:val="clear" w:color="auto" w:fill="C6D9F1"/>
            <w:noWrap/>
            <w:tcMar>
              <w:left w:w="57" w:type="dxa"/>
              <w:right w:w="57" w:type="dxa"/>
            </w:tcMar>
          </w:tcPr>
          <w:p w14:paraId="53C13F79" w14:textId="77777777" w:rsidR="00FC286E" w:rsidRPr="00ED70EF" w:rsidRDefault="00FC286E" w:rsidP="00FC286E">
            <w:pPr>
              <w:jc w:val="center"/>
              <w:rPr>
                <w:rFonts w:ascii="Arial Narrow" w:hAnsi="Arial Narrow"/>
                <w:sz w:val="20"/>
                <w:szCs w:val="20"/>
              </w:rPr>
            </w:pPr>
            <w:r w:rsidRPr="00ED70EF">
              <w:rPr>
                <w:rFonts w:ascii="Arial Narrow" w:hAnsi="Arial Narrow"/>
                <w:sz w:val="20"/>
                <w:szCs w:val="20"/>
              </w:rPr>
              <w:t>0.75</w:t>
            </w:r>
          </w:p>
        </w:tc>
        <w:tc>
          <w:tcPr>
            <w:tcW w:w="625" w:type="dxa"/>
            <w:tcBorders>
              <w:top w:val="single" w:sz="4" w:space="0" w:color="auto"/>
              <w:left w:val="single" w:sz="4" w:space="0" w:color="auto"/>
              <w:bottom w:val="single" w:sz="4" w:space="0" w:color="auto"/>
              <w:right w:val="single" w:sz="4" w:space="0" w:color="auto"/>
            </w:tcBorders>
            <w:shd w:val="clear" w:color="auto" w:fill="C6D9F1" w:themeFill="text2" w:themeFillTint="33"/>
            <w:noWrap/>
            <w:tcMar>
              <w:left w:w="57" w:type="dxa"/>
              <w:right w:w="57" w:type="dxa"/>
            </w:tcMar>
          </w:tcPr>
          <w:p w14:paraId="53C13F7A" w14:textId="77777777" w:rsidR="00FC286E" w:rsidRPr="00ED70EF" w:rsidRDefault="00FC286E" w:rsidP="00FC286E">
            <w:pPr>
              <w:jc w:val="center"/>
              <w:rPr>
                <w:rFonts w:ascii="Arial Narrow" w:hAnsi="Arial Narrow"/>
                <w:sz w:val="20"/>
                <w:szCs w:val="20"/>
              </w:rPr>
            </w:pPr>
            <w:r w:rsidRPr="00ED70EF">
              <w:rPr>
                <w:rFonts w:ascii="Arial Narrow" w:hAnsi="Arial Narrow"/>
                <w:sz w:val="20"/>
                <w:szCs w:val="20"/>
              </w:rPr>
              <w:t>0.29</w:t>
            </w:r>
          </w:p>
        </w:tc>
        <w:tc>
          <w:tcPr>
            <w:tcW w:w="625" w:type="dxa"/>
            <w:tcBorders>
              <w:top w:val="single" w:sz="4" w:space="0" w:color="auto"/>
              <w:left w:val="single" w:sz="4" w:space="0" w:color="auto"/>
              <w:bottom w:val="single" w:sz="4" w:space="0" w:color="auto"/>
              <w:right w:val="single" w:sz="4" w:space="0" w:color="auto"/>
            </w:tcBorders>
            <w:shd w:val="clear" w:color="auto" w:fill="C6D9F1" w:themeFill="text2" w:themeFillTint="33"/>
            <w:noWrap/>
            <w:tcMar>
              <w:left w:w="57" w:type="dxa"/>
              <w:right w:w="57" w:type="dxa"/>
            </w:tcMar>
          </w:tcPr>
          <w:p w14:paraId="53C13F7B" w14:textId="77777777" w:rsidR="00FC286E" w:rsidRPr="00ED70EF" w:rsidRDefault="00FC286E" w:rsidP="00FC286E">
            <w:pPr>
              <w:jc w:val="center"/>
              <w:rPr>
                <w:rFonts w:ascii="Arial Narrow" w:hAnsi="Arial Narrow"/>
                <w:sz w:val="20"/>
                <w:szCs w:val="20"/>
              </w:rPr>
            </w:pPr>
            <w:r w:rsidRPr="00ED70EF">
              <w:rPr>
                <w:rFonts w:ascii="Arial Narrow" w:hAnsi="Arial Narrow"/>
                <w:sz w:val="20"/>
                <w:szCs w:val="20"/>
              </w:rPr>
              <w:t>0.83</w:t>
            </w:r>
          </w:p>
        </w:tc>
        <w:tc>
          <w:tcPr>
            <w:tcW w:w="625" w:type="dxa"/>
            <w:tcBorders>
              <w:top w:val="single" w:sz="4" w:space="0" w:color="auto"/>
              <w:left w:val="single" w:sz="4" w:space="0" w:color="auto"/>
              <w:bottom w:val="single" w:sz="4" w:space="0" w:color="auto"/>
              <w:right w:val="single" w:sz="4" w:space="0" w:color="auto"/>
            </w:tcBorders>
            <w:shd w:val="clear" w:color="auto" w:fill="8DB3E2"/>
            <w:noWrap/>
            <w:tcMar>
              <w:left w:w="57" w:type="dxa"/>
              <w:right w:w="57" w:type="dxa"/>
            </w:tcMar>
          </w:tcPr>
          <w:p w14:paraId="53C13F7C" w14:textId="77777777" w:rsidR="00FC286E" w:rsidRPr="00ED70EF" w:rsidRDefault="00FC286E" w:rsidP="00FC286E">
            <w:pPr>
              <w:jc w:val="center"/>
              <w:rPr>
                <w:rFonts w:ascii="Arial Narrow" w:hAnsi="Arial Narrow"/>
                <w:sz w:val="20"/>
                <w:szCs w:val="20"/>
              </w:rPr>
            </w:pPr>
            <w:r w:rsidRPr="00ED70EF">
              <w:rPr>
                <w:rFonts w:ascii="Arial Narrow" w:hAnsi="Arial Narrow"/>
                <w:sz w:val="20"/>
                <w:szCs w:val="20"/>
              </w:rPr>
              <w:t>0.25</w:t>
            </w:r>
          </w:p>
        </w:tc>
        <w:tc>
          <w:tcPr>
            <w:tcW w:w="626" w:type="dxa"/>
            <w:tcBorders>
              <w:top w:val="single" w:sz="4" w:space="0" w:color="auto"/>
              <w:left w:val="single" w:sz="4" w:space="0" w:color="auto"/>
              <w:bottom w:val="single" w:sz="4" w:space="0" w:color="auto"/>
              <w:right w:val="single" w:sz="4" w:space="0" w:color="auto"/>
            </w:tcBorders>
            <w:shd w:val="clear" w:color="auto" w:fill="8DB3E2"/>
            <w:noWrap/>
            <w:tcMar>
              <w:left w:w="57" w:type="dxa"/>
              <w:right w:w="57" w:type="dxa"/>
            </w:tcMar>
          </w:tcPr>
          <w:p w14:paraId="53C13F7D" w14:textId="77777777" w:rsidR="00FC286E" w:rsidRPr="00ED70EF" w:rsidRDefault="00FC286E" w:rsidP="00FC286E">
            <w:pPr>
              <w:jc w:val="center"/>
              <w:rPr>
                <w:rFonts w:ascii="Arial Narrow" w:hAnsi="Arial Narrow"/>
                <w:sz w:val="20"/>
                <w:szCs w:val="20"/>
              </w:rPr>
            </w:pPr>
            <w:r w:rsidRPr="00ED70EF">
              <w:rPr>
                <w:rFonts w:ascii="Arial Narrow" w:hAnsi="Arial Narrow"/>
                <w:sz w:val="20"/>
                <w:szCs w:val="20"/>
              </w:rPr>
              <w:t>0.82</w:t>
            </w:r>
          </w:p>
        </w:tc>
      </w:tr>
    </w:tbl>
    <w:p w14:paraId="53C13F7F" w14:textId="77777777" w:rsidR="00A84742" w:rsidRPr="004B2398" w:rsidRDefault="00A84742" w:rsidP="00A84742">
      <w:pPr>
        <w:rPr>
          <w:color w:val="000000" w:themeColor="text1"/>
        </w:rPr>
      </w:pPr>
    </w:p>
    <w:p w14:paraId="53C13F80" w14:textId="2C946F04" w:rsidR="005C590E" w:rsidRDefault="00A84742" w:rsidP="00A84742">
      <w:r w:rsidRPr="00A25A19">
        <w:t>The coral communities monitored are situated along a distinct environmental gradient within Keppel Bay. Peak and Pelican are in relatively turbid and nutrient rich waters compared to reefs further offshore (</w:t>
      </w:r>
      <w:r w:rsidRPr="00A25A19">
        <w:fldChar w:fldCharType="begin"/>
      </w:r>
      <w:r w:rsidRPr="00A25A19">
        <w:instrText xml:space="preserve"> REF _Ref491345321 \h </w:instrText>
      </w:r>
      <w:r w:rsidRPr="00A25A19">
        <w:fldChar w:fldCharType="separate"/>
      </w:r>
      <w:r w:rsidR="003053D1" w:rsidRPr="00CE4E0F">
        <w:t xml:space="preserve">Figure </w:t>
      </w:r>
      <w:r w:rsidR="003053D1">
        <w:rPr>
          <w:noProof/>
        </w:rPr>
        <w:t>30</w:t>
      </w:r>
      <w:r w:rsidRPr="00A25A19">
        <w:fldChar w:fldCharType="end"/>
      </w:r>
      <w:r w:rsidRPr="00A25A19">
        <w:t xml:space="preserve">a, b). Keppels South, Middle and North Keppel are exposed to </w:t>
      </w:r>
      <w:r w:rsidR="00014B00" w:rsidRPr="00A25A19">
        <w:t>concentration</w:t>
      </w:r>
      <w:r w:rsidR="00014B00">
        <w:t>s</w:t>
      </w:r>
      <w:r w:rsidR="00014B00" w:rsidRPr="00A25A19">
        <w:t xml:space="preserve"> </w:t>
      </w:r>
      <w:r w:rsidR="00014B00">
        <w:t xml:space="preserve">of </w:t>
      </w:r>
      <w:r w:rsidR="006902D1" w:rsidRPr="00A25A19">
        <w:t xml:space="preserve">Chl </w:t>
      </w:r>
      <w:r w:rsidRPr="00A25A19">
        <w:rPr>
          <w:i/>
        </w:rPr>
        <w:t>a</w:t>
      </w:r>
      <w:r w:rsidRPr="00A25A19">
        <w:t xml:space="preserve"> </w:t>
      </w:r>
      <w:r w:rsidR="00014B00">
        <w:t xml:space="preserve">that </w:t>
      </w:r>
      <w:r w:rsidRPr="00A25A19">
        <w:t>exce</w:t>
      </w:r>
      <w:r w:rsidR="00014B00">
        <w:t>ed guideline values</w:t>
      </w:r>
      <w:r w:rsidRPr="00A25A19">
        <w:t xml:space="preserve"> whereas at Barren the </w:t>
      </w:r>
      <w:r w:rsidR="006902D1" w:rsidRPr="00A25A19">
        <w:t xml:space="preserve">Chl </w:t>
      </w:r>
      <w:r w:rsidRPr="00A25A19">
        <w:rPr>
          <w:i/>
        </w:rPr>
        <w:t>a</w:t>
      </w:r>
      <w:r w:rsidRPr="00A25A19">
        <w:t xml:space="preserve"> level is lower; these four reefs share reasonably low levels of total suspended solids </w:t>
      </w:r>
      <w:r w:rsidR="00096B3B" w:rsidRPr="00A25A19">
        <w:t>(</w:t>
      </w:r>
      <w:r w:rsidR="00096B3B" w:rsidRPr="00A25A19">
        <w:fldChar w:fldCharType="begin"/>
      </w:r>
      <w:r w:rsidR="00096B3B" w:rsidRPr="00A25A19">
        <w:instrText xml:space="preserve"> REF _Ref491345321 \h </w:instrText>
      </w:r>
      <w:r w:rsidR="00096B3B" w:rsidRPr="00A25A19">
        <w:fldChar w:fldCharType="separate"/>
      </w:r>
      <w:r w:rsidR="003053D1" w:rsidRPr="00CE4E0F">
        <w:t xml:space="preserve">Figure </w:t>
      </w:r>
      <w:r w:rsidR="003053D1">
        <w:rPr>
          <w:noProof/>
        </w:rPr>
        <w:t>30</w:t>
      </w:r>
      <w:r w:rsidR="00096B3B" w:rsidRPr="00A25A19">
        <w:fldChar w:fldCharType="end"/>
      </w:r>
      <w:r w:rsidR="00096B3B" w:rsidRPr="00A25A19">
        <w:t>a, b,</w:t>
      </w:r>
      <w:r w:rsidR="00427E3C">
        <w:t xml:space="preserve"> </w:t>
      </w:r>
      <w:r w:rsidR="00427E3C">
        <w:fldChar w:fldCharType="begin"/>
      </w:r>
      <w:r w:rsidR="00427E3C">
        <w:instrText xml:space="preserve"> REF _Ref30754952 \h </w:instrText>
      </w:r>
      <w:r w:rsidR="00427E3C">
        <w:fldChar w:fldCharType="separate"/>
      </w:r>
      <w:r w:rsidR="003053D1">
        <w:t xml:space="preserve">Table A </w:t>
      </w:r>
      <w:r w:rsidR="003053D1">
        <w:rPr>
          <w:noProof/>
        </w:rPr>
        <w:t>9</w:t>
      </w:r>
      <w:r w:rsidR="00427E3C">
        <w:fldChar w:fldCharType="end"/>
      </w:r>
      <w:r w:rsidR="00096B3B">
        <w:t xml:space="preserve">). </w:t>
      </w:r>
      <w:r w:rsidR="002E58A8">
        <w:t>The</w:t>
      </w:r>
      <w:r w:rsidRPr="00A25A19">
        <w:t xml:space="preserve"> gradien</w:t>
      </w:r>
      <w:r w:rsidR="002E58A8">
        <w:t>t</w:t>
      </w:r>
      <w:r w:rsidRPr="00A25A19">
        <w:t xml:space="preserve"> in water quality </w:t>
      </w:r>
      <w:r w:rsidR="002E58A8">
        <w:t>is</w:t>
      </w:r>
      <w:r w:rsidRPr="00A25A19">
        <w:t xml:space="preserve"> clearly reflected in the benthic communities. At Peak and Pelican benthic communities differ markedly between 2 m and 5 m depths (</w:t>
      </w:r>
      <w:r w:rsidRPr="00A25A19">
        <w:fldChar w:fldCharType="begin"/>
      </w:r>
      <w:r w:rsidRPr="00A25A19">
        <w:instrText xml:space="preserve"> REF _Ref528592725 \h </w:instrText>
      </w:r>
      <w:r w:rsidRPr="00A25A19">
        <w:fldChar w:fldCharType="separate"/>
      </w:r>
      <w:r w:rsidR="003053D1" w:rsidRPr="002445C4">
        <w:t xml:space="preserve">Figure A </w:t>
      </w:r>
      <w:r w:rsidR="003053D1">
        <w:rPr>
          <w:noProof/>
        </w:rPr>
        <w:t>6</w:t>
      </w:r>
      <w:r w:rsidRPr="00A25A19">
        <w:fldChar w:fldCharType="end"/>
      </w:r>
      <w:r w:rsidRPr="00A25A19">
        <w:t>) illustrating the substantial attenuation of light due to high turbidity. The differences in community composition are evident in the baseline conditions for the composition indicator (</w:t>
      </w:r>
      <w:r w:rsidRPr="00A25A19">
        <w:fldChar w:fldCharType="begin"/>
      </w:r>
      <w:r w:rsidRPr="00A25A19">
        <w:instrText xml:space="preserve"> REF _Ref491345128 \h  \* MERGEFORMAT </w:instrText>
      </w:r>
      <w:r w:rsidRPr="00A25A19">
        <w:fldChar w:fldCharType="separate"/>
      </w:r>
      <w:r w:rsidR="003053D1" w:rsidRPr="00AA6FF4">
        <w:t xml:space="preserve">Figure </w:t>
      </w:r>
      <w:r w:rsidR="003053D1">
        <w:rPr>
          <w:noProof/>
        </w:rPr>
        <w:t>31</w:t>
      </w:r>
      <w:r w:rsidRPr="00A25A19">
        <w:fldChar w:fldCharType="end"/>
      </w:r>
      <w:r w:rsidR="005C590E">
        <w:t>e</w:t>
      </w:r>
      <w:r w:rsidRPr="00A25A19">
        <w:t>). Pelican has a highly stratified environment, supporting slow growing, low-light tolerant corals at depth, and fast-growing Acroporidae (</w:t>
      </w:r>
      <w:r w:rsidRPr="00A25A19">
        <w:rPr>
          <w:i/>
        </w:rPr>
        <w:t xml:space="preserve">Acropora, Montipora </w:t>
      </w:r>
      <w:r w:rsidRPr="00A25A19">
        <w:t>spp</w:t>
      </w:r>
      <w:r w:rsidRPr="00A25A19">
        <w:rPr>
          <w:i/>
        </w:rPr>
        <w:t>.</w:t>
      </w:r>
      <w:r w:rsidRPr="00A25A19">
        <w:t>) in the shallows; although these shallow communities were killed and replaced by macroalgae (</w:t>
      </w:r>
      <w:r w:rsidRPr="00A25A19">
        <w:rPr>
          <w:i/>
        </w:rPr>
        <w:t>Sargassum</w:t>
      </w:r>
      <w:r w:rsidRPr="00A25A19">
        <w:t xml:space="preserve"> spp) following exposure to low salinity flood plumes in 2011 (</w:t>
      </w:r>
      <w:r w:rsidRPr="00A25A19">
        <w:fldChar w:fldCharType="begin"/>
      </w:r>
      <w:r w:rsidRPr="00A25A19">
        <w:instrText xml:space="preserve"> REF _Ref528592725 \h </w:instrText>
      </w:r>
      <w:r w:rsidRPr="00A25A19">
        <w:fldChar w:fldCharType="separate"/>
      </w:r>
      <w:r w:rsidR="003053D1" w:rsidRPr="002445C4">
        <w:t xml:space="preserve">Figure A </w:t>
      </w:r>
      <w:r w:rsidR="003053D1">
        <w:rPr>
          <w:noProof/>
        </w:rPr>
        <w:t>6</w:t>
      </w:r>
      <w:r w:rsidRPr="00A25A19">
        <w:fldChar w:fldCharType="end"/>
      </w:r>
      <w:r w:rsidRPr="00A25A19">
        <w:t>). Closer to the Fitzroy River, Peak is defined by low cover of corals, low density of juvenile corals and high cover of macroalgae (</w:t>
      </w:r>
      <w:r w:rsidRPr="00A25A19">
        <w:fldChar w:fldCharType="begin"/>
      </w:r>
      <w:r w:rsidRPr="00A25A19">
        <w:instrText xml:space="preserve"> REF _Ref528592725 \h </w:instrText>
      </w:r>
      <w:r w:rsidRPr="00A25A19">
        <w:fldChar w:fldCharType="separate"/>
      </w:r>
      <w:r w:rsidR="003053D1" w:rsidRPr="002445C4">
        <w:t xml:space="preserve">Figure A </w:t>
      </w:r>
      <w:r w:rsidR="003053D1">
        <w:rPr>
          <w:noProof/>
        </w:rPr>
        <w:t>6</w:t>
      </w:r>
      <w:r w:rsidRPr="00A25A19">
        <w:fldChar w:fldCharType="end"/>
      </w:r>
      <w:r w:rsidRPr="00A25A19">
        <w:t xml:space="preserve">). A lack of substantial reef development at </w:t>
      </w:r>
      <w:r w:rsidR="002E58A8">
        <w:t xml:space="preserve">both </w:t>
      </w:r>
      <w:r w:rsidRPr="00A25A19">
        <w:t xml:space="preserve">Peak </w:t>
      </w:r>
      <w:r w:rsidR="002E58A8">
        <w:t xml:space="preserve">and Pelican </w:t>
      </w:r>
      <w:r w:rsidRPr="00A25A19">
        <w:t>suggests that the</w:t>
      </w:r>
      <w:r w:rsidR="002E58A8">
        <w:t xml:space="preserve"> environmental conditions at the</w:t>
      </w:r>
      <w:r w:rsidRPr="00A25A19">
        <w:t>s</w:t>
      </w:r>
      <w:r w:rsidR="002E58A8">
        <w:t>e</w:t>
      </w:r>
      <w:r w:rsidRPr="00A25A19">
        <w:t xml:space="preserve"> location</w:t>
      </w:r>
      <w:r w:rsidR="002E58A8">
        <w:t>s</w:t>
      </w:r>
      <w:r w:rsidRPr="00A25A19">
        <w:t xml:space="preserve"> are marginal for most corals</w:t>
      </w:r>
      <w:r w:rsidR="005C590E">
        <w:t>; questioning their suitability as inshore coral reef monitoring locations.</w:t>
      </w:r>
    </w:p>
    <w:p w14:paraId="53C13F81" w14:textId="5CFE9A71" w:rsidR="00A84742" w:rsidRPr="00A25A19" w:rsidRDefault="00A84742" w:rsidP="00A84742">
      <w:r w:rsidRPr="00A25A19">
        <w:t>In the less turbid waters surrounding the remaining reefs coral communities are dominated by Acroporidae (</w:t>
      </w:r>
      <w:r w:rsidRPr="00A25A19">
        <w:fldChar w:fldCharType="begin"/>
      </w:r>
      <w:r w:rsidRPr="00A25A19">
        <w:instrText xml:space="preserve"> REF _Ref528592725 \h </w:instrText>
      </w:r>
      <w:r w:rsidRPr="00A25A19">
        <w:fldChar w:fldCharType="separate"/>
      </w:r>
      <w:r w:rsidR="003053D1" w:rsidRPr="002445C4">
        <w:t xml:space="preserve">Figure A </w:t>
      </w:r>
      <w:r w:rsidR="003053D1">
        <w:rPr>
          <w:noProof/>
        </w:rPr>
        <w:t>6</w:t>
      </w:r>
      <w:r w:rsidRPr="00A25A19">
        <w:fldChar w:fldCharType="end"/>
      </w:r>
      <w:r w:rsidRPr="00A25A19">
        <w:t xml:space="preserve">), principally, but not restricted to, the branching species </w:t>
      </w:r>
      <w:r w:rsidRPr="00A25A19">
        <w:rPr>
          <w:i/>
        </w:rPr>
        <w:t xml:space="preserve">A. intermedia </w:t>
      </w:r>
      <w:r w:rsidRPr="00A25A19">
        <w:t>and</w:t>
      </w:r>
      <w:r w:rsidRPr="00A25A19">
        <w:rPr>
          <w:i/>
        </w:rPr>
        <w:t xml:space="preserve"> A. muricata</w:t>
      </w:r>
      <w:r w:rsidRPr="00A25A19">
        <w:t xml:space="preserve"> </w:t>
      </w:r>
      <w:r w:rsidR="00655886" w:rsidRPr="00A25A19">
        <w:t>(</w:t>
      </w:r>
      <w:r w:rsidR="00427E3C">
        <w:fldChar w:fldCharType="begin"/>
      </w:r>
      <w:r w:rsidR="00427E3C">
        <w:instrText xml:space="preserve"> REF _Ref30756180 \h </w:instrText>
      </w:r>
      <w:r w:rsidR="00427E3C">
        <w:fldChar w:fldCharType="separate"/>
      </w:r>
      <w:r w:rsidR="003053D1">
        <w:t xml:space="preserve">Table A </w:t>
      </w:r>
      <w:r w:rsidR="003053D1">
        <w:rPr>
          <w:noProof/>
        </w:rPr>
        <w:t>10</w:t>
      </w:r>
      <w:r w:rsidR="00427E3C">
        <w:fldChar w:fldCharType="end"/>
      </w:r>
      <w:r w:rsidR="00655886" w:rsidRPr="00A25A19">
        <w:t>).</w:t>
      </w:r>
    </w:p>
    <w:p w14:paraId="53C13F82" w14:textId="626E6ED1" w:rsidR="00A84742" w:rsidRPr="006F62D6" w:rsidRDefault="00A84742" w:rsidP="005C590E">
      <w:r w:rsidRPr="00A25A19">
        <w:t xml:space="preserve">Between 2006 and 2015 reefs within this region were exposed to a series of acute disturbances including cyclones and storms, </w:t>
      </w:r>
      <w:r w:rsidR="00C15968">
        <w:t>high water temperature leading to coral</w:t>
      </w:r>
      <w:r w:rsidR="00C15968" w:rsidRPr="00A25A19">
        <w:t xml:space="preserve"> </w:t>
      </w:r>
      <w:r w:rsidRPr="00A25A19">
        <w:t>bleaching, and flooding of the Fitzroy River (</w:t>
      </w:r>
      <w:r w:rsidRPr="00A25A19">
        <w:fldChar w:fldCharType="begin"/>
      </w:r>
      <w:r w:rsidRPr="00A25A19">
        <w:instrText xml:space="preserve"> REF _Ref491345321 \h </w:instrText>
      </w:r>
      <w:r w:rsidR="004A5C52">
        <w:instrText xml:space="preserve"> \* MERGEFORMAT </w:instrText>
      </w:r>
      <w:r w:rsidRPr="00A25A19">
        <w:fldChar w:fldCharType="separate"/>
      </w:r>
      <w:r w:rsidR="003053D1" w:rsidRPr="00CE4E0F">
        <w:t xml:space="preserve">Figure </w:t>
      </w:r>
      <w:r w:rsidR="003053D1">
        <w:rPr>
          <w:noProof/>
        </w:rPr>
        <w:t>30</w:t>
      </w:r>
      <w:r w:rsidRPr="00A25A19">
        <w:fldChar w:fldCharType="end"/>
      </w:r>
      <w:r w:rsidRPr="00A25A19">
        <w:t>c-e). These disturbances resulted in a clear reduction in coral cover (</w:t>
      </w:r>
      <w:r w:rsidRPr="00A25A19">
        <w:fldChar w:fldCharType="begin"/>
      </w:r>
      <w:r w:rsidRPr="00A25A19">
        <w:instrText xml:space="preserve"> REF _Ref491345107 \h </w:instrText>
      </w:r>
      <w:r w:rsidR="004A5C52">
        <w:instrText xml:space="preserve"> \* MERGEFORMAT </w:instrText>
      </w:r>
      <w:r w:rsidRPr="00A25A19">
        <w:fldChar w:fldCharType="separate"/>
      </w:r>
      <w:r w:rsidR="003053D1" w:rsidRPr="00ED70EF">
        <w:t xml:space="preserve">Table </w:t>
      </w:r>
      <w:r w:rsidR="003053D1">
        <w:rPr>
          <w:noProof/>
        </w:rPr>
        <w:t>14</w:t>
      </w:r>
      <w:r w:rsidRPr="00A25A19">
        <w:fldChar w:fldCharType="end"/>
      </w:r>
      <w:r w:rsidRPr="00A25A19">
        <w:t xml:space="preserve">, </w:t>
      </w:r>
      <w:r w:rsidRPr="00A25A19">
        <w:fldChar w:fldCharType="begin"/>
      </w:r>
      <w:r w:rsidRPr="00A25A19">
        <w:instrText xml:space="preserve"> REF _Ref491345128 \h </w:instrText>
      </w:r>
      <w:r w:rsidR="004A5C52">
        <w:instrText xml:space="preserve"> \* MERGEFORMAT </w:instrText>
      </w:r>
      <w:r w:rsidRPr="00A25A19">
        <w:fldChar w:fldCharType="separate"/>
      </w:r>
      <w:r w:rsidR="003053D1" w:rsidRPr="00AA6FF4">
        <w:t xml:space="preserve">Figure </w:t>
      </w:r>
      <w:r w:rsidR="003053D1">
        <w:rPr>
          <w:noProof/>
        </w:rPr>
        <w:t>31</w:t>
      </w:r>
      <w:r w:rsidRPr="00A25A19">
        <w:fldChar w:fldCharType="end"/>
      </w:r>
      <w:r w:rsidR="005C590E">
        <w:t>a</w:t>
      </w:r>
      <w:r w:rsidRPr="00A25A19">
        <w:t xml:space="preserve">). </w:t>
      </w:r>
      <w:r w:rsidRPr="00A25A19">
        <w:lastRenderedPageBreak/>
        <w:t xml:space="preserve">The disproportionate loss of </w:t>
      </w:r>
      <w:r w:rsidRPr="00A25A19">
        <w:rPr>
          <w:i/>
        </w:rPr>
        <w:t>Acropora</w:t>
      </w:r>
      <w:r w:rsidRPr="00A25A19">
        <w:t xml:space="preserve"> (</w:t>
      </w:r>
      <w:r w:rsidRPr="00A25A19">
        <w:fldChar w:fldCharType="begin"/>
      </w:r>
      <w:r w:rsidRPr="00A25A19">
        <w:instrText xml:space="preserve"> REF _Ref528592725 \h </w:instrText>
      </w:r>
      <w:r w:rsidR="004A5C52">
        <w:instrText xml:space="preserve"> \* MERGEFORMAT </w:instrText>
      </w:r>
      <w:r w:rsidRPr="00A25A19">
        <w:fldChar w:fldCharType="separate"/>
      </w:r>
      <w:r w:rsidR="003053D1" w:rsidRPr="002445C4">
        <w:t xml:space="preserve">Figure A </w:t>
      </w:r>
      <w:r w:rsidR="003053D1">
        <w:rPr>
          <w:noProof/>
        </w:rPr>
        <w:t>6</w:t>
      </w:r>
      <w:r w:rsidRPr="00A25A19">
        <w:fldChar w:fldCharType="end"/>
      </w:r>
      <w:r w:rsidRPr="00A25A19">
        <w:t>) resulted in a reduction in the community composition indicator scores (</w:t>
      </w:r>
      <w:r w:rsidRPr="00A25A19">
        <w:fldChar w:fldCharType="begin"/>
      </w:r>
      <w:r w:rsidRPr="00A25A19">
        <w:instrText xml:space="preserve"> REF _Ref491345107 \h </w:instrText>
      </w:r>
      <w:r w:rsidR="004A5C52">
        <w:instrText xml:space="preserve"> \* MERGEFORMAT </w:instrText>
      </w:r>
      <w:r w:rsidRPr="00A25A19">
        <w:fldChar w:fldCharType="separate"/>
      </w:r>
      <w:r w:rsidR="003053D1" w:rsidRPr="00ED70EF">
        <w:t xml:space="preserve">Table </w:t>
      </w:r>
      <w:r w:rsidR="003053D1">
        <w:rPr>
          <w:noProof/>
        </w:rPr>
        <w:t>14</w:t>
      </w:r>
      <w:r w:rsidRPr="00A25A19">
        <w:fldChar w:fldCharType="end"/>
      </w:r>
      <w:r w:rsidR="005C590E">
        <w:t xml:space="preserve">, </w:t>
      </w:r>
      <w:r w:rsidR="005C590E">
        <w:fldChar w:fldCharType="begin"/>
      </w:r>
      <w:r w:rsidR="005C590E">
        <w:instrText xml:space="preserve"> REF _Ref30759991 \h </w:instrText>
      </w:r>
      <w:r w:rsidR="005C590E">
        <w:fldChar w:fldCharType="separate"/>
      </w:r>
      <w:r w:rsidR="003053D1">
        <w:t xml:space="preserve">Figure </w:t>
      </w:r>
      <w:r w:rsidR="003053D1">
        <w:rPr>
          <w:noProof/>
        </w:rPr>
        <w:t>29</w:t>
      </w:r>
      <w:r w:rsidR="005C590E">
        <w:fldChar w:fldCharType="end"/>
      </w:r>
      <w:r w:rsidRPr="00A25A19">
        <w:t>). Compounding the impact of the acute disturbances was a low rate of recovery of coral cover demonstrating the effect of chronic impacts (</w:t>
      </w:r>
      <w:r w:rsidRPr="00A25A19">
        <w:fldChar w:fldCharType="begin"/>
      </w:r>
      <w:r w:rsidRPr="00A25A19">
        <w:instrText xml:space="preserve"> REF _Ref491345321 \h </w:instrText>
      </w:r>
      <w:r w:rsidR="004A5C52">
        <w:instrText xml:space="preserve"> \* MERGEFORMAT </w:instrText>
      </w:r>
      <w:r w:rsidRPr="00A25A19">
        <w:fldChar w:fldCharType="separate"/>
      </w:r>
      <w:r w:rsidR="003053D1" w:rsidRPr="00CE4E0F">
        <w:t xml:space="preserve">Figure </w:t>
      </w:r>
      <w:r w:rsidR="003053D1">
        <w:rPr>
          <w:noProof/>
        </w:rPr>
        <w:t>30</w:t>
      </w:r>
      <w:r w:rsidRPr="00A25A19">
        <w:fldChar w:fldCharType="end"/>
      </w:r>
      <w:r w:rsidRPr="00A25A19">
        <w:t xml:space="preserve">e), </w:t>
      </w:r>
      <w:r w:rsidR="005C590E">
        <w:t xml:space="preserve">evidenced by </w:t>
      </w:r>
      <w:r w:rsidRPr="00A25A19">
        <w:t>high levels of disease (</w:t>
      </w:r>
      <w:r w:rsidRPr="00A25A19">
        <w:fldChar w:fldCharType="begin"/>
      </w:r>
      <w:r w:rsidRPr="00A25A19">
        <w:instrText xml:space="preserve"> REF _Ref528577145 \h </w:instrText>
      </w:r>
      <w:r w:rsidR="004A5C52">
        <w:instrText xml:space="preserve"> \* MERGEFORMAT </w:instrText>
      </w:r>
      <w:r w:rsidRPr="00A25A19">
        <w:fldChar w:fldCharType="separate"/>
      </w:r>
      <w:r w:rsidR="003053D1" w:rsidRPr="002445C4">
        <w:t xml:space="preserve">Figure A </w:t>
      </w:r>
      <w:r w:rsidR="003053D1">
        <w:rPr>
          <w:noProof/>
        </w:rPr>
        <w:t>7</w:t>
      </w:r>
      <w:r w:rsidRPr="00A25A19">
        <w:fldChar w:fldCharType="end"/>
      </w:r>
      <w:r w:rsidRPr="00A25A19">
        <w:t>) and declines in the cover change scores between 2007 and 2014 (</w:t>
      </w:r>
      <w:r w:rsidRPr="00A25A19">
        <w:fldChar w:fldCharType="begin"/>
      </w:r>
      <w:r w:rsidRPr="00A25A19">
        <w:instrText xml:space="preserve"> REF _Ref491345107 \h </w:instrText>
      </w:r>
      <w:r w:rsidR="004A5C52">
        <w:instrText xml:space="preserve"> \* MERGEFORMAT </w:instrText>
      </w:r>
      <w:r w:rsidRPr="00A25A19">
        <w:fldChar w:fldCharType="separate"/>
      </w:r>
      <w:r w:rsidR="003053D1" w:rsidRPr="00ED70EF">
        <w:t xml:space="preserve">Table </w:t>
      </w:r>
      <w:r w:rsidR="003053D1">
        <w:rPr>
          <w:noProof/>
        </w:rPr>
        <w:t>14</w:t>
      </w:r>
      <w:r w:rsidRPr="00A25A19">
        <w:fldChar w:fldCharType="end"/>
      </w:r>
      <w:r w:rsidR="00BA12AD">
        <w:t xml:space="preserve">). During this period of slow recovery </w:t>
      </w:r>
      <w:r w:rsidRPr="00A25A19">
        <w:t>annual discharge from the Fitzroy River was mostly well above median levels (</w:t>
      </w:r>
      <w:r w:rsidRPr="00A25A19">
        <w:fldChar w:fldCharType="begin"/>
      </w:r>
      <w:r w:rsidRPr="00A25A19">
        <w:instrText xml:space="preserve"> REF _Ref491345321 \h </w:instrText>
      </w:r>
      <w:r w:rsidR="004A5C52">
        <w:instrText xml:space="preserve"> \* MERGEFORMAT </w:instrText>
      </w:r>
      <w:r w:rsidRPr="00A25A19">
        <w:fldChar w:fldCharType="separate"/>
      </w:r>
      <w:r w:rsidR="003053D1" w:rsidRPr="00CE4E0F">
        <w:t xml:space="preserve">Figure </w:t>
      </w:r>
      <w:r w:rsidR="003053D1">
        <w:rPr>
          <w:noProof/>
        </w:rPr>
        <w:t>30</w:t>
      </w:r>
      <w:r w:rsidRPr="00A25A19">
        <w:fldChar w:fldCharType="end"/>
      </w:r>
      <w:r w:rsidRPr="00A25A19">
        <w:t>d). No assessment of change in the macroalgae indicator scores between 2007 and 2014 at 5 m depth was possible (</w:t>
      </w:r>
      <w:r w:rsidRPr="00A25A19">
        <w:fldChar w:fldCharType="begin"/>
      </w:r>
      <w:r w:rsidRPr="00A25A19">
        <w:instrText xml:space="preserve"> REF _Ref491345107 \h </w:instrText>
      </w:r>
      <w:r w:rsidR="004A5C52">
        <w:instrText xml:space="preserve"> \* MERGEFORMAT </w:instrText>
      </w:r>
      <w:r w:rsidRPr="00A25A19">
        <w:fldChar w:fldCharType="separate"/>
      </w:r>
      <w:r w:rsidR="003053D1" w:rsidRPr="00ED70EF">
        <w:t xml:space="preserve">Table </w:t>
      </w:r>
      <w:r w:rsidR="003053D1">
        <w:rPr>
          <w:noProof/>
        </w:rPr>
        <w:t>14</w:t>
      </w:r>
      <w:r w:rsidRPr="00A25A19">
        <w:fldChar w:fldCharType="end"/>
      </w:r>
      <w:r w:rsidRPr="00A25A19">
        <w:t>) as scores were z</w:t>
      </w:r>
      <w:r w:rsidR="002E58A8">
        <w:t>ero at all reefs in both years: f</w:t>
      </w:r>
      <w:r w:rsidR="006F62D6">
        <w:t xml:space="preserve">urther implicating availability of nutrients in the observed slow recovery. </w:t>
      </w:r>
      <w:r w:rsidRPr="00A25A19">
        <w:t>The initial increase in macroalgae cover occurred as brown</w:t>
      </w:r>
      <w:r w:rsidR="005C590E">
        <w:t xml:space="preserve"> </w:t>
      </w:r>
      <w:r w:rsidRPr="00A25A19">
        <w:t xml:space="preserve">algae of the genus </w:t>
      </w:r>
      <w:r w:rsidRPr="00A25A19">
        <w:rPr>
          <w:i/>
        </w:rPr>
        <w:t xml:space="preserve">Lobophora </w:t>
      </w:r>
      <w:r w:rsidRPr="00A25A19">
        <w:t xml:space="preserve">rapidly occupied space made available </w:t>
      </w:r>
      <w:r w:rsidR="00A25A19" w:rsidRPr="00A25A19">
        <w:t xml:space="preserve">following </w:t>
      </w:r>
      <w:r w:rsidRPr="00A25A19">
        <w:t>the death of corals in 2006 (</w:t>
      </w:r>
      <w:r w:rsidRPr="00A25A19">
        <w:fldChar w:fldCharType="begin"/>
      </w:r>
      <w:r w:rsidRPr="00A25A19">
        <w:instrText xml:space="preserve"> REF _Ref491345128 \h </w:instrText>
      </w:r>
      <w:r w:rsidR="004A5C52">
        <w:instrText xml:space="preserve"> \* MERGEFORMAT </w:instrText>
      </w:r>
      <w:r w:rsidRPr="00A25A19">
        <w:fldChar w:fldCharType="separate"/>
      </w:r>
      <w:r w:rsidR="003053D1" w:rsidRPr="00AA6FF4">
        <w:t xml:space="preserve">Figure </w:t>
      </w:r>
      <w:r w:rsidR="003053D1">
        <w:rPr>
          <w:noProof/>
        </w:rPr>
        <w:t>31</w:t>
      </w:r>
      <w:r w:rsidRPr="00A25A19">
        <w:fldChar w:fldCharType="end"/>
      </w:r>
      <w:r w:rsidRPr="00A25A19">
        <w:t xml:space="preserve">c, Diaz-Pulido </w:t>
      </w:r>
      <w:r w:rsidRPr="00A25A19">
        <w:rPr>
          <w:i/>
        </w:rPr>
        <w:t xml:space="preserve">et al. </w:t>
      </w:r>
      <w:r w:rsidRPr="00A25A19">
        <w:t>2009).</w:t>
      </w:r>
    </w:p>
    <w:p w14:paraId="53C13F83" w14:textId="6528A47E" w:rsidR="00A84742" w:rsidRPr="00A25A19" w:rsidRDefault="00A84742" w:rsidP="00A84742">
      <w:r w:rsidRPr="00A25A19">
        <w:t>Prior to the</w:t>
      </w:r>
      <w:r w:rsidR="002E58A8">
        <w:t xml:space="preserve"> commencement of the MMP</w:t>
      </w:r>
      <w:r w:rsidRPr="00A25A19">
        <w:t>, Queensland Parks and Wildlife Service monitoring of reefs in Keppel Bay from 1993–2003 recorded substantial loss</w:t>
      </w:r>
      <w:r w:rsidR="00FC3699">
        <w:t>,</w:t>
      </w:r>
      <w:r w:rsidRPr="00A25A19">
        <w:t xml:space="preserve"> and subsequent recovery</w:t>
      </w:r>
      <w:r w:rsidR="00FC3699">
        <w:t>, of coral cover</w:t>
      </w:r>
      <w:r w:rsidRPr="00A25A19">
        <w:t xml:space="preserve"> following thermal bleaching events in 1998 and 2002 </w:t>
      </w:r>
      <w:r w:rsidR="00655886">
        <w:t>(</w:t>
      </w:r>
      <w:r w:rsidR="00427E3C">
        <w:fldChar w:fldCharType="begin"/>
      </w:r>
      <w:r w:rsidR="00427E3C">
        <w:instrText xml:space="preserve"> REF _Ref30660433 \h </w:instrText>
      </w:r>
      <w:r w:rsidR="00427E3C">
        <w:fldChar w:fldCharType="separate"/>
      </w:r>
      <w:r w:rsidR="003053D1">
        <w:t xml:space="preserve">Table A </w:t>
      </w:r>
      <w:r w:rsidR="003053D1">
        <w:rPr>
          <w:noProof/>
        </w:rPr>
        <w:t>7</w:t>
      </w:r>
      <w:r w:rsidR="00427E3C">
        <w:fldChar w:fldCharType="end"/>
      </w:r>
      <w:r w:rsidR="00655886" w:rsidRPr="00A25A19">
        <w:t xml:space="preserve">). </w:t>
      </w:r>
      <w:r w:rsidRPr="00A25A19">
        <w:t xml:space="preserve">Initial MMP surveys in 2005 documented </w:t>
      </w:r>
      <w:r w:rsidR="00112B4C">
        <w:t>‘</w:t>
      </w:r>
      <w:r w:rsidR="009537AD">
        <w:t>good’</w:t>
      </w:r>
      <w:r w:rsidR="009537AD" w:rsidRPr="00A25A19">
        <w:t xml:space="preserve"> </w:t>
      </w:r>
      <w:r w:rsidRPr="00A25A19">
        <w:t xml:space="preserve">to </w:t>
      </w:r>
      <w:r w:rsidR="00112B4C">
        <w:t>‘</w:t>
      </w:r>
      <w:r w:rsidR="009537AD">
        <w:t>very good’</w:t>
      </w:r>
      <w:r w:rsidR="009537AD" w:rsidRPr="00A25A19">
        <w:t xml:space="preserve"> </w:t>
      </w:r>
      <w:r w:rsidRPr="00A25A19">
        <w:t xml:space="preserve">hard coral cover on all the </w:t>
      </w:r>
      <w:r w:rsidRPr="00A25A19">
        <w:rPr>
          <w:i/>
        </w:rPr>
        <w:t>Acropora</w:t>
      </w:r>
      <w:r w:rsidRPr="00A25A19">
        <w:t>-dominated reefs</w:t>
      </w:r>
      <w:r w:rsidR="00B2138A">
        <w:t>,</w:t>
      </w:r>
      <w:r w:rsidRPr="00A25A19">
        <w:t xml:space="preserve"> confirming the potential for recovery at these reefs when not subjected to additional pressures.</w:t>
      </w:r>
    </w:p>
    <w:p w14:paraId="53C13F84" w14:textId="7CE23C31" w:rsidR="00014B00" w:rsidRDefault="006F62D6" w:rsidP="00A84742">
      <w:r>
        <w:t>R</w:t>
      </w:r>
      <w:r w:rsidR="00585ACA" w:rsidRPr="00582A36">
        <w:t>ecent improvement in the coral change indicator (</w:t>
      </w:r>
      <w:r w:rsidR="00585ACA" w:rsidRPr="00582A36">
        <w:fldChar w:fldCharType="begin"/>
      </w:r>
      <w:r w:rsidR="00585ACA" w:rsidRPr="00582A36">
        <w:instrText xml:space="preserve"> REF _Ref491345107 \h </w:instrText>
      </w:r>
      <w:r w:rsidR="00585ACA" w:rsidRPr="00582A36">
        <w:fldChar w:fldCharType="separate"/>
      </w:r>
      <w:r w:rsidR="003053D1" w:rsidRPr="00ED70EF">
        <w:t xml:space="preserve">Table </w:t>
      </w:r>
      <w:r w:rsidR="003053D1">
        <w:rPr>
          <w:noProof/>
        </w:rPr>
        <w:t>14</w:t>
      </w:r>
      <w:r w:rsidR="00585ACA" w:rsidRPr="00582A36">
        <w:fldChar w:fldCharType="end"/>
      </w:r>
      <w:r w:rsidR="00585ACA" w:rsidRPr="00582A36">
        <w:t>)</w:t>
      </w:r>
      <w:r>
        <w:t xml:space="preserve"> to “m</w:t>
      </w:r>
      <w:r w:rsidR="00014B00">
        <w:t>oderate’ levels reflects improvement at</w:t>
      </w:r>
      <w:r w:rsidR="00172591" w:rsidRPr="00582A36">
        <w:t xml:space="preserve"> </w:t>
      </w:r>
      <w:r w:rsidR="00014B00">
        <w:t xml:space="preserve">several </w:t>
      </w:r>
      <w:r w:rsidR="00172591" w:rsidRPr="00582A36">
        <w:t>reefs</w:t>
      </w:r>
      <w:r w:rsidR="002E58A8">
        <w:t>,</w:t>
      </w:r>
      <w:r w:rsidR="00172591" w:rsidRPr="00582A36">
        <w:t xml:space="preserve"> </w:t>
      </w:r>
      <w:r w:rsidR="00014B00">
        <w:t>however across the region</w:t>
      </w:r>
      <w:r w:rsidR="002E58A8">
        <w:t>,</w:t>
      </w:r>
      <w:r w:rsidR="00014B00">
        <w:t xml:space="preserve"> recovery remained slightly below </w:t>
      </w:r>
      <w:r w:rsidR="00BA12AD">
        <w:t>expected rates</w:t>
      </w:r>
      <w:r w:rsidR="00014B00">
        <w:t>. A maximum score of 1 for the coral change indicator returned for Pelican Island, 2 m depth</w:t>
      </w:r>
      <w:r w:rsidR="002E58A8">
        <w:t xml:space="preserve"> (</w:t>
      </w:r>
      <w:r w:rsidR="005C590E">
        <w:fldChar w:fldCharType="begin"/>
      </w:r>
      <w:r w:rsidR="005C590E">
        <w:instrText xml:space="preserve"> REF _Ref30749162 \h </w:instrText>
      </w:r>
      <w:r w:rsidR="005C590E">
        <w:fldChar w:fldCharType="separate"/>
      </w:r>
      <w:r w:rsidR="003053D1">
        <w:t xml:space="preserve">Table A </w:t>
      </w:r>
      <w:r w:rsidR="003053D1">
        <w:rPr>
          <w:noProof/>
        </w:rPr>
        <w:t>8</w:t>
      </w:r>
      <w:r w:rsidR="005C590E">
        <w:fldChar w:fldCharType="end"/>
      </w:r>
      <w:r w:rsidR="002E58A8">
        <w:t>)</w:t>
      </w:r>
      <w:r w:rsidR="00014B00">
        <w:t xml:space="preserve">, should be treated with caution as expected increase from the almost zero coral cover at that location is very low </w:t>
      </w:r>
      <w:r w:rsidR="002E58A8">
        <w:t xml:space="preserve">and within sampling error of the coral surveys </w:t>
      </w:r>
      <w:r w:rsidR="00A84742" w:rsidRPr="00582A36">
        <w:t>(</w:t>
      </w:r>
      <w:r w:rsidR="00A84742" w:rsidRPr="00582A36">
        <w:fldChar w:fldCharType="begin"/>
      </w:r>
      <w:r w:rsidR="00A84742" w:rsidRPr="00582A36">
        <w:instrText xml:space="preserve"> REF _Ref491345321 \h </w:instrText>
      </w:r>
      <w:r w:rsidR="00A84742" w:rsidRPr="00582A36">
        <w:fldChar w:fldCharType="separate"/>
      </w:r>
      <w:r w:rsidR="003053D1" w:rsidRPr="00CE4E0F">
        <w:t xml:space="preserve">Figure </w:t>
      </w:r>
      <w:r w:rsidR="003053D1">
        <w:rPr>
          <w:noProof/>
        </w:rPr>
        <w:t>30</w:t>
      </w:r>
      <w:r w:rsidR="00A84742" w:rsidRPr="00582A36">
        <w:fldChar w:fldCharType="end"/>
      </w:r>
      <w:r w:rsidR="005C590E">
        <w:t>d</w:t>
      </w:r>
      <w:r w:rsidR="00A84742" w:rsidRPr="00582A36">
        <w:t xml:space="preserve">). </w:t>
      </w:r>
    </w:p>
    <w:p w14:paraId="53C13F85" w14:textId="2395C50E" w:rsidR="00A84742" w:rsidRPr="00582A36" w:rsidRDefault="00A84742" w:rsidP="00A84742">
      <w:r w:rsidRPr="00582A36">
        <w:t xml:space="preserve">Elevated water temperatures (2016 and 2017, </w:t>
      </w:r>
      <w:r w:rsidRPr="00582A36">
        <w:fldChar w:fldCharType="begin"/>
      </w:r>
      <w:r w:rsidRPr="00582A36">
        <w:instrText xml:space="preserve"> REF _Ref491345321 \h </w:instrText>
      </w:r>
      <w:r w:rsidRPr="00582A36">
        <w:fldChar w:fldCharType="separate"/>
      </w:r>
      <w:r w:rsidR="003053D1" w:rsidRPr="00CE4E0F">
        <w:t xml:space="preserve">Figure </w:t>
      </w:r>
      <w:r w:rsidR="003053D1">
        <w:rPr>
          <w:noProof/>
        </w:rPr>
        <w:t>30</w:t>
      </w:r>
      <w:r w:rsidRPr="00582A36">
        <w:fldChar w:fldCharType="end"/>
      </w:r>
      <w:r w:rsidRPr="00582A36">
        <w:t>c) and exceedance of median discharge levels from the local catchment (</w:t>
      </w:r>
      <w:r w:rsidR="00014B00">
        <w:t>in 2017</w:t>
      </w:r>
      <w:r w:rsidRPr="00582A36">
        <w:t xml:space="preserve">, </w:t>
      </w:r>
      <w:r w:rsidRPr="00582A36">
        <w:fldChar w:fldCharType="begin"/>
      </w:r>
      <w:r w:rsidRPr="00582A36">
        <w:instrText xml:space="preserve"> REF _Ref491345321 \h </w:instrText>
      </w:r>
      <w:r w:rsidRPr="00582A36">
        <w:fldChar w:fldCharType="separate"/>
      </w:r>
      <w:r w:rsidR="003053D1" w:rsidRPr="00CE4E0F">
        <w:t xml:space="preserve">Figure </w:t>
      </w:r>
      <w:r w:rsidR="003053D1">
        <w:rPr>
          <w:noProof/>
        </w:rPr>
        <w:t>30</w:t>
      </w:r>
      <w:r w:rsidRPr="00582A36">
        <w:fldChar w:fldCharType="end"/>
      </w:r>
      <w:r w:rsidRPr="00582A36">
        <w:t>d) did not result in substantial loss of coral cover, but are likely causes of observed low rates of increase in coral cover</w:t>
      </w:r>
      <w:r w:rsidR="00014B00">
        <w:t xml:space="preserve"> represented as chronic stress (</w:t>
      </w:r>
      <w:r w:rsidR="00014B00">
        <w:fldChar w:fldCharType="begin"/>
      </w:r>
      <w:r w:rsidR="00014B00">
        <w:instrText xml:space="preserve"> REF _Ref491345321 \h </w:instrText>
      </w:r>
      <w:r w:rsidR="00014B00">
        <w:fldChar w:fldCharType="separate"/>
      </w:r>
      <w:r w:rsidR="003053D1" w:rsidRPr="00CE4E0F">
        <w:t xml:space="preserve">Figure </w:t>
      </w:r>
      <w:r w:rsidR="003053D1">
        <w:rPr>
          <w:noProof/>
        </w:rPr>
        <w:t>30</w:t>
      </w:r>
      <w:r w:rsidR="00014B00">
        <w:fldChar w:fldCharType="end"/>
      </w:r>
      <w:r w:rsidR="00014B00">
        <w:t>e)</w:t>
      </w:r>
      <w:r w:rsidRPr="00582A36">
        <w:t>.</w:t>
      </w:r>
    </w:p>
    <w:p w14:paraId="53C13F86" w14:textId="77777777" w:rsidR="00A84742" w:rsidRPr="00585ACA" w:rsidRDefault="00A84742" w:rsidP="00A84742">
      <w:r w:rsidRPr="00585ACA">
        <w:t xml:space="preserve">Water quality monitoring (in-situ) was discontinued in the Keppels region in 2015. The final year of water quality sampling saw an improvement in the water </w:t>
      </w:r>
      <w:r w:rsidRPr="00585ACA">
        <w:lastRenderedPageBreak/>
        <w:t>quality index (</w:t>
      </w:r>
      <w:r w:rsidRPr="00585ACA">
        <w:rPr>
          <w:lang w:eastAsia="en-AU"/>
        </w:rPr>
        <w:t>Lønborg</w:t>
      </w:r>
      <w:r w:rsidRPr="00585ACA">
        <w:t xml:space="preserve"> </w:t>
      </w:r>
      <w:r w:rsidRPr="00585ACA">
        <w:rPr>
          <w:i/>
        </w:rPr>
        <w:t>et al.</w:t>
      </w:r>
      <w:r w:rsidRPr="00585ACA">
        <w:t xml:space="preserve"> 2015). Measured levels of </w:t>
      </w:r>
      <w:r w:rsidR="006902D1" w:rsidRPr="00585ACA">
        <w:t xml:space="preserve">Chl </w:t>
      </w:r>
      <w:r w:rsidRPr="00585ACA">
        <w:rPr>
          <w:i/>
        </w:rPr>
        <w:t>a</w:t>
      </w:r>
      <w:r w:rsidRPr="00585ACA">
        <w:t xml:space="preserve">, showed a slight downturn coinciding with a respite </w:t>
      </w:r>
      <w:r w:rsidR="00454137">
        <w:t>from</w:t>
      </w:r>
      <w:r w:rsidR="00454137" w:rsidRPr="00585ACA">
        <w:t xml:space="preserve"> </w:t>
      </w:r>
      <w:r w:rsidRPr="00585ACA">
        <w:t>flooding in the region since 2012 (</w:t>
      </w:r>
      <w:r w:rsidRPr="00585ACA">
        <w:rPr>
          <w:lang w:eastAsia="en-AU"/>
        </w:rPr>
        <w:t>Lønborg</w:t>
      </w:r>
      <w:r w:rsidRPr="00585ACA">
        <w:t xml:space="preserve"> </w:t>
      </w:r>
      <w:r w:rsidRPr="00585ACA">
        <w:rPr>
          <w:i/>
        </w:rPr>
        <w:t>et al.</w:t>
      </w:r>
      <w:r w:rsidRPr="00585ACA">
        <w:t xml:space="preserve"> 2015). Modelling of total suspended solids and dissolved inorganic nitrogen indicate substantially lower concentrations in the region from 2014 to 2016 compared to those associated with the high discharge years of 2010, 2011 and 2013 (Waterhouse </w:t>
      </w:r>
      <w:r w:rsidRPr="00585ACA">
        <w:rPr>
          <w:i/>
        </w:rPr>
        <w:t>et al.</w:t>
      </w:r>
      <w:r w:rsidRPr="00585ACA">
        <w:t xml:space="preserve"> 2017).</w:t>
      </w:r>
    </w:p>
    <w:p w14:paraId="53C13F87" w14:textId="77777777" w:rsidR="00A84742" w:rsidRPr="004B2398" w:rsidRDefault="00124C8F" w:rsidP="00A84742">
      <w:pPr>
        <w:jc w:val="left"/>
        <w:rPr>
          <w:color w:val="000000" w:themeColor="text1"/>
        </w:rPr>
      </w:pPr>
      <w:r>
        <w:rPr>
          <w:noProof/>
          <w:color w:val="548DD4" w:themeColor="text2" w:themeTint="99"/>
          <w:lang w:eastAsia="en-AU"/>
        </w:rPr>
        <w:lastRenderedPageBreak/>
        <w:drawing>
          <wp:inline distT="0" distB="0" distL="0" distR="0" wp14:anchorId="53C15F66" wp14:editId="20D85E99">
            <wp:extent cx="6120765" cy="6591300"/>
            <wp:effectExtent l="0" t="0" r="0" b="0"/>
            <wp:docPr id="9" name="Picture 9" descr="shows distribution of pressures since 2005. Includes temperature, river discharge and hard coral cover loss attribution. Body text provides details" title="Fitzroy Region environmental press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Env_Fitzroy.png"/>
                    <pic:cNvPicPr/>
                  </pic:nvPicPr>
                  <pic:blipFill>
                    <a:blip r:embed="rId63" cstate="print">
                      <a:extLst>
                        <a:ext uri="{28A0092B-C50C-407E-A947-70E740481C1C}">
                          <a14:useLocalDpi xmlns:a14="http://schemas.microsoft.com/office/drawing/2010/main" val="0"/>
                        </a:ext>
                      </a:extLst>
                    </a:blip>
                    <a:stretch>
                      <a:fillRect/>
                    </a:stretch>
                  </pic:blipFill>
                  <pic:spPr>
                    <a:xfrm>
                      <a:off x="0" y="0"/>
                      <a:ext cx="6120765" cy="6591300"/>
                    </a:xfrm>
                    <a:prstGeom prst="rect">
                      <a:avLst/>
                    </a:prstGeom>
                  </pic:spPr>
                </pic:pic>
              </a:graphicData>
            </a:graphic>
          </wp:inline>
        </w:drawing>
      </w:r>
    </w:p>
    <w:p w14:paraId="53C13F88" w14:textId="649CEA1C" w:rsidR="00EE76B9" w:rsidRPr="00AA6FF4" w:rsidRDefault="00A84742" w:rsidP="002B5296">
      <w:pPr>
        <w:pStyle w:val="Caption"/>
        <w:rPr>
          <w:rFonts w:ascii="Arial" w:hAnsi="Arial" w:cs="Arial"/>
          <w:i/>
          <w:vanish/>
          <w:specVanish/>
        </w:rPr>
      </w:pPr>
      <w:bookmarkStart w:id="448" w:name="_Ref491345321"/>
      <w:bookmarkStart w:id="449" w:name="_Ref438121562"/>
      <w:bookmarkStart w:id="450" w:name="_Toc437423859"/>
      <w:bookmarkStart w:id="451" w:name="_Toc437424038"/>
      <w:bookmarkStart w:id="452" w:name="_Toc437424308"/>
      <w:bookmarkStart w:id="453" w:name="_Toc437432361"/>
      <w:bookmarkStart w:id="454" w:name="_Toc437597643"/>
      <w:bookmarkStart w:id="455" w:name="_Toc530654921"/>
      <w:bookmarkStart w:id="456" w:name="_Toc534965129"/>
      <w:bookmarkStart w:id="457" w:name="_Toc35947180"/>
      <w:r w:rsidRPr="00CE4E0F">
        <w:lastRenderedPageBreak/>
        <w:t xml:space="preserve">Figure </w:t>
      </w:r>
      <w:r w:rsidR="005D7AC6" w:rsidRPr="00CE4E0F">
        <w:rPr>
          <w:noProof/>
        </w:rPr>
        <w:fldChar w:fldCharType="begin"/>
      </w:r>
      <w:r w:rsidR="005D7AC6" w:rsidRPr="00CE4E0F">
        <w:rPr>
          <w:noProof/>
        </w:rPr>
        <w:instrText xml:space="preserve"> SEQ Figure \* ARABIC </w:instrText>
      </w:r>
      <w:r w:rsidR="005D7AC6" w:rsidRPr="00CE4E0F">
        <w:rPr>
          <w:noProof/>
        </w:rPr>
        <w:fldChar w:fldCharType="separate"/>
      </w:r>
      <w:r w:rsidR="003053D1">
        <w:rPr>
          <w:noProof/>
        </w:rPr>
        <w:t>30</w:t>
      </w:r>
      <w:r w:rsidR="005D7AC6" w:rsidRPr="00CE4E0F">
        <w:rPr>
          <w:noProof/>
        </w:rPr>
        <w:fldChar w:fldCharType="end"/>
      </w:r>
      <w:bookmarkEnd w:id="448"/>
      <w:r w:rsidRPr="00CE4E0F">
        <w:t xml:space="preserve"> Fitzroy Region environmental </w:t>
      </w:r>
      <w:bookmarkEnd w:id="449"/>
      <w:bookmarkEnd w:id="450"/>
      <w:bookmarkEnd w:id="451"/>
      <w:bookmarkEnd w:id="452"/>
      <w:bookmarkEnd w:id="453"/>
      <w:bookmarkEnd w:id="454"/>
      <w:bookmarkEnd w:id="455"/>
      <w:bookmarkEnd w:id="456"/>
      <w:r w:rsidR="00400C25" w:rsidRPr="00CE4E0F">
        <w:t>pressures</w:t>
      </w:r>
      <w:bookmarkEnd w:id="457"/>
    </w:p>
    <w:p w14:paraId="53C13F89" w14:textId="77777777" w:rsidR="00A84742" w:rsidRPr="00EE76B9" w:rsidRDefault="00400C25">
      <w:pPr>
        <w:pStyle w:val="Caption"/>
        <w:rPr>
          <w:rStyle w:val="IntenseReference"/>
        </w:rPr>
      </w:pPr>
      <w:r>
        <w:t>.</w:t>
      </w:r>
      <w:r w:rsidRPr="00CE4E0F">
        <w:t xml:space="preserve"> </w:t>
      </w:r>
      <w:r w:rsidRPr="00EE76B9">
        <w:rPr>
          <w:rStyle w:val="IntenseReference"/>
        </w:rPr>
        <w:t>Maps</w:t>
      </w:r>
      <w:r w:rsidR="00A84742" w:rsidRPr="00EE76B9">
        <w:rPr>
          <w:rStyle w:val="IntenseReference"/>
        </w:rPr>
        <w:t xml:space="preserve"> show location of monitoring sites, red symbols MMP, yellow symbols LTMP along with a) mean chlorophyll a exceedance of wet season Guideline (0.63ugL-1) and b) mean Non Algal Particulate concentrations. Water quality data are mean levels over the period 2003–2018 (Chl) and 2003–2018 (NAP). c) Seasonally adjusted temperature deviation, timing of cyclones and storms indicated by black arrows, accumulated degree heating days over the summer period (1st of December – 31st March) as reported by BoM (black symbols) and derived from in situ loggers (grey symbols) d) Combined daily (blue) and annual water year – October to September (red) discharge for the Calliope and Fitzroy rivers and Waterpark Creek, red dashed line represents long-term median discharge (1986–2016). e) break-down of hard coral cover loss by disturbance type; length of bars represent</w:t>
      </w:r>
      <w:r w:rsidR="00150351" w:rsidRPr="00EE76B9">
        <w:rPr>
          <w:rStyle w:val="IntenseReference"/>
        </w:rPr>
        <w:t>s</w:t>
      </w:r>
      <w:r w:rsidR="00A84742" w:rsidRPr="00EE76B9">
        <w:rPr>
          <w:rStyle w:val="IntenseReference"/>
        </w:rPr>
        <w:t xml:space="preserve"> the mean loss of cover across all reefs.</w:t>
      </w:r>
    </w:p>
    <w:p w14:paraId="53C13F8A" w14:textId="77777777" w:rsidR="00A84742" w:rsidRPr="004B2398" w:rsidRDefault="00A84742" w:rsidP="00A84742">
      <w:pPr>
        <w:jc w:val="left"/>
        <w:rPr>
          <w:rFonts w:eastAsia="SimSun"/>
          <w:color w:val="000000" w:themeColor="text1"/>
        </w:rPr>
      </w:pPr>
      <w:r w:rsidRPr="00CE4E0F">
        <w:rPr>
          <w:rFonts w:eastAsia="SimSun"/>
          <w:color w:val="548DD4" w:themeColor="text2" w:themeTint="99"/>
        </w:rPr>
        <w:br w:type="page"/>
      </w:r>
    </w:p>
    <w:p w14:paraId="53C13F8B" w14:textId="77777777" w:rsidR="00A84742" w:rsidRPr="004B2398" w:rsidRDefault="003E1937" w:rsidP="00A84742">
      <w:pPr>
        <w:rPr>
          <w:rFonts w:eastAsia="SimSun"/>
          <w:color w:val="000000" w:themeColor="text1"/>
        </w:rPr>
      </w:pPr>
      <w:bookmarkStart w:id="458" w:name="_Toc437423860"/>
      <w:bookmarkStart w:id="459" w:name="_Toc437424039"/>
      <w:bookmarkStart w:id="460" w:name="_Toc437424310"/>
      <w:bookmarkEnd w:id="411"/>
      <w:r>
        <w:rPr>
          <w:rFonts w:eastAsia="SimSun"/>
          <w:noProof/>
          <w:color w:val="548DD4" w:themeColor="text2" w:themeTint="99"/>
          <w:lang w:eastAsia="en-AU"/>
        </w:rPr>
        <w:lastRenderedPageBreak/>
        <w:drawing>
          <wp:inline distT="0" distB="0" distL="0" distR="0" wp14:anchorId="53C15F68" wp14:editId="0A85A3E4">
            <wp:extent cx="6120765" cy="5353050"/>
            <wp:effectExtent l="0" t="0" r="0" b="0"/>
            <wp:docPr id="7429" name="Picture 7429" descr="shows the range of individual indicator scores since 2005" title="Fitzroy Region index and indicator tre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9" name="Fitzroy_plots_noWQ.png"/>
                    <pic:cNvPicPr/>
                  </pic:nvPicPr>
                  <pic:blipFill>
                    <a:blip r:embed="rId64" cstate="print">
                      <a:extLst>
                        <a:ext uri="{28A0092B-C50C-407E-A947-70E740481C1C}">
                          <a14:useLocalDpi xmlns:a14="http://schemas.microsoft.com/office/drawing/2010/main" val="0"/>
                        </a:ext>
                      </a:extLst>
                    </a:blip>
                    <a:stretch>
                      <a:fillRect/>
                    </a:stretch>
                  </pic:blipFill>
                  <pic:spPr>
                    <a:xfrm>
                      <a:off x="0" y="0"/>
                      <a:ext cx="6120765" cy="5353050"/>
                    </a:xfrm>
                    <a:prstGeom prst="rect">
                      <a:avLst/>
                    </a:prstGeom>
                  </pic:spPr>
                </pic:pic>
              </a:graphicData>
            </a:graphic>
          </wp:inline>
        </w:drawing>
      </w:r>
    </w:p>
    <w:p w14:paraId="53C13F8C" w14:textId="51D6F2E1" w:rsidR="006177B6" w:rsidRPr="00AA6FF4" w:rsidRDefault="00A84742" w:rsidP="002B5296">
      <w:pPr>
        <w:pStyle w:val="Caption"/>
        <w:rPr>
          <w:rFonts w:ascii="Arial" w:hAnsi="Arial" w:cs="Arial"/>
          <w:i/>
          <w:vanish/>
          <w:specVanish/>
        </w:rPr>
      </w:pPr>
      <w:bookmarkStart w:id="461" w:name="_Ref491345128"/>
      <w:bookmarkStart w:id="462" w:name="_Toc35947181"/>
      <w:bookmarkStart w:id="463" w:name="_Ref438121610"/>
      <w:bookmarkStart w:id="464" w:name="_Toc437597645"/>
      <w:bookmarkStart w:id="465" w:name="_Toc530654922"/>
      <w:bookmarkStart w:id="466" w:name="_Toc534965130"/>
      <w:r w:rsidRPr="00AA6FF4">
        <w:t xml:space="preserve">Figure </w:t>
      </w:r>
      <w:r w:rsidR="005D7AC6" w:rsidRPr="00AA6FF4">
        <w:rPr>
          <w:noProof/>
        </w:rPr>
        <w:fldChar w:fldCharType="begin"/>
      </w:r>
      <w:r w:rsidR="005D7AC6" w:rsidRPr="00AA6FF4">
        <w:rPr>
          <w:noProof/>
        </w:rPr>
        <w:instrText xml:space="preserve"> SEQ Figure \* ARABIC </w:instrText>
      </w:r>
      <w:r w:rsidR="005D7AC6" w:rsidRPr="00AA6FF4">
        <w:rPr>
          <w:noProof/>
        </w:rPr>
        <w:fldChar w:fldCharType="separate"/>
      </w:r>
      <w:r w:rsidR="003053D1">
        <w:rPr>
          <w:noProof/>
        </w:rPr>
        <w:t>31</w:t>
      </w:r>
      <w:r w:rsidR="005D7AC6" w:rsidRPr="00AA6FF4">
        <w:rPr>
          <w:noProof/>
        </w:rPr>
        <w:fldChar w:fldCharType="end"/>
      </w:r>
      <w:bookmarkEnd w:id="461"/>
      <w:r w:rsidRPr="00AA6FF4">
        <w:t xml:space="preserve"> Fitzroy Region index and indicator trends</w:t>
      </w:r>
      <w:bookmarkEnd w:id="462"/>
    </w:p>
    <w:p w14:paraId="53C13F8D" w14:textId="77777777" w:rsidR="00A84742" w:rsidRPr="00EE76B9" w:rsidRDefault="006177B6">
      <w:pPr>
        <w:pStyle w:val="Caption"/>
        <w:rPr>
          <w:rStyle w:val="IntenseReference"/>
        </w:rPr>
      </w:pPr>
      <w:r w:rsidRPr="00EE76B9">
        <w:rPr>
          <w:rStyle w:val="IntenseReference"/>
        </w:rPr>
        <w:t>.</w:t>
      </w:r>
      <w:bookmarkEnd w:id="458"/>
      <w:bookmarkEnd w:id="459"/>
      <w:bookmarkEnd w:id="460"/>
      <w:bookmarkEnd w:id="463"/>
      <w:bookmarkEnd w:id="464"/>
      <w:r w:rsidR="00A84742" w:rsidRPr="00EE76B9">
        <w:rPr>
          <w:rStyle w:val="IntenseReference"/>
        </w:rPr>
        <w:t xml:space="preserve"> </w:t>
      </w:r>
      <w:bookmarkStart w:id="467" w:name="_Toc437597646"/>
      <w:r w:rsidR="00A84742" w:rsidRPr="00EE76B9">
        <w:rPr>
          <w:rStyle w:val="IntenseReference"/>
        </w:rPr>
        <w:t xml:space="preserve">a– </w:t>
      </w:r>
      <w:r w:rsidR="00EE76B9" w:rsidRPr="00EE76B9">
        <w:rPr>
          <w:rStyle w:val="IntenseReference"/>
        </w:rPr>
        <w:t>e</w:t>
      </w:r>
      <w:r w:rsidR="00A84742" w:rsidRPr="00EE76B9">
        <w:rPr>
          <w:rStyle w:val="IntenseReference"/>
        </w:rPr>
        <w:t>) trends in individual indicators, (blue lines) bound by 95% confidence intervals of those trends (shading), grey lines represent observed profiles at 5 m (dashed) and 2 m (solid) depths for individual reefs.</w:t>
      </w:r>
      <w:bookmarkEnd w:id="465"/>
      <w:bookmarkEnd w:id="466"/>
      <w:bookmarkEnd w:id="467"/>
    </w:p>
    <w:p w14:paraId="53C13F8E" w14:textId="77777777" w:rsidR="00FD160C" w:rsidRPr="004B2398" w:rsidRDefault="00A84742" w:rsidP="00A84742">
      <w:pPr>
        <w:jc w:val="left"/>
        <w:rPr>
          <w:color w:val="000000" w:themeColor="text1"/>
        </w:rPr>
      </w:pPr>
      <w:r w:rsidRPr="00CE4E0F">
        <w:rPr>
          <w:color w:val="548DD4" w:themeColor="text2" w:themeTint="99"/>
        </w:rPr>
        <w:br w:type="page"/>
      </w:r>
    </w:p>
    <w:p w14:paraId="53C13F8F" w14:textId="77777777" w:rsidR="00BE4138" w:rsidRPr="00C8017F" w:rsidRDefault="00BE4138" w:rsidP="006F1D4F">
      <w:pPr>
        <w:pStyle w:val="Heading2"/>
        <w:rPr>
          <w:lang w:val="en-GB"/>
        </w:rPr>
      </w:pPr>
      <w:bookmarkStart w:id="468" w:name="_Ref35860723"/>
      <w:bookmarkStart w:id="469" w:name="_Toc35947127"/>
      <w:r>
        <w:rPr>
          <w:lang w:val="en-GB"/>
        </w:rPr>
        <w:lastRenderedPageBreak/>
        <w:t>Response of coral communities to environmental conditions</w:t>
      </w:r>
      <w:bookmarkEnd w:id="468"/>
      <w:bookmarkEnd w:id="469"/>
    </w:p>
    <w:p w14:paraId="53C13F90" w14:textId="77777777" w:rsidR="00BE4138" w:rsidRPr="00CE4E0F" w:rsidRDefault="00BE4138" w:rsidP="00BE4138">
      <w:pPr>
        <w:pStyle w:val="Heading3"/>
      </w:pPr>
      <w:bookmarkStart w:id="470" w:name="_Ref35860708"/>
      <w:bookmarkStart w:id="471" w:name="_Ref35860950"/>
      <w:bookmarkStart w:id="472" w:name="_Ref35861777"/>
      <w:bookmarkStart w:id="473" w:name="_Toc35947128"/>
      <w:r>
        <w:t>Location along water quality</w:t>
      </w:r>
      <w:r w:rsidRPr="00CE4E0F">
        <w:t xml:space="preserve"> gradients</w:t>
      </w:r>
      <w:bookmarkEnd w:id="470"/>
      <w:bookmarkEnd w:id="471"/>
      <w:bookmarkEnd w:id="472"/>
      <w:bookmarkEnd w:id="473"/>
    </w:p>
    <w:p w14:paraId="26296989" w14:textId="746DA072" w:rsidR="00655886" w:rsidRDefault="00655886" w:rsidP="00655886">
      <w:pPr>
        <w:rPr>
          <w:color w:val="000000" w:themeColor="text1"/>
        </w:rPr>
      </w:pPr>
      <w:r>
        <w:rPr>
          <w:color w:val="000000" w:themeColor="text1"/>
        </w:rPr>
        <w:t xml:space="preserve">Reef-wide </w:t>
      </w:r>
      <w:r w:rsidRPr="007C7838">
        <w:rPr>
          <w:color w:val="000000" w:themeColor="text1"/>
        </w:rPr>
        <w:t xml:space="preserve">index scores </w:t>
      </w:r>
      <w:r>
        <w:rPr>
          <w:color w:val="000000" w:themeColor="text1"/>
        </w:rPr>
        <w:t>at 2 m depth show a negative relationship to both</w:t>
      </w:r>
      <w:r w:rsidRPr="007C7838">
        <w:rPr>
          <w:color w:val="000000" w:themeColor="text1"/>
        </w:rPr>
        <w:t xml:space="preserve"> Chl </w:t>
      </w:r>
      <w:r w:rsidRPr="007C7838">
        <w:rPr>
          <w:i/>
          <w:color w:val="000000" w:themeColor="text1"/>
        </w:rPr>
        <w:t>a</w:t>
      </w:r>
      <w:r w:rsidRPr="007C7838">
        <w:rPr>
          <w:color w:val="000000" w:themeColor="text1"/>
        </w:rPr>
        <w:t xml:space="preserve"> and NAP </w:t>
      </w:r>
      <w:r>
        <w:rPr>
          <w:color w:val="000000" w:themeColor="text1"/>
        </w:rPr>
        <w:t>concentration in</w:t>
      </w:r>
      <w:r w:rsidRPr="007C7838">
        <w:rPr>
          <w:color w:val="000000" w:themeColor="text1"/>
        </w:rPr>
        <w:t xml:space="preserve"> surrounding waters (</w:t>
      </w:r>
      <w:r w:rsidR="00427E3C">
        <w:rPr>
          <w:color w:val="000000" w:themeColor="text1"/>
        </w:rPr>
        <w:fldChar w:fldCharType="begin"/>
      </w:r>
      <w:r w:rsidR="00427E3C">
        <w:rPr>
          <w:color w:val="000000" w:themeColor="text1"/>
        </w:rPr>
        <w:instrText xml:space="preserve"> REF _Ref35872982 \h </w:instrText>
      </w:r>
      <w:r w:rsidR="00427E3C">
        <w:rPr>
          <w:color w:val="000000" w:themeColor="text1"/>
        </w:rPr>
      </w:r>
      <w:r w:rsidR="00427E3C">
        <w:rPr>
          <w:color w:val="000000" w:themeColor="text1"/>
        </w:rPr>
        <w:fldChar w:fldCharType="separate"/>
      </w:r>
      <w:r w:rsidR="003053D1">
        <w:t xml:space="preserve">Table </w:t>
      </w:r>
      <w:r w:rsidR="003053D1">
        <w:rPr>
          <w:noProof/>
        </w:rPr>
        <w:t>15</w:t>
      </w:r>
      <w:r w:rsidR="00427E3C">
        <w:rPr>
          <w:color w:val="000000" w:themeColor="text1"/>
        </w:rPr>
        <w:fldChar w:fldCharType="end"/>
      </w:r>
      <w:r w:rsidRPr="007C7838">
        <w:rPr>
          <w:color w:val="000000" w:themeColor="text1"/>
        </w:rPr>
        <w:t xml:space="preserve">, </w:t>
      </w:r>
      <w:r w:rsidR="00427E3C">
        <w:rPr>
          <w:color w:val="000000" w:themeColor="text1"/>
        </w:rPr>
        <w:fldChar w:fldCharType="begin"/>
      </w:r>
      <w:r w:rsidR="00427E3C">
        <w:rPr>
          <w:color w:val="000000" w:themeColor="text1"/>
        </w:rPr>
        <w:instrText xml:space="preserve"> REF _Ref35873448 \h </w:instrText>
      </w:r>
      <w:r w:rsidR="00427E3C">
        <w:rPr>
          <w:color w:val="000000" w:themeColor="text1"/>
        </w:rPr>
      </w:r>
      <w:r w:rsidR="00427E3C">
        <w:rPr>
          <w:color w:val="000000" w:themeColor="text1"/>
        </w:rPr>
        <w:fldChar w:fldCharType="separate"/>
      </w:r>
      <w:r w:rsidR="003053D1" w:rsidRPr="00D31A17">
        <w:t xml:space="preserve">Figure </w:t>
      </w:r>
      <w:r w:rsidR="003053D1">
        <w:rPr>
          <w:noProof/>
        </w:rPr>
        <w:t>32</w:t>
      </w:r>
      <w:r w:rsidR="00427E3C">
        <w:rPr>
          <w:color w:val="000000" w:themeColor="text1"/>
        </w:rPr>
        <w:fldChar w:fldCharType="end"/>
      </w:r>
      <w:r w:rsidRPr="007C7838">
        <w:rPr>
          <w:color w:val="000000" w:themeColor="text1"/>
        </w:rPr>
        <w:t xml:space="preserve">a, </w:t>
      </w:r>
      <w:r w:rsidR="00427E3C">
        <w:rPr>
          <w:color w:val="000000" w:themeColor="text1"/>
        </w:rPr>
        <w:fldChar w:fldCharType="begin"/>
      </w:r>
      <w:r w:rsidR="00427E3C">
        <w:rPr>
          <w:color w:val="000000" w:themeColor="text1"/>
        </w:rPr>
        <w:instrText xml:space="preserve"> REF _Ref35873517 \h </w:instrText>
      </w:r>
      <w:r w:rsidR="00427E3C">
        <w:rPr>
          <w:color w:val="000000" w:themeColor="text1"/>
        </w:rPr>
      </w:r>
      <w:r w:rsidR="00427E3C">
        <w:rPr>
          <w:color w:val="000000" w:themeColor="text1"/>
        </w:rPr>
        <w:fldChar w:fldCharType="separate"/>
      </w:r>
      <w:r w:rsidR="003053D1" w:rsidRPr="0097050D">
        <w:t xml:space="preserve">Figure </w:t>
      </w:r>
      <w:r w:rsidR="003053D1">
        <w:rPr>
          <w:noProof/>
        </w:rPr>
        <w:t>33</w:t>
      </w:r>
      <w:r w:rsidR="00427E3C">
        <w:rPr>
          <w:color w:val="000000" w:themeColor="text1"/>
        </w:rPr>
        <w:fldChar w:fldCharType="end"/>
      </w:r>
      <w:r w:rsidRPr="007C7838">
        <w:rPr>
          <w:color w:val="000000" w:themeColor="text1"/>
        </w:rPr>
        <w:t xml:space="preserve">a). </w:t>
      </w:r>
      <w:r>
        <w:rPr>
          <w:color w:val="000000" w:themeColor="text1"/>
        </w:rPr>
        <w:t>However, f</w:t>
      </w:r>
      <w:r w:rsidRPr="007C7838">
        <w:rPr>
          <w:color w:val="000000" w:themeColor="text1"/>
        </w:rPr>
        <w:t xml:space="preserve">or both these water quality proxies it was only in the Wet Tropics that this relationship was statistically </w:t>
      </w:r>
      <w:r>
        <w:rPr>
          <w:color w:val="000000" w:themeColor="text1"/>
        </w:rPr>
        <w:t>significant (</w:t>
      </w:r>
      <w:r w:rsidR="00427E3C">
        <w:rPr>
          <w:color w:val="000000" w:themeColor="text1"/>
        </w:rPr>
        <w:fldChar w:fldCharType="begin"/>
      </w:r>
      <w:r w:rsidR="00427E3C">
        <w:rPr>
          <w:color w:val="000000" w:themeColor="text1"/>
        </w:rPr>
        <w:instrText xml:space="preserve"> REF _Ref35872982 \h </w:instrText>
      </w:r>
      <w:r w:rsidR="00427E3C">
        <w:rPr>
          <w:color w:val="000000" w:themeColor="text1"/>
        </w:rPr>
      </w:r>
      <w:r w:rsidR="00427E3C">
        <w:rPr>
          <w:color w:val="000000" w:themeColor="text1"/>
        </w:rPr>
        <w:fldChar w:fldCharType="separate"/>
      </w:r>
      <w:r w:rsidR="003053D1">
        <w:t xml:space="preserve">Table </w:t>
      </w:r>
      <w:r w:rsidR="003053D1">
        <w:rPr>
          <w:noProof/>
        </w:rPr>
        <w:t>15</w:t>
      </w:r>
      <w:r w:rsidR="00427E3C">
        <w:rPr>
          <w:color w:val="000000" w:themeColor="text1"/>
        </w:rPr>
        <w:fldChar w:fldCharType="end"/>
      </w:r>
      <w:r>
        <w:rPr>
          <w:color w:val="000000" w:themeColor="text1"/>
        </w:rPr>
        <w:t>)</w:t>
      </w:r>
      <w:r w:rsidRPr="007C7838">
        <w:rPr>
          <w:color w:val="000000" w:themeColor="text1"/>
        </w:rPr>
        <w:t xml:space="preserve">. </w:t>
      </w:r>
      <w:r>
        <w:rPr>
          <w:color w:val="000000" w:themeColor="text1"/>
        </w:rPr>
        <w:t>The</w:t>
      </w:r>
      <w:r w:rsidRPr="007C7838">
        <w:rPr>
          <w:color w:val="000000" w:themeColor="text1"/>
        </w:rPr>
        <w:t xml:space="preserve"> low number of reefs in other regions will have reduced the precision </w:t>
      </w:r>
      <w:r>
        <w:rPr>
          <w:color w:val="000000" w:themeColor="text1"/>
        </w:rPr>
        <w:t>of</w:t>
      </w:r>
      <w:r w:rsidRPr="007C7838">
        <w:rPr>
          <w:color w:val="000000" w:themeColor="text1"/>
        </w:rPr>
        <w:t xml:space="preserve"> within region confidence intervals </w:t>
      </w:r>
      <w:r>
        <w:rPr>
          <w:color w:val="000000" w:themeColor="text1"/>
        </w:rPr>
        <w:t>for</w:t>
      </w:r>
      <w:r w:rsidRPr="007C7838">
        <w:rPr>
          <w:color w:val="000000" w:themeColor="text1"/>
        </w:rPr>
        <w:t xml:space="preserve"> observed relationships. It was clear, however that </w:t>
      </w:r>
      <w:r>
        <w:rPr>
          <w:color w:val="000000" w:themeColor="text1"/>
        </w:rPr>
        <w:t xml:space="preserve">for most regions </w:t>
      </w:r>
      <w:r w:rsidRPr="007C7838">
        <w:rPr>
          <w:color w:val="000000" w:themeColor="text1"/>
        </w:rPr>
        <w:t>index scores in 2019 did not reflect</w:t>
      </w:r>
      <w:r>
        <w:rPr>
          <w:color w:val="000000" w:themeColor="text1"/>
        </w:rPr>
        <w:t xml:space="preserve"> relative exposure to </w:t>
      </w:r>
      <w:r w:rsidRPr="007C7838">
        <w:rPr>
          <w:color w:val="000000" w:themeColor="text1"/>
        </w:rPr>
        <w:t>pressures associated with water quality (</w:t>
      </w:r>
      <w:r w:rsidR="00427E3C">
        <w:rPr>
          <w:color w:val="000000" w:themeColor="text1"/>
        </w:rPr>
        <w:fldChar w:fldCharType="begin"/>
      </w:r>
      <w:r w:rsidR="00427E3C">
        <w:rPr>
          <w:color w:val="000000" w:themeColor="text1"/>
        </w:rPr>
        <w:instrText xml:space="preserve"> REF _Ref35872982 \h </w:instrText>
      </w:r>
      <w:r w:rsidR="00427E3C">
        <w:rPr>
          <w:color w:val="000000" w:themeColor="text1"/>
        </w:rPr>
      </w:r>
      <w:r w:rsidR="00427E3C">
        <w:rPr>
          <w:color w:val="000000" w:themeColor="text1"/>
        </w:rPr>
        <w:fldChar w:fldCharType="separate"/>
      </w:r>
      <w:r w:rsidR="003053D1">
        <w:t xml:space="preserve">Table </w:t>
      </w:r>
      <w:r w:rsidR="003053D1">
        <w:rPr>
          <w:noProof/>
        </w:rPr>
        <w:t>15</w:t>
      </w:r>
      <w:r w:rsidR="00427E3C">
        <w:rPr>
          <w:color w:val="000000" w:themeColor="text1"/>
        </w:rPr>
        <w:fldChar w:fldCharType="end"/>
      </w:r>
      <w:r w:rsidRPr="007C7838">
        <w:rPr>
          <w:color w:val="000000" w:themeColor="text1"/>
        </w:rPr>
        <w:t xml:space="preserve">, </w:t>
      </w:r>
      <w:r w:rsidR="00427E3C">
        <w:rPr>
          <w:color w:val="000000" w:themeColor="text1"/>
        </w:rPr>
        <w:fldChar w:fldCharType="begin"/>
      </w:r>
      <w:r w:rsidR="00427E3C">
        <w:rPr>
          <w:color w:val="000000" w:themeColor="text1"/>
        </w:rPr>
        <w:instrText xml:space="preserve"> REF _Ref35873448 \h </w:instrText>
      </w:r>
      <w:r w:rsidR="00427E3C">
        <w:rPr>
          <w:color w:val="000000" w:themeColor="text1"/>
        </w:rPr>
      </w:r>
      <w:r w:rsidR="00427E3C">
        <w:rPr>
          <w:color w:val="000000" w:themeColor="text1"/>
        </w:rPr>
        <w:fldChar w:fldCharType="separate"/>
      </w:r>
      <w:r w:rsidR="003053D1" w:rsidRPr="00D31A17">
        <w:t xml:space="preserve">Figure </w:t>
      </w:r>
      <w:r w:rsidR="003053D1">
        <w:rPr>
          <w:noProof/>
        </w:rPr>
        <w:t>32</w:t>
      </w:r>
      <w:r w:rsidR="00427E3C">
        <w:rPr>
          <w:color w:val="000000" w:themeColor="text1"/>
        </w:rPr>
        <w:fldChar w:fldCharType="end"/>
      </w:r>
      <w:r w:rsidRPr="007C7838">
        <w:rPr>
          <w:color w:val="000000" w:themeColor="text1"/>
        </w:rPr>
        <w:t>a</w:t>
      </w:r>
      <w:r>
        <w:rPr>
          <w:color w:val="000000" w:themeColor="text1"/>
        </w:rPr>
        <w:t xml:space="preserve">, </w:t>
      </w:r>
      <w:r>
        <w:rPr>
          <w:color w:val="000000" w:themeColor="text1"/>
        </w:rPr>
        <w:fldChar w:fldCharType="begin"/>
      </w:r>
      <w:r>
        <w:rPr>
          <w:color w:val="000000" w:themeColor="text1"/>
        </w:rPr>
        <w:instrText xml:space="preserve"> REF _Ref35873517 \h </w:instrText>
      </w:r>
      <w:r>
        <w:rPr>
          <w:color w:val="000000" w:themeColor="text1"/>
        </w:rPr>
      </w:r>
      <w:r>
        <w:rPr>
          <w:color w:val="000000" w:themeColor="text1"/>
        </w:rPr>
        <w:fldChar w:fldCharType="separate"/>
      </w:r>
      <w:r w:rsidR="003053D1" w:rsidRPr="0097050D">
        <w:t xml:space="preserve">Figure </w:t>
      </w:r>
      <w:r w:rsidR="003053D1">
        <w:rPr>
          <w:noProof/>
        </w:rPr>
        <w:t>33</w:t>
      </w:r>
      <w:r>
        <w:rPr>
          <w:color w:val="000000" w:themeColor="text1"/>
        </w:rPr>
        <w:fldChar w:fldCharType="end"/>
      </w:r>
      <w:r>
        <w:rPr>
          <w:color w:val="000000" w:themeColor="text1"/>
        </w:rPr>
        <w:t>a</w:t>
      </w:r>
      <w:r w:rsidRPr="007C7838">
        <w:rPr>
          <w:color w:val="000000" w:themeColor="text1"/>
        </w:rPr>
        <w:t xml:space="preserve">).  </w:t>
      </w:r>
      <w:r>
        <w:rPr>
          <w:color w:val="000000" w:themeColor="text1"/>
        </w:rPr>
        <w:t xml:space="preserve">For the Mackay-Whitsunday region similarly low Chl </w:t>
      </w:r>
      <w:r w:rsidRPr="0046635B">
        <w:rPr>
          <w:i/>
          <w:color w:val="000000" w:themeColor="text1"/>
        </w:rPr>
        <w:t>a</w:t>
      </w:r>
      <w:r>
        <w:rPr>
          <w:color w:val="000000" w:themeColor="text1"/>
        </w:rPr>
        <w:t xml:space="preserve"> concentration among reefs limit the sensitivity of these analyses. Recent severe impacts associated with cyclone Debbie across will also confound the state of scores responses to water quality.</w:t>
      </w:r>
    </w:p>
    <w:p w14:paraId="53C13F92" w14:textId="77777777" w:rsidR="00BE4138" w:rsidRDefault="00BE4138" w:rsidP="00BE4138">
      <w:pPr>
        <w:rPr>
          <w:color w:val="000000" w:themeColor="text1"/>
        </w:rPr>
      </w:pPr>
    </w:p>
    <w:p w14:paraId="53C13F93" w14:textId="1D1E0DCB" w:rsidR="00BE4138" w:rsidRPr="0062064A" w:rsidRDefault="00BE4138" w:rsidP="002B5296">
      <w:pPr>
        <w:pStyle w:val="Caption"/>
        <w:rPr>
          <w:rStyle w:val="FigureChar"/>
          <w:rFonts w:eastAsia="SimSun"/>
          <w:vanish/>
          <w:specVanish/>
        </w:rPr>
      </w:pPr>
      <w:bookmarkStart w:id="474" w:name="_Ref35872982"/>
      <w:bookmarkStart w:id="475" w:name="_Toc35947201"/>
      <w:r>
        <w:t xml:space="preserve">Table </w:t>
      </w:r>
      <w:r>
        <w:fldChar w:fldCharType="begin"/>
      </w:r>
      <w:r>
        <w:instrText xml:space="preserve"> SEQ Table \* ARABIC </w:instrText>
      </w:r>
      <w:r>
        <w:fldChar w:fldCharType="separate"/>
      </w:r>
      <w:r w:rsidR="003053D1">
        <w:rPr>
          <w:noProof/>
        </w:rPr>
        <w:t>15</w:t>
      </w:r>
      <w:r>
        <w:fldChar w:fldCharType="end"/>
      </w:r>
      <w:bookmarkEnd w:id="474"/>
      <w:r>
        <w:t xml:space="preserve"> Relationship between index and indicator scores and gradients in water quality in 2019</w:t>
      </w:r>
      <w:bookmarkEnd w:id="475"/>
    </w:p>
    <w:p w14:paraId="53C13F94" w14:textId="77777777" w:rsidR="00BE4138" w:rsidRPr="008B5D40" w:rsidRDefault="00BE4138">
      <w:pPr>
        <w:pStyle w:val="Caption"/>
        <w:rPr>
          <w:rStyle w:val="IntenseReference"/>
        </w:rPr>
      </w:pPr>
      <w:r>
        <w:t xml:space="preserve">. </w:t>
      </w:r>
      <w:r w:rsidRPr="008B5D40">
        <w:rPr>
          <w:rStyle w:val="IntenseReference"/>
        </w:rPr>
        <w:t xml:space="preserve">Tabulated values are upper and lower confidence intervals of the trend in scores for each combination of index or indicator score and depth for which Reef-wide relations ships between score and water quality proxies; Chl a and NAP where observed. Slopes for which confidence intervals did not include zero are shaded to highlight the direction of the relationship. </w:t>
      </w:r>
    </w:p>
    <w:tbl>
      <w:tblPr>
        <w:tblStyle w:val="TableGrid"/>
        <w:tblW w:w="0" w:type="auto"/>
        <w:tblLayout w:type="fixed"/>
        <w:tblLook w:val="04A0" w:firstRow="1" w:lastRow="0" w:firstColumn="1" w:lastColumn="0" w:noHBand="0" w:noVBand="1"/>
        <w:tblCaption w:val="relationship between index and indicator scores and water quality in 2019"/>
        <w:tblDescription w:val="shows negative relationships to chlorophyll and non-algal particulates reef-wide for condition index and further details"/>
      </w:tblPr>
      <w:tblGrid>
        <w:gridCol w:w="1980"/>
        <w:gridCol w:w="567"/>
        <w:gridCol w:w="675"/>
        <w:gridCol w:w="712"/>
        <w:gridCol w:w="712"/>
        <w:gridCol w:w="712"/>
        <w:gridCol w:w="712"/>
        <w:gridCol w:w="711"/>
        <w:gridCol w:w="712"/>
        <w:gridCol w:w="712"/>
        <w:gridCol w:w="712"/>
        <w:gridCol w:w="712"/>
      </w:tblGrid>
      <w:tr w:rsidR="00BE4138" w14:paraId="53C13F9C" w14:textId="77777777" w:rsidTr="00E10F7E">
        <w:trPr>
          <w:tblHeader/>
        </w:trPr>
        <w:tc>
          <w:tcPr>
            <w:tcW w:w="1980" w:type="dxa"/>
            <w:vAlign w:val="center"/>
          </w:tcPr>
          <w:p w14:paraId="53C13F95" w14:textId="77777777" w:rsidR="00BE4138" w:rsidRPr="00FF69C5" w:rsidRDefault="00BE4138" w:rsidP="00877FA4">
            <w:pPr>
              <w:jc w:val="center"/>
              <w:rPr>
                <w:rFonts w:ascii="Arial Narrow" w:hAnsi="Arial Narrow"/>
                <w:color w:val="000000" w:themeColor="text1"/>
              </w:rPr>
            </w:pPr>
            <w:r w:rsidRPr="00FF69C5">
              <w:rPr>
                <w:rFonts w:ascii="Arial Narrow" w:hAnsi="Arial Narrow"/>
                <w:color w:val="000000" w:themeColor="text1"/>
              </w:rPr>
              <w:t>Response</w:t>
            </w:r>
          </w:p>
        </w:tc>
        <w:tc>
          <w:tcPr>
            <w:tcW w:w="567" w:type="dxa"/>
            <w:tcMar>
              <w:left w:w="57" w:type="dxa"/>
              <w:right w:w="57" w:type="dxa"/>
            </w:tcMar>
            <w:vAlign w:val="center"/>
          </w:tcPr>
          <w:p w14:paraId="53C13F96" w14:textId="77777777" w:rsidR="00BE4138" w:rsidRPr="00FF69C5" w:rsidRDefault="00BE4138" w:rsidP="00877FA4">
            <w:pPr>
              <w:jc w:val="center"/>
              <w:rPr>
                <w:rFonts w:ascii="Arial Narrow" w:hAnsi="Arial Narrow"/>
                <w:color w:val="548DD4" w:themeColor="text2" w:themeTint="99"/>
              </w:rPr>
            </w:pPr>
            <w:r w:rsidRPr="00FF69C5">
              <w:rPr>
                <w:rFonts w:ascii="Arial Narrow" w:hAnsi="Arial Narrow"/>
                <w:color w:val="000000"/>
              </w:rPr>
              <w:t>Depth</w:t>
            </w:r>
          </w:p>
        </w:tc>
        <w:tc>
          <w:tcPr>
            <w:tcW w:w="1387" w:type="dxa"/>
            <w:gridSpan w:val="2"/>
            <w:vAlign w:val="center"/>
          </w:tcPr>
          <w:p w14:paraId="53C13F97" w14:textId="77777777" w:rsidR="00BE4138" w:rsidRPr="00FF69C5" w:rsidRDefault="00BE4138" w:rsidP="00877FA4">
            <w:pPr>
              <w:jc w:val="center"/>
              <w:rPr>
                <w:rFonts w:ascii="Arial Narrow" w:hAnsi="Arial Narrow"/>
                <w:color w:val="548DD4" w:themeColor="text2" w:themeTint="99"/>
              </w:rPr>
            </w:pPr>
            <w:r w:rsidRPr="00FF69C5">
              <w:rPr>
                <w:rFonts w:ascii="Arial Narrow" w:hAnsi="Arial Narrow"/>
                <w:color w:val="000000" w:themeColor="text1"/>
              </w:rPr>
              <w:t>Reef-wide</w:t>
            </w:r>
          </w:p>
        </w:tc>
        <w:tc>
          <w:tcPr>
            <w:tcW w:w="1424" w:type="dxa"/>
            <w:gridSpan w:val="2"/>
            <w:vAlign w:val="center"/>
          </w:tcPr>
          <w:p w14:paraId="53C13F98" w14:textId="77777777" w:rsidR="00BE4138" w:rsidRPr="00FF69C5" w:rsidRDefault="00BE4138" w:rsidP="00877FA4">
            <w:pPr>
              <w:jc w:val="center"/>
              <w:rPr>
                <w:rFonts w:ascii="Arial Narrow" w:hAnsi="Arial Narrow"/>
                <w:color w:val="548DD4" w:themeColor="text2" w:themeTint="99"/>
              </w:rPr>
            </w:pPr>
            <w:r w:rsidRPr="00FF69C5">
              <w:rPr>
                <w:rFonts w:ascii="Arial Narrow" w:hAnsi="Arial Narrow"/>
                <w:color w:val="000000"/>
              </w:rPr>
              <w:t>Wet Tropics</w:t>
            </w:r>
          </w:p>
        </w:tc>
        <w:tc>
          <w:tcPr>
            <w:tcW w:w="1423" w:type="dxa"/>
            <w:gridSpan w:val="2"/>
            <w:vAlign w:val="center"/>
          </w:tcPr>
          <w:p w14:paraId="53C13F99" w14:textId="77777777" w:rsidR="00BE4138" w:rsidRPr="00FF69C5" w:rsidRDefault="00BE4138" w:rsidP="00877FA4">
            <w:pPr>
              <w:jc w:val="center"/>
              <w:rPr>
                <w:rFonts w:ascii="Arial Narrow" w:hAnsi="Arial Narrow"/>
                <w:color w:val="548DD4" w:themeColor="text2" w:themeTint="99"/>
              </w:rPr>
            </w:pPr>
            <w:r>
              <w:rPr>
                <w:rFonts w:ascii="Arial Narrow" w:hAnsi="Arial Narrow"/>
                <w:color w:val="000000"/>
              </w:rPr>
              <w:t>Burdekin</w:t>
            </w:r>
          </w:p>
        </w:tc>
        <w:tc>
          <w:tcPr>
            <w:tcW w:w="1424" w:type="dxa"/>
            <w:gridSpan w:val="2"/>
            <w:vAlign w:val="center"/>
          </w:tcPr>
          <w:p w14:paraId="53C13F9A" w14:textId="77777777" w:rsidR="00BE4138" w:rsidRPr="00FF69C5" w:rsidRDefault="00BE4138" w:rsidP="00877FA4">
            <w:pPr>
              <w:jc w:val="center"/>
              <w:rPr>
                <w:rFonts w:ascii="Arial Narrow" w:hAnsi="Arial Narrow"/>
                <w:color w:val="548DD4" w:themeColor="text2" w:themeTint="99"/>
              </w:rPr>
            </w:pPr>
            <w:r>
              <w:rPr>
                <w:rFonts w:ascii="Arial Narrow" w:hAnsi="Arial Narrow"/>
                <w:color w:val="000000"/>
              </w:rPr>
              <w:t>Mackay-Whitsunday</w:t>
            </w:r>
          </w:p>
        </w:tc>
        <w:tc>
          <w:tcPr>
            <w:tcW w:w="1424" w:type="dxa"/>
            <w:gridSpan w:val="2"/>
            <w:vAlign w:val="center"/>
          </w:tcPr>
          <w:p w14:paraId="53C13F9B" w14:textId="77777777" w:rsidR="00BE4138" w:rsidRPr="00FF69C5" w:rsidRDefault="00BE4138" w:rsidP="00877FA4">
            <w:pPr>
              <w:jc w:val="center"/>
              <w:rPr>
                <w:rFonts w:ascii="Arial Narrow" w:hAnsi="Arial Narrow"/>
                <w:color w:val="548DD4" w:themeColor="text2" w:themeTint="99"/>
              </w:rPr>
            </w:pPr>
            <w:r>
              <w:rPr>
                <w:rFonts w:ascii="Arial Narrow" w:hAnsi="Arial Narrow"/>
                <w:color w:val="000000"/>
              </w:rPr>
              <w:t>Fitzroy</w:t>
            </w:r>
          </w:p>
        </w:tc>
      </w:tr>
      <w:tr w:rsidR="00BE4138" w14:paraId="53C13FA9" w14:textId="77777777" w:rsidTr="00877FA4">
        <w:tc>
          <w:tcPr>
            <w:tcW w:w="1980" w:type="dxa"/>
          </w:tcPr>
          <w:p w14:paraId="53C13F9D" w14:textId="77777777" w:rsidR="00BE4138" w:rsidRDefault="00BE4138" w:rsidP="00877FA4">
            <w:pPr>
              <w:rPr>
                <w:color w:val="548DD4" w:themeColor="text2" w:themeTint="99"/>
              </w:rPr>
            </w:pPr>
          </w:p>
        </w:tc>
        <w:tc>
          <w:tcPr>
            <w:tcW w:w="567" w:type="dxa"/>
          </w:tcPr>
          <w:p w14:paraId="53C13F9E" w14:textId="77777777" w:rsidR="00BE4138" w:rsidRDefault="00BE4138" w:rsidP="00877FA4">
            <w:pPr>
              <w:rPr>
                <w:color w:val="548DD4" w:themeColor="text2" w:themeTint="99"/>
              </w:rPr>
            </w:pPr>
          </w:p>
        </w:tc>
        <w:tc>
          <w:tcPr>
            <w:tcW w:w="675" w:type="dxa"/>
          </w:tcPr>
          <w:p w14:paraId="53C13F9F" w14:textId="77777777" w:rsidR="00BE4138" w:rsidRPr="00FF69C5" w:rsidRDefault="00BE4138" w:rsidP="00877FA4">
            <w:pPr>
              <w:jc w:val="center"/>
              <w:rPr>
                <w:color w:val="000000" w:themeColor="text1"/>
              </w:rPr>
            </w:pPr>
            <w:r w:rsidRPr="00FF69C5">
              <w:rPr>
                <w:color w:val="000000" w:themeColor="text1"/>
              </w:rPr>
              <w:t>l</w:t>
            </w:r>
          </w:p>
        </w:tc>
        <w:tc>
          <w:tcPr>
            <w:tcW w:w="712" w:type="dxa"/>
          </w:tcPr>
          <w:p w14:paraId="53C13FA0" w14:textId="77777777" w:rsidR="00BE4138" w:rsidRPr="00FF69C5" w:rsidRDefault="00BE4138" w:rsidP="00877FA4">
            <w:pPr>
              <w:jc w:val="center"/>
              <w:rPr>
                <w:color w:val="000000" w:themeColor="text1"/>
              </w:rPr>
            </w:pPr>
            <w:r w:rsidRPr="00FF69C5">
              <w:rPr>
                <w:color w:val="000000" w:themeColor="text1"/>
              </w:rPr>
              <w:t>u</w:t>
            </w:r>
          </w:p>
        </w:tc>
        <w:tc>
          <w:tcPr>
            <w:tcW w:w="712" w:type="dxa"/>
          </w:tcPr>
          <w:p w14:paraId="53C13FA1" w14:textId="77777777" w:rsidR="00BE4138" w:rsidRDefault="00BE4138" w:rsidP="00877FA4">
            <w:pPr>
              <w:jc w:val="center"/>
              <w:rPr>
                <w:color w:val="548DD4" w:themeColor="text2" w:themeTint="99"/>
              </w:rPr>
            </w:pPr>
            <w:r w:rsidRPr="00FF69C5">
              <w:rPr>
                <w:color w:val="000000" w:themeColor="text1"/>
              </w:rPr>
              <w:t>l</w:t>
            </w:r>
          </w:p>
        </w:tc>
        <w:tc>
          <w:tcPr>
            <w:tcW w:w="712" w:type="dxa"/>
          </w:tcPr>
          <w:p w14:paraId="53C13FA2" w14:textId="77777777" w:rsidR="00BE4138" w:rsidRDefault="00BE4138" w:rsidP="00877FA4">
            <w:pPr>
              <w:jc w:val="center"/>
              <w:rPr>
                <w:color w:val="548DD4" w:themeColor="text2" w:themeTint="99"/>
              </w:rPr>
            </w:pPr>
            <w:r w:rsidRPr="00FF69C5">
              <w:rPr>
                <w:color w:val="000000" w:themeColor="text1"/>
              </w:rPr>
              <w:t>u</w:t>
            </w:r>
          </w:p>
        </w:tc>
        <w:tc>
          <w:tcPr>
            <w:tcW w:w="712" w:type="dxa"/>
          </w:tcPr>
          <w:p w14:paraId="53C13FA3" w14:textId="77777777" w:rsidR="00BE4138" w:rsidRDefault="00BE4138" w:rsidP="00877FA4">
            <w:pPr>
              <w:jc w:val="center"/>
              <w:rPr>
                <w:color w:val="548DD4" w:themeColor="text2" w:themeTint="99"/>
              </w:rPr>
            </w:pPr>
            <w:r w:rsidRPr="00FF69C5">
              <w:rPr>
                <w:color w:val="000000" w:themeColor="text1"/>
              </w:rPr>
              <w:t>l</w:t>
            </w:r>
          </w:p>
        </w:tc>
        <w:tc>
          <w:tcPr>
            <w:tcW w:w="711" w:type="dxa"/>
          </w:tcPr>
          <w:p w14:paraId="53C13FA4" w14:textId="77777777" w:rsidR="00BE4138" w:rsidRDefault="00BE4138" w:rsidP="00877FA4">
            <w:pPr>
              <w:jc w:val="center"/>
              <w:rPr>
                <w:color w:val="548DD4" w:themeColor="text2" w:themeTint="99"/>
              </w:rPr>
            </w:pPr>
            <w:r w:rsidRPr="00FF69C5">
              <w:rPr>
                <w:color w:val="000000" w:themeColor="text1"/>
              </w:rPr>
              <w:t>u</w:t>
            </w:r>
          </w:p>
        </w:tc>
        <w:tc>
          <w:tcPr>
            <w:tcW w:w="712" w:type="dxa"/>
          </w:tcPr>
          <w:p w14:paraId="53C13FA5" w14:textId="77777777" w:rsidR="00BE4138" w:rsidRDefault="00BE4138" w:rsidP="00877FA4">
            <w:pPr>
              <w:jc w:val="center"/>
              <w:rPr>
                <w:color w:val="548DD4" w:themeColor="text2" w:themeTint="99"/>
              </w:rPr>
            </w:pPr>
            <w:r w:rsidRPr="00FF69C5">
              <w:rPr>
                <w:color w:val="000000" w:themeColor="text1"/>
              </w:rPr>
              <w:t>l</w:t>
            </w:r>
          </w:p>
        </w:tc>
        <w:tc>
          <w:tcPr>
            <w:tcW w:w="712" w:type="dxa"/>
          </w:tcPr>
          <w:p w14:paraId="53C13FA6" w14:textId="77777777" w:rsidR="00BE4138" w:rsidRDefault="00BE4138" w:rsidP="00877FA4">
            <w:pPr>
              <w:jc w:val="center"/>
              <w:rPr>
                <w:color w:val="548DD4" w:themeColor="text2" w:themeTint="99"/>
              </w:rPr>
            </w:pPr>
            <w:r w:rsidRPr="00FF69C5">
              <w:rPr>
                <w:color w:val="000000" w:themeColor="text1"/>
              </w:rPr>
              <w:t>u</w:t>
            </w:r>
          </w:p>
        </w:tc>
        <w:tc>
          <w:tcPr>
            <w:tcW w:w="712" w:type="dxa"/>
          </w:tcPr>
          <w:p w14:paraId="53C13FA7" w14:textId="77777777" w:rsidR="00BE4138" w:rsidRDefault="00BE4138" w:rsidP="00877FA4">
            <w:pPr>
              <w:jc w:val="center"/>
              <w:rPr>
                <w:color w:val="548DD4" w:themeColor="text2" w:themeTint="99"/>
              </w:rPr>
            </w:pPr>
            <w:r w:rsidRPr="00FF69C5">
              <w:rPr>
                <w:color w:val="000000" w:themeColor="text1"/>
              </w:rPr>
              <w:t>l</w:t>
            </w:r>
          </w:p>
        </w:tc>
        <w:tc>
          <w:tcPr>
            <w:tcW w:w="712" w:type="dxa"/>
          </w:tcPr>
          <w:p w14:paraId="53C13FA8" w14:textId="77777777" w:rsidR="00BE4138" w:rsidRDefault="00BE4138" w:rsidP="00877FA4">
            <w:pPr>
              <w:jc w:val="center"/>
              <w:rPr>
                <w:color w:val="548DD4" w:themeColor="text2" w:themeTint="99"/>
              </w:rPr>
            </w:pPr>
            <w:r w:rsidRPr="00FF69C5">
              <w:rPr>
                <w:color w:val="000000" w:themeColor="text1"/>
              </w:rPr>
              <w:t>u</w:t>
            </w:r>
          </w:p>
        </w:tc>
      </w:tr>
      <w:tr w:rsidR="00BE4138" w14:paraId="53C13FAB" w14:textId="77777777" w:rsidTr="00877FA4">
        <w:tc>
          <w:tcPr>
            <w:tcW w:w="9629" w:type="dxa"/>
            <w:gridSpan w:val="12"/>
            <w:vAlign w:val="bottom"/>
          </w:tcPr>
          <w:p w14:paraId="53C13FAA" w14:textId="77777777" w:rsidR="00BE4138" w:rsidRPr="00FF69C5" w:rsidRDefault="00BE4138" w:rsidP="00877FA4">
            <w:pPr>
              <w:jc w:val="center"/>
              <w:rPr>
                <w:rFonts w:ascii="Arial Narrow" w:hAnsi="Arial Narrow"/>
                <w:color w:val="000000"/>
              </w:rPr>
            </w:pPr>
            <w:r>
              <w:rPr>
                <w:rFonts w:ascii="Arial Narrow" w:hAnsi="Arial Narrow"/>
                <w:color w:val="000000"/>
              </w:rPr>
              <w:t xml:space="preserve">Chlorophyll </w:t>
            </w:r>
            <w:r w:rsidRPr="009F14F1">
              <w:rPr>
                <w:rFonts w:ascii="Arial Narrow" w:hAnsi="Arial Narrow"/>
                <w:i/>
                <w:color w:val="000000"/>
              </w:rPr>
              <w:t>a</w:t>
            </w:r>
            <w:r>
              <w:rPr>
                <w:rFonts w:ascii="Arial Narrow" w:hAnsi="Arial Narrow"/>
                <w:i/>
                <w:color w:val="000000"/>
              </w:rPr>
              <w:t xml:space="preserve"> </w:t>
            </w:r>
            <w:r w:rsidRPr="009F14F1">
              <w:rPr>
                <w:rFonts w:ascii="Arial Narrow" w:hAnsi="Arial Narrow"/>
                <w:color w:val="000000"/>
              </w:rPr>
              <w:t>concentration</w:t>
            </w:r>
          </w:p>
        </w:tc>
      </w:tr>
      <w:tr w:rsidR="00BE4138" w14:paraId="53C13FB8" w14:textId="77777777" w:rsidTr="00877FA4">
        <w:tc>
          <w:tcPr>
            <w:tcW w:w="1980" w:type="dxa"/>
            <w:vAlign w:val="center"/>
          </w:tcPr>
          <w:p w14:paraId="53C13FAC" w14:textId="77777777" w:rsidR="00BE4138" w:rsidRPr="00FF69C5" w:rsidRDefault="00BE4138" w:rsidP="00877FA4">
            <w:pPr>
              <w:jc w:val="left"/>
              <w:rPr>
                <w:rFonts w:ascii="Arial Narrow" w:hAnsi="Arial Narrow"/>
                <w:color w:val="548DD4" w:themeColor="text2" w:themeTint="99"/>
              </w:rPr>
            </w:pPr>
            <w:r w:rsidRPr="00FF69C5">
              <w:rPr>
                <w:rFonts w:ascii="Arial Narrow" w:hAnsi="Arial Narrow"/>
                <w:color w:val="000000"/>
              </w:rPr>
              <w:t>Index</w:t>
            </w:r>
          </w:p>
        </w:tc>
        <w:tc>
          <w:tcPr>
            <w:tcW w:w="567" w:type="dxa"/>
            <w:vAlign w:val="bottom"/>
          </w:tcPr>
          <w:p w14:paraId="53C13FAD" w14:textId="77777777" w:rsidR="00BE4138" w:rsidRPr="00FF69C5" w:rsidRDefault="00BE4138" w:rsidP="00877FA4">
            <w:pPr>
              <w:jc w:val="center"/>
              <w:rPr>
                <w:rFonts w:ascii="Arial Narrow" w:hAnsi="Arial Narrow"/>
                <w:color w:val="548DD4" w:themeColor="text2" w:themeTint="99"/>
              </w:rPr>
            </w:pPr>
            <w:r w:rsidRPr="00FF69C5">
              <w:rPr>
                <w:rFonts w:ascii="Arial Narrow" w:hAnsi="Arial Narrow"/>
                <w:color w:val="000000"/>
              </w:rPr>
              <w:t>2</w:t>
            </w:r>
          </w:p>
        </w:tc>
        <w:tc>
          <w:tcPr>
            <w:tcW w:w="675" w:type="dxa"/>
            <w:shd w:val="clear" w:color="auto" w:fill="D99594" w:themeFill="accent2" w:themeFillTint="99"/>
            <w:vAlign w:val="bottom"/>
          </w:tcPr>
          <w:p w14:paraId="53C13FAE"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w:t>
            </w:r>
            <w:r>
              <w:rPr>
                <w:rFonts w:ascii="Arial Narrow" w:hAnsi="Arial Narrow"/>
                <w:color w:val="000000" w:themeColor="text1"/>
              </w:rPr>
              <w:t>4.7</w:t>
            </w:r>
          </w:p>
        </w:tc>
        <w:tc>
          <w:tcPr>
            <w:tcW w:w="712" w:type="dxa"/>
            <w:shd w:val="clear" w:color="auto" w:fill="D99594" w:themeFill="accent2" w:themeFillTint="99"/>
            <w:vAlign w:val="bottom"/>
          </w:tcPr>
          <w:p w14:paraId="53C13FAF"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-0.</w:t>
            </w:r>
            <w:r>
              <w:rPr>
                <w:rFonts w:ascii="Arial Narrow" w:hAnsi="Arial Narrow"/>
                <w:color w:val="000000" w:themeColor="text1"/>
              </w:rPr>
              <w:t>5</w:t>
            </w:r>
          </w:p>
        </w:tc>
        <w:tc>
          <w:tcPr>
            <w:tcW w:w="712" w:type="dxa"/>
            <w:shd w:val="clear" w:color="auto" w:fill="D99594" w:themeFill="accent2" w:themeFillTint="99"/>
            <w:vAlign w:val="bottom"/>
          </w:tcPr>
          <w:p w14:paraId="53C13FB0"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-6.</w:t>
            </w:r>
            <w:r>
              <w:rPr>
                <w:rFonts w:ascii="Arial Narrow" w:hAnsi="Arial Narrow"/>
                <w:color w:val="000000" w:themeColor="text1"/>
              </w:rPr>
              <w:t>9</w:t>
            </w:r>
          </w:p>
        </w:tc>
        <w:tc>
          <w:tcPr>
            <w:tcW w:w="712" w:type="dxa"/>
            <w:shd w:val="clear" w:color="auto" w:fill="D99594" w:themeFill="accent2" w:themeFillTint="99"/>
            <w:vAlign w:val="bottom"/>
          </w:tcPr>
          <w:p w14:paraId="53C13FB1"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-0.</w:t>
            </w:r>
            <w:r>
              <w:rPr>
                <w:rFonts w:ascii="Arial Narrow" w:hAnsi="Arial Narrow"/>
                <w:color w:val="000000" w:themeColor="text1"/>
              </w:rPr>
              <w:t>2</w:t>
            </w:r>
          </w:p>
        </w:tc>
        <w:tc>
          <w:tcPr>
            <w:tcW w:w="712" w:type="dxa"/>
            <w:vAlign w:val="bottom"/>
          </w:tcPr>
          <w:p w14:paraId="53C13FB2"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-6.</w:t>
            </w:r>
            <w:r>
              <w:rPr>
                <w:rFonts w:ascii="Arial Narrow" w:hAnsi="Arial Narrow"/>
                <w:color w:val="000000" w:themeColor="text1"/>
              </w:rPr>
              <w:t>5</w:t>
            </w:r>
          </w:p>
        </w:tc>
        <w:tc>
          <w:tcPr>
            <w:tcW w:w="711" w:type="dxa"/>
            <w:vAlign w:val="bottom"/>
          </w:tcPr>
          <w:p w14:paraId="53C13FB3"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1.</w:t>
            </w:r>
            <w:r>
              <w:rPr>
                <w:rFonts w:ascii="Arial Narrow" w:hAnsi="Arial Narrow"/>
                <w:color w:val="000000" w:themeColor="text1"/>
              </w:rPr>
              <w:t>3</w:t>
            </w:r>
          </w:p>
        </w:tc>
        <w:tc>
          <w:tcPr>
            <w:tcW w:w="712" w:type="dxa"/>
            <w:vAlign w:val="bottom"/>
          </w:tcPr>
          <w:p w14:paraId="53C13FB4"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-8</w:t>
            </w:r>
            <w:r>
              <w:rPr>
                <w:rFonts w:ascii="Arial Narrow" w:hAnsi="Arial Narrow"/>
                <w:color w:val="000000" w:themeColor="text1"/>
              </w:rPr>
              <w:t>.1</w:t>
            </w:r>
          </w:p>
        </w:tc>
        <w:tc>
          <w:tcPr>
            <w:tcW w:w="712" w:type="dxa"/>
            <w:vAlign w:val="bottom"/>
          </w:tcPr>
          <w:p w14:paraId="53C13FB5"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1</w:t>
            </w:r>
            <w:r>
              <w:rPr>
                <w:rFonts w:ascii="Arial Narrow" w:hAnsi="Arial Narrow"/>
                <w:color w:val="000000" w:themeColor="text1"/>
              </w:rPr>
              <w:t>9.1</w:t>
            </w:r>
          </w:p>
        </w:tc>
        <w:tc>
          <w:tcPr>
            <w:tcW w:w="712" w:type="dxa"/>
            <w:vAlign w:val="bottom"/>
          </w:tcPr>
          <w:p w14:paraId="53C13FB6"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w:t>
            </w:r>
            <w:r>
              <w:rPr>
                <w:rFonts w:ascii="Arial Narrow" w:hAnsi="Arial Narrow"/>
                <w:color w:val="000000" w:themeColor="text1"/>
              </w:rPr>
              <w:t>7.2</w:t>
            </w:r>
            <w:r w:rsidRPr="00DF57C6">
              <w:rPr>
                <w:rFonts w:ascii="Arial Narrow" w:hAnsi="Arial Narrow"/>
                <w:color w:val="000000" w:themeColor="text1"/>
              </w:rPr>
              <w:t>2</w:t>
            </w:r>
          </w:p>
        </w:tc>
        <w:tc>
          <w:tcPr>
            <w:tcW w:w="712" w:type="dxa"/>
            <w:vAlign w:val="bottom"/>
          </w:tcPr>
          <w:p w14:paraId="53C13FB7"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1.</w:t>
            </w:r>
            <w:r>
              <w:rPr>
                <w:rFonts w:ascii="Arial Narrow" w:hAnsi="Arial Narrow"/>
                <w:color w:val="000000" w:themeColor="text1"/>
              </w:rPr>
              <w:t>8</w:t>
            </w:r>
          </w:p>
        </w:tc>
      </w:tr>
      <w:tr w:rsidR="00BE4138" w14:paraId="53C13FC5" w14:textId="77777777" w:rsidTr="00877FA4">
        <w:tc>
          <w:tcPr>
            <w:tcW w:w="1980" w:type="dxa"/>
            <w:vAlign w:val="center"/>
          </w:tcPr>
          <w:p w14:paraId="53C13FB9" w14:textId="77777777" w:rsidR="00BE4138" w:rsidRPr="00FF69C5" w:rsidRDefault="00BE4138" w:rsidP="00877FA4">
            <w:pPr>
              <w:jc w:val="left"/>
              <w:rPr>
                <w:rFonts w:ascii="Arial Narrow" w:hAnsi="Arial Narrow"/>
                <w:color w:val="000000"/>
              </w:rPr>
            </w:pPr>
            <w:r>
              <w:rPr>
                <w:rFonts w:ascii="Arial Narrow" w:hAnsi="Arial Narrow"/>
                <w:color w:val="000000"/>
              </w:rPr>
              <w:t>Coral cover score</w:t>
            </w:r>
          </w:p>
        </w:tc>
        <w:tc>
          <w:tcPr>
            <w:tcW w:w="567" w:type="dxa"/>
            <w:vAlign w:val="bottom"/>
          </w:tcPr>
          <w:p w14:paraId="53C13FBA" w14:textId="77777777" w:rsidR="00BE4138" w:rsidRPr="00FF69C5" w:rsidRDefault="00BE4138" w:rsidP="00877FA4">
            <w:pPr>
              <w:jc w:val="center"/>
              <w:rPr>
                <w:rFonts w:ascii="Arial Narrow" w:hAnsi="Arial Narrow"/>
                <w:color w:val="000000"/>
              </w:rPr>
            </w:pPr>
            <w:r w:rsidRPr="00FF69C5">
              <w:rPr>
                <w:rFonts w:ascii="Arial Narrow" w:hAnsi="Arial Narrow"/>
                <w:color w:val="000000"/>
              </w:rPr>
              <w:t>2</w:t>
            </w:r>
          </w:p>
        </w:tc>
        <w:tc>
          <w:tcPr>
            <w:tcW w:w="675" w:type="dxa"/>
            <w:shd w:val="clear" w:color="auto" w:fill="D99594" w:themeFill="accent2" w:themeFillTint="99"/>
            <w:vAlign w:val="bottom"/>
          </w:tcPr>
          <w:p w14:paraId="53C13FBB" w14:textId="77777777" w:rsidR="00BE4138" w:rsidRPr="00DF57C6" w:rsidRDefault="00BE4138" w:rsidP="00877FA4">
            <w:pPr>
              <w:jc w:val="center"/>
              <w:rPr>
                <w:rFonts w:ascii="Arial Narrow" w:hAnsi="Arial Narrow"/>
                <w:color w:val="000000" w:themeColor="text1"/>
              </w:rPr>
            </w:pPr>
            <w:r>
              <w:rPr>
                <w:rFonts w:ascii="Arial Narrow" w:hAnsi="Arial Narrow"/>
                <w:color w:val="000000" w:themeColor="text1"/>
              </w:rPr>
              <w:t>-7.0</w:t>
            </w:r>
          </w:p>
        </w:tc>
        <w:tc>
          <w:tcPr>
            <w:tcW w:w="712" w:type="dxa"/>
            <w:shd w:val="clear" w:color="auto" w:fill="D99594" w:themeFill="accent2" w:themeFillTint="99"/>
            <w:vAlign w:val="bottom"/>
          </w:tcPr>
          <w:p w14:paraId="53C13FBC"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-1.</w:t>
            </w:r>
            <w:r>
              <w:rPr>
                <w:rFonts w:ascii="Arial Narrow" w:hAnsi="Arial Narrow"/>
                <w:color w:val="000000" w:themeColor="text1"/>
              </w:rPr>
              <w:t>4</w:t>
            </w:r>
          </w:p>
        </w:tc>
        <w:tc>
          <w:tcPr>
            <w:tcW w:w="712" w:type="dxa"/>
            <w:shd w:val="clear" w:color="auto" w:fill="D99594" w:themeFill="accent2" w:themeFillTint="99"/>
            <w:vAlign w:val="bottom"/>
          </w:tcPr>
          <w:p w14:paraId="53C13FBD"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w:t>
            </w:r>
            <w:r>
              <w:rPr>
                <w:rFonts w:ascii="Arial Narrow" w:hAnsi="Arial Narrow"/>
                <w:color w:val="000000" w:themeColor="text1"/>
              </w:rPr>
              <w:t>10.3</w:t>
            </w:r>
          </w:p>
        </w:tc>
        <w:tc>
          <w:tcPr>
            <w:tcW w:w="712" w:type="dxa"/>
            <w:shd w:val="clear" w:color="auto" w:fill="D99594" w:themeFill="accent2" w:themeFillTint="99"/>
            <w:vAlign w:val="bottom"/>
          </w:tcPr>
          <w:p w14:paraId="53C13FBE"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-1.</w:t>
            </w:r>
            <w:r>
              <w:rPr>
                <w:rFonts w:ascii="Arial Narrow" w:hAnsi="Arial Narrow"/>
                <w:color w:val="000000" w:themeColor="text1"/>
              </w:rPr>
              <w:t>7</w:t>
            </w:r>
          </w:p>
        </w:tc>
        <w:tc>
          <w:tcPr>
            <w:tcW w:w="712" w:type="dxa"/>
            <w:vAlign w:val="bottom"/>
          </w:tcPr>
          <w:p w14:paraId="53C13FBF"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-6.</w:t>
            </w:r>
            <w:r>
              <w:rPr>
                <w:rFonts w:ascii="Arial Narrow" w:hAnsi="Arial Narrow"/>
                <w:color w:val="000000" w:themeColor="text1"/>
              </w:rPr>
              <w:t>6</w:t>
            </w:r>
          </w:p>
        </w:tc>
        <w:tc>
          <w:tcPr>
            <w:tcW w:w="711" w:type="dxa"/>
            <w:vAlign w:val="bottom"/>
          </w:tcPr>
          <w:p w14:paraId="53C13FC0"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3.</w:t>
            </w:r>
            <w:r>
              <w:rPr>
                <w:rFonts w:ascii="Arial Narrow" w:hAnsi="Arial Narrow"/>
                <w:color w:val="000000" w:themeColor="text1"/>
              </w:rPr>
              <w:t>2</w:t>
            </w:r>
          </w:p>
        </w:tc>
        <w:tc>
          <w:tcPr>
            <w:tcW w:w="712" w:type="dxa"/>
            <w:vAlign w:val="bottom"/>
          </w:tcPr>
          <w:p w14:paraId="53C13FC1"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-1</w:t>
            </w:r>
            <w:r>
              <w:rPr>
                <w:rFonts w:ascii="Arial Narrow" w:hAnsi="Arial Narrow"/>
                <w:color w:val="000000" w:themeColor="text1"/>
              </w:rPr>
              <w:t>1</w:t>
            </w:r>
            <w:r w:rsidRPr="00DF57C6">
              <w:rPr>
                <w:rFonts w:ascii="Arial Narrow" w:hAnsi="Arial Narrow"/>
                <w:color w:val="000000" w:themeColor="text1"/>
              </w:rPr>
              <w:t>.</w:t>
            </w:r>
            <w:r>
              <w:rPr>
                <w:rFonts w:ascii="Arial Narrow" w:hAnsi="Arial Narrow"/>
                <w:color w:val="000000" w:themeColor="text1"/>
              </w:rPr>
              <w:t>8</w:t>
            </w:r>
          </w:p>
        </w:tc>
        <w:tc>
          <w:tcPr>
            <w:tcW w:w="712" w:type="dxa"/>
            <w:vAlign w:val="bottom"/>
          </w:tcPr>
          <w:p w14:paraId="53C13FC2"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22</w:t>
            </w:r>
            <w:r>
              <w:rPr>
                <w:rFonts w:ascii="Arial Narrow" w:hAnsi="Arial Narrow"/>
                <w:color w:val="000000" w:themeColor="text1"/>
              </w:rPr>
              <w:t>.8</w:t>
            </w:r>
          </w:p>
        </w:tc>
        <w:tc>
          <w:tcPr>
            <w:tcW w:w="712" w:type="dxa"/>
            <w:shd w:val="clear" w:color="auto" w:fill="D99594" w:themeFill="accent2" w:themeFillTint="99"/>
            <w:vAlign w:val="bottom"/>
          </w:tcPr>
          <w:p w14:paraId="53C13FC3"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w:t>
            </w:r>
            <w:r>
              <w:rPr>
                <w:rFonts w:ascii="Arial Narrow" w:hAnsi="Arial Narrow"/>
                <w:color w:val="000000" w:themeColor="text1"/>
              </w:rPr>
              <w:t>12.1</w:t>
            </w:r>
          </w:p>
        </w:tc>
        <w:tc>
          <w:tcPr>
            <w:tcW w:w="712" w:type="dxa"/>
            <w:shd w:val="clear" w:color="auto" w:fill="D99594" w:themeFill="accent2" w:themeFillTint="99"/>
            <w:vAlign w:val="bottom"/>
          </w:tcPr>
          <w:p w14:paraId="53C13FC4"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-0.</w:t>
            </w:r>
            <w:r>
              <w:rPr>
                <w:rFonts w:ascii="Arial Narrow" w:hAnsi="Arial Narrow"/>
                <w:color w:val="000000" w:themeColor="text1"/>
              </w:rPr>
              <w:t>6</w:t>
            </w:r>
          </w:p>
        </w:tc>
      </w:tr>
      <w:tr w:rsidR="00BE4138" w14:paraId="53C13FD2" w14:textId="77777777" w:rsidTr="00877FA4">
        <w:tc>
          <w:tcPr>
            <w:tcW w:w="1980" w:type="dxa"/>
            <w:vMerge w:val="restart"/>
            <w:vAlign w:val="center"/>
          </w:tcPr>
          <w:p w14:paraId="53C13FC6" w14:textId="77777777" w:rsidR="00BE4138" w:rsidRPr="00FF69C5" w:rsidRDefault="00BE4138" w:rsidP="00877FA4">
            <w:pPr>
              <w:jc w:val="left"/>
              <w:rPr>
                <w:rFonts w:ascii="Arial Narrow" w:hAnsi="Arial Narrow"/>
                <w:color w:val="548DD4" w:themeColor="text2" w:themeTint="99"/>
              </w:rPr>
            </w:pPr>
            <w:r w:rsidRPr="00FF69C5">
              <w:rPr>
                <w:rFonts w:ascii="Arial Narrow" w:hAnsi="Arial Narrow"/>
                <w:color w:val="000000"/>
              </w:rPr>
              <w:t>Ma</w:t>
            </w:r>
            <w:r>
              <w:rPr>
                <w:rFonts w:ascii="Arial Narrow" w:hAnsi="Arial Narrow"/>
                <w:color w:val="000000"/>
              </w:rPr>
              <w:t>croalgae score</w:t>
            </w:r>
          </w:p>
        </w:tc>
        <w:tc>
          <w:tcPr>
            <w:tcW w:w="567" w:type="dxa"/>
            <w:vAlign w:val="bottom"/>
          </w:tcPr>
          <w:p w14:paraId="53C13FC7" w14:textId="77777777" w:rsidR="00BE4138" w:rsidRPr="00FF69C5" w:rsidRDefault="00BE4138" w:rsidP="00877FA4">
            <w:pPr>
              <w:jc w:val="center"/>
              <w:rPr>
                <w:rFonts w:ascii="Arial Narrow" w:hAnsi="Arial Narrow"/>
                <w:color w:val="548DD4" w:themeColor="text2" w:themeTint="99"/>
              </w:rPr>
            </w:pPr>
            <w:r w:rsidRPr="00FF69C5">
              <w:rPr>
                <w:rFonts w:ascii="Arial Narrow" w:hAnsi="Arial Narrow"/>
                <w:color w:val="000000"/>
              </w:rPr>
              <w:t>2</w:t>
            </w:r>
          </w:p>
        </w:tc>
        <w:tc>
          <w:tcPr>
            <w:tcW w:w="675" w:type="dxa"/>
            <w:shd w:val="clear" w:color="auto" w:fill="D99594" w:themeFill="accent2" w:themeFillTint="99"/>
            <w:vAlign w:val="bottom"/>
          </w:tcPr>
          <w:p w14:paraId="53C13FC8"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w:t>
            </w:r>
            <w:r>
              <w:rPr>
                <w:rFonts w:ascii="Arial Narrow" w:hAnsi="Arial Narrow"/>
                <w:color w:val="000000" w:themeColor="text1"/>
              </w:rPr>
              <w:t>8.4</w:t>
            </w:r>
          </w:p>
        </w:tc>
        <w:tc>
          <w:tcPr>
            <w:tcW w:w="712" w:type="dxa"/>
            <w:shd w:val="clear" w:color="auto" w:fill="D99594" w:themeFill="accent2" w:themeFillTint="99"/>
            <w:vAlign w:val="bottom"/>
          </w:tcPr>
          <w:p w14:paraId="53C13FC9"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w:t>
            </w:r>
            <w:r>
              <w:rPr>
                <w:rFonts w:ascii="Arial Narrow" w:hAnsi="Arial Narrow"/>
                <w:color w:val="000000" w:themeColor="text1"/>
              </w:rPr>
              <w:t>1.</w:t>
            </w:r>
            <w:r w:rsidRPr="00DF57C6">
              <w:rPr>
                <w:rFonts w:ascii="Arial Narrow" w:hAnsi="Arial Narrow"/>
                <w:color w:val="000000" w:themeColor="text1"/>
              </w:rPr>
              <w:t>0</w:t>
            </w:r>
          </w:p>
        </w:tc>
        <w:tc>
          <w:tcPr>
            <w:tcW w:w="712" w:type="dxa"/>
            <w:vAlign w:val="bottom"/>
          </w:tcPr>
          <w:p w14:paraId="53C13FCA"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w:t>
            </w:r>
            <w:r>
              <w:rPr>
                <w:rFonts w:ascii="Arial Narrow" w:hAnsi="Arial Narrow"/>
                <w:color w:val="000000" w:themeColor="text1"/>
              </w:rPr>
              <w:t>10.8</w:t>
            </w:r>
          </w:p>
        </w:tc>
        <w:tc>
          <w:tcPr>
            <w:tcW w:w="712" w:type="dxa"/>
            <w:vAlign w:val="bottom"/>
          </w:tcPr>
          <w:p w14:paraId="53C13FCB" w14:textId="77777777" w:rsidR="00BE4138" w:rsidRPr="00DF57C6" w:rsidRDefault="00BE4138" w:rsidP="00877FA4">
            <w:pPr>
              <w:jc w:val="center"/>
              <w:rPr>
                <w:rFonts w:ascii="Arial Narrow" w:hAnsi="Arial Narrow"/>
                <w:color w:val="000000" w:themeColor="text1"/>
              </w:rPr>
            </w:pPr>
            <w:r>
              <w:rPr>
                <w:rFonts w:ascii="Arial Narrow" w:hAnsi="Arial Narrow"/>
                <w:color w:val="000000" w:themeColor="text1"/>
              </w:rPr>
              <w:t>2.</w:t>
            </w:r>
            <w:r w:rsidRPr="00DF57C6">
              <w:rPr>
                <w:rFonts w:ascii="Arial Narrow" w:hAnsi="Arial Narrow"/>
                <w:color w:val="000000" w:themeColor="text1"/>
              </w:rPr>
              <w:t>1</w:t>
            </w:r>
          </w:p>
        </w:tc>
        <w:tc>
          <w:tcPr>
            <w:tcW w:w="712" w:type="dxa"/>
            <w:vAlign w:val="bottom"/>
          </w:tcPr>
          <w:p w14:paraId="53C13FCC"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-1</w:t>
            </w:r>
            <w:r>
              <w:rPr>
                <w:rFonts w:ascii="Arial Narrow" w:hAnsi="Arial Narrow"/>
                <w:color w:val="000000" w:themeColor="text1"/>
              </w:rPr>
              <w:t>3</w:t>
            </w:r>
            <w:r w:rsidRPr="00DF57C6">
              <w:rPr>
                <w:rFonts w:ascii="Arial Narrow" w:hAnsi="Arial Narrow"/>
                <w:color w:val="000000" w:themeColor="text1"/>
              </w:rPr>
              <w:t>.</w:t>
            </w:r>
            <w:r>
              <w:rPr>
                <w:rFonts w:ascii="Arial Narrow" w:hAnsi="Arial Narrow"/>
                <w:color w:val="000000" w:themeColor="text1"/>
              </w:rPr>
              <w:t>8</w:t>
            </w:r>
          </w:p>
        </w:tc>
        <w:tc>
          <w:tcPr>
            <w:tcW w:w="711" w:type="dxa"/>
            <w:vAlign w:val="bottom"/>
          </w:tcPr>
          <w:p w14:paraId="53C13FCD"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0</w:t>
            </w:r>
          </w:p>
        </w:tc>
        <w:tc>
          <w:tcPr>
            <w:tcW w:w="712" w:type="dxa"/>
            <w:vAlign w:val="bottom"/>
          </w:tcPr>
          <w:p w14:paraId="53C13FCE"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w:t>
            </w:r>
            <w:r>
              <w:rPr>
                <w:rFonts w:ascii="Arial Narrow" w:hAnsi="Arial Narrow"/>
                <w:color w:val="000000" w:themeColor="text1"/>
              </w:rPr>
              <w:t>22.2</w:t>
            </w:r>
          </w:p>
        </w:tc>
        <w:tc>
          <w:tcPr>
            <w:tcW w:w="712" w:type="dxa"/>
            <w:vAlign w:val="bottom"/>
          </w:tcPr>
          <w:p w14:paraId="53C13FCF"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26.</w:t>
            </w:r>
            <w:r>
              <w:rPr>
                <w:rFonts w:ascii="Arial Narrow" w:hAnsi="Arial Narrow"/>
                <w:color w:val="000000" w:themeColor="text1"/>
              </w:rPr>
              <w:t>6</w:t>
            </w:r>
          </w:p>
        </w:tc>
        <w:tc>
          <w:tcPr>
            <w:tcW w:w="712" w:type="dxa"/>
            <w:vAlign w:val="bottom"/>
          </w:tcPr>
          <w:p w14:paraId="53C13FD0"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w:t>
            </w:r>
            <w:r>
              <w:rPr>
                <w:rFonts w:ascii="Arial Narrow" w:hAnsi="Arial Narrow"/>
                <w:color w:val="000000" w:themeColor="text1"/>
              </w:rPr>
              <w:t>12.3</w:t>
            </w:r>
          </w:p>
        </w:tc>
        <w:tc>
          <w:tcPr>
            <w:tcW w:w="712" w:type="dxa"/>
            <w:vAlign w:val="bottom"/>
          </w:tcPr>
          <w:p w14:paraId="53C13FD1" w14:textId="77777777" w:rsidR="00BE4138" w:rsidRPr="00DF57C6" w:rsidRDefault="00BE4138" w:rsidP="00877FA4">
            <w:pPr>
              <w:jc w:val="center"/>
              <w:rPr>
                <w:rFonts w:ascii="Arial Narrow" w:hAnsi="Arial Narrow"/>
                <w:color w:val="000000" w:themeColor="text1"/>
              </w:rPr>
            </w:pPr>
            <w:r>
              <w:rPr>
                <w:rFonts w:ascii="Arial Narrow" w:hAnsi="Arial Narrow"/>
                <w:color w:val="000000" w:themeColor="text1"/>
              </w:rPr>
              <w:t>3.1</w:t>
            </w:r>
          </w:p>
        </w:tc>
      </w:tr>
      <w:tr w:rsidR="00BE4138" w14:paraId="53C13FDF" w14:textId="77777777" w:rsidTr="00877FA4">
        <w:tc>
          <w:tcPr>
            <w:tcW w:w="1980" w:type="dxa"/>
            <w:vMerge/>
            <w:vAlign w:val="center"/>
          </w:tcPr>
          <w:p w14:paraId="53C13FD3" w14:textId="77777777" w:rsidR="00BE4138" w:rsidRPr="00FF69C5" w:rsidRDefault="00BE4138" w:rsidP="00877FA4">
            <w:pPr>
              <w:jc w:val="left"/>
              <w:rPr>
                <w:rFonts w:ascii="Arial Narrow" w:hAnsi="Arial Narrow"/>
                <w:color w:val="548DD4" w:themeColor="text2" w:themeTint="99"/>
              </w:rPr>
            </w:pPr>
          </w:p>
        </w:tc>
        <w:tc>
          <w:tcPr>
            <w:tcW w:w="567" w:type="dxa"/>
            <w:vAlign w:val="bottom"/>
          </w:tcPr>
          <w:p w14:paraId="53C13FD4" w14:textId="77777777" w:rsidR="00BE4138" w:rsidRPr="00FF69C5" w:rsidRDefault="00BE4138" w:rsidP="00877FA4">
            <w:pPr>
              <w:jc w:val="center"/>
              <w:rPr>
                <w:rFonts w:ascii="Arial Narrow" w:hAnsi="Arial Narrow"/>
                <w:color w:val="548DD4" w:themeColor="text2" w:themeTint="99"/>
              </w:rPr>
            </w:pPr>
            <w:r w:rsidRPr="00FF69C5">
              <w:rPr>
                <w:rFonts w:ascii="Arial Narrow" w:hAnsi="Arial Narrow"/>
                <w:color w:val="000000"/>
              </w:rPr>
              <w:t>5</w:t>
            </w:r>
          </w:p>
        </w:tc>
        <w:tc>
          <w:tcPr>
            <w:tcW w:w="675" w:type="dxa"/>
            <w:shd w:val="clear" w:color="auto" w:fill="D99594" w:themeFill="accent2" w:themeFillTint="99"/>
            <w:vAlign w:val="bottom"/>
          </w:tcPr>
          <w:p w14:paraId="53C13FD5"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w:t>
            </w:r>
            <w:r>
              <w:rPr>
                <w:rFonts w:ascii="Arial Narrow" w:hAnsi="Arial Narrow"/>
                <w:color w:val="000000" w:themeColor="text1"/>
              </w:rPr>
              <w:t>7.6</w:t>
            </w:r>
          </w:p>
        </w:tc>
        <w:tc>
          <w:tcPr>
            <w:tcW w:w="712" w:type="dxa"/>
            <w:shd w:val="clear" w:color="auto" w:fill="D99594" w:themeFill="accent2" w:themeFillTint="99"/>
            <w:vAlign w:val="bottom"/>
          </w:tcPr>
          <w:p w14:paraId="53C13FD6"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w:t>
            </w:r>
            <w:r>
              <w:rPr>
                <w:rFonts w:ascii="Arial Narrow" w:hAnsi="Arial Narrow"/>
                <w:color w:val="000000" w:themeColor="text1"/>
              </w:rPr>
              <w:t>1.</w:t>
            </w:r>
            <w:r w:rsidRPr="00DF57C6">
              <w:rPr>
                <w:rFonts w:ascii="Arial Narrow" w:hAnsi="Arial Narrow"/>
                <w:color w:val="000000" w:themeColor="text1"/>
              </w:rPr>
              <w:t>0</w:t>
            </w:r>
          </w:p>
        </w:tc>
        <w:tc>
          <w:tcPr>
            <w:tcW w:w="712" w:type="dxa"/>
            <w:vAlign w:val="bottom"/>
          </w:tcPr>
          <w:p w14:paraId="53C13FD7"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w:t>
            </w:r>
            <w:r>
              <w:rPr>
                <w:rFonts w:ascii="Arial Narrow" w:hAnsi="Arial Narrow"/>
                <w:color w:val="000000" w:themeColor="text1"/>
              </w:rPr>
              <w:t>8</w:t>
            </w:r>
            <w:r w:rsidRPr="00DF57C6">
              <w:rPr>
                <w:rFonts w:ascii="Arial Narrow" w:hAnsi="Arial Narrow"/>
                <w:color w:val="000000" w:themeColor="text1"/>
              </w:rPr>
              <w:t>.2</w:t>
            </w:r>
          </w:p>
        </w:tc>
        <w:tc>
          <w:tcPr>
            <w:tcW w:w="712" w:type="dxa"/>
            <w:vAlign w:val="bottom"/>
          </w:tcPr>
          <w:p w14:paraId="53C13FD8" w14:textId="77777777" w:rsidR="00BE4138" w:rsidRPr="00DF57C6" w:rsidRDefault="00BE4138" w:rsidP="00877FA4">
            <w:pPr>
              <w:jc w:val="center"/>
              <w:rPr>
                <w:rFonts w:ascii="Arial Narrow" w:hAnsi="Arial Narrow"/>
                <w:color w:val="000000" w:themeColor="text1"/>
              </w:rPr>
            </w:pPr>
            <w:r>
              <w:rPr>
                <w:rFonts w:ascii="Arial Narrow" w:hAnsi="Arial Narrow"/>
                <w:color w:val="000000" w:themeColor="text1"/>
              </w:rPr>
              <w:t>3.</w:t>
            </w:r>
            <w:r w:rsidRPr="00DF57C6">
              <w:rPr>
                <w:rFonts w:ascii="Arial Narrow" w:hAnsi="Arial Narrow"/>
                <w:color w:val="000000" w:themeColor="text1"/>
              </w:rPr>
              <w:t>2</w:t>
            </w:r>
          </w:p>
        </w:tc>
        <w:tc>
          <w:tcPr>
            <w:tcW w:w="712" w:type="dxa"/>
            <w:vAlign w:val="bottom"/>
          </w:tcPr>
          <w:p w14:paraId="53C13FD9"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-1</w:t>
            </w:r>
            <w:r>
              <w:rPr>
                <w:rFonts w:ascii="Arial Narrow" w:hAnsi="Arial Narrow"/>
                <w:color w:val="000000" w:themeColor="text1"/>
              </w:rPr>
              <w:t>1.5</w:t>
            </w:r>
          </w:p>
        </w:tc>
        <w:tc>
          <w:tcPr>
            <w:tcW w:w="711" w:type="dxa"/>
            <w:vAlign w:val="bottom"/>
          </w:tcPr>
          <w:p w14:paraId="53C13FDA"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1.</w:t>
            </w:r>
            <w:r>
              <w:rPr>
                <w:rFonts w:ascii="Arial Narrow" w:hAnsi="Arial Narrow"/>
                <w:color w:val="000000" w:themeColor="text1"/>
              </w:rPr>
              <w:t>6</w:t>
            </w:r>
          </w:p>
        </w:tc>
        <w:tc>
          <w:tcPr>
            <w:tcW w:w="712" w:type="dxa"/>
            <w:vAlign w:val="bottom"/>
          </w:tcPr>
          <w:p w14:paraId="53C13FDB"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-25</w:t>
            </w:r>
            <w:r>
              <w:rPr>
                <w:rFonts w:ascii="Arial Narrow" w:hAnsi="Arial Narrow"/>
                <w:color w:val="000000" w:themeColor="text1"/>
              </w:rPr>
              <w:t>.8</w:t>
            </w:r>
          </w:p>
        </w:tc>
        <w:tc>
          <w:tcPr>
            <w:tcW w:w="712" w:type="dxa"/>
            <w:vAlign w:val="bottom"/>
          </w:tcPr>
          <w:p w14:paraId="53C13FDC"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4.</w:t>
            </w:r>
            <w:r>
              <w:rPr>
                <w:rFonts w:ascii="Arial Narrow" w:hAnsi="Arial Narrow"/>
                <w:color w:val="000000" w:themeColor="text1"/>
              </w:rPr>
              <w:t>1</w:t>
            </w:r>
          </w:p>
        </w:tc>
        <w:tc>
          <w:tcPr>
            <w:tcW w:w="712" w:type="dxa"/>
            <w:vAlign w:val="bottom"/>
          </w:tcPr>
          <w:p w14:paraId="53C13FDD"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-8</w:t>
            </w:r>
            <w:r>
              <w:rPr>
                <w:rFonts w:ascii="Arial Narrow" w:hAnsi="Arial Narrow"/>
                <w:color w:val="000000" w:themeColor="text1"/>
              </w:rPr>
              <w:t>.2</w:t>
            </w:r>
          </w:p>
        </w:tc>
        <w:tc>
          <w:tcPr>
            <w:tcW w:w="712" w:type="dxa"/>
            <w:vAlign w:val="bottom"/>
          </w:tcPr>
          <w:p w14:paraId="53C13FDE" w14:textId="77777777" w:rsidR="00BE4138" w:rsidRPr="00DF57C6" w:rsidRDefault="00BE4138" w:rsidP="00877FA4">
            <w:pPr>
              <w:jc w:val="center"/>
              <w:rPr>
                <w:rFonts w:ascii="Arial Narrow" w:hAnsi="Arial Narrow"/>
                <w:color w:val="000000" w:themeColor="text1"/>
              </w:rPr>
            </w:pPr>
            <w:r>
              <w:rPr>
                <w:rFonts w:ascii="Arial Narrow" w:hAnsi="Arial Narrow"/>
                <w:color w:val="000000" w:themeColor="text1"/>
              </w:rPr>
              <w:t>6</w:t>
            </w:r>
            <w:r w:rsidRPr="00DF57C6">
              <w:rPr>
                <w:rFonts w:ascii="Arial Narrow" w:hAnsi="Arial Narrow"/>
                <w:color w:val="000000" w:themeColor="text1"/>
              </w:rPr>
              <w:t>.</w:t>
            </w:r>
            <w:r>
              <w:rPr>
                <w:rFonts w:ascii="Arial Narrow" w:hAnsi="Arial Narrow"/>
                <w:color w:val="000000" w:themeColor="text1"/>
              </w:rPr>
              <w:t>3</w:t>
            </w:r>
          </w:p>
        </w:tc>
      </w:tr>
      <w:tr w:rsidR="00BE4138" w14:paraId="53C13FEC" w14:textId="77777777" w:rsidTr="00877FA4">
        <w:tc>
          <w:tcPr>
            <w:tcW w:w="1980" w:type="dxa"/>
            <w:vAlign w:val="center"/>
          </w:tcPr>
          <w:p w14:paraId="53C13FE0" w14:textId="77777777" w:rsidR="00BE4138" w:rsidRPr="00FF69C5" w:rsidRDefault="00BE4138" w:rsidP="00877FA4">
            <w:pPr>
              <w:jc w:val="left"/>
              <w:rPr>
                <w:rFonts w:ascii="Arial Narrow" w:hAnsi="Arial Narrow"/>
                <w:color w:val="548DD4" w:themeColor="text2" w:themeTint="99"/>
              </w:rPr>
            </w:pPr>
            <w:r>
              <w:rPr>
                <w:rFonts w:ascii="Arial Narrow" w:hAnsi="Arial Narrow"/>
                <w:color w:val="000000"/>
              </w:rPr>
              <w:t xml:space="preserve">Juvenile </w:t>
            </w:r>
            <w:r w:rsidRPr="00FF69C5">
              <w:rPr>
                <w:rFonts w:ascii="Arial Narrow" w:hAnsi="Arial Narrow"/>
                <w:color w:val="000000"/>
              </w:rPr>
              <w:t>score</w:t>
            </w:r>
          </w:p>
        </w:tc>
        <w:tc>
          <w:tcPr>
            <w:tcW w:w="567" w:type="dxa"/>
            <w:vAlign w:val="bottom"/>
          </w:tcPr>
          <w:p w14:paraId="53C13FE1" w14:textId="77777777" w:rsidR="00BE4138" w:rsidRPr="00FF69C5" w:rsidRDefault="00BE4138" w:rsidP="00877FA4">
            <w:pPr>
              <w:jc w:val="center"/>
              <w:rPr>
                <w:rFonts w:ascii="Arial Narrow" w:hAnsi="Arial Narrow"/>
                <w:color w:val="548DD4" w:themeColor="text2" w:themeTint="99"/>
              </w:rPr>
            </w:pPr>
            <w:r>
              <w:rPr>
                <w:rFonts w:ascii="Arial Narrow" w:hAnsi="Arial Narrow"/>
                <w:color w:val="000000"/>
              </w:rPr>
              <w:t>5</w:t>
            </w:r>
          </w:p>
        </w:tc>
        <w:tc>
          <w:tcPr>
            <w:tcW w:w="675" w:type="dxa"/>
            <w:shd w:val="clear" w:color="auto" w:fill="9BBB59" w:themeFill="accent3"/>
            <w:vAlign w:val="bottom"/>
          </w:tcPr>
          <w:p w14:paraId="53C13FE2"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2.</w:t>
            </w:r>
            <w:r>
              <w:rPr>
                <w:rFonts w:ascii="Arial Narrow" w:hAnsi="Arial Narrow"/>
                <w:color w:val="000000" w:themeColor="text1"/>
              </w:rPr>
              <w:t>7</w:t>
            </w:r>
          </w:p>
        </w:tc>
        <w:tc>
          <w:tcPr>
            <w:tcW w:w="712" w:type="dxa"/>
            <w:shd w:val="clear" w:color="auto" w:fill="9BBB59" w:themeFill="accent3"/>
            <w:vAlign w:val="bottom"/>
          </w:tcPr>
          <w:p w14:paraId="53C13FE3" w14:textId="77777777" w:rsidR="00BE4138" w:rsidRPr="00DF57C6" w:rsidRDefault="00BE4138" w:rsidP="00877FA4">
            <w:pPr>
              <w:jc w:val="center"/>
              <w:rPr>
                <w:rFonts w:ascii="Arial Narrow" w:hAnsi="Arial Narrow"/>
                <w:color w:val="000000" w:themeColor="text1"/>
              </w:rPr>
            </w:pPr>
            <w:r>
              <w:rPr>
                <w:rFonts w:ascii="Arial Narrow" w:hAnsi="Arial Narrow"/>
                <w:color w:val="000000" w:themeColor="text1"/>
              </w:rPr>
              <w:t>8.8</w:t>
            </w:r>
          </w:p>
        </w:tc>
        <w:tc>
          <w:tcPr>
            <w:tcW w:w="712" w:type="dxa"/>
            <w:shd w:val="clear" w:color="auto" w:fill="9BBB59" w:themeFill="accent3"/>
            <w:vAlign w:val="bottom"/>
          </w:tcPr>
          <w:p w14:paraId="53C13FE4"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3.</w:t>
            </w:r>
            <w:r>
              <w:rPr>
                <w:rFonts w:ascii="Arial Narrow" w:hAnsi="Arial Narrow"/>
                <w:color w:val="000000" w:themeColor="text1"/>
              </w:rPr>
              <w:t>8</w:t>
            </w:r>
          </w:p>
        </w:tc>
        <w:tc>
          <w:tcPr>
            <w:tcW w:w="712" w:type="dxa"/>
            <w:shd w:val="clear" w:color="auto" w:fill="9BBB59" w:themeFill="accent3"/>
            <w:vAlign w:val="bottom"/>
          </w:tcPr>
          <w:p w14:paraId="53C13FE5"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1</w:t>
            </w:r>
            <w:r>
              <w:rPr>
                <w:rFonts w:ascii="Arial Narrow" w:hAnsi="Arial Narrow"/>
                <w:color w:val="000000" w:themeColor="text1"/>
              </w:rPr>
              <w:t>2</w:t>
            </w:r>
            <w:r w:rsidRPr="00DF57C6">
              <w:rPr>
                <w:rFonts w:ascii="Arial Narrow" w:hAnsi="Arial Narrow"/>
                <w:color w:val="000000" w:themeColor="text1"/>
              </w:rPr>
              <w:t>.</w:t>
            </w:r>
            <w:r>
              <w:rPr>
                <w:rFonts w:ascii="Arial Narrow" w:hAnsi="Arial Narrow"/>
                <w:color w:val="000000" w:themeColor="text1"/>
              </w:rPr>
              <w:t>9</w:t>
            </w:r>
          </w:p>
        </w:tc>
        <w:tc>
          <w:tcPr>
            <w:tcW w:w="712" w:type="dxa"/>
            <w:shd w:val="clear" w:color="auto" w:fill="9BBB59" w:themeFill="accent3"/>
            <w:vAlign w:val="bottom"/>
          </w:tcPr>
          <w:p w14:paraId="53C13FE6"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0.</w:t>
            </w:r>
            <w:r>
              <w:rPr>
                <w:rFonts w:ascii="Arial Narrow" w:hAnsi="Arial Narrow"/>
                <w:color w:val="000000" w:themeColor="text1"/>
              </w:rPr>
              <w:t>8</w:t>
            </w:r>
          </w:p>
        </w:tc>
        <w:tc>
          <w:tcPr>
            <w:tcW w:w="711" w:type="dxa"/>
            <w:shd w:val="clear" w:color="auto" w:fill="9BBB59" w:themeFill="accent3"/>
            <w:vAlign w:val="bottom"/>
          </w:tcPr>
          <w:p w14:paraId="53C13FE7"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1</w:t>
            </w:r>
            <w:r>
              <w:rPr>
                <w:rFonts w:ascii="Arial Narrow" w:hAnsi="Arial Narrow"/>
                <w:color w:val="000000" w:themeColor="text1"/>
              </w:rPr>
              <w:t>2</w:t>
            </w:r>
            <w:r w:rsidRPr="00DF57C6">
              <w:rPr>
                <w:rFonts w:ascii="Arial Narrow" w:hAnsi="Arial Narrow"/>
                <w:color w:val="000000" w:themeColor="text1"/>
              </w:rPr>
              <w:t>.</w:t>
            </w:r>
            <w:r>
              <w:rPr>
                <w:rFonts w:ascii="Arial Narrow" w:hAnsi="Arial Narrow"/>
                <w:color w:val="000000" w:themeColor="text1"/>
              </w:rPr>
              <w:t>3</w:t>
            </w:r>
          </w:p>
        </w:tc>
        <w:tc>
          <w:tcPr>
            <w:tcW w:w="712" w:type="dxa"/>
            <w:vAlign w:val="bottom"/>
          </w:tcPr>
          <w:p w14:paraId="53C13FE8"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-1</w:t>
            </w:r>
            <w:r>
              <w:rPr>
                <w:rFonts w:ascii="Arial Narrow" w:hAnsi="Arial Narrow"/>
                <w:color w:val="000000" w:themeColor="text1"/>
              </w:rPr>
              <w:t>2</w:t>
            </w:r>
            <w:r w:rsidRPr="00DF57C6">
              <w:rPr>
                <w:rFonts w:ascii="Arial Narrow" w:hAnsi="Arial Narrow"/>
                <w:color w:val="000000" w:themeColor="text1"/>
              </w:rPr>
              <w:t>.1</w:t>
            </w:r>
          </w:p>
        </w:tc>
        <w:tc>
          <w:tcPr>
            <w:tcW w:w="712" w:type="dxa"/>
            <w:vAlign w:val="bottom"/>
          </w:tcPr>
          <w:p w14:paraId="53C13FE9"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1</w:t>
            </w:r>
            <w:r>
              <w:rPr>
                <w:rFonts w:ascii="Arial Narrow" w:hAnsi="Arial Narrow"/>
                <w:color w:val="000000" w:themeColor="text1"/>
              </w:rPr>
              <w:t>3.4</w:t>
            </w:r>
          </w:p>
        </w:tc>
        <w:tc>
          <w:tcPr>
            <w:tcW w:w="712" w:type="dxa"/>
            <w:vAlign w:val="bottom"/>
          </w:tcPr>
          <w:p w14:paraId="53C13FEA"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w:t>
            </w:r>
            <w:r>
              <w:rPr>
                <w:rFonts w:ascii="Arial Narrow" w:hAnsi="Arial Narrow"/>
                <w:color w:val="000000" w:themeColor="text1"/>
              </w:rPr>
              <w:t>5.1</w:t>
            </w:r>
          </w:p>
        </w:tc>
        <w:tc>
          <w:tcPr>
            <w:tcW w:w="712" w:type="dxa"/>
            <w:vAlign w:val="bottom"/>
          </w:tcPr>
          <w:p w14:paraId="53C13FEB" w14:textId="77777777" w:rsidR="00BE4138" w:rsidRPr="00DF57C6" w:rsidRDefault="00BE4138" w:rsidP="00877FA4">
            <w:pPr>
              <w:jc w:val="center"/>
              <w:rPr>
                <w:rFonts w:ascii="Arial Narrow" w:hAnsi="Arial Narrow"/>
                <w:color w:val="000000" w:themeColor="text1"/>
              </w:rPr>
            </w:pPr>
            <w:r>
              <w:rPr>
                <w:rFonts w:ascii="Arial Narrow" w:hAnsi="Arial Narrow"/>
                <w:color w:val="000000" w:themeColor="text1"/>
              </w:rPr>
              <w:t>8</w:t>
            </w:r>
            <w:r w:rsidRPr="00DF57C6">
              <w:rPr>
                <w:rFonts w:ascii="Arial Narrow" w:hAnsi="Arial Narrow"/>
                <w:color w:val="000000" w:themeColor="text1"/>
              </w:rPr>
              <w:t>.</w:t>
            </w:r>
            <w:r>
              <w:rPr>
                <w:rFonts w:ascii="Arial Narrow" w:hAnsi="Arial Narrow"/>
                <w:color w:val="000000" w:themeColor="text1"/>
              </w:rPr>
              <w:t>1</w:t>
            </w:r>
          </w:p>
        </w:tc>
      </w:tr>
      <w:tr w:rsidR="00BE4138" w14:paraId="53C13FEE" w14:textId="77777777" w:rsidTr="00877FA4">
        <w:tc>
          <w:tcPr>
            <w:tcW w:w="9629" w:type="dxa"/>
            <w:gridSpan w:val="12"/>
            <w:vAlign w:val="center"/>
          </w:tcPr>
          <w:p w14:paraId="53C13FED" w14:textId="77777777" w:rsidR="00BE4138" w:rsidRPr="00FF69C5" w:rsidRDefault="00BE4138" w:rsidP="00877FA4">
            <w:pPr>
              <w:jc w:val="center"/>
              <w:rPr>
                <w:rFonts w:ascii="Arial Narrow" w:hAnsi="Arial Narrow"/>
                <w:color w:val="548DD4" w:themeColor="text2" w:themeTint="99"/>
              </w:rPr>
            </w:pPr>
            <w:r>
              <w:rPr>
                <w:rFonts w:ascii="Arial Narrow" w:hAnsi="Arial Narrow"/>
                <w:color w:val="000000"/>
              </w:rPr>
              <w:t>Non-algal particulate concentration</w:t>
            </w:r>
          </w:p>
        </w:tc>
      </w:tr>
      <w:tr w:rsidR="00BE4138" w14:paraId="53C13FFB" w14:textId="77777777" w:rsidTr="00877FA4">
        <w:tc>
          <w:tcPr>
            <w:tcW w:w="1980" w:type="dxa"/>
            <w:vAlign w:val="center"/>
          </w:tcPr>
          <w:p w14:paraId="53C13FEF" w14:textId="77777777" w:rsidR="00BE4138" w:rsidRPr="00FF69C5" w:rsidRDefault="00BE4138" w:rsidP="00877FA4">
            <w:pPr>
              <w:jc w:val="left"/>
              <w:rPr>
                <w:rFonts w:ascii="Arial Narrow" w:hAnsi="Arial Narrow"/>
                <w:color w:val="548DD4" w:themeColor="text2" w:themeTint="99"/>
              </w:rPr>
            </w:pPr>
            <w:r w:rsidRPr="00FF69C5">
              <w:rPr>
                <w:rFonts w:ascii="Arial Narrow" w:hAnsi="Arial Narrow"/>
                <w:color w:val="000000"/>
              </w:rPr>
              <w:t>Index</w:t>
            </w:r>
          </w:p>
        </w:tc>
        <w:tc>
          <w:tcPr>
            <w:tcW w:w="567" w:type="dxa"/>
            <w:vAlign w:val="bottom"/>
          </w:tcPr>
          <w:p w14:paraId="53C13FF0" w14:textId="77777777" w:rsidR="00BE4138" w:rsidRPr="00FF69C5" w:rsidRDefault="00BE4138" w:rsidP="00877FA4">
            <w:pPr>
              <w:jc w:val="center"/>
              <w:rPr>
                <w:rFonts w:ascii="Arial Narrow" w:hAnsi="Arial Narrow"/>
                <w:color w:val="548DD4" w:themeColor="text2" w:themeTint="99"/>
              </w:rPr>
            </w:pPr>
            <w:r w:rsidRPr="00FF69C5">
              <w:rPr>
                <w:rFonts w:ascii="Arial Narrow" w:hAnsi="Arial Narrow"/>
                <w:color w:val="000000"/>
              </w:rPr>
              <w:t>2</w:t>
            </w:r>
          </w:p>
        </w:tc>
        <w:tc>
          <w:tcPr>
            <w:tcW w:w="675" w:type="dxa"/>
            <w:shd w:val="clear" w:color="auto" w:fill="D99594" w:themeFill="accent2" w:themeFillTint="99"/>
            <w:vAlign w:val="bottom"/>
          </w:tcPr>
          <w:p w14:paraId="53C13FF1"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w:t>
            </w:r>
            <w:r>
              <w:rPr>
                <w:rFonts w:ascii="Arial Narrow" w:hAnsi="Arial Narrow"/>
                <w:color w:val="000000" w:themeColor="text1"/>
              </w:rPr>
              <w:t>1.5</w:t>
            </w:r>
          </w:p>
        </w:tc>
        <w:tc>
          <w:tcPr>
            <w:tcW w:w="712" w:type="dxa"/>
            <w:shd w:val="clear" w:color="auto" w:fill="D99594" w:themeFill="accent2" w:themeFillTint="99"/>
            <w:vAlign w:val="bottom"/>
          </w:tcPr>
          <w:p w14:paraId="53C13FF2"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w:t>
            </w:r>
            <w:r>
              <w:rPr>
                <w:rFonts w:ascii="Arial Narrow" w:hAnsi="Arial Narrow"/>
                <w:color w:val="000000" w:themeColor="text1"/>
              </w:rPr>
              <w:t>0.2</w:t>
            </w:r>
          </w:p>
        </w:tc>
        <w:tc>
          <w:tcPr>
            <w:tcW w:w="712" w:type="dxa"/>
            <w:shd w:val="clear" w:color="auto" w:fill="D99594" w:themeFill="accent2" w:themeFillTint="99"/>
            <w:vAlign w:val="bottom"/>
          </w:tcPr>
          <w:p w14:paraId="53C13FF3"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w:t>
            </w:r>
            <w:r>
              <w:rPr>
                <w:rFonts w:ascii="Arial Narrow" w:hAnsi="Arial Narrow"/>
                <w:color w:val="000000" w:themeColor="text1"/>
              </w:rPr>
              <w:t>-6.3</w:t>
            </w:r>
          </w:p>
        </w:tc>
        <w:tc>
          <w:tcPr>
            <w:tcW w:w="712" w:type="dxa"/>
            <w:shd w:val="clear" w:color="auto" w:fill="D99594" w:themeFill="accent2" w:themeFillTint="99"/>
            <w:vAlign w:val="bottom"/>
          </w:tcPr>
          <w:p w14:paraId="53C13FF4"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w:t>
            </w:r>
            <w:r>
              <w:rPr>
                <w:rFonts w:ascii="Arial Narrow" w:hAnsi="Arial Narrow"/>
                <w:color w:val="000000" w:themeColor="text1"/>
              </w:rPr>
              <w:t>0.5</w:t>
            </w:r>
          </w:p>
        </w:tc>
        <w:tc>
          <w:tcPr>
            <w:tcW w:w="712" w:type="dxa"/>
            <w:vAlign w:val="bottom"/>
          </w:tcPr>
          <w:p w14:paraId="53C13FF5" w14:textId="77777777" w:rsidR="00BE4138" w:rsidRPr="00DF57C6" w:rsidRDefault="00BE4138" w:rsidP="00877FA4">
            <w:pPr>
              <w:jc w:val="center"/>
              <w:rPr>
                <w:rFonts w:ascii="Arial Narrow" w:hAnsi="Arial Narrow"/>
                <w:color w:val="000000" w:themeColor="text1"/>
              </w:rPr>
            </w:pPr>
            <w:r>
              <w:rPr>
                <w:rFonts w:ascii="Arial Narrow" w:hAnsi="Arial Narrow"/>
                <w:color w:val="000000" w:themeColor="text1"/>
              </w:rPr>
              <w:t>-2.2</w:t>
            </w:r>
          </w:p>
        </w:tc>
        <w:tc>
          <w:tcPr>
            <w:tcW w:w="711" w:type="dxa"/>
            <w:vAlign w:val="bottom"/>
          </w:tcPr>
          <w:p w14:paraId="53C13FF6" w14:textId="77777777" w:rsidR="00BE4138" w:rsidRPr="00DF57C6" w:rsidRDefault="00BE4138" w:rsidP="00877FA4">
            <w:pPr>
              <w:jc w:val="center"/>
              <w:rPr>
                <w:rFonts w:ascii="Arial Narrow" w:hAnsi="Arial Narrow"/>
                <w:color w:val="000000" w:themeColor="text1"/>
              </w:rPr>
            </w:pPr>
            <w:r>
              <w:rPr>
                <w:rFonts w:ascii="Arial Narrow" w:hAnsi="Arial Narrow"/>
                <w:color w:val="000000" w:themeColor="text1"/>
              </w:rPr>
              <w:t>0.6</w:t>
            </w:r>
          </w:p>
        </w:tc>
        <w:tc>
          <w:tcPr>
            <w:tcW w:w="712" w:type="dxa"/>
            <w:vAlign w:val="bottom"/>
          </w:tcPr>
          <w:p w14:paraId="53C13FF7" w14:textId="77777777" w:rsidR="00BE4138" w:rsidRPr="00DF57C6" w:rsidRDefault="00BE4138" w:rsidP="00877FA4">
            <w:pPr>
              <w:jc w:val="center"/>
              <w:rPr>
                <w:rFonts w:ascii="Arial Narrow" w:hAnsi="Arial Narrow"/>
                <w:color w:val="000000" w:themeColor="text1"/>
              </w:rPr>
            </w:pPr>
            <w:r>
              <w:rPr>
                <w:rFonts w:ascii="Arial Narrow" w:hAnsi="Arial Narrow"/>
                <w:color w:val="000000" w:themeColor="text1"/>
              </w:rPr>
              <w:t>-1.9</w:t>
            </w:r>
          </w:p>
        </w:tc>
        <w:tc>
          <w:tcPr>
            <w:tcW w:w="712" w:type="dxa"/>
            <w:vAlign w:val="bottom"/>
          </w:tcPr>
          <w:p w14:paraId="53C13FF8" w14:textId="77777777" w:rsidR="00BE4138" w:rsidRPr="00DF57C6" w:rsidRDefault="00BE4138" w:rsidP="00877FA4">
            <w:pPr>
              <w:jc w:val="center"/>
              <w:rPr>
                <w:rFonts w:ascii="Arial Narrow" w:hAnsi="Arial Narrow"/>
                <w:color w:val="000000" w:themeColor="text1"/>
              </w:rPr>
            </w:pPr>
            <w:r>
              <w:rPr>
                <w:rFonts w:ascii="Arial Narrow" w:hAnsi="Arial Narrow"/>
                <w:color w:val="000000" w:themeColor="text1"/>
              </w:rPr>
              <w:t>2.9</w:t>
            </w:r>
          </w:p>
        </w:tc>
        <w:tc>
          <w:tcPr>
            <w:tcW w:w="712" w:type="dxa"/>
            <w:vAlign w:val="bottom"/>
          </w:tcPr>
          <w:p w14:paraId="53C13FF9" w14:textId="77777777" w:rsidR="00BE4138" w:rsidRPr="00DF57C6" w:rsidRDefault="00BE4138" w:rsidP="00877FA4">
            <w:pPr>
              <w:jc w:val="center"/>
              <w:rPr>
                <w:rFonts w:ascii="Arial Narrow" w:hAnsi="Arial Narrow"/>
                <w:color w:val="000000" w:themeColor="text1"/>
              </w:rPr>
            </w:pPr>
            <w:r>
              <w:rPr>
                <w:rFonts w:ascii="Arial Narrow" w:hAnsi="Arial Narrow"/>
                <w:color w:val="000000" w:themeColor="text1"/>
              </w:rPr>
              <w:t>-1.5</w:t>
            </w:r>
          </w:p>
        </w:tc>
        <w:tc>
          <w:tcPr>
            <w:tcW w:w="712" w:type="dxa"/>
            <w:vAlign w:val="bottom"/>
          </w:tcPr>
          <w:p w14:paraId="53C13FFA" w14:textId="77777777" w:rsidR="00BE4138" w:rsidRPr="00DF57C6" w:rsidRDefault="00BE4138" w:rsidP="00877FA4">
            <w:pPr>
              <w:jc w:val="center"/>
              <w:rPr>
                <w:rFonts w:ascii="Arial Narrow" w:hAnsi="Arial Narrow"/>
                <w:color w:val="000000" w:themeColor="text1"/>
              </w:rPr>
            </w:pPr>
            <w:r>
              <w:rPr>
                <w:rFonts w:ascii="Arial Narrow" w:hAnsi="Arial Narrow"/>
                <w:color w:val="000000" w:themeColor="text1"/>
              </w:rPr>
              <w:t>0.6</w:t>
            </w:r>
          </w:p>
        </w:tc>
      </w:tr>
      <w:tr w:rsidR="00BE4138" w14:paraId="53C14008" w14:textId="77777777" w:rsidTr="00877FA4">
        <w:tc>
          <w:tcPr>
            <w:tcW w:w="1980" w:type="dxa"/>
            <w:vAlign w:val="center"/>
          </w:tcPr>
          <w:p w14:paraId="53C13FFC" w14:textId="77777777" w:rsidR="00BE4138" w:rsidRPr="00FF69C5" w:rsidRDefault="00BE4138" w:rsidP="00877FA4">
            <w:pPr>
              <w:jc w:val="left"/>
              <w:rPr>
                <w:rFonts w:ascii="Arial Narrow" w:hAnsi="Arial Narrow"/>
                <w:color w:val="548DD4" w:themeColor="text2" w:themeTint="99"/>
              </w:rPr>
            </w:pPr>
            <w:r>
              <w:rPr>
                <w:rFonts w:ascii="Arial Narrow" w:hAnsi="Arial Narrow"/>
                <w:color w:val="000000"/>
              </w:rPr>
              <w:t>Coral cover score</w:t>
            </w:r>
          </w:p>
        </w:tc>
        <w:tc>
          <w:tcPr>
            <w:tcW w:w="567" w:type="dxa"/>
            <w:vAlign w:val="bottom"/>
          </w:tcPr>
          <w:p w14:paraId="53C13FFD" w14:textId="77777777" w:rsidR="00BE4138" w:rsidRPr="00FF69C5" w:rsidRDefault="00BE4138" w:rsidP="00877FA4">
            <w:pPr>
              <w:jc w:val="center"/>
              <w:rPr>
                <w:rFonts w:ascii="Arial Narrow" w:hAnsi="Arial Narrow"/>
                <w:color w:val="548DD4" w:themeColor="text2" w:themeTint="99"/>
              </w:rPr>
            </w:pPr>
            <w:r w:rsidRPr="00FF69C5">
              <w:rPr>
                <w:rFonts w:ascii="Arial Narrow" w:hAnsi="Arial Narrow"/>
                <w:color w:val="000000"/>
              </w:rPr>
              <w:t>2</w:t>
            </w:r>
          </w:p>
        </w:tc>
        <w:tc>
          <w:tcPr>
            <w:tcW w:w="675" w:type="dxa"/>
            <w:shd w:val="clear" w:color="auto" w:fill="D99594" w:themeFill="accent2" w:themeFillTint="99"/>
            <w:vAlign w:val="bottom"/>
          </w:tcPr>
          <w:p w14:paraId="53C13FFE"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-2.</w:t>
            </w:r>
            <w:r>
              <w:rPr>
                <w:rFonts w:ascii="Arial Narrow" w:hAnsi="Arial Narrow"/>
                <w:color w:val="000000" w:themeColor="text1"/>
              </w:rPr>
              <w:t>2</w:t>
            </w:r>
          </w:p>
        </w:tc>
        <w:tc>
          <w:tcPr>
            <w:tcW w:w="712" w:type="dxa"/>
            <w:shd w:val="clear" w:color="auto" w:fill="D99594" w:themeFill="accent2" w:themeFillTint="99"/>
            <w:vAlign w:val="bottom"/>
          </w:tcPr>
          <w:p w14:paraId="53C13FFF"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-0.</w:t>
            </w:r>
            <w:r>
              <w:rPr>
                <w:rFonts w:ascii="Arial Narrow" w:hAnsi="Arial Narrow"/>
                <w:color w:val="000000" w:themeColor="text1"/>
              </w:rPr>
              <w:t>5</w:t>
            </w:r>
          </w:p>
        </w:tc>
        <w:tc>
          <w:tcPr>
            <w:tcW w:w="712" w:type="dxa"/>
            <w:shd w:val="clear" w:color="auto" w:fill="auto"/>
            <w:vAlign w:val="bottom"/>
          </w:tcPr>
          <w:p w14:paraId="53C14000"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-7.</w:t>
            </w:r>
            <w:r>
              <w:rPr>
                <w:rFonts w:ascii="Arial Narrow" w:hAnsi="Arial Narrow"/>
                <w:color w:val="000000" w:themeColor="text1"/>
              </w:rPr>
              <w:t>4</w:t>
            </w:r>
          </w:p>
        </w:tc>
        <w:tc>
          <w:tcPr>
            <w:tcW w:w="712" w:type="dxa"/>
            <w:shd w:val="clear" w:color="auto" w:fill="auto"/>
            <w:vAlign w:val="bottom"/>
          </w:tcPr>
          <w:p w14:paraId="53C14001"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0.</w:t>
            </w:r>
            <w:r>
              <w:rPr>
                <w:rFonts w:ascii="Arial Narrow" w:hAnsi="Arial Narrow"/>
                <w:color w:val="000000" w:themeColor="text1"/>
              </w:rPr>
              <w:t>3</w:t>
            </w:r>
          </w:p>
        </w:tc>
        <w:tc>
          <w:tcPr>
            <w:tcW w:w="712" w:type="dxa"/>
            <w:vAlign w:val="bottom"/>
          </w:tcPr>
          <w:p w14:paraId="53C14002"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-2.</w:t>
            </w:r>
            <w:r>
              <w:rPr>
                <w:rFonts w:ascii="Arial Narrow" w:hAnsi="Arial Narrow"/>
                <w:color w:val="000000" w:themeColor="text1"/>
              </w:rPr>
              <w:t>1</w:t>
            </w:r>
          </w:p>
        </w:tc>
        <w:tc>
          <w:tcPr>
            <w:tcW w:w="711" w:type="dxa"/>
            <w:vAlign w:val="bottom"/>
          </w:tcPr>
          <w:p w14:paraId="53C14003" w14:textId="77777777" w:rsidR="00BE4138" w:rsidRPr="00DF57C6" w:rsidRDefault="00BE4138" w:rsidP="00877FA4">
            <w:pPr>
              <w:jc w:val="center"/>
              <w:rPr>
                <w:rFonts w:ascii="Arial Narrow" w:hAnsi="Arial Narrow"/>
                <w:color w:val="000000" w:themeColor="text1"/>
              </w:rPr>
            </w:pPr>
            <w:r>
              <w:rPr>
                <w:rFonts w:ascii="Arial Narrow" w:hAnsi="Arial Narrow"/>
                <w:color w:val="000000" w:themeColor="text1"/>
              </w:rPr>
              <w:t>1.6</w:t>
            </w:r>
          </w:p>
        </w:tc>
        <w:tc>
          <w:tcPr>
            <w:tcW w:w="712" w:type="dxa"/>
            <w:vAlign w:val="bottom"/>
          </w:tcPr>
          <w:p w14:paraId="53C14004"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w:t>
            </w:r>
            <w:r>
              <w:rPr>
                <w:rFonts w:ascii="Arial Narrow" w:hAnsi="Arial Narrow"/>
                <w:color w:val="000000" w:themeColor="text1"/>
              </w:rPr>
              <w:t>2.4</w:t>
            </w:r>
          </w:p>
        </w:tc>
        <w:tc>
          <w:tcPr>
            <w:tcW w:w="712" w:type="dxa"/>
            <w:vAlign w:val="bottom"/>
          </w:tcPr>
          <w:p w14:paraId="53C14005" w14:textId="77777777" w:rsidR="00BE4138" w:rsidRPr="00DF57C6" w:rsidRDefault="00BE4138" w:rsidP="00877FA4">
            <w:pPr>
              <w:jc w:val="center"/>
              <w:rPr>
                <w:rFonts w:ascii="Arial Narrow" w:hAnsi="Arial Narrow"/>
                <w:color w:val="000000" w:themeColor="text1"/>
              </w:rPr>
            </w:pPr>
            <w:r>
              <w:rPr>
                <w:rFonts w:ascii="Arial Narrow" w:hAnsi="Arial Narrow"/>
                <w:color w:val="000000" w:themeColor="text1"/>
              </w:rPr>
              <w:t>4</w:t>
            </w:r>
            <w:r w:rsidRPr="00DF57C6">
              <w:rPr>
                <w:rFonts w:ascii="Arial Narrow" w:hAnsi="Arial Narrow"/>
                <w:color w:val="000000" w:themeColor="text1"/>
              </w:rPr>
              <w:t>.</w:t>
            </w:r>
            <w:r>
              <w:rPr>
                <w:rFonts w:ascii="Arial Narrow" w:hAnsi="Arial Narrow"/>
                <w:color w:val="000000" w:themeColor="text1"/>
              </w:rPr>
              <w:t>0</w:t>
            </w:r>
          </w:p>
        </w:tc>
        <w:tc>
          <w:tcPr>
            <w:tcW w:w="712" w:type="dxa"/>
            <w:shd w:val="clear" w:color="auto" w:fill="auto"/>
            <w:vAlign w:val="bottom"/>
          </w:tcPr>
          <w:p w14:paraId="53C14006"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-2.7</w:t>
            </w:r>
          </w:p>
        </w:tc>
        <w:tc>
          <w:tcPr>
            <w:tcW w:w="712" w:type="dxa"/>
            <w:shd w:val="clear" w:color="auto" w:fill="auto"/>
            <w:vAlign w:val="bottom"/>
          </w:tcPr>
          <w:p w14:paraId="53C14007"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0</w:t>
            </w:r>
          </w:p>
        </w:tc>
      </w:tr>
      <w:tr w:rsidR="00BE4138" w14:paraId="53C14015" w14:textId="77777777" w:rsidTr="00877FA4">
        <w:tc>
          <w:tcPr>
            <w:tcW w:w="1980" w:type="dxa"/>
            <w:vAlign w:val="center"/>
          </w:tcPr>
          <w:p w14:paraId="53C14009" w14:textId="77777777" w:rsidR="00BE4138" w:rsidRDefault="00BE4138" w:rsidP="00877FA4">
            <w:pPr>
              <w:jc w:val="left"/>
              <w:rPr>
                <w:rFonts w:ascii="Arial Narrow" w:hAnsi="Arial Narrow"/>
                <w:color w:val="000000"/>
              </w:rPr>
            </w:pPr>
            <w:r>
              <w:rPr>
                <w:rFonts w:ascii="Arial Narrow" w:hAnsi="Arial Narrow"/>
                <w:color w:val="000000"/>
              </w:rPr>
              <w:t xml:space="preserve">Juvenile </w:t>
            </w:r>
            <w:r w:rsidRPr="00FF69C5">
              <w:rPr>
                <w:rFonts w:ascii="Arial Narrow" w:hAnsi="Arial Narrow"/>
                <w:color w:val="000000"/>
              </w:rPr>
              <w:t>score</w:t>
            </w:r>
          </w:p>
        </w:tc>
        <w:tc>
          <w:tcPr>
            <w:tcW w:w="567" w:type="dxa"/>
            <w:vAlign w:val="bottom"/>
          </w:tcPr>
          <w:p w14:paraId="53C1400A" w14:textId="77777777" w:rsidR="00BE4138" w:rsidRPr="00FF69C5" w:rsidRDefault="00BE4138" w:rsidP="00877FA4">
            <w:pPr>
              <w:jc w:val="center"/>
              <w:rPr>
                <w:rFonts w:ascii="Arial Narrow" w:hAnsi="Arial Narrow"/>
                <w:color w:val="000000"/>
              </w:rPr>
            </w:pPr>
            <w:r>
              <w:rPr>
                <w:rFonts w:ascii="Arial Narrow" w:hAnsi="Arial Narrow"/>
                <w:color w:val="000000"/>
              </w:rPr>
              <w:t>2</w:t>
            </w:r>
          </w:p>
        </w:tc>
        <w:tc>
          <w:tcPr>
            <w:tcW w:w="675" w:type="dxa"/>
            <w:shd w:val="clear" w:color="auto" w:fill="D99594" w:themeFill="accent2" w:themeFillTint="99"/>
            <w:vAlign w:val="bottom"/>
          </w:tcPr>
          <w:p w14:paraId="53C1400B" w14:textId="77777777" w:rsidR="00BE4138" w:rsidRPr="00DF57C6" w:rsidRDefault="00BE4138" w:rsidP="00877FA4">
            <w:pPr>
              <w:jc w:val="center"/>
              <w:rPr>
                <w:rFonts w:ascii="Arial Narrow" w:hAnsi="Arial Narrow"/>
                <w:color w:val="000000" w:themeColor="text1"/>
              </w:rPr>
            </w:pPr>
            <w:r>
              <w:rPr>
                <w:rFonts w:ascii="Arial Narrow" w:hAnsi="Arial Narrow"/>
                <w:color w:val="000000" w:themeColor="text1"/>
              </w:rPr>
              <w:t>-2.1</w:t>
            </w:r>
          </w:p>
        </w:tc>
        <w:tc>
          <w:tcPr>
            <w:tcW w:w="712" w:type="dxa"/>
            <w:shd w:val="clear" w:color="auto" w:fill="D99594" w:themeFill="accent2" w:themeFillTint="99"/>
            <w:vAlign w:val="bottom"/>
          </w:tcPr>
          <w:p w14:paraId="53C1400C" w14:textId="77777777" w:rsidR="00BE4138" w:rsidRPr="00DF57C6" w:rsidRDefault="00BE4138" w:rsidP="00877FA4">
            <w:pPr>
              <w:jc w:val="center"/>
              <w:rPr>
                <w:rFonts w:ascii="Arial Narrow" w:hAnsi="Arial Narrow"/>
                <w:color w:val="000000" w:themeColor="text1"/>
              </w:rPr>
            </w:pPr>
            <w:r>
              <w:rPr>
                <w:rFonts w:ascii="Arial Narrow" w:hAnsi="Arial Narrow"/>
                <w:color w:val="000000" w:themeColor="text1"/>
              </w:rPr>
              <w:t>-0.1</w:t>
            </w:r>
          </w:p>
        </w:tc>
        <w:tc>
          <w:tcPr>
            <w:tcW w:w="712" w:type="dxa"/>
            <w:shd w:val="clear" w:color="auto" w:fill="auto"/>
            <w:vAlign w:val="bottom"/>
          </w:tcPr>
          <w:p w14:paraId="53C1400D" w14:textId="77777777" w:rsidR="00BE4138" w:rsidRPr="00DF57C6" w:rsidRDefault="00BE4138" w:rsidP="00877FA4">
            <w:pPr>
              <w:jc w:val="center"/>
              <w:rPr>
                <w:rFonts w:ascii="Arial Narrow" w:hAnsi="Arial Narrow"/>
                <w:color w:val="000000" w:themeColor="text1"/>
              </w:rPr>
            </w:pPr>
            <w:r>
              <w:rPr>
                <w:rFonts w:ascii="Arial Narrow" w:hAnsi="Arial Narrow"/>
                <w:color w:val="000000" w:themeColor="text1"/>
              </w:rPr>
              <w:t>-4.5</w:t>
            </w:r>
          </w:p>
        </w:tc>
        <w:tc>
          <w:tcPr>
            <w:tcW w:w="712" w:type="dxa"/>
            <w:shd w:val="clear" w:color="auto" w:fill="auto"/>
            <w:vAlign w:val="bottom"/>
          </w:tcPr>
          <w:p w14:paraId="53C1400E" w14:textId="77777777" w:rsidR="00BE4138" w:rsidRPr="00DF57C6" w:rsidRDefault="00BE4138" w:rsidP="00877FA4">
            <w:pPr>
              <w:jc w:val="center"/>
              <w:rPr>
                <w:rFonts w:ascii="Arial Narrow" w:hAnsi="Arial Narrow"/>
                <w:color w:val="000000" w:themeColor="text1"/>
              </w:rPr>
            </w:pPr>
            <w:r>
              <w:rPr>
                <w:rFonts w:ascii="Arial Narrow" w:hAnsi="Arial Narrow"/>
                <w:color w:val="000000" w:themeColor="text1"/>
              </w:rPr>
              <w:t>5.0</w:t>
            </w:r>
          </w:p>
        </w:tc>
        <w:tc>
          <w:tcPr>
            <w:tcW w:w="712" w:type="dxa"/>
            <w:vAlign w:val="bottom"/>
          </w:tcPr>
          <w:p w14:paraId="53C1400F" w14:textId="77777777" w:rsidR="00BE4138" w:rsidRPr="00DF57C6" w:rsidRDefault="00BE4138" w:rsidP="00877FA4">
            <w:pPr>
              <w:jc w:val="center"/>
              <w:rPr>
                <w:rFonts w:ascii="Arial Narrow" w:hAnsi="Arial Narrow"/>
                <w:color w:val="000000" w:themeColor="text1"/>
              </w:rPr>
            </w:pPr>
            <w:r>
              <w:rPr>
                <w:rFonts w:ascii="Arial Narrow" w:hAnsi="Arial Narrow"/>
                <w:color w:val="000000" w:themeColor="text1"/>
              </w:rPr>
              <w:t>-2.3</w:t>
            </w:r>
          </w:p>
        </w:tc>
        <w:tc>
          <w:tcPr>
            <w:tcW w:w="711" w:type="dxa"/>
            <w:vAlign w:val="bottom"/>
          </w:tcPr>
          <w:p w14:paraId="53C14010" w14:textId="77777777" w:rsidR="00BE4138" w:rsidRDefault="00BE4138" w:rsidP="00877FA4">
            <w:pPr>
              <w:jc w:val="center"/>
              <w:rPr>
                <w:rFonts w:ascii="Arial Narrow" w:hAnsi="Arial Narrow"/>
                <w:color w:val="000000" w:themeColor="text1"/>
              </w:rPr>
            </w:pPr>
            <w:r>
              <w:rPr>
                <w:rFonts w:ascii="Arial Narrow" w:hAnsi="Arial Narrow"/>
                <w:color w:val="000000" w:themeColor="text1"/>
              </w:rPr>
              <w:t>2.2</w:t>
            </w:r>
          </w:p>
        </w:tc>
        <w:tc>
          <w:tcPr>
            <w:tcW w:w="712" w:type="dxa"/>
            <w:vAlign w:val="bottom"/>
          </w:tcPr>
          <w:p w14:paraId="53C14011" w14:textId="77777777" w:rsidR="00BE4138" w:rsidRPr="00DF57C6" w:rsidRDefault="00BE4138" w:rsidP="00877FA4">
            <w:pPr>
              <w:jc w:val="center"/>
              <w:rPr>
                <w:rFonts w:ascii="Arial Narrow" w:hAnsi="Arial Narrow"/>
                <w:color w:val="000000" w:themeColor="text1"/>
              </w:rPr>
            </w:pPr>
            <w:r>
              <w:rPr>
                <w:rFonts w:ascii="Arial Narrow" w:hAnsi="Arial Narrow"/>
                <w:color w:val="000000" w:themeColor="text1"/>
              </w:rPr>
              <w:t>-3.2</w:t>
            </w:r>
          </w:p>
        </w:tc>
        <w:tc>
          <w:tcPr>
            <w:tcW w:w="712" w:type="dxa"/>
            <w:vAlign w:val="bottom"/>
          </w:tcPr>
          <w:p w14:paraId="53C14012" w14:textId="77777777" w:rsidR="00BE4138" w:rsidRDefault="00BE4138" w:rsidP="00877FA4">
            <w:pPr>
              <w:jc w:val="center"/>
              <w:rPr>
                <w:rFonts w:ascii="Arial Narrow" w:hAnsi="Arial Narrow"/>
                <w:color w:val="000000" w:themeColor="text1"/>
              </w:rPr>
            </w:pPr>
            <w:r>
              <w:rPr>
                <w:rFonts w:ascii="Arial Narrow" w:hAnsi="Arial Narrow"/>
                <w:color w:val="000000" w:themeColor="text1"/>
              </w:rPr>
              <w:t>4.3</w:t>
            </w:r>
          </w:p>
        </w:tc>
        <w:tc>
          <w:tcPr>
            <w:tcW w:w="712" w:type="dxa"/>
            <w:shd w:val="clear" w:color="auto" w:fill="D99594" w:themeFill="accent2" w:themeFillTint="99"/>
            <w:vAlign w:val="bottom"/>
          </w:tcPr>
          <w:p w14:paraId="53C14013" w14:textId="77777777" w:rsidR="00BE4138" w:rsidRPr="00DF57C6" w:rsidRDefault="00BE4138" w:rsidP="00877FA4">
            <w:pPr>
              <w:jc w:val="center"/>
              <w:rPr>
                <w:rFonts w:ascii="Arial Narrow" w:hAnsi="Arial Narrow"/>
                <w:color w:val="000000" w:themeColor="text1"/>
              </w:rPr>
            </w:pPr>
            <w:r>
              <w:rPr>
                <w:rFonts w:ascii="Arial Narrow" w:hAnsi="Arial Narrow"/>
                <w:color w:val="000000" w:themeColor="text1"/>
              </w:rPr>
              <w:t>-3.2</w:t>
            </w:r>
          </w:p>
        </w:tc>
        <w:tc>
          <w:tcPr>
            <w:tcW w:w="712" w:type="dxa"/>
            <w:shd w:val="clear" w:color="auto" w:fill="D99594" w:themeFill="accent2" w:themeFillTint="99"/>
            <w:vAlign w:val="bottom"/>
          </w:tcPr>
          <w:p w14:paraId="53C14014" w14:textId="77777777" w:rsidR="00BE4138" w:rsidRPr="00DF57C6" w:rsidRDefault="00BE4138" w:rsidP="00877FA4">
            <w:pPr>
              <w:jc w:val="center"/>
              <w:rPr>
                <w:rFonts w:ascii="Arial Narrow" w:hAnsi="Arial Narrow"/>
                <w:color w:val="000000" w:themeColor="text1"/>
              </w:rPr>
            </w:pPr>
            <w:r>
              <w:rPr>
                <w:rFonts w:ascii="Arial Narrow" w:hAnsi="Arial Narrow"/>
                <w:color w:val="000000" w:themeColor="text1"/>
              </w:rPr>
              <w:t>-0.1</w:t>
            </w:r>
          </w:p>
        </w:tc>
      </w:tr>
    </w:tbl>
    <w:p w14:paraId="53C14016" w14:textId="77777777" w:rsidR="00BE4138" w:rsidRPr="006E4762" w:rsidRDefault="00BE4138" w:rsidP="00BE4138">
      <w:pPr>
        <w:rPr>
          <w:color w:val="000000" w:themeColor="text1"/>
        </w:rPr>
      </w:pPr>
    </w:p>
    <w:p w14:paraId="53C14017" w14:textId="77777777" w:rsidR="00BE4138" w:rsidRPr="006E4762" w:rsidRDefault="00BE4138" w:rsidP="00BE4138">
      <w:pPr>
        <w:rPr>
          <w:color w:val="000000" w:themeColor="text1"/>
        </w:rPr>
      </w:pPr>
      <w:r>
        <w:rPr>
          <w:noProof/>
          <w:color w:val="548DD4" w:themeColor="text2" w:themeTint="99"/>
          <w:lang w:eastAsia="en-AU"/>
        </w:rPr>
        <w:lastRenderedPageBreak/>
        <w:drawing>
          <wp:inline distT="0" distB="0" distL="0" distR="0" wp14:anchorId="53C15F6A" wp14:editId="0787EC37">
            <wp:extent cx="5486411" cy="6400813"/>
            <wp:effectExtent l="0" t="0" r="0" b="0"/>
            <wp:docPr id="12" name="Picture 12" descr="Plots present predicted relationship within each region" title="Coral index and indicator score relationships to Chl a concent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ores.Chl.spatial.5y.png"/>
                    <pic:cNvPicPr/>
                  </pic:nvPicPr>
                  <pic:blipFill>
                    <a:blip r:embed="rId65" cstate="print">
                      <a:extLst>
                        <a:ext uri="{28A0092B-C50C-407E-A947-70E740481C1C}">
                          <a14:useLocalDpi xmlns:a14="http://schemas.microsoft.com/office/drawing/2010/main" val="0"/>
                        </a:ext>
                      </a:extLst>
                    </a:blip>
                    <a:stretch>
                      <a:fillRect/>
                    </a:stretch>
                  </pic:blipFill>
                  <pic:spPr>
                    <a:xfrm>
                      <a:off x="0" y="0"/>
                      <a:ext cx="5486411" cy="6400813"/>
                    </a:xfrm>
                    <a:prstGeom prst="rect">
                      <a:avLst/>
                    </a:prstGeom>
                  </pic:spPr>
                </pic:pic>
              </a:graphicData>
            </a:graphic>
          </wp:inline>
        </w:drawing>
      </w:r>
    </w:p>
    <w:p w14:paraId="53C14018" w14:textId="04FDE9F7" w:rsidR="00BE4138" w:rsidRPr="0062064A" w:rsidRDefault="00BE4138" w:rsidP="002B5296">
      <w:pPr>
        <w:pStyle w:val="Caption"/>
        <w:rPr>
          <w:rStyle w:val="FigureChar"/>
          <w:rFonts w:eastAsia="SimSun"/>
          <w:vanish/>
          <w:specVanish/>
        </w:rPr>
      </w:pPr>
      <w:bookmarkStart w:id="476" w:name="_Ref35873448"/>
      <w:bookmarkStart w:id="477" w:name="_Toc35947182"/>
      <w:r w:rsidRPr="00D31A17">
        <w:t xml:space="preserve">Figure </w:t>
      </w:r>
      <w:r w:rsidRPr="00D31A17">
        <w:fldChar w:fldCharType="begin"/>
      </w:r>
      <w:r w:rsidRPr="00D31A17">
        <w:instrText xml:space="preserve"> SEQ Figure \* ARABIC </w:instrText>
      </w:r>
      <w:r w:rsidRPr="00D31A17">
        <w:fldChar w:fldCharType="separate"/>
      </w:r>
      <w:r w:rsidR="003053D1">
        <w:rPr>
          <w:noProof/>
        </w:rPr>
        <w:t>32</w:t>
      </w:r>
      <w:r w:rsidRPr="00D31A17">
        <w:fldChar w:fldCharType="end"/>
      </w:r>
      <w:bookmarkEnd w:id="476"/>
      <w:r w:rsidRPr="00D31A17">
        <w:t xml:space="preserve"> Coral index and indicator score relationships </w:t>
      </w:r>
      <w:r>
        <w:t xml:space="preserve">to Chl </w:t>
      </w:r>
      <w:r w:rsidRPr="002A7E19">
        <w:rPr>
          <w:i/>
        </w:rPr>
        <w:t>a</w:t>
      </w:r>
      <w:r>
        <w:rPr>
          <w:i/>
        </w:rPr>
        <w:t xml:space="preserve"> </w:t>
      </w:r>
      <w:r>
        <w:t>concentration</w:t>
      </w:r>
      <w:bookmarkEnd w:id="477"/>
      <w:r w:rsidRPr="008B5D40">
        <w:rPr>
          <w:rStyle w:val="FigureChar"/>
          <w:rFonts w:eastAsia="SimSun"/>
          <w:vanish/>
          <w:specVanish/>
        </w:rPr>
        <w:t xml:space="preserve"> </w:t>
      </w:r>
    </w:p>
    <w:p w14:paraId="53C14019" w14:textId="2217D7F2" w:rsidR="00BE4138" w:rsidRPr="008B5D40" w:rsidRDefault="00BE4138">
      <w:pPr>
        <w:pStyle w:val="Caption"/>
        <w:rPr>
          <w:rStyle w:val="IntenseReference"/>
        </w:rPr>
      </w:pPr>
      <w:r w:rsidRPr="008B5D40">
        <w:rPr>
          <w:rStyle w:val="IntenseReference"/>
        </w:rPr>
        <w:t xml:space="preserve">. Combinations of coral index or indicator and depth are included where Reef wide relationships were. Plots present predicted relationship within each region. Confidence intervals in predicated slopes are provided in </w:t>
      </w:r>
      <w:r w:rsidR="00655886" w:rsidRPr="008B5D40">
        <w:rPr>
          <w:rStyle w:val="IntenseReference"/>
        </w:rPr>
        <w:t>(</w:t>
      </w:r>
      <w:r w:rsidR="0018215B">
        <w:rPr>
          <w:rStyle w:val="IntenseReference"/>
        </w:rPr>
        <w:fldChar w:fldCharType="begin"/>
      </w:r>
      <w:r w:rsidR="0018215B">
        <w:rPr>
          <w:rStyle w:val="IntenseReference"/>
        </w:rPr>
        <w:instrText xml:space="preserve"> REF _Ref35872982 \h </w:instrText>
      </w:r>
      <w:r w:rsidR="0018215B">
        <w:rPr>
          <w:rStyle w:val="IntenseReference"/>
        </w:rPr>
      </w:r>
      <w:r w:rsidR="0018215B">
        <w:rPr>
          <w:rStyle w:val="IntenseReference"/>
        </w:rPr>
        <w:fldChar w:fldCharType="separate"/>
      </w:r>
      <w:r w:rsidR="003053D1">
        <w:t xml:space="preserve">Table </w:t>
      </w:r>
      <w:r w:rsidR="003053D1">
        <w:rPr>
          <w:noProof/>
        </w:rPr>
        <w:t>15</w:t>
      </w:r>
      <w:r w:rsidR="0018215B">
        <w:rPr>
          <w:rStyle w:val="IntenseReference"/>
        </w:rPr>
        <w:fldChar w:fldCharType="end"/>
      </w:r>
      <w:r w:rsidR="00655886" w:rsidRPr="008B5D40">
        <w:rPr>
          <w:rStyle w:val="IntenseReference"/>
        </w:rPr>
        <w:t>).</w:t>
      </w:r>
    </w:p>
    <w:p w14:paraId="53C1401A" w14:textId="77777777" w:rsidR="00BE4138" w:rsidRDefault="00BE4138" w:rsidP="00BE4138"/>
    <w:p w14:paraId="53C1401B" w14:textId="77777777" w:rsidR="00BE4138" w:rsidRPr="00CE4E0F" w:rsidRDefault="00BE4138" w:rsidP="00BE4138">
      <w:pPr>
        <w:rPr>
          <w:rFonts w:ascii="Arial Narrow" w:hAnsi="Arial Narrow"/>
          <w:sz w:val="20"/>
        </w:rPr>
      </w:pPr>
      <w:r>
        <w:rPr>
          <w:rFonts w:ascii="Arial Narrow" w:hAnsi="Arial Narrow"/>
          <w:noProof/>
          <w:sz w:val="20"/>
          <w:lang w:eastAsia="en-AU"/>
        </w:rPr>
        <w:lastRenderedPageBreak/>
        <w:drawing>
          <wp:inline distT="0" distB="0" distL="0" distR="0" wp14:anchorId="53C15F6C" wp14:editId="601A105F">
            <wp:extent cx="5486411" cy="4270257"/>
            <wp:effectExtent l="0" t="0" r="0" b="0"/>
            <wp:docPr id="22" name="Picture 22" descr="Plots present predicted relationship within each region" title="Coral index and indicator score relationships to NAP concent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6" name="scores.NAP.spatial.5y.png"/>
                    <pic:cNvPicPr/>
                  </pic:nvPicPr>
                  <pic:blipFill>
                    <a:blip r:embed="rId66" cstate="print">
                      <a:extLst>
                        <a:ext uri="{28A0092B-C50C-407E-A947-70E740481C1C}">
                          <a14:useLocalDpi xmlns:a14="http://schemas.microsoft.com/office/drawing/2010/main" val="0"/>
                        </a:ext>
                      </a:extLst>
                    </a:blip>
                    <a:stretch>
                      <a:fillRect/>
                    </a:stretch>
                  </pic:blipFill>
                  <pic:spPr>
                    <a:xfrm>
                      <a:off x="0" y="0"/>
                      <a:ext cx="5486411" cy="4270257"/>
                    </a:xfrm>
                    <a:prstGeom prst="rect">
                      <a:avLst/>
                    </a:prstGeom>
                  </pic:spPr>
                </pic:pic>
              </a:graphicData>
            </a:graphic>
          </wp:inline>
        </w:drawing>
      </w:r>
    </w:p>
    <w:p w14:paraId="53C1401C" w14:textId="792D63CC" w:rsidR="00BE4138" w:rsidRPr="0062064A" w:rsidRDefault="00BE4138" w:rsidP="002B5296">
      <w:pPr>
        <w:pStyle w:val="Caption"/>
        <w:rPr>
          <w:rStyle w:val="FigureChar"/>
          <w:rFonts w:eastAsia="SimSun"/>
          <w:vanish/>
          <w:specVanish/>
        </w:rPr>
      </w:pPr>
      <w:bookmarkStart w:id="478" w:name="_Ref35873517"/>
      <w:bookmarkStart w:id="479" w:name="_Toc35947183"/>
      <w:r w:rsidRPr="0097050D">
        <w:t xml:space="preserve">Figure </w:t>
      </w:r>
      <w:r w:rsidRPr="0097050D">
        <w:rPr>
          <w:noProof/>
        </w:rPr>
        <w:fldChar w:fldCharType="begin"/>
      </w:r>
      <w:r w:rsidRPr="0097050D">
        <w:rPr>
          <w:noProof/>
        </w:rPr>
        <w:instrText xml:space="preserve"> SEQ Figure \* ARABIC </w:instrText>
      </w:r>
      <w:r w:rsidRPr="0097050D">
        <w:rPr>
          <w:noProof/>
        </w:rPr>
        <w:fldChar w:fldCharType="separate"/>
      </w:r>
      <w:r w:rsidR="003053D1">
        <w:rPr>
          <w:noProof/>
        </w:rPr>
        <w:t>33</w:t>
      </w:r>
      <w:r w:rsidRPr="0097050D">
        <w:rPr>
          <w:noProof/>
        </w:rPr>
        <w:fldChar w:fldCharType="end"/>
      </w:r>
      <w:bookmarkEnd w:id="478"/>
      <w:r w:rsidRPr="0097050D">
        <w:t xml:space="preserve"> </w:t>
      </w:r>
      <w:r w:rsidRPr="00D31A17">
        <w:t xml:space="preserve">Coral index and indicator score relationships </w:t>
      </w:r>
      <w:r>
        <w:t>to NAP</w:t>
      </w:r>
      <w:r>
        <w:rPr>
          <w:i/>
        </w:rPr>
        <w:t xml:space="preserve"> </w:t>
      </w:r>
      <w:r>
        <w:t>concentration</w:t>
      </w:r>
      <w:bookmarkEnd w:id="479"/>
    </w:p>
    <w:p w14:paraId="53C1401D" w14:textId="4FAD4564" w:rsidR="00BE4138" w:rsidRPr="008B5D40" w:rsidRDefault="00BE4138">
      <w:pPr>
        <w:pStyle w:val="Caption"/>
        <w:rPr>
          <w:rStyle w:val="IntenseReference"/>
        </w:rPr>
      </w:pPr>
      <w:r w:rsidRPr="00D31A17">
        <w:t xml:space="preserve">. </w:t>
      </w:r>
      <w:r w:rsidRPr="008B5D40">
        <w:rPr>
          <w:rStyle w:val="IntenseReference"/>
        </w:rPr>
        <w:t xml:space="preserve">Combinations of coral index or indicator and depth are included where Reef wide relationships were. Plots present predicted relationship within each region. Confidence intervals in predicated slopes are provided in </w:t>
      </w:r>
      <w:r w:rsidR="00655886" w:rsidRPr="008B5D40">
        <w:rPr>
          <w:rStyle w:val="IntenseReference"/>
        </w:rPr>
        <w:t>(</w:t>
      </w:r>
      <w:r w:rsidR="00427E3C">
        <w:rPr>
          <w:rStyle w:val="IntenseReference"/>
        </w:rPr>
        <w:fldChar w:fldCharType="begin"/>
      </w:r>
      <w:r w:rsidR="00427E3C">
        <w:rPr>
          <w:rStyle w:val="IntenseReference"/>
        </w:rPr>
        <w:instrText xml:space="preserve"> REF _Ref35872982 \h </w:instrText>
      </w:r>
      <w:r w:rsidR="00427E3C">
        <w:rPr>
          <w:rStyle w:val="IntenseReference"/>
        </w:rPr>
      </w:r>
      <w:r w:rsidR="00427E3C">
        <w:rPr>
          <w:rStyle w:val="IntenseReference"/>
        </w:rPr>
        <w:fldChar w:fldCharType="separate"/>
      </w:r>
      <w:r w:rsidR="003053D1">
        <w:t xml:space="preserve">Table </w:t>
      </w:r>
      <w:r w:rsidR="003053D1">
        <w:rPr>
          <w:noProof/>
        </w:rPr>
        <w:t>15</w:t>
      </w:r>
      <w:r w:rsidR="00427E3C">
        <w:rPr>
          <w:rStyle w:val="IntenseReference"/>
        </w:rPr>
        <w:fldChar w:fldCharType="end"/>
      </w:r>
      <w:r w:rsidR="00655886" w:rsidRPr="008B5D40">
        <w:rPr>
          <w:rStyle w:val="IntenseReference"/>
        </w:rPr>
        <w:t>).</w:t>
      </w:r>
    </w:p>
    <w:p w14:paraId="53C1401E" w14:textId="77777777" w:rsidR="00BE4138" w:rsidRDefault="00BE4138" w:rsidP="00BE4138">
      <w:pPr>
        <w:rPr>
          <w:color w:val="000000" w:themeColor="text1"/>
        </w:rPr>
      </w:pPr>
    </w:p>
    <w:p w14:paraId="5DB8F6C9" w14:textId="77777777" w:rsidR="00655886" w:rsidRDefault="00655886" w:rsidP="00655886">
      <w:pPr>
        <w:rPr>
          <w:color w:val="000000" w:themeColor="text1"/>
        </w:rPr>
      </w:pPr>
      <w:r w:rsidRPr="007C7838">
        <w:rPr>
          <w:color w:val="000000" w:themeColor="text1"/>
        </w:rPr>
        <w:t>Of the individual indicators</w:t>
      </w:r>
      <w:r>
        <w:rPr>
          <w:color w:val="000000" w:themeColor="text1"/>
        </w:rPr>
        <w:t>:</w:t>
      </w:r>
    </w:p>
    <w:p w14:paraId="1BE0530A" w14:textId="4AD21B7D" w:rsidR="00655886" w:rsidRDefault="00655886" w:rsidP="00655886">
      <w:pPr>
        <w:pStyle w:val="ListParagraph"/>
        <w:numPr>
          <w:ilvl w:val="0"/>
          <w:numId w:val="54"/>
        </w:numPr>
        <w:rPr>
          <w:color w:val="000000" w:themeColor="text1"/>
        </w:rPr>
      </w:pPr>
      <w:r>
        <w:rPr>
          <w:color w:val="000000" w:themeColor="text1"/>
        </w:rPr>
        <w:t>S</w:t>
      </w:r>
      <w:r w:rsidRPr="009F13FE">
        <w:rPr>
          <w:color w:val="000000" w:themeColor="text1"/>
        </w:rPr>
        <w:t xml:space="preserve">cores for coral cover were negatively related to increasing concentration of both Chl </w:t>
      </w:r>
      <w:r w:rsidRPr="0046635B">
        <w:rPr>
          <w:i/>
          <w:color w:val="000000" w:themeColor="text1"/>
        </w:rPr>
        <w:t>a</w:t>
      </w:r>
      <w:r w:rsidRPr="009F13FE">
        <w:rPr>
          <w:color w:val="000000" w:themeColor="text1"/>
        </w:rPr>
        <w:t xml:space="preserve"> and NAP</w:t>
      </w:r>
      <w:r>
        <w:rPr>
          <w:color w:val="000000" w:themeColor="text1"/>
        </w:rPr>
        <w:t xml:space="preserve"> at 2 m depth</w:t>
      </w:r>
      <w:r w:rsidRPr="009F13FE">
        <w:rPr>
          <w:color w:val="000000" w:themeColor="text1"/>
        </w:rPr>
        <w:t xml:space="preserve">, this relationship strongest </w:t>
      </w:r>
      <w:r>
        <w:rPr>
          <w:color w:val="000000" w:themeColor="text1"/>
        </w:rPr>
        <w:t xml:space="preserve">for Chl </w:t>
      </w:r>
      <w:r w:rsidRPr="008B5D40">
        <w:rPr>
          <w:i/>
          <w:color w:val="000000" w:themeColor="text1"/>
        </w:rPr>
        <w:t>a</w:t>
      </w:r>
      <w:r>
        <w:rPr>
          <w:color w:val="000000" w:themeColor="text1"/>
        </w:rPr>
        <w:t xml:space="preserve">, </w:t>
      </w:r>
      <w:r w:rsidRPr="009F13FE">
        <w:rPr>
          <w:color w:val="000000" w:themeColor="text1"/>
        </w:rPr>
        <w:t>in the Wet Tropics and Fitzroy regions (</w:t>
      </w:r>
      <w:r w:rsidR="00427E3C">
        <w:rPr>
          <w:color w:val="000000" w:themeColor="text1"/>
        </w:rPr>
        <w:fldChar w:fldCharType="begin"/>
      </w:r>
      <w:r w:rsidR="00427E3C">
        <w:rPr>
          <w:color w:val="000000" w:themeColor="text1"/>
        </w:rPr>
        <w:instrText xml:space="preserve"> REF _Ref35872982 \h </w:instrText>
      </w:r>
      <w:r w:rsidR="00427E3C">
        <w:rPr>
          <w:color w:val="000000" w:themeColor="text1"/>
        </w:rPr>
      </w:r>
      <w:r w:rsidR="00427E3C">
        <w:rPr>
          <w:color w:val="000000" w:themeColor="text1"/>
        </w:rPr>
        <w:fldChar w:fldCharType="separate"/>
      </w:r>
      <w:r w:rsidR="003053D1">
        <w:t xml:space="preserve">Table </w:t>
      </w:r>
      <w:r w:rsidR="003053D1">
        <w:rPr>
          <w:noProof/>
        </w:rPr>
        <w:t>15</w:t>
      </w:r>
      <w:r w:rsidR="00427E3C">
        <w:rPr>
          <w:color w:val="000000" w:themeColor="text1"/>
        </w:rPr>
        <w:fldChar w:fldCharType="end"/>
      </w:r>
      <w:r w:rsidRPr="009F13FE">
        <w:rPr>
          <w:color w:val="000000" w:themeColor="text1"/>
        </w:rPr>
        <w:t xml:space="preserve">, </w:t>
      </w:r>
      <w:r w:rsidR="00427E3C">
        <w:rPr>
          <w:color w:val="000000" w:themeColor="text1"/>
        </w:rPr>
        <w:fldChar w:fldCharType="begin"/>
      </w:r>
      <w:r w:rsidR="00427E3C">
        <w:rPr>
          <w:color w:val="000000" w:themeColor="text1"/>
        </w:rPr>
        <w:instrText xml:space="preserve"> REF _Ref35873448 \h </w:instrText>
      </w:r>
      <w:r w:rsidR="00427E3C">
        <w:rPr>
          <w:color w:val="000000" w:themeColor="text1"/>
        </w:rPr>
      </w:r>
      <w:r w:rsidR="00427E3C">
        <w:rPr>
          <w:color w:val="000000" w:themeColor="text1"/>
        </w:rPr>
        <w:fldChar w:fldCharType="separate"/>
      </w:r>
      <w:r w:rsidR="003053D1" w:rsidRPr="00D31A17">
        <w:t xml:space="preserve">Figure </w:t>
      </w:r>
      <w:r w:rsidR="003053D1">
        <w:rPr>
          <w:noProof/>
        </w:rPr>
        <w:t>32</w:t>
      </w:r>
      <w:r w:rsidR="00427E3C">
        <w:rPr>
          <w:color w:val="000000" w:themeColor="text1"/>
        </w:rPr>
        <w:fldChar w:fldCharType="end"/>
      </w:r>
      <w:r w:rsidRPr="009F13FE">
        <w:rPr>
          <w:color w:val="000000" w:themeColor="text1"/>
        </w:rPr>
        <w:t xml:space="preserve">c, </w:t>
      </w:r>
      <w:r w:rsidR="00427E3C">
        <w:rPr>
          <w:color w:val="000000" w:themeColor="text1"/>
        </w:rPr>
        <w:fldChar w:fldCharType="begin"/>
      </w:r>
      <w:r w:rsidR="00427E3C">
        <w:rPr>
          <w:color w:val="000000" w:themeColor="text1"/>
        </w:rPr>
        <w:instrText xml:space="preserve"> REF _Ref35873517 \h </w:instrText>
      </w:r>
      <w:r w:rsidR="00427E3C">
        <w:rPr>
          <w:color w:val="000000" w:themeColor="text1"/>
        </w:rPr>
      </w:r>
      <w:r w:rsidR="00427E3C">
        <w:rPr>
          <w:color w:val="000000" w:themeColor="text1"/>
        </w:rPr>
        <w:fldChar w:fldCharType="separate"/>
      </w:r>
      <w:r w:rsidR="003053D1" w:rsidRPr="0097050D">
        <w:t xml:space="preserve">Figure </w:t>
      </w:r>
      <w:r w:rsidR="003053D1">
        <w:rPr>
          <w:noProof/>
        </w:rPr>
        <w:t>33</w:t>
      </w:r>
      <w:r w:rsidR="00427E3C">
        <w:rPr>
          <w:color w:val="000000" w:themeColor="text1"/>
        </w:rPr>
        <w:fldChar w:fldCharType="end"/>
      </w:r>
      <w:r w:rsidRPr="009F13FE">
        <w:rPr>
          <w:color w:val="000000" w:themeColor="text1"/>
        </w:rPr>
        <w:t xml:space="preserve">b). </w:t>
      </w:r>
    </w:p>
    <w:p w14:paraId="07DE6E31" w14:textId="70A6065A" w:rsidR="00655886" w:rsidRDefault="00655886" w:rsidP="00655886">
      <w:pPr>
        <w:pStyle w:val="ListParagraph"/>
        <w:numPr>
          <w:ilvl w:val="0"/>
          <w:numId w:val="54"/>
        </w:numPr>
        <w:rPr>
          <w:color w:val="000000" w:themeColor="text1"/>
        </w:rPr>
      </w:pPr>
      <w:r w:rsidRPr="009F13FE">
        <w:rPr>
          <w:color w:val="000000" w:themeColor="text1"/>
        </w:rPr>
        <w:t xml:space="preserve">Reef-wide, scores for macroalgae were negatively related to Chl </w:t>
      </w:r>
      <w:r w:rsidRPr="0046635B">
        <w:rPr>
          <w:i/>
          <w:color w:val="000000" w:themeColor="text1"/>
        </w:rPr>
        <w:t>a</w:t>
      </w:r>
      <w:r w:rsidRPr="009F13FE">
        <w:rPr>
          <w:color w:val="000000" w:themeColor="text1"/>
        </w:rPr>
        <w:t xml:space="preserve"> concentration at both 2 m and 5 m depths, however, although mean slopes were negative in all regions confidence intervals of predicted slopes did not exclude zero (</w:t>
      </w:r>
      <w:r w:rsidR="00427E3C">
        <w:rPr>
          <w:color w:val="000000" w:themeColor="text1"/>
        </w:rPr>
        <w:fldChar w:fldCharType="begin"/>
      </w:r>
      <w:r w:rsidR="00427E3C">
        <w:rPr>
          <w:color w:val="000000" w:themeColor="text1"/>
        </w:rPr>
        <w:instrText xml:space="preserve"> REF _Ref35873448 \h </w:instrText>
      </w:r>
      <w:r w:rsidR="00427E3C">
        <w:rPr>
          <w:color w:val="000000" w:themeColor="text1"/>
        </w:rPr>
      </w:r>
      <w:r w:rsidR="00427E3C">
        <w:rPr>
          <w:color w:val="000000" w:themeColor="text1"/>
        </w:rPr>
        <w:fldChar w:fldCharType="separate"/>
      </w:r>
      <w:r w:rsidR="003053D1" w:rsidRPr="00D31A17">
        <w:t xml:space="preserve">Figure </w:t>
      </w:r>
      <w:r w:rsidR="003053D1">
        <w:rPr>
          <w:noProof/>
        </w:rPr>
        <w:t>32</w:t>
      </w:r>
      <w:r w:rsidR="00427E3C">
        <w:rPr>
          <w:color w:val="000000" w:themeColor="text1"/>
        </w:rPr>
        <w:fldChar w:fldCharType="end"/>
      </w:r>
      <w:r>
        <w:rPr>
          <w:color w:val="000000" w:themeColor="text1"/>
        </w:rPr>
        <w:t>b</w:t>
      </w:r>
      <w:r w:rsidRPr="009F13FE">
        <w:rPr>
          <w:color w:val="000000" w:themeColor="text1"/>
        </w:rPr>
        <w:t>, e,</w:t>
      </w:r>
      <w:r w:rsidR="00427E3C">
        <w:rPr>
          <w:color w:val="000000" w:themeColor="text1"/>
        </w:rPr>
        <w:t xml:space="preserve"> </w:t>
      </w:r>
      <w:r w:rsidR="00427E3C">
        <w:rPr>
          <w:color w:val="000000" w:themeColor="text1"/>
        </w:rPr>
        <w:fldChar w:fldCharType="begin"/>
      </w:r>
      <w:r w:rsidR="00427E3C">
        <w:rPr>
          <w:color w:val="000000" w:themeColor="text1"/>
        </w:rPr>
        <w:instrText xml:space="preserve"> REF _Ref35872982 \h </w:instrText>
      </w:r>
      <w:r w:rsidR="00427E3C">
        <w:rPr>
          <w:color w:val="000000" w:themeColor="text1"/>
        </w:rPr>
      </w:r>
      <w:r w:rsidR="00427E3C">
        <w:rPr>
          <w:color w:val="000000" w:themeColor="text1"/>
        </w:rPr>
        <w:fldChar w:fldCharType="separate"/>
      </w:r>
      <w:r w:rsidR="003053D1">
        <w:t xml:space="preserve">Table </w:t>
      </w:r>
      <w:r w:rsidR="003053D1">
        <w:rPr>
          <w:noProof/>
        </w:rPr>
        <w:t>15</w:t>
      </w:r>
      <w:r w:rsidR="00427E3C">
        <w:rPr>
          <w:color w:val="000000" w:themeColor="text1"/>
        </w:rPr>
        <w:fldChar w:fldCharType="end"/>
      </w:r>
      <w:r w:rsidRPr="009F13FE">
        <w:rPr>
          <w:color w:val="000000" w:themeColor="text1"/>
        </w:rPr>
        <w:t xml:space="preserve">). </w:t>
      </w:r>
    </w:p>
    <w:p w14:paraId="122599DA" w14:textId="77777777" w:rsidR="003053D1" w:rsidRDefault="00655886" w:rsidP="002B5296">
      <w:r w:rsidRPr="009F13FE">
        <w:rPr>
          <w:color w:val="000000" w:themeColor="text1"/>
        </w:rPr>
        <w:lastRenderedPageBreak/>
        <w:t xml:space="preserve">The juvenile indicator at 5 m depths was the only indicator for which Reef-wide scores </w:t>
      </w:r>
      <w:r>
        <w:rPr>
          <w:color w:val="000000" w:themeColor="text1"/>
        </w:rPr>
        <w:t xml:space="preserve">were positively related to </w:t>
      </w:r>
      <w:r w:rsidRPr="009F13FE">
        <w:rPr>
          <w:color w:val="000000" w:themeColor="text1"/>
        </w:rPr>
        <w:t xml:space="preserve">Chl </w:t>
      </w:r>
      <w:r w:rsidRPr="009F13FE">
        <w:rPr>
          <w:i/>
          <w:color w:val="000000" w:themeColor="text1"/>
        </w:rPr>
        <w:t>a</w:t>
      </w:r>
      <w:r w:rsidRPr="009F13FE">
        <w:rPr>
          <w:color w:val="000000" w:themeColor="text1"/>
        </w:rPr>
        <w:t xml:space="preserve"> concentration</w:t>
      </w:r>
      <w:r>
        <w:rPr>
          <w:color w:val="000000" w:themeColor="text1"/>
        </w:rPr>
        <w:t xml:space="preserve">. A relationship evident in both the </w:t>
      </w:r>
      <w:r w:rsidRPr="009F13FE">
        <w:rPr>
          <w:color w:val="000000" w:themeColor="text1"/>
        </w:rPr>
        <w:t>Wet Tropics and Burdekin Regions (</w:t>
      </w:r>
      <w:r w:rsidR="00427E3C">
        <w:rPr>
          <w:color w:val="000000" w:themeColor="text1"/>
        </w:rPr>
        <w:fldChar w:fldCharType="begin"/>
      </w:r>
      <w:r w:rsidR="00427E3C">
        <w:rPr>
          <w:color w:val="000000" w:themeColor="text1"/>
        </w:rPr>
        <w:instrText xml:space="preserve"> REF _Ref35872982 \h </w:instrText>
      </w:r>
      <w:r w:rsidR="00427E3C">
        <w:rPr>
          <w:color w:val="000000" w:themeColor="text1"/>
        </w:rPr>
      </w:r>
      <w:r w:rsidR="00427E3C">
        <w:rPr>
          <w:color w:val="000000" w:themeColor="text1"/>
        </w:rPr>
        <w:fldChar w:fldCharType="separate"/>
      </w:r>
      <w:r w:rsidR="003053D1">
        <w:t xml:space="preserve">Table </w:t>
      </w:r>
      <w:r w:rsidR="003053D1">
        <w:rPr>
          <w:noProof/>
        </w:rPr>
        <w:t>15</w:t>
      </w:r>
      <w:r w:rsidR="00427E3C">
        <w:rPr>
          <w:color w:val="000000" w:themeColor="text1"/>
        </w:rPr>
        <w:fldChar w:fldCharType="end"/>
      </w:r>
      <w:r w:rsidRPr="009F13FE">
        <w:rPr>
          <w:color w:val="000000" w:themeColor="text1"/>
        </w:rPr>
        <w:t xml:space="preserve">, </w:t>
      </w:r>
      <w:r w:rsidR="00427E3C">
        <w:rPr>
          <w:color w:val="000000" w:themeColor="text1"/>
        </w:rPr>
        <w:fldChar w:fldCharType="begin"/>
      </w:r>
      <w:r w:rsidR="00427E3C">
        <w:rPr>
          <w:color w:val="000000" w:themeColor="text1"/>
        </w:rPr>
        <w:instrText xml:space="preserve"> REF _Ref35873448 \h </w:instrText>
      </w:r>
      <w:r w:rsidR="00427E3C">
        <w:rPr>
          <w:color w:val="000000" w:themeColor="text1"/>
        </w:rPr>
      </w:r>
      <w:r w:rsidR="00427E3C">
        <w:rPr>
          <w:color w:val="000000" w:themeColor="text1"/>
        </w:rPr>
        <w:fldChar w:fldCharType="separate"/>
      </w:r>
      <w:r w:rsidR="003053D1" w:rsidRPr="00D31A17">
        <w:t xml:space="preserve">Figure </w:t>
      </w:r>
      <w:r w:rsidR="003053D1">
        <w:rPr>
          <w:noProof/>
        </w:rPr>
        <w:t>32</w:t>
      </w:r>
      <w:r w:rsidR="00427E3C">
        <w:rPr>
          <w:color w:val="000000" w:themeColor="text1"/>
        </w:rPr>
        <w:fldChar w:fldCharType="end"/>
      </w:r>
      <w:r w:rsidRPr="009F13FE">
        <w:rPr>
          <w:color w:val="000000" w:themeColor="text1"/>
        </w:rPr>
        <w:t xml:space="preserve">d).  Very high densities of </w:t>
      </w:r>
      <w:r w:rsidRPr="009F13FE">
        <w:rPr>
          <w:i/>
          <w:color w:val="000000" w:themeColor="text1"/>
        </w:rPr>
        <w:t>Turbinaria</w:t>
      </w:r>
      <w:r w:rsidRPr="009F13FE">
        <w:rPr>
          <w:color w:val="000000" w:themeColor="text1"/>
        </w:rPr>
        <w:t xml:space="preserve"> spp juveniles at reefs with relatively high Chl </w:t>
      </w:r>
      <w:r w:rsidRPr="0046635B">
        <w:rPr>
          <w:i/>
          <w:color w:val="000000" w:themeColor="text1"/>
        </w:rPr>
        <w:t>a</w:t>
      </w:r>
      <w:r w:rsidRPr="009F13FE">
        <w:rPr>
          <w:color w:val="000000" w:themeColor="text1"/>
        </w:rPr>
        <w:t xml:space="preserve"> concentration in the Herbert Tully sub-region and Burdekin Region are influential in these results (</w:t>
      </w:r>
      <w:r w:rsidRPr="009F13FE">
        <w:rPr>
          <w:color w:val="000000" w:themeColor="text1"/>
        </w:rPr>
        <w:fldChar w:fldCharType="begin"/>
      </w:r>
      <w:r w:rsidRPr="009F13FE">
        <w:rPr>
          <w:color w:val="000000" w:themeColor="text1"/>
        </w:rPr>
        <w:instrText xml:space="preserve"> REF _Ref528589238 \h </w:instrText>
      </w:r>
      <w:r w:rsidRPr="009F13FE">
        <w:rPr>
          <w:color w:val="000000" w:themeColor="text1"/>
        </w:rPr>
      </w:r>
      <w:r w:rsidRPr="009F13FE">
        <w:rPr>
          <w:color w:val="000000" w:themeColor="text1"/>
        </w:rPr>
        <w:fldChar w:fldCharType="separate"/>
      </w:r>
    </w:p>
    <w:p w14:paraId="7B36132E" w14:textId="11A8946B" w:rsidR="00655886" w:rsidRDefault="003053D1" w:rsidP="00655886">
      <w:pPr>
        <w:pStyle w:val="ListParagraph"/>
        <w:numPr>
          <w:ilvl w:val="0"/>
          <w:numId w:val="54"/>
        </w:numPr>
        <w:rPr>
          <w:color w:val="000000" w:themeColor="text1"/>
        </w:rPr>
      </w:pPr>
      <w:r w:rsidRPr="00D758C6">
        <w:t xml:space="preserve">Figure A </w:t>
      </w:r>
      <w:r>
        <w:rPr>
          <w:noProof/>
        </w:rPr>
        <w:t>12</w:t>
      </w:r>
      <w:r w:rsidR="00655886" w:rsidRPr="009F13FE">
        <w:rPr>
          <w:color w:val="000000" w:themeColor="text1"/>
        </w:rPr>
        <w:fldChar w:fldCharType="end"/>
      </w:r>
      <w:r w:rsidR="00655886" w:rsidRPr="009F13FE">
        <w:rPr>
          <w:color w:val="000000" w:themeColor="text1"/>
        </w:rPr>
        <w:t xml:space="preserve">, </w:t>
      </w:r>
      <w:r w:rsidR="00655886" w:rsidRPr="009F13FE">
        <w:rPr>
          <w:color w:val="000000" w:themeColor="text1"/>
        </w:rPr>
        <w:fldChar w:fldCharType="begin"/>
      </w:r>
      <w:r w:rsidR="00655886" w:rsidRPr="009F13FE">
        <w:rPr>
          <w:color w:val="000000" w:themeColor="text1"/>
        </w:rPr>
        <w:instrText xml:space="preserve"> REF _Ref528674727 \h </w:instrText>
      </w:r>
      <w:r w:rsidR="00655886" w:rsidRPr="009F13FE">
        <w:rPr>
          <w:color w:val="000000" w:themeColor="text1"/>
        </w:rPr>
      </w:r>
      <w:r w:rsidR="00655886" w:rsidRPr="009F13FE">
        <w:rPr>
          <w:color w:val="000000" w:themeColor="text1"/>
        </w:rPr>
        <w:fldChar w:fldCharType="separate"/>
      </w:r>
      <w:r w:rsidRPr="00D758C6">
        <w:t xml:space="preserve">Figure A </w:t>
      </w:r>
      <w:r>
        <w:rPr>
          <w:noProof/>
        </w:rPr>
        <w:t>13</w:t>
      </w:r>
      <w:r w:rsidR="00655886" w:rsidRPr="009F13FE">
        <w:rPr>
          <w:color w:val="000000" w:themeColor="text1"/>
        </w:rPr>
        <w:fldChar w:fldCharType="end"/>
      </w:r>
      <w:r w:rsidR="00655886" w:rsidRPr="009F13FE">
        <w:rPr>
          <w:color w:val="000000" w:themeColor="text1"/>
        </w:rPr>
        <w:t xml:space="preserve">). </w:t>
      </w:r>
    </w:p>
    <w:p w14:paraId="648AD38E" w14:textId="690DEC10" w:rsidR="00655886" w:rsidRDefault="00655886" w:rsidP="00655886">
      <w:pPr>
        <w:pStyle w:val="ListParagraph"/>
        <w:numPr>
          <w:ilvl w:val="0"/>
          <w:numId w:val="54"/>
        </w:numPr>
        <w:rPr>
          <w:color w:val="000000" w:themeColor="text1"/>
        </w:rPr>
      </w:pPr>
      <w:r>
        <w:rPr>
          <w:color w:val="000000" w:themeColor="text1"/>
        </w:rPr>
        <w:t>Reef-wide scores for the juvenile indicator at 2m depth were negatively related to NAP concentration a result driven by low densities of juvenile corals at the more turbid reefs in the Fitzroy region (</w:t>
      </w:r>
      <w:r w:rsidR="00427E3C">
        <w:rPr>
          <w:color w:val="000000" w:themeColor="text1"/>
        </w:rPr>
        <w:fldChar w:fldCharType="begin"/>
      </w:r>
      <w:r w:rsidR="00427E3C">
        <w:rPr>
          <w:color w:val="000000" w:themeColor="text1"/>
        </w:rPr>
        <w:instrText xml:space="preserve"> REF _Ref35872982 \h </w:instrText>
      </w:r>
      <w:r w:rsidR="00427E3C">
        <w:rPr>
          <w:color w:val="000000" w:themeColor="text1"/>
        </w:rPr>
      </w:r>
      <w:r w:rsidR="00427E3C">
        <w:rPr>
          <w:color w:val="000000" w:themeColor="text1"/>
        </w:rPr>
        <w:fldChar w:fldCharType="separate"/>
      </w:r>
      <w:r w:rsidR="003053D1">
        <w:t xml:space="preserve">Table </w:t>
      </w:r>
      <w:r w:rsidR="003053D1">
        <w:rPr>
          <w:noProof/>
        </w:rPr>
        <w:t>15</w:t>
      </w:r>
      <w:r w:rsidR="00427E3C">
        <w:rPr>
          <w:color w:val="000000" w:themeColor="text1"/>
        </w:rPr>
        <w:fldChar w:fldCharType="end"/>
      </w:r>
      <w:r>
        <w:rPr>
          <w:color w:val="000000" w:themeColor="text1"/>
        </w:rPr>
        <w:t xml:space="preserve">, </w:t>
      </w:r>
      <w:r w:rsidR="00427E3C">
        <w:rPr>
          <w:color w:val="000000" w:themeColor="text1"/>
        </w:rPr>
        <w:fldChar w:fldCharType="begin"/>
      </w:r>
      <w:r w:rsidR="00427E3C">
        <w:rPr>
          <w:color w:val="000000" w:themeColor="text1"/>
        </w:rPr>
        <w:instrText xml:space="preserve"> REF _Ref35873517 \h </w:instrText>
      </w:r>
      <w:r w:rsidR="00427E3C">
        <w:rPr>
          <w:color w:val="000000" w:themeColor="text1"/>
        </w:rPr>
      </w:r>
      <w:r w:rsidR="00427E3C">
        <w:rPr>
          <w:color w:val="000000" w:themeColor="text1"/>
        </w:rPr>
        <w:fldChar w:fldCharType="separate"/>
      </w:r>
      <w:r w:rsidR="003053D1" w:rsidRPr="0097050D">
        <w:t xml:space="preserve">Figure </w:t>
      </w:r>
      <w:r w:rsidR="003053D1">
        <w:rPr>
          <w:noProof/>
        </w:rPr>
        <w:t>33</w:t>
      </w:r>
      <w:r w:rsidR="00427E3C">
        <w:rPr>
          <w:color w:val="000000" w:themeColor="text1"/>
        </w:rPr>
        <w:fldChar w:fldCharType="end"/>
      </w:r>
      <w:r>
        <w:rPr>
          <w:color w:val="000000" w:themeColor="text1"/>
        </w:rPr>
        <w:t xml:space="preserve">c) </w:t>
      </w:r>
    </w:p>
    <w:p w14:paraId="3CE2D490" w14:textId="3BE80715" w:rsidR="00655886" w:rsidRPr="00166DDC" w:rsidRDefault="00655886" w:rsidP="00655886">
      <w:pPr>
        <w:pStyle w:val="ListParagraph"/>
        <w:numPr>
          <w:ilvl w:val="0"/>
          <w:numId w:val="54"/>
        </w:numPr>
        <w:rPr>
          <w:color w:val="000000" w:themeColor="text1"/>
        </w:rPr>
      </w:pPr>
      <w:r>
        <w:rPr>
          <w:color w:val="000000" w:themeColor="text1"/>
        </w:rPr>
        <w:t xml:space="preserve">Neither the cover change </w:t>
      </w:r>
      <w:r w:rsidR="00427E3C">
        <w:rPr>
          <w:color w:val="000000" w:themeColor="text1"/>
        </w:rPr>
        <w:t>nor</w:t>
      </w:r>
      <w:r>
        <w:rPr>
          <w:color w:val="000000" w:themeColor="text1"/>
        </w:rPr>
        <w:t xml:space="preserve"> composition indicator scores were related to relative exposure to water quality pressures. This is not surprising as both indicators are scaled reflect change from baseline coral community compositions that include a higher proportion of slow growing species tolerant to poor water quality along water quality gradients.</w:t>
      </w:r>
    </w:p>
    <w:p w14:paraId="53C14025" w14:textId="77777777" w:rsidR="00BE4138" w:rsidRDefault="00BE4138" w:rsidP="00BE4138">
      <w:pPr>
        <w:rPr>
          <w:color w:val="000000" w:themeColor="text1"/>
        </w:rPr>
      </w:pPr>
    </w:p>
    <w:p w14:paraId="53C14026" w14:textId="61B4E8D9" w:rsidR="00BE4138" w:rsidRDefault="00BE4138" w:rsidP="00BE4138">
      <w:pPr>
        <w:rPr>
          <w:color w:val="000000" w:themeColor="text1"/>
        </w:rPr>
      </w:pPr>
      <w:r>
        <w:rPr>
          <w:color w:val="000000" w:themeColor="text1"/>
        </w:rPr>
        <w:t xml:space="preserve">Both the macroalgae and composition indicator scores are based on thresholds that vary along water quality gradients to ensure scores are sensitive to change at each reef. As such the spatial analysis of scores masks underlying differences in the values underpinning these scores. Reef-wide the proportion of algae cover classified as macroalgae shows a positive relationship to Chl </w:t>
      </w:r>
      <w:r w:rsidRPr="008B5D40">
        <w:rPr>
          <w:i/>
          <w:color w:val="000000" w:themeColor="text1"/>
        </w:rPr>
        <w:t>a</w:t>
      </w:r>
      <w:r>
        <w:rPr>
          <w:color w:val="000000" w:themeColor="text1"/>
        </w:rPr>
        <w:t xml:space="preserve"> at both 2 m and 5 m depths, and NAP at 2 m depth </w:t>
      </w:r>
      <w:r w:rsidR="004A4093">
        <w:rPr>
          <w:color w:val="000000" w:themeColor="text1"/>
        </w:rPr>
        <w:t>(</w:t>
      </w:r>
      <w:r w:rsidR="00427E3C">
        <w:rPr>
          <w:color w:val="000000" w:themeColor="text1"/>
        </w:rPr>
        <w:fldChar w:fldCharType="begin"/>
      </w:r>
      <w:r w:rsidR="00427E3C">
        <w:rPr>
          <w:color w:val="000000" w:themeColor="text1"/>
        </w:rPr>
        <w:instrText xml:space="preserve"> REF _Ref35873909 \h </w:instrText>
      </w:r>
      <w:r w:rsidR="00427E3C">
        <w:rPr>
          <w:color w:val="000000" w:themeColor="text1"/>
        </w:rPr>
      </w:r>
      <w:r w:rsidR="00427E3C">
        <w:rPr>
          <w:color w:val="000000" w:themeColor="text1"/>
        </w:rPr>
        <w:fldChar w:fldCharType="separate"/>
      </w:r>
      <w:r w:rsidR="003053D1">
        <w:t xml:space="preserve">Table </w:t>
      </w:r>
      <w:r w:rsidR="003053D1">
        <w:rPr>
          <w:noProof/>
        </w:rPr>
        <w:t>16</w:t>
      </w:r>
      <w:r w:rsidR="00427E3C">
        <w:rPr>
          <w:color w:val="000000" w:themeColor="text1"/>
        </w:rPr>
        <w:fldChar w:fldCharType="end"/>
      </w:r>
      <w:r w:rsidR="004A4093">
        <w:rPr>
          <w:color w:val="000000" w:themeColor="text1"/>
        </w:rPr>
        <w:t xml:space="preserve">). </w:t>
      </w:r>
      <w:r>
        <w:rPr>
          <w:color w:val="000000" w:themeColor="text1"/>
        </w:rPr>
        <w:t xml:space="preserve">Within regions, it is only in the Mackay-Whitsunday region that no relationship was observed between macroalgae representation in the algal community and either water quality proxy </w:t>
      </w:r>
      <w:r w:rsidR="004A4093">
        <w:rPr>
          <w:color w:val="000000" w:themeColor="text1"/>
        </w:rPr>
        <w:t>(</w:t>
      </w:r>
      <w:r w:rsidR="00427E3C">
        <w:rPr>
          <w:color w:val="000000" w:themeColor="text1"/>
        </w:rPr>
        <w:fldChar w:fldCharType="begin"/>
      </w:r>
      <w:r w:rsidR="00427E3C">
        <w:rPr>
          <w:color w:val="000000" w:themeColor="text1"/>
        </w:rPr>
        <w:instrText xml:space="preserve"> REF _Ref35873909 \h </w:instrText>
      </w:r>
      <w:r w:rsidR="00427E3C">
        <w:rPr>
          <w:color w:val="000000" w:themeColor="text1"/>
        </w:rPr>
      </w:r>
      <w:r w:rsidR="00427E3C">
        <w:rPr>
          <w:color w:val="000000" w:themeColor="text1"/>
        </w:rPr>
        <w:fldChar w:fldCharType="separate"/>
      </w:r>
      <w:r w:rsidR="003053D1">
        <w:t xml:space="preserve">Table </w:t>
      </w:r>
      <w:r w:rsidR="003053D1">
        <w:rPr>
          <w:noProof/>
        </w:rPr>
        <w:t>16</w:t>
      </w:r>
      <w:r w:rsidR="00427E3C">
        <w:rPr>
          <w:color w:val="000000" w:themeColor="text1"/>
        </w:rPr>
        <w:fldChar w:fldCharType="end"/>
      </w:r>
      <w:r w:rsidR="004A4093">
        <w:rPr>
          <w:color w:val="000000" w:themeColor="text1"/>
        </w:rPr>
        <w:t xml:space="preserve">). </w:t>
      </w:r>
      <w:r>
        <w:rPr>
          <w:color w:val="000000" w:themeColor="text1"/>
        </w:rPr>
        <w:t xml:space="preserve">Relationships between macroalgal representation and Chl </w:t>
      </w:r>
      <w:r w:rsidRPr="00913FAD">
        <w:rPr>
          <w:i/>
          <w:color w:val="000000" w:themeColor="text1"/>
        </w:rPr>
        <w:t>a</w:t>
      </w:r>
      <w:r>
        <w:rPr>
          <w:color w:val="000000" w:themeColor="text1"/>
        </w:rPr>
        <w:t xml:space="preserve"> were evident at 2 m depth in all other regions </w:t>
      </w:r>
      <w:r w:rsidR="004A4093">
        <w:rPr>
          <w:color w:val="000000" w:themeColor="text1"/>
        </w:rPr>
        <w:t>(</w:t>
      </w:r>
      <w:r w:rsidR="00427E3C">
        <w:rPr>
          <w:color w:val="000000" w:themeColor="text1"/>
        </w:rPr>
        <w:fldChar w:fldCharType="begin"/>
      </w:r>
      <w:r w:rsidR="00427E3C">
        <w:rPr>
          <w:color w:val="000000" w:themeColor="text1"/>
        </w:rPr>
        <w:instrText xml:space="preserve"> REF _Ref35873988 \h </w:instrText>
      </w:r>
      <w:r w:rsidR="00427E3C">
        <w:rPr>
          <w:color w:val="000000" w:themeColor="text1"/>
        </w:rPr>
      </w:r>
      <w:r w:rsidR="00427E3C">
        <w:rPr>
          <w:color w:val="000000" w:themeColor="text1"/>
        </w:rPr>
        <w:fldChar w:fldCharType="separate"/>
      </w:r>
      <w:r w:rsidR="003053D1">
        <w:t xml:space="preserve">Figure </w:t>
      </w:r>
      <w:r w:rsidR="003053D1">
        <w:rPr>
          <w:noProof/>
        </w:rPr>
        <w:t>34</w:t>
      </w:r>
      <w:r w:rsidR="00427E3C">
        <w:rPr>
          <w:color w:val="000000" w:themeColor="text1"/>
        </w:rPr>
        <w:fldChar w:fldCharType="end"/>
      </w:r>
      <w:r w:rsidR="004A4093">
        <w:rPr>
          <w:color w:val="000000" w:themeColor="text1"/>
        </w:rPr>
        <w:t xml:space="preserve">a). </w:t>
      </w:r>
      <w:r>
        <w:rPr>
          <w:color w:val="000000" w:themeColor="text1"/>
        </w:rPr>
        <w:t xml:space="preserve">While mean trends were positive at 5 m depth confidence intervals about these trends demonstrate variability in all regions </w:t>
      </w:r>
      <w:r w:rsidR="004A4093">
        <w:rPr>
          <w:color w:val="000000" w:themeColor="text1"/>
        </w:rPr>
        <w:t>(</w:t>
      </w:r>
      <w:r w:rsidR="00427E3C">
        <w:rPr>
          <w:color w:val="000000" w:themeColor="text1"/>
        </w:rPr>
        <w:fldChar w:fldCharType="begin"/>
      </w:r>
      <w:r w:rsidR="00427E3C">
        <w:rPr>
          <w:color w:val="000000" w:themeColor="text1"/>
        </w:rPr>
        <w:instrText xml:space="preserve"> REF _Ref35873988 \h </w:instrText>
      </w:r>
      <w:r w:rsidR="00427E3C">
        <w:rPr>
          <w:color w:val="000000" w:themeColor="text1"/>
        </w:rPr>
      </w:r>
      <w:r w:rsidR="00427E3C">
        <w:rPr>
          <w:color w:val="000000" w:themeColor="text1"/>
        </w:rPr>
        <w:fldChar w:fldCharType="separate"/>
      </w:r>
      <w:r w:rsidR="003053D1">
        <w:t xml:space="preserve">Figure </w:t>
      </w:r>
      <w:r w:rsidR="003053D1">
        <w:rPr>
          <w:noProof/>
        </w:rPr>
        <w:t>34</w:t>
      </w:r>
      <w:r w:rsidR="00427E3C">
        <w:rPr>
          <w:color w:val="000000" w:themeColor="text1"/>
        </w:rPr>
        <w:fldChar w:fldCharType="end"/>
      </w:r>
      <w:r w:rsidR="004A4093">
        <w:rPr>
          <w:color w:val="000000" w:themeColor="text1"/>
        </w:rPr>
        <w:t>b,</w:t>
      </w:r>
      <w:r w:rsidR="00427E3C">
        <w:rPr>
          <w:color w:val="000000" w:themeColor="text1"/>
        </w:rPr>
        <w:t xml:space="preserve"> </w:t>
      </w:r>
      <w:r w:rsidR="00427E3C">
        <w:rPr>
          <w:color w:val="000000" w:themeColor="text1"/>
        </w:rPr>
        <w:fldChar w:fldCharType="begin"/>
      </w:r>
      <w:r w:rsidR="00427E3C">
        <w:rPr>
          <w:color w:val="000000" w:themeColor="text1"/>
        </w:rPr>
        <w:instrText xml:space="preserve"> REF _Ref35873909 \h </w:instrText>
      </w:r>
      <w:r w:rsidR="00427E3C">
        <w:rPr>
          <w:color w:val="000000" w:themeColor="text1"/>
        </w:rPr>
      </w:r>
      <w:r w:rsidR="00427E3C">
        <w:rPr>
          <w:color w:val="000000" w:themeColor="text1"/>
        </w:rPr>
        <w:fldChar w:fldCharType="separate"/>
      </w:r>
      <w:r w:rsidR="003053D1">
        <w:t xml:space="preserve">Table </w:t>
      </w:r>
      <w:r w:rsidR="003053D1">
        <w:rPr>
          <w:noProof/>
        </w:rPr>
        <w:t>16</w:t>
      </w:r>
      <w:r w:rsidR="00427E3C">
        <w:rPr>
          <w:color w:val="000000" w:themeColor="text1"/>
        </w:rPr>
        <w:fldChar w:fldCharType="end"/>
      </w:r>
      <w:r w:rsidR="004A4093">
        <w:rPr>
          <w:color w:val="000000" w:themeColor="text1"/>
        </w:rPr>
        <w:t xml:space="preserve">). </w:t>
      </w:r>
      <w:r>
        <w:rPr>
          <w:color w:val="000000" w:themeColor="text1"/>
        </w:rPr>
        <w:t xml:space="preserve">Similarly, despite consistently positive trends between macroalgae representation and NAP lower confidence intervals of these trends were only positive in the Fitzroy region and at 2m depth in the Burdekin </w:t>
      </w:r>
      <w:r w:rsidR="004A4093">
        <w:rPr>
          <w:color w:val="000000" w:themeColor="text1"/>
        </w:rPr>
        <w:t>(</w:t>
      </w:r>
      <w:r w:rsidR="00427E3C">
        <w:rPr>
          <w:color w:val="000000" w:themeColor="text1"/>
        </w:rPr>
        <w:fldChar w:fldCharType="begin"/>
      </w:r>
      <w:r w:rsidR="00427E3C">
        <w:rPr>
          <w:color w:val="000000" w:themeColor="text1"/>
        </w:rPr>
        <w:instrText xml:space="preserve"> REF _Ref35873909 \h </w:instrText>
      </w:r>
      <w:r w:rsidR="00427E3C">
        <w:rPr>
          <w:color w:val="000000" w:themeColor="text1"/>
        </w:rPr>
      </w:r>
      <w:r w:rsidR="00427E3C">
        <w:rPr>
          <w:color w:val="000000" w:themeColor="text1"/>
        </w:rPr>
        <w:fldChar w:fldCharType="separate"/>
      </w:r>
      <w:r w:rsidR="003053D1">
        <w:t xml:space="preserve">Table </w:t>
      </w:r>
      <w:r w:rsidR="003053D1">
        <w:rPr>
          <w:noProof/>
        </w:rPr>
        <w:t>16</w:t>
      </w:r>
      <w:r w:rsidR="00427E3C">
        <w:rPr>
          <w:color w:val="000000" w:themeColor="text1"/>
        </w:rPr>
        <w:fldChar w:fldCharType="end"/>
      </w:r>
      <w:r w:rsidR="004A4093">
        <w:rPr>
          <w:color w:val="000000" w:themeColor="text1"/>
        </w:rPr>
        <w:t xml:space="preserve">, </w:t>
      </w:r>
      <w:r w:rsidR="00427E3C">
        <w:rPr>
          <w:color w:val="000000" w:themeColor="text1"/>
        </w:rPr>
        <w:fldChar w:fldCharType="begin"/>
      </w:r>
      <w:r w:rsidR="00427E3C">
        <w:rPr>
          <w:color w:val="000000" w:themeColor="text1"/>
        </w:rPr>
        <w:instrText xml:space="preserve"> REF _Ref35873988 \h </w:instrText>
      </w:r>
      <w:r w:rsidR="00427E3C">
        <w:rPr>
          <w:color w:val="000000" w:themeColor="text1"/>
        </w:rPr>
      </w:r>
      <w:r w:rsidR="00427E3C">
        <w:rPr>
          <w:color w:val="000000" w:themeColor="text1"/>
        </w:rPr>
        <w:fldChar w:fldCharType="separate"/>
      </w:r>
      <w:r w:rsidR="003053D1">
        <w:t xml:space="preserve">Figure </w:t>
      </w:r>
      <w:r w:rsidR="003053D1">
        <w:rPr>
          <w:noProof/>
        </w:rPr>
        <w:t>34</w:t>
      </w:r>
      <w:r w:rsidR="00427E3C">
        <w:rPr>
          <w:color w:val="000000" w:themeColor="text1"/>
        </w:rPr>
        <w:fldChar w:fldCharType="end"/>
      </w:r>
      <w:r w:rsidR="004A4093">
        <w:rPr>
          <w:color w:val="000000" w:themeColor="text1"/>
        </w:rPr>
        <w:t>c).</w:t>
      </w:r>
    </w:p>
    <w:p w14:paraId="53C14027" w14:textId="4BB7F2F8" w:rsidR="00BE4138" w:rsidRPr="0062064A" w:rsidRDefault="00BE4138" w:rsidP="002B5296">
      <w:pPr>
        <w:pStyle w:val="Caption"/>
        <w:rPr>
          <w:rStyle w:val="FigureChar"/>
          <w:rFonts w:eastAsia="SimSun"/>
          <w:vanish/>
          <w:specVanish/>
        </w:rPr>
      </w:pPr>
      <w:bookmarkStart w:id="480" w:name="_Ref35873909"/>
      <w:bookmarkStart w:id="481" w:name="_Toc35947202"/>
      <w:r>
        <w:lastRenderedPageBreak/>
        <w:t xml:space="preserve">Table </w:t>
      </w:r>
      <w:r>
        <w:fldChar w:fldCharType="begin"/>
      </w:r>
      <w:r>
        <w:instrText xml:space="preserve"> SEQ Table \* ARABIC </w:instrText>
      </w:r>
      <w:r>
        <w:fldChar w:fldCharType="separate"/>
      </w:r>
      <w:r w:rsidR="003053D1">
        <w:rPr>
          <w:noProof/>
        </w:rPr>
        <w:t>16</w:t>
      </w:r>
      <w:r>
        <w:fldChar w:fldCharType="end"/>
      </w:r>
      <w:bookmarkEnd w:id="480"/>
      <w:r>
        <w:t xml:space="preserve"> Relationship between indicator values underpinning the macroalgae and composition indicator scores</w:t>
      </w:r>
      <w:bookmarkEnd w:id="481"/>
    </w:p>
    <w:p w14:paraId="53C14028" w14:textId="77777777" w:rsidR="00BE4138" w:rsidRPr="008B5D40" w:rsidRDefault="00BE4138">
      <w:pPr>
        <w:pStyle w:val="Caption"/>
        <w:rPr>
          <w:rStyle w:val="IntenseReference"/>
        </w:rPr>
      </w:pPr>
      <w:r>
        <w:t xml:space="preserve">. </w:t>
      </w:r>
      <w:r w:rsidRPr="008B5D40">
        <w:rPr>
          <w:rStyle w:val="IntenseReference"/>
        </w:rPr>
        <w:t xml:space="preserve">Tabulated values are upper and lower confidence intervals of the trend in values for each combination of indicator value and depth. Slopes for which confidence intervals did not include zero are shaded to highlight the direction of the relationship. </w:t>
      </w:r>
    </w:p>
    <w:tbl>
      <w:tblPr>
        <w:tblStyle w:val="TableGrid"/>
        <w:tblW w:w="0" w:type="auto"/>
        <w:tblLayout w:type="fixed"/>
        <w:tblLook w:val="04A0" w:firstRow="1" w:lastRow="0" w:firstColumn="1" w:lastColumn="0" w:noHBand="0" w:noVBand="1"/>
        <w:tblCaption w:val="relationship between indicator values underpinning macroalgal and composition indicators"/>
        <w:tblDescription w:val="shows positive relationship for reef-wide macoralgal proportion to chlorophyll a and non-algal particulates. Negative for genus composition"/>
      </w:tblPr>
      <w:tblGrid>
        <w:gridCol w:w="1980"/>
        <w:gridCol w:w="567"/>
        <w:gridCol w:w="675"/>
        <w:gridCol w:w="712"/>
        <w:gridCol w:w="712"/>
        <w:gridCol w:w="712"/>
        <w:gridCol w:w="712"/>
        <w:gridCol w:w="711"/>
        <w:gridCol w:w="712"/>
        <w:gridCol w:w="712"/>
        <w:gridCol w:w="712"/>
        <w:gridCol w:w="712"/>
      </w:tblGrid>
      <w:tr w:rsidR="00BE4138" w14:paraId="53C14030" w14:textId="77777777" w:rsidTr="00E10F7E">
        <w:trPr>
          <w:tblHeader/>
        </w:trPr>
        <w:tc>
          <w:tcPr>
            <w:tcW w:w="1980" w:type="dxa"/>
            <w:vAlign w:val="center"/>
          </w:tcPr>
          <w:p w14:paraId="53C14029" w14:textId="77777777" w:rsidR="00BE4138" w:rsidRPr="00FF69C5" w:rsidRDefault="00BE4138" w:rsidP="00877FA4">
            <w:pPr>
              <w:jc w:val="center"/>
              <w:rPr>
                <w:rFonts w:ascii="Arial Narrow" w:hAnsi="Arial Narrow"/>
                <w:color w:val="000000" w:themeColor="text1"/>
              </w:rPr>
            </w:pPr>
            <w:r w:rsidRPr="00FF69C5">
              <w:rPr>
                <w:rFonts w:ascii="Arial Narrow" w:hAnsi="Arial Narrow"/>
                <w:color w:val="000000" w:themeColor="text1"/>
              </w:rPr>
              <w:t>Response</w:t>
            </w:r>
          </w:p>
        </w:tc>
        <w:tc>
          <w:tcPr>
            <w:tcW w:w="567" w:type="dxa"/>
            <w:tcMar>
              <w:left w:w="57" w:type="dxa"/>
              <w:right w:w="57" w:type="dxa"/>
            </w:tcMar>
            <w:vAlign w:val="center"/>
          </w:tcPr>
          <w:p w14:paraId="53C1402A" w14:textId="77777777" w:rsidR="00BE4138" w:rsidRPr="00FF69C5" w:rsidRDefault="00BE4138" w:rsidP="00877FA4">
            <w:pPr>
              <w:jc w:val="center"/>
              <w:rPr>
                <w:rFonts w:ascii="Arial Narrow" w:hAnsi="Arial Narrow"/>
                <w:color w:val="548DD4" w:themeColor="text2" w:themeTint="99"/>
              </w:rPr>
            </w:pPr>
            <w:r w:rsidRPr="00FF69C5">
              <w:rPr>
                <w:rFonts w:ascii="Arial Narrow" w:hAnsi="Arial Narrow"/>
                <w:color w:val="000000"/>
              </w:rPr>
              <w:t>Depth</w:t>
            </w:r>
          </w:p>
        </w:tc>
        <w:tc>
          <w:tcPr>
            <w:tcW w:w="1387" w:type="dxa"/>
            <w:gridSpan w:val="2"/>
            <w:vAlign w:val="center"/>
          </w:tcPr>
          <w:p w14:paraId="53C1402B" w14:textId="77777777" w:rsidR="00BE4138" w:rsidRPr="00FF69C5" w:rsidRDefault="00BE4138" w:rsidP="00877FA4">
            <w:pPr>
              <w:jc w:val="center"/>
              <w:rPr>
                <w:rFonts w:ascii="Arial Narrow" w:hAnsi="Arial Narrow"/>
                <w:color w:val="548DD4" w:themeColor="text2" w:themeTint="99"/>
              </w:rPr>
            </w:pPr>
            <w:r w:rsidRPr="00FF69C5">
              <w:rPr>
                <w:rFonts w:ascii="Arial Narrow" w:hAnsi="Arial Narrow"/>
                <w:color w:val="000000" w:themeColor="text1"/>
              </w:rPr>
              <w:t>Reef-wide</w:t>
            </w:r>
          </w:p>
        </w:tc>
        <w:tc>
          <w:tcPr>
            <w:tcW w:w="1424" w:type="dxa"/>
            <w:gridSpan w:val="2"/>
            <w:vAlign w:val="center"/>
          </w:tcPr>
          <w:p w14:paraId="53C1402C" w14:textId="77777777" w:rsidR="00BE4138" w:rsidRPr="00FF69C5" w:rsidRDefault="00BE4138" w:rsidP="00877FA4">
            <w:pPr>
              <w:jc w:val="center"/>
              <w:rPr>
                <w:rFonts w:ascii="Arial Narrow" w:hAnsi="Arial Narrow"/>
                <w:color w:val="548DD4" w:themeColor="text2" w:themeTint="99"/>
              </w:rPr>
            </w:pPr>
            <w:r w:rsidRPr="00FF69C5">
              <w:rPr>
                <w:rFonts w:ascii="Arial Narrow" w:hAnsi="Arial Narrow"/>
                <w:color w:val="000000"/>
              </w:rPr>
              <w:t>Wet Tropics</w:t>
            </w:r>
          </w:p>
        </w:tc>
        <w:tc>
          <w:tcPr>
            <w:tcW w:w="1423" w:type="dxa"/>
            <w:gridSpan w:val="2"/>
            <w:vAlign w:val="center"/>
          </w:tcPr>
          <w:p w14:paraId="53C1402D" w14:textId="77777777" w:rsidR="00BE4138" w:rsidRPr="00FF69C5" w:rsidRDefault="00BE4138" w:rsidP="00877FA4">
            <w:pPr>
              <w:jc w:val="center"/>
              <w:rPr>
                <w:rFonts w:ascii="Arial Narrow" w:hAnsi="Arial Narrow"/>
                <w:color w:val="548DD4" w:themeColor="text2" w:themeTint="99"/>
              </w:rPr>
            </w:pPr>
            <w:r>
              <w:rPr>
                <w:rFonts w:ascii="Arial Narrow" w:hAnsi="Arial Narrow"/>
                <w:color w:val="000000"/>
              </w:rPr>
              <w:t>Burdekin</w:t>
            </w:r>
          </w:p>
        </w:tc>
        <w:tc>
          <w:tcPr>
            <w:tcW w:w="1424" w:type="dxa"/>
            <w:gridSpan w:val="2"/>
            <w:vAlign w:val="center"/>
          </w:tcPr>
          <w:p w14:paraId="53C1402E" w14:textId="77777777" w:rsidR="00BE4138" w:rsidRPr="00FF69C5" w:rsidRDefault="00BE4138" w:rsidP="00877FA4">
            <w:pPr>
              <w:jc w:val="center"/>
              <w:rPr>
                <w:rFonts w:ascii="Arial Narrow" w:hAnsi="Arial Narrow"/>
                <w:color w:val="548DD4" w:themeColor="text2" w:themeTint="99"/>
              </w:rPr>
            </w:pPr>
            <w:r>
              <w:rPr>
                <w:rFonts w:ascii="Arial Narrow" w:hAnsi="Arial Narrow"/>
                <w:color w:val="000000"/>
              </w:rPr>
              <w:t>Mackay-Whitsunday</w:t>
            </w:r>
          </w:p>
        </w:tc>
        <w:tc>
          <w:tcPr>
            <w:tcW w:w="1424" w:type="dxa"/>
            <w:gridSpan w:val="2"/>
            <w:vAlign w:val="center"/>
          </w:tcPr>
          <w:p w14:paraId="53C1402F" w14:textId="77777777" w:rsidR="00BE4138" w:rsidRPr="00FF69C5" w:rsidRDefault="00BE4138" w:rsidP="00877FA4">
            <w:pPr>
              <w:jc w:val="center"/>
              <w:rPr>
                <w:rFonts w:ascii="Arial Narrow" w:hAnsi="Arial Narrow"/>
                <w:color w:val="548DD4" w:themeColor="text2" w:themeTint="99"/>
              </w:rPr>
            </w:pPr>
            <w:r>
              <w:rPr>
                <w:rFonts w:ascii="Arial Narrow" w:hAnsi="Arial Narrow"/>
                <w:color w:val="000000"/>
              </w:rPr>
              <w:t>Fitzroy</w:t>
            </w:r>
          </w:p>
        </w:tc>
      </w:tr>
      <w:tr w:rsidR="00BE4138" w14:paraId="53C1403D" w14:textId="77777777" w:rsidTr="00877FA4">
        <w:tc>
          <w:tcPr>
            <w:tcW w:w="1980" w:type="dxa"/>
          </w:tcPr>
          <w:p w14:paraId="53C14031" w14:textId="77777777" w:rsidR="00BE4138" w:rsidRDefault="00BE4138" w:rsidP="00877FA4">
            <w:pPr>
              <w:rPr>
                <w:color w:val="548DD4" w:themeColor="text2" w:themeTint="99"/>
              </w:rPr>
            </w:pPr>
          </w:p>
        </w:tc>
        <w:tc>
          <w:tcPr>
            <w:tcW w:w="567" w:type="dxa"/>
          </w:tcPr>
          <w:p w14:paraId="53C14032" w14:textId="77777777" w:rsidR="00BE4138" w:rsidRDefault="00BE4138" w:rsidP="00877FA4">
            <w:pPr>
              <w:rPr>
                <w:color w:val="548DD4" w:themeColor="text2" w:themeTint="99"/>
              </w:rPr>
            </w:pPr>
          </w:p>
        </w:tc>
        <w:tc>
          <w:tcPr>
            <w:tcW w:w="675" w:type="dxa"/>
          </w:tcPr>
          <w:p w14:paraId="53C14033" w14:textId="77777777" w:rsidR="00BE4138" w:rsidRPr="00FF69C5" w:rsidRDefault="00BE4138" w:rsidP="00877FA4">
            <w:pPr>
              <w:jc w:val="center"/>
              <w:rPr>
                <w:color w:val="000000" w:themeColor="text1"/>
              </w:rPr>
            </w:pPr>
            <w:r w:rsidRPr="00FF69C5">
              <w:rPr>
                <w:color w:val="000000" w:themeColor="text1"/>
              </w:rPr>
              <w:t>l</w:t>
            </w:r>
          </w:p>
        </w:tc>
        <w:tc>
          <w:tcPr>
            <w:tcW w:w="712" w:type="dxa"/>
          </w:tcPr>
          <w:p w14:paraId="53C14034" w14:textId="77777777" w:rsidR="00BE4138" w:rsidRPr="00FF69C5" w:rsidRDefault="00BE4138" w:rsidP="00877FA4">
            <w:pPr>
              <w:jc w:val="center"/>
              <w:rPr>
                <w:color w:val="000000" w:themeColor="text1"/>
              </w:rPr>
            </w:pPr>
            <w:r w:rsidRPr="00FF69C5">
              <w:rPr>
                <w:color w:val="000000" w:themeColor="text1"/>
              </w:rPr>
              <w:t>u</w:t>
            </w:r>
          </w:p>
        </w:tc>
        <w:tc>
          <w:tcPr>
            <w:tcW w:w="712" w:type="dxa"/>
          </w:tcPr>
          <w:p w14:paraId="53C14035" w14:textId="77777777" w:rsidR="00BE4138" w:rsidRDefault="00BE4138" w:rsidP="00877FA4">
            <w:pPr>
              <w:jc w:val="center"/>
              <w:rPr>
                <w:color w:val="548DD4" w:themeColor="text2" w:themeTint="99"/>
              </w:rPr>
            </w:pPr>
            <w:r w:rsidRPr="00FF69C5">
              <w:rPr>
                <w:color w:val="000000" w:themeColor="text1"/>
              </w:rPr>
              <w:t>l</w:t>
            </w:r>
          </w:p>
        </w:tc>
        <w:tc>
          <w:tcPr>
            <w:tcW w:w="712" w:type="dxa"/>
          </w:tcPr>
          <w:p w14:paraId="53C14036" w14:textId="77777777" w:rsidR="00BE4138" w:rsidRDefault="00BE4138" w:rsidP="00877FA4">
            <w:pPr>
              <w:jc w:val="center"/>
              <w:rPr>
                <w:color w:val="548DD4" w:themeColor="text2" w:themeTint="99"/>
              </w:rPr>
            </w:pPr>
            <w:r w:rsidRPr="00FF69C5">
              <w:rPr>
                <w:color w:val="000000" w:themeColor="text1"/>
              </w:rPr>
              <w:t>u</w:t>
            </w:r>
          </w:p>
        </w:tc>
        <w:tc>
          <w:tcPr>
            <w:tcW w:w="712" w:type="dxa"/>
          </w:tcPr>
          <w:p w14:paraId="53C14037" w14:textId="77777777" w:rsidR="00BE4138" w:rsidRDefault="00BE4138" w:rsidP="00877FA4">
            <w:pPr>
              <w:jc w:val="center"/>
              <w:rPr>
                <w:color w:val="548DD4" w:themeColor="text2" w:themeTint="99"/>
              </w:rPr>
            </w:pPr>
            <w:r w:rsidRPr="00FF69C5">
              <w:rPr>
                <w:color w:val="000000" w:themeColor="text1"/>
              </w:rPr>
              <w:t>l</w:t>
            </w:r>
          </w:p>
        </w:tc>
        <w:tc>
          <w:tcPr>
            <w:tcW w:w="711" w:type="dxa"/>
          </w:tcPr>
          <w:p w14:paraId="53C14038" w14:textId="77777777" w:rsidR="00BE4138" w:rsidRDefault="00BE4138" w:rsidP="00877FA4">
            <w:pPr>
              <w:jc w:val="center"/>
              <w:rPr>
                <w:color w:val="548DD4" w:themeColor="text2" w:themeTint="99"/>
              </w:rPr>
            </w:pPr>
            <w:r w:rsidRPr="00FF69C5">
              <w:rPr>
                <w:color w:val="000000" w:themeColor="text1"/>
              </w:rPr>
              <w:t>u</w:t>
            </w:r>
          </w:p>
        </w:tc>
        <w:tc>
          <w:tcPr>
            <w:tcW w:w="712" w:type="dxa"/>
          </w:tcPr>
          <w:p w14:paraId="53C14039" w14:textId="77777777" w:rsidR="00BE4138" w:rsidRDefault="00BE4138" w:rsidP="00877FA4">
            <w:pPr>
              <w:jc w:val="center"/>
              <w:rPr>
                <w:color w:val="548DD4" w:themeColor="text2" w:themeTint="99"/>
              </w:rPr>
            </w:pPr>
            <w:r w:rsidRPr="00FF69C5">
              <w:rPr>
                <w:color w:val="000000" w:themeColor="text1"/>
              </w:rPr>
              <w:t>l</w:t>
            </w:r>
          </w:p>
        </w:tc>
        <w:tc>
          <w:tcPr>
            <w:tcW w:w="712" w:type="dxa"/>
          </w:tcPr>
          <w:p w14:paraId="53C1403A" w14:textId="77777777" w:rsidR="00BE4138" w:rsidRDefault="00BE4138" w:rsidP="00877FA4">
            <w:pPr>
              <w:jc w:val="center"/>
              <w:rPr>
                <w:color w:val="548DD4" w:themeColor="text2" w:themeTint="99"/>
              </w:rPr>
            </w:pPr>
            <w:r w:rsidRPr="00FF69C5">
              <w:rPr>
                <w:color w:val="000000" w:themeColor="text1"/>
              </w:rPr>
              <w:t>u</w:t>
            </w:r>
          </w:p>
        </w:tc>
        <w:tc>
          <w:tcPr>
            <w:tcW w:w="712" w:type="dxa"/>
          </w:tcPr>
          <w:p w14:paraId="53C1403B" w14:textId="77777777" w:rsidR="00BE4138" w:rsidRDefault="00BE4138" w:rsidP="00877FA4">
            <w:pPr>
              <w:jc w:val="center"/>
              <w:rPr>
                <w:color w:val="548DD4" w:themeColor="text2" w:themeTint="99"/>
              </w:rPr>
            </w:pPr>
            <w:r w:rsidRPr="00FF69C5">
              <w:rPr>
                <w:color w:val="000000" w:themeColor="text1"/>
              </w:rPr>
              <w:t>l</w:t>
            </w:r>
          </w:p>
        </w:tc>
        <w:tc>
          <w:tcPr>
            <w:tcW w:w="712" w:type="dxa"/>
          </w:tcPr>
          <w:p w14:paraId="53C1403C" w14:textId="77777777" w:rsidR="00BE4138" w:rsidRDefault="00BE4138" w:rsidP="00877FA4">
            <w:pPr>
              <w:jc w:val="center"/>
              <w:rPr>
                <w:color w:val="548DD4" w:themeColor="text2" w:themeTint="99"/>
              </w:rPr>
            </w:pPr>
            <w:r>
              <w:rPr>
                <w:color w:val="000000" w:themeColor="text1"/>
              </w:rPr>
              <w:t>u</w:t>
            </w:r>
          </w:p>
        </w:tc>
      </w:tr>
      <w:tr w:rsidR="00BE4138" w14:paraId="53C1403F" w14:textId="77777777" w:rsidTr="00877FA4">
        <w:tc>
          <w:tcPr>
            <w:tcW w:w="9629" w:type="dxa"/>
            <w:gridSpan w:val="12"/>
            <w:vAlign w:val="bottom"/>
          </w:tcPr>
          <w:p w14:paraId="53C1403E" w14:textId="77777777" w:rsidR="00BE4138" w:rsidRPr="00FF69C5" w:rsidRDefault="00BE4138" w:rsidP="00877FA4">
            <w:pPr>
              <w:jc w:val="center"/>
              <w:rPr>
                <w:rFonts w:ascii="Arial Narrow" w:hAnsi="Arial Narrow"/>
                <w:color w:val="000000"/>
              </w:rPr>
            </w:pPr>
            <w:r>
              <w:rPr>
                <w:rFonts w:ascii="Arial Narrow" w:hAnsi="Arial Narrow"/>
                <w:color w:val="000000"/>
              </w:rPr>
              <w:t xml:space="preserve">Chlorophyll </w:t>
            </w:r>
            <w:r w:rsidRPr="009F14F1">
              <w:rPr>
                <w:rFonts w:ascii="Arial Narrow" w:hAnsi="Arial Narrow"/>
                <w:i/>
                <w:color w:val="000000"/>
              </w:rPr>
              <w:t>a</w:t>
            </w:r>
            <w:r>
              <w:rPr>
                <w:rFonts w:ascii="Arial Narrow" w:hAnsi="Arial Narrow"/>
                <w:i/>
                <w:color w:val="000000"/>
              </w:rPr>
              <w:t xml:space="preserve"> </w:t>
            </w:r>
            <w:r w:rsidRPr="009F14F1">
              <w:rPr>
                <w:rFonts w:ascii="Arial Narrow" w:hAnsi="Arial Narrow"/>
                <w:color w:val="000000"/>
              </w:rPr>
              <w:t>concentration</w:t>
            </w:r>
          </w:p>
        </w:tc>
      </w:tr>
      <w:tr w:rsidR="00BE4138" w14:paraId="53C1404C" w14:textId="77777777" w:rsidTr="00877FA4">
        <w:tc>
          <w:tcPr>
            <w:tcW w:w="1980" w:type="dxa"/>
            <w:vMerge w:val="restart"/>
            <w:vAlign w:val="center"/>
          </w:tcPr>
          <w:p w14:paraId="53C14040" w14:textId="77777777" w:rsidR="00BE4138" w:rsidRPr="00FF69C5" w:rsidRDefault="00BE4138" w:rsidP="00877FA4">
            <w:pPr>
              <w:jc w:val="left"/>
              <w:rPr>
                <w:rFonts w:ascii="Arial Narrow" w:hAnsi="Arial Narrow"/>
                <w:color w:val="548DD4" w:themeColor="text2" w:themeTint="99"/>
              </w:rPr>
            </w:pPr>
            <w:r>
              <w:rPr>
                <w:rFonts w:ascii="Arial Narrow" w:hAnsi="Arial Narrow"/>
                <w:color w:val="000000"/>
              </w:rPr>
              <w:t>Macroalgae proportion</w:t>
            </w:r>
          </w:p>
        </w:tc>
        <w:tc>
          <w:tcPr>
            <w:tcW w:w="567" w:type="dxa"/>
            <w:vAlign w:val="bottom"/>
          </w:tcPr>
          <w:p w14:paraId="53C14041" w14:textId="77777777" w:rsidR="00BE4138" w:rsidRPr="00FF69C5" w:rsidRDefault="00BE4138" w:rsidP="00877FA4">
            <w:pPr>
              <w:jc w:val="center"/>
              <w:rPr>
                <w:rFonts w:ascii="Arial Narrow" w:hAnsi="Arial Narrow"/>
                <w:color w:val="548DD4" w:themeColor="text2" w:themeTint="99"/>
              </w:rPr>
            </w:pPr>
            <w:r w:rsidRPr="00FF69C5">
              <w:rPr>
                <w:rFonts w:ascii="Arial Narrow" w:hAnsi="Arial Narrow"/>
                <w:color w:val="000000"/>
              </w:rPr>
              <w:t>2</w:t>
            </w:r>
          </w:p>
        </w:tc>
        <w:tc>
          <w:tcPr>
            <w:tcW w:w="675" w:type="dxa"/>
            <w:shd w:val="clear" w:color="auto" w:fill="9BBB59" w:themeFill="accent3"/>
            <w:vAlign w:val="bottom"/>
          </w:tcPr>
          <w:p w14:paraId="53C14042"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3.</w:t>
            </w:r>
            <w:r>
              <w:rPr>
                <w:rFonts w:ascii="Arial Narrow" w:hAnsi="Arial Narrow"/>
                <w:color w:val="000000" w:themeColor="text1"/>
              </w:rPr>
              <w:t>9</w:t>
            </w:r>
          </w:p>
        </w:tc>
        <w:tc>
          <w:tcPr>
            <w:tcW w:w="712" w:type="dxa"/>
            <w:shd w:val="clear" w:color="auto" w:fill="9BBB59" w:themeFill="accent3"/>
            <w:vAlign w:val="bottom"/>
          </w:tcPr>
          <w:p w14:paraId="53C14043" w14:textId="77777777" w:rsidR="00BE4138" w:rsidRPr="00DF57C6" w:rsidRDefault="00BE4138" w:rsidP="00877FA4">
            <w:pPr>
              <w:jc w:val="center"/>
              <w:rPr>
                <w:rFonts w:ascii="Arial Narrow" w:hAnsi="Arial Narrow"/>
                <w:color w:val="000000" w:themeColor="text1"/>
              </w:rPr>
            </w:pPr>
            <w:r>
              <w:rPr>
                <w:rFonts w:ascii="Arial Narrow" w:hAnsi="Arial Narrow"/>
                <w:color w:val="000000" w:themeColor="text1"/>
              </w:rPr>
              <w:t>9.2</w:t>
            </w:r>
          </w:p>
        </w:tc>
        <w:tc>
          <w:tcPr>
            <w:tcW w:w="712" w:type="dxa"/>
            <w:shd w:val="clear" w:color="auto" w:fill="9BBB59" w:themeFill="accent3"/>
            <w:vAlign w:val="bottom"/>
          </w:tcPr>
          <w:p w14:paraId="53C14044"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0.</w:t>
            </w:r>
            <w:r>
              <w:rPr>
                <w:rFonts w:ascii="Arial Narrow" w:hAnsi="Arial Narrow"/>
                <w:color w:val="000000" w:themeColor="text1"/>
              </w:rPr>
              <w:t>9</w:t>
            </w:r>
          </w:p>
        </w:tc>
        <w:tc>
          <w:tcPr>
            <w:tcW w:w="712" w:type="dxa"/>
            <w:shd w:val="clear" w:color="auto" w:fill="9BBB59" w:themeFill="accent3"/>
            <w:vAlign w:val="bottom"/>
          </w:tcPr>
          <w:p w14:paraId="53C14045" w14:textId="77777777" w:rsidR="00BE4138" w:rsidRPr="00DF57C6" w:rsidRDefault="00BE4138" w:rsidP="00877FA4">
            <w:pPr>
              <w:jc w:val="center"/>
              <w:rPr>
                <w:rFonts w:ascii="Arial Narrow" w:hAnsi="Arial Narrow"/>
                <w:color w:val="000000" w:themeColor="text1"/>
              </w:rPr>
            </w:pPr>
            <w:r>
              <w:rPr>
                <w:rFonts w:ascii="Arial Narrow" w:hAnsi="Arial Narrow"/>
                <w:color w:val="000000" w:themeColor="text1"/>
              </w:rPr>
              <w:t>10.0</w:t>
            </w:r>
          </w:p>
        </w:tc>
        <w:tc>
          <w:tcPr>
            <w:tcW w:w="712" w:type="dxa"/>
            <w:shd w:val="clear" w:color="auto" w:fill="9BBB59" w:themeFill="accent3"/>
            <w:vAlign w:val="bottom"/>
          </w:tcPr>
          <w:p w14:paraId="53C14046" w14:textId="77777777" w:rsidR="00BE4138" w:rsidRPr="00DF57C6" w:rsidRDefault="00BE4138" w:rsidP="00877FA4">
            <w:pPr>
              <w:jc w:val="center"/>
              <w:rPr>
                <w:rFonts w:ascii="Arial Narrow" w:hAnsi="Arial Narrow"/>
                <w:color w:val="000000" w:themeColor="text1"/>
              </w:rPr>
            </w:pPr>
            <w:r>
              <w:rPr>
                <w:rFonts w:ascii="Arial Narrow" w:hAnsi="Arial Narrow"/>
                <w:color w:val="000000" w:themeColor="text1"/>
              </w:rPr>
              <w:t>2.9</w:t>
            </w:r>
          </w:p>
        </w:tc>
        <w:tc>
          <w:tcPr>
            <w:tcW w:w="711" w:type="dxa"/>
            <w:shd w:val="clear" w:color="auto" w:fill="9BBB59" w:themeFill="accent3"/>
            <w:vAlign w:val="bottom"/>
          </w:tcPr>
          <w:p w14:paraId="53C14047" w14:textId="77777777" w:rsidR="00BE4138" w:rsidRPr="00DF57C6" w:rsidRDefault="00BE4138" w:rsidP="00877FA4">
            <w:pPr>
              <w:jc w:val="center"/>
              <w:rPr>
                <w:rFonts w:ascii="Arial Narrow" w:hAnsi="Arial Narrow"/>
                <w:color w:val="000000" w:themeColor="text1"/>
              </w:rPr>
            </w:pPr>
            <w:r>
              <w:rPr>
                <w:rFonts w:ascii="Arial Narrow" w:hAnsi="Arial Narrow"/>
                <w:color w:val="000000" w:themeColor="text1"/>
              </w:rPr>
              <w:t>13.4</w:t>
            </w:r>
          </w:p>
        </w:tc>
        <w:tc>
          <w:tcPr>
            <w:tcW w:w="712" w:type="dxa"/>
            <w:vAlign w:val="bottom"/>
          </w:tcPr>
          <w:p w14:paraId="53C14048"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-17</w:t>
            </w:r>
          </w:p>
        </w:tc>
        <w:tc>
          <w:tcPr>
            <w:tcW w:w="712" w:type="dxa"/>
            <w:vAlign w:val="bottom"/>
          </w:tcPr>
          <w:p w14:paraId="53C14049" w14:textId="77777777" w:rsidR="00BE4138" w:rsidRPr="00DF57C6" w:rsidRDefault="00BE4138" w:rsidP="00877FA4">
            <w:pPr>
              <w:jc w:val="center"/>
              <w:rPr>
                <w:rFonts w:ascii="Arial Narrow" w:hAnsi="Arial Narrow"/>
                <w:color w:val="000000" w:themeColor="text1"/>
              </w:rPr>
            </w:pPr>
            <w:r>
              <w:rPr>
                <w:rFonts w:ascii="Arial Narrow" w:hAnsi="Arial Narrow"/>
                <w:color w:val="000000" w:themeColor="text1"/>
              </w:rPr>
              <w:t>16.7</w:t>
            </w:r>
          </w:p>
        </w:tc>
        <w:tc>
          <w:tcPr>
            <w:tcW w:w="712" w:type="dxa"/>
            <w:shd w:val="clear" w:color="auto" w:fill="9BBB59" w:themeFill="accent3"/>
            <w:vAlign w:val="bottom"/>
          </w:tcPr>
          <w:p w14:paraId="53C1404A" w14:textId="77777777" w:rsidR="00BE4138" w:rsidRPr="00DF57C6" w:rsidRDefault="00BE4138" w:rsidP="00877FA4">
            <w:pPr>
              <w:jc w:val="center"/>
              <w:rPr>
                <w:rFonts w:ascii="Arial Narrow" w:hAnsi="Arial Narrow"/>
                <w:color w:val="000000" w:themeColor="text1"/>
              </w:rPr>
            </w:pPr>
            <w:r>
              <w:rPr>
                <w:rFonts w:ascii="Arial Narrow" w:hAnsi="Arial Narrow"/>
                <w:color w:val="000000" w:themeColor="text1"/>
              </w:rPr>
              <w:t>1.</w:t>
            </w:r>
            <w:r w:rsidRPr="00DF57C6">
              <w:rPr>
                <w:rFonts w:ascii="Arial Narrow" w:hAnsi="Arial Narrow"/>
                <w:color w:val="000000" w:themeColor="text1"/>
              </w:rPr>
              <w:t>3</w:t>
            </w:r>
          </w:p>
        </w:tc>
        <w:tc>
          <w:tcPr>
            <w:tcW w:w="712" w:type="dxa"/>
            <w:shd w:val="clear" w:color="auto" w:fill="9BBB59" w:themeFill="accent3"/>
            <w:vAlign w:val="bottom"/>
          </w:tcPr>
          <w:p w14:paraId="53C1404B" w14:textId="77777777" w:rsidR="00BE4138" w:rsidRPr="00DF57C6" w:rsidRDefault="00BE4138" w:rsidP="00877FA4">
            <w:pPr>
              <w:jc w:val="center"/>
              <w:rPr>
                <w:rFonts w:ascii="Arial Narrow" w:hAnsi="Arial Narrow"/>
                <w:color w:val="000000" w:themeColor="text1"/>
              </w:rPr>
            </w:pPr>
            <w:r>
              <w:rPr>
                <w:rFonts w:ascii="Arial Narrow" w:hAnsi="Arial Narrow"/>
                <w:color w:val="000000" w:themeColor="text1"/>
              </w:rPr>
              <w:t>12</w:t>
            </w:r>
            <w:r w:rsidRPr="00DF57C6">
              <w:rPr>
                <w:rFonts w:ascii="Arial Narrow" w:hAnsi="Arial Narrow"/>
                <w:color w:val="000000" w:themeColor="text1"/>
              </w:rPr>
              <w:t>.</w:t>
            </w:r>
            <w:r>
              <w:rPr>
                <w:rFonts w:ascii="Arial Narrow" w:hAnsi="Arial Narrow"/>
                <w:color w:val="000000" w:themeColor="text1"/>
              </w:rPr>
              <w:t>7</w:t>
            </w:r>
          </w:p>
        </w:tc>
      </w:tr>
      <w:tr w:rsidR="00BE4138" w14:paraId="53C14059" w14:textId="77777777" w:rsidTr="00877FA4">
        <w:tc>
          <w:tcPr>
            <w:tcW w:w="1980" w:type="dxa"/>
            <w:vMerge/>
            <w:vAlign w:val="center"/>
          </w:tcPr>
          <w:p w14:paraId="53C1404D" w14:textId="77777777" w:rsidR="00BE4138" w:rsidRPr="00FF69C5" w:rsidRDefault="00BE4138" w:rsidP="00877FA4">
            <w:pPr>
              <w:jc w:val="left"/>
              <w:rPr>
                <w:rFonts w:ascii="Arial Narrow" w:hAnsi="Arial Narrow"/>
                <w:color w:val="548DD4" w:themeColor="text2" w:themeTint="99"/>
              </w:rPr>
            </w:pPr>
          </w:p>
        </w:tc>
        <w:tc>
          <w:tcPr>
            <w:tcW w:w="567" w:type="dxa"/>
            <w:vAlign w:val="bottom"/>
          </w:tcPr>
          <w:p w14:paraId="53C1404E" w14:textId="77777777" w:rsidR="00BE4138" w:rsidRPr="00FF69C5" w:rsidRDefault="00BE4138" w:rsidP="00877FA4">
            <w:pPr>
              <w:jc w:val="center"/>
              <w:rPr>
                <w:rFonts w:ascii="Arial Narrow" w:hAnsi="Arial Narrow"/>
                <w:color w:val="548DD4" w:themeColor="text2" w:themeTint="99"/>
              </w:rPr>
            </w:pPr>
            <w:r w:rsidRPr="00FF69C5">
              <w:rPr>
                <w:rFonts w:ascii="Arial Narrow" w:hAnsi="Arial Narrow"/>
                <w:color w:val="000000"/>
              </w:rPr>
              <w:t>5</w:t>
            </w:r>
          </w:p>
        </w:tc>
        <w:tc>
          <w:tcPr>
            <w:tcW w:w="675" w:type="dxa"/>
            <w:shd w:val="clear" w:color="auto" w:fill="9BBB59" w:themeFill="accent3"/>
            <w:vAlign w:val="bottom"/>
          </w:tcPr>
          <w:p w14:paraId="53C1404F"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1.4</w:t>
            </w:r>
          </w:p>
        </w:tc>
        <w:tc>
          <w:tcPr>
            <w:tcW w:w="712" w:type="dxa"/>
            <w:shd w:val="clear" w:color="auto" w:fill="9BBB59" w:themeFill="accent3"/>
            <w:vAlign w:val="bottom"/>
          </w:tcPr>
          <w:p w14:paraId="53C14050" w14:textId="77777777" w:rsidR="00BE4138" w:rsidRPr="00DF57C6" w:rsidRDefault="00BE4138" w:rsidP="00877FA4">
            <w:pPr>
              <w:jc w:val="center"/>
              <w:rPr>
                <w:rFonts w:ascii="Arial Narrow" w:hAnsi="Arial Narrow"/>
                <w:color w:val="000000" w:themeColor="text1"/>
              </w:rPr>
            </w:pPr>
            <w:r>
              <w:rPr>
                <w:rFonts w:ascii="Arial Narrow" w:hAnsi="Arial Narrow"/>
                <w:color w:val="000000" w:themeColor="text1"/>
              </w:rPr>
              <w:t>5.7</w:t>
            </w:r>
          </w:p>
        </w:tc>
        <w:tc>
          <w:tcPr>
            <w:tcW w:w="712" w:type="dxa"/>
            <w:vAlign w:val="bottom"/>
          </w:tcPr>
          <w:p w14:paraId="53C14051"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-1.</w:t>
            </w:r>
            <w:r>
              <w:rPr>
                <w:rFonts w:ascii="Arial Narrow" w:hAnsi="Arial Narrow"/>
                <w:color w:val="000000" w:themeColor="text1"/>
              </w:rPr>
              <w:t>7</w:t>
            </w:r>
          </w:p>
        </w:tc>
        <w:tc>
          <w:tcPr>
            <w:tcW w:w="712" w:type="dxa"/>
            <w:vAlign w:val="bottom"/>
          </w:tcPr>
          <w:p w14:paraId="53C14052" w14:textId="77777777" w:rsidR="00BE4138" w:rsidRPr="00DF57C6" w:rsidRDefault="00BE4138" w:rsidP="00877FA4">
            <w:pPr>
              <w:jc w:val="center"/>
              <w:rPr>
                <w:rFonts w:ascii="Arial Narrow" w:hAnsi="Arial Narrow"/>
                <w:color w:val="000000" w:themeColor="text1"/>
              </w:rPr>
            </w:pPr>
            <w:r>
              <w:rPr>
                <w:rFonts w:ascii="Arial Narrow" w:hAnsi="Arial Narrow"/>
                <w:color w:val="000000" w:themeColor="text1"/>
              </w:rPr>
              <w:t>5.5</w:t>
            </w:r>
          </w:p>
        </w:tc>
        <w:tc>
          <w:tcPr>
            <w:tcW w:w="712" w:type="dxa"/>
            <w:vAlign w:val="bottom"/>
          </w:tcPr>
          <w:p w14:paraId="53C14053"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-0.</w:t>
            </w:r>
            <w:r>
              <w:rPr>
                <w:rFonts w:ascii="Arial Narrow" w:hAnsi="Arial Narrow"/>
                <w:color w:val="000000" w:themeColor="text1"/>
              </w:rPr>
              <w:t>1</w:t>
            </w:r>
          </w:p>
        </w:tc>
        <w:tc>
          <w:tcPr>
            <w:tcW w:w="711" w:type="dxa"/>
            <w:vAlign w:val="bottom"/>
          </w:tcPr>
          <w:p w14:paraId="53C14054" w14:textId="77777777" w:rsidR="00BE4138" w:rsidRPr="00DF57C6" w:rsidRDefault="00BE4138" w:rsidP="00877FA4">
            <w:pPr>
              <w:jc w:val="center"/>
              <w:rPr>
                <w:rFonts w:ascii="Arial Narrow" w:hAnsi="Arial Narrow"/>
                <w:color w:val="000000" w:themeColor="text1"/>
              </w:rPr>
            </w:pPr>
            <w:r>
              <w:rPr>
                <w:rFonts w:ascii="Arial Narrow" w:hAnsi="Arial Narrow"/>
                <w:color w:val="000000" w:themeColor="text1"/>
              </w:rPr>
              <w:t>8.1</w:t>
            </w:r>
          </w:p>
        </w:tc>
        <w:tc>
          <w:tcPr>
            <w:tcW w:w="712" w:type="dxa"/>
            <w:vAlign w:val="bottom"/>
          </w:tcPr>
          <w:p w14:paraId="53C14055"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-4.2</w:t>
            </w:r>
          </w:p>
        </w:tc>
        <w:tc>
          <w:tcPr>
            <w:tcW w:w="712" w:type="dxa"/>
            <w:vAlign w:val="bottom"/>
          </w:tcPr>
          <w:p w14:paraId="53C14056" w14:textId="77777777" w:rsidR="00BE4138" w:rsidRPr="00DF57C6" w:rsidRDefault="00BE4138" w:rsidP="00877FA4">
            <w:pPr>
              <w:jc w:val="center"/>
              <w:rPr>
                <w:rFonts w:ascii="Arial Narrow" w:hAnsi="Arial Narrow"/>
                <w:color w:val="000000" w:themeColor="text1"/>
              </w:rPr>
            </w:pPr>
            <w:r>
              <w:rPr>
                <w:rFonts w:ascii="Arial Narrow" w:hAnsi="Arial Narrow"/>
                <w:color w:val="000000" w:themeColor="text1"/>
              </w:rPr>
              <w:t>16.6</w:t>
            </w:r>
          </w:p>
        </w:tc>
        <w:tc>
          <w:tcPr>
            <w:tcW w:w="712" w:type="dxa"/>
            <w:vAlign w:val="bottom"/>
          </w:tcPr>
          <w:p w14:paraId="53C14057"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-0.</w:t>
            </w:r>
            <w:r>
              <w:rPr>
                <w:rFonts w:ascii="Arial Narrow" w:hAnsi="Arial Narrow"/>
                <w:color w:val="000000" w:themeColor="text1"/>
              </w:rPr>
              <w:t>9</w:t>
            </w:r>
          </w:p>
        </w:tc>
        <w:tc>
          <w:tcPr>
            <w:tcW w:w="712" w:type="dxa"/>
            <w:vAlign w:val="bottom"/>
          </w:tcPr>
          <w:p w14:paraId="53C14058" w14:textId="77777777" w:rsidR="00BE4138" w:rsidRPr="00DF57C6" w:rsidRDefault="00BE4138" w:rsidP="00877FA4">
            <w:pPr>
              <w:jc w:val="center"/>
              <w:rPr>
                <w:rFonts w:ascii="Arial Narrow" w:hAnsi="Arial Narrow"/>
                <w:color w:val="000000" w:themeColor="text1"/>
              </w:rPr>
            </w:pPr>
            <w:r>
              <w:rPr>
                <w:rFonts w:ascii="Arial Narrow" w:hAnsi="Arial Narrow"/>
                <w:color w:val="000000" w:themeColor="text1"/>
              </w:rPr>
              <w:t>7.3</w:t>
            </w:r>
          </w:p>
        </w:tc>
      </w:tr>
      <w:tr w:rsidR="00BE4138" w14:paraId="53C14066" w14:textId="77777777" w:rsidTr="00877FA4">
        <w:tc>
          <w:tcPr>
            <w:tcW w:w="1980" w:type="dxa"/>
            <w:vMerge w:val="restart"/>
            <w:vAlign w:val="center"/>
          </w:tcPr>
          <w:p w14:paraId="53C1405A" w14:textId="77777777" w:rsidR="00BE4138" w:rsidRPr="00FF69C5" w:rsidRDefault="00BE4138" w:rsidP="00877FA4">
            <w:pPr>
              <w:jc w:val="left"/>
              <w:rPr>
                <w:rFonts w:ascii="Arial Narrow" w:hAnsi="Arial Narrow"/>
                <w:color w:val="548DD4" w:themeColor="text2" w:themeTint="99"/>
              </w:rPr>
            </w:pPr>
            <w:r>
              <w:rPr>
                <w:rFonts w:ascii="Arial Narrow" w:hAnsi="Arial Narrow"/>
                <w:color w:val="000000"/>
              </w:rPr>
              <w:t xml:space="preserve">Genus </w:t>
            </w:r>
            <w:r w:rsidRPr="00FF69C5">
              <w:rPr>
                <w:rFonts w:ascii="Arial Narrow" w:hAnsi="Arial Narrow"/>
                <w:color w:val="000000"/>
              </w:rPr>
              <w:t>composition</w:t>
            </w:r>
          </w:p>
        </w:tc>
        <w:tc>
          <w:tcPr>
            <w:tcW w:w="567" w:type="dxa"/>
            <w:vAlign w:val="bottom"/>
          </w:tcPr>
          <w:p w14:paraId="53C1405B" w14:textId="77777777" w:rsidR="00BE4138" w:rsidRPr="00FF69C5" w:rsidRDefault="00BE4138" w:rsidP="00877FA4">
            <w:pPr>
              <w:jc w:val="center"/>
              <w:rPr>
                <w:rFonts w:ascii="Arial Narrow" w:hAnsi="Arial Narrow"/>
                <w:color w:val="548DD4" w:themeColor="text2" w:themeTint="99"/>
              </w:rPr>
            </w:pPr>
            <w:r w:rsidRPr="00FF69C5">
              <w:rPr>
                <w:rFonts w:ascii="Arial Narrow" w:hAnsi="Arial Narrow"/>
                <w:color w:val="000000"/>
              </w:rPr>
              <w:t>2</w:t>
            </w:r>
          </w:p>
        </w:tc>
        <w:tc>
          <w:tcPr>
            <w:tcW w:w="675" w:type="dxa"/>
            <w:shd w:val="clear" w:color="auto" w:fill="D99594" w:themeFill="accent2" w:themeFillTint="99"/>
            <w:vAlign w:val="bottom"/>
          </w:tcPr>
          <w:p w14:paraId="53C1405C"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-1.</w:t>
            </w:r>
            <w:r>
              <w:rPr>
                <w:rFonts w:ascii="Arial Narrow" w:hAnsi="Arial Narrow"/>
                <w:color w:val="000000" w:themeColor="text1"/>
              </w:rPr>
              <w:t>8</w:t>
            </w:r>
          </w:p>
        </w:tc>
        <w:tc>
          <w:tcPr>
            <w:tcW w:w="712" w:type="dxa"/>
            <w:shd w:val="clear" w:color="auto" w:fill="D99594" w:themeFill="accent2" w:themeFillTint="99"/>
            <w:vAlign w:val="bottom"/>
          </w:tcPr>
          <w:p w14:paraId="53C1405D"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-0.5</w:t>
            </w:r>
          </w:p>
        </w:tc>
        <w:tc>
          <w:tcPr>
            <w:tcW w:w="712" w:type="dxa"/>
            <w:shd w:val="clear" w:color="auto" w:fill="D99594" w:themeFill="accent2" w:themeFillTint="99"/>
            <w:vAlign w:val="bottom"/>
          </w:tcPr>
          <w:p w14:paraId="53C1405E"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w:t>
            </w:r>
            <w:r>
              <w:rPr>
                <w:rFonts w:ascii="Arial Narrow" w:hAnsi="Arial Narrow"/>
                <w:color w:val="000000" w:themeColor="text1"/>
              </w:rPr>
              <w:t>2.1</w:t>
            </w:r>
          </w:p>
        </w:tc>
        <w:tc>
          <w:tcPr>
            <w:tcW w:w="712" w:type="dxa"/>
            <w:shd w:val="clear" w:color="auto" w:fill="D99594" w:themeFill="accent2" w:themeFillTint="99"/>
            <w:vAlign w:val="bottom"/>
          </w:tcPr>
          <w:p w14:paraId="53C1405F"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w:t>
            </w:r>
            <w:r>
              <w:rPr>
                <w:rFonts w:ascii="Arial Narrow" w:hAnsi="Arial Narrow"/>
                <w:color w:val="000000" w:themeColor="text1"/>
              </w:rPr>
              <w:t>0.2</w:t>
            </w:r>
          </w:p>
        </w:tc>
        <w:tc>
          <w:tcPr>
            <w:tcW w:w="712" w:type="dxa"/>
            <w:vAlign w:val="bottom"/>
          </w:tcPr>
          <w:p w14:paraId="53C14060"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w:t>
            </w:r>
            <w:r>
              <w:rPr>
                <w:rFonts w:ascii="Arial Narrow" w:hAnsi="Arial Narrow"/>
                <w:color w:val="000000" w:themeColor="text1"/>
              </w:rPr>
              <w:t>2.0</w:t>
            </w:r>
          </w:p>
        </w:tc>
        <w:tc>
          <w:tcPr>
            <w:tcW w:w="711" w:type="dxa"/>
            <w:vAlign w:val="bottom"/>
          </w:tcPr>
          <w:p w14:paraId="53C14061"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0.</w:t>
            </w:r>
            <w:r>
              <w:rPr>
                <w:rFonts w:ascii="Arial Narrow" w:hAnsi="Arial Narrow"/>
                <w:color w:val="000000" w:themeColor="text1"/>
              </w:rPr>
              <w:t>2</w:t>
            </w:r>
          </w:p>
        </w:tc>
        <w:tc>
          <w:tcPr>
            <w:tcW w:w="712" w:type="dxa"/>
            <w:shd w:val="clear" w:color="auto" w:fill="9BBB59" w:themeFill="accent3"/>
            <w:vAlign w:val="bottom"/>
          </w:tcPr>
          <w:p w14:paraId="53C14062"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0.</w:t>
            </w:r>
            <w:r>
              <w:rPr>
                <w:rFonts w:ascii="Arial Narrow" w:hAnsi="Arial Narrow"/>
                <w:color w:val="000000" w:themeColor="text1"/>
              </w:rPr>
              <w:t>1</w:t>
            </w:r>
          </w:p>
        </w:tc>
        <w:tc>
          <w:tcPr>
            <w:tcW w:w="712" w:type="dxa"/>
            <w:shd w:val="clear" w:color="auto" w:fill="9BBB59" w:themeFill="accent3"/>
            <w:vAlign w:val="bottom"/>
          </w:tcPr>
          <w:p w14:paraId="53C14063" w14:textId="77777777" w:rsidR="00BE4138" w:rsidRPr="00DF57C6" w:rsidRDefault="00BE4138" w:rsidP="00877FA4">
            <w:pPr>
              <w:jc w:val="center"/>
              <w:rPr>
                <w:rFonts w:ascii="Arial Narrow" w:hAnsi="Arial Narrow"/>
                <w:color w:val="000000" w:themeColor="text1"/>
              </w:rPr>
            </w:pPr>
            <w:r>
              <w:rPr>
                <w:rFonts w:ascii="Arial Narrow" w:hAnsi="Arial Narrow"/>
                <w:color w:val="000000" w:themeColor="text1"/>
              </w:rPr>
              <w:t>7.4</w:t>
            </w:r>
          </w:p>
        </w:tc>
        <w:tc>
          <w:tcPr>
            <w:tcW w:w="712" w:type="dxa"/>
            <w:shd w:val="clear" w:color="auto" w:fill="D99594" w:themeFill="accent2" w:themeFillTint="99"/>
            <w:vAlign w:val="bottom"/>
          </w:tcPr>
          <w:p w14:paraId="53C14064"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w:t>
            </w:r>
            <w:r>
              <w:rPr>
                <w:rFonts w:ascii="Arial Narrow" w:hAnsi="Arial Narrow"/>
                <w:color w:val="000000" w:themeColor="text1"/>
              </w:rPr>
              <w:t>3</w:t>
            </w:r>
            <w:r w:rsidRPr="00DF57C6">
              <w:rPr>
                <w:rFonts w:ascii="Arial Narrow" w:hAnsi="Arial Narrow"/>
                <w:color w:val="000000" w:themeColor="text1"/>
              </w:rPr>
              <w:t>.5</w:t>
            </w:r>
          </w:p>
        </w:tc>
        <w:tc>
          <w:tcPr>
            <w:tcW w:w="712" w:type="dxa"/>
            <w:shd w:val="clear" w:color="auto" w:fill="D99594" w:themeFill="accent2" w:themeFillTint="99"/>
            <w:vAlign w:val="bottom"/>
          </w:tcPr>
          <w:p w14:paraId="53C14065"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w:t>
            </w:r>
            <w:r>
              <w:rPr>
                <w:rFonts w:ascii="Arial Narrow" w:hAnsi="Arial Narrow"/>
                <w:color w:val="000000" w:themeColor="text1"/>
              </w:rPr>
              <w:t>1.0</w:t>
            </w:r>
          </w:p>
        </w:tc>
      </w:tr>
      <w:tr w:rsidR="00BE4138" w14:paraId="53C14073" w14:textId="77777777" w:rsidTr="00877FA4">
        <w:tc>
          <w:tcPr>
            <w:tcW w:w="1980" w:type="dxa"/>
            <w:vMerge/>
            <w:vAlign w:val="center"/>
          </w:tcPr>
          <w:p w14:paraId="53C14067" w14:textId="77777777" w:rsidR="00BE4138" w:rsidRPr="00FF69C5" w:rsidRDefault="00BE4138" w:rsidP="00877FA4">
            <w:pPr>
              <w:jc w:val="left"/>
              <w:rPr>
                <w:rFonts w:ascii="Arial Narrow" w:hAnsi="Arial Narrow"/>
                <w:color w:val="548DD4" w:themeColor="text2" w:themeTint="99"/>
              </w:rPr>
            </w:pPr>
          </w:p>
        </w:tc>
        <w:tc>
          <w:tcPr>
            <w:tcW w:w="567" w:type="dxa"/>
            <w:vAlign w:val="bottom"/>
          </w:tcPr>
          <w:p w14:paraId="53C14068" w14:textId="77777777" w:rsidR="00BE4138" w:rsidRPr="00FF69C5" w:rsidRDefault="00BE4138" w:rsidP="00877FA4">
            <w:pPr>
              <w:jc w:val="center"/>
              <w:rPr>
                <w:rFonts w:ascii="Arial Narrow" w:hAnsi="Arial Narrow"/>
                <w:color w:val="548DD4" w:themeColor="text2" w:themeTint="99"/>
              </w:rPr>
            </w:pPr>
            <w:r w:rsidRPr="00FF69C5">
              <w:rPr>
                <w:rFonts w:ascii="Arial Narrow" w:hAnsi="Arial Narrow"/>
                <w:color w:val="000000"/>
              </w:rPr>
              <w:t>5</w:t>
            </w:r>
          </w:p>
        </w:tc>
        <w:tc>
          <w:tcPr>
            <w:tcW w:w="675" w:type="dxa"/>
            <w:shd w:val="clear" w:color="auto" w:fill="D99594" w:themeFill="accent2" w:themeFillTint="99"/>
            <w:vAlign w:val="bottom"/>
          </w:tcPr>
          <w:p w14:paraId="53C14069"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w:t>
            </w:r>
            <w:r>
              <w:rPr>
                <w:rFonts w:ascii="Arial Narrow" w:hAnsi="Arial Narrow"/>
                <w:color w:val="000000" w:themeColor="text1"/>
              </w:rPr>
              <w:t>3.2</w:t>
            </w:r>
          </w:p>
        </w:tc>
        <w:tc>
          <w:tcPr>
            <w:tcW w:w="712" w:type="dxa"/>
            <w:shd w:val="clear" w:color="auto" w:fill="D99594" w:themeFill="accent2" w:themeFillTint="99"/>
            <w:vAlign w:val="bottom"/>
          </w:tcPr>
          <w:p w14:paraId="53C1406A"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-1.</w:t>
            </w:r>
            <w:r>
              <w:rPr>
                <w:rFonts w:ascii="Arial Narrow" w:hAnsi="Arial Narrow"/>
                <w:color w:val="000000" w:themeColor="text1"/>
              </w:rPr>
              <w:t>6</w:t>
            </w:r>
          </w:p>
        </w:tc>
        <w:tc>
          <w:tcPr>
            <w:tcW w:w="712" w:type="dxa"/>
            <w:shd w:val="clear" w:color="auto" w:fill="D99594" w:themeFill="accent2" w:themeFillTint="99"/>
            <w:vAlign w:val="bottom"/>
          </w:tcPr>
          <w:p w14:paraId="53C1406B"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-2.</w:t>
            </w:r>
            <w:r>
              <w:rPr>
                <w:rFonts w:ascii="Arial Narrow" w:hAnsi="Arial Narrow"/>
                <w:color w:val="000000" w:themeColor="text1"/>
              </w:rPr>
              <w:t>9</w:t>
            </w:r>
          </w:p>
        </w:tc>
        <w:tc>
          <w:tcPr>
            <w:tcW w:w="712" w:type="dxa"/>
            <w:shd w:val="clear" w:color="auto" w:fill="D99594" w:themeFill="accent2" w:themeFillTint="99"/>
            <w:vAlign w:val="bottom"/>
          </w:tcPr>
          <w:p w14:paraId="53C1406C"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w:t>
            </w:r>
            <w:r>
              <w:rPr>
                <w:rFonts w:ascii="Arial Narrow" w:hAnsi="Arial Narrow"/>
                <w:color w:val="000000" w:themeColor="text1"/>
              </w:rPr>
              <w:t>1.0</w:t>
            </w:r>
          </w:p>
        </w:tc>
        <w:tc>
          <w:tcPr>
            <w:tcW w:w="712" w:type="dxa"/>
            <w:shd w:val="clear" w:color="auto" w:fill="D99594" w:themeFill="accent2" w:themeFillTint="99"/>
            <w:vAlign w:val="bottom"/>
          </w:tcPr>
          <w:p w14:paraId="53C1406D"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-3.</w:t>
            </w:r>
            <w:r>
              <w:rPr>
                <w:rFonts w:ascii="Arial Narrow" w:hAnsi="Arial Narrow"/>
                <w:color w:val="000000" w:themeColor="text1"/>
              </w:rPr>
              <w:t>6</w:t>
            </w:r>
          </w:p>
        </w:tc>
        <w:tc>
          <w:tcPr>
            <w:tcW w:w="711" w:type="dxa"/>
            <w:shd w:val="clear" w:color="auto" w:fill="D99594" w:themeFill="accent2" w:themeFillTint="99"/>
            <w:vAlign w:val="bottom"/>
          </w:tcPr>
          <w:p w14:paraId="53C1406E"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-1</w:t>
            </w:r>
            <w:r>
              <w:rPr>
                <w:rFonts w:ascii="Arial Narrow" w:hAnsi="Arial Narrow"/>
                <w:color w:val="000000" w:themeColor="text1"/>
              </w:rPr>
              <w:t>.1</w:t>
            </w:r>
          </w:p>
        </w:tc>
        <w:tc>
          <w:tcPr>
            <w:tcW w:w="712" w:type="dxa"/>
            <w:vAlign w:val="bottom"/>
          </w:tcPr>
          <w:p w14:paraId="53C1406F"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-1.</w:t>
            </w:r>
            <w:r>
              <w:rPr>
                <w:rFonts w:ascii="Arial Narrow" w:hAnsi="Arial Narrow"/>
                <w:color w:val="000000" w:themeColor="text1"/>
              </w:rPr>
              <w:t>6</w:t>
            </w:r>
          </w:p>
        </w:tc>
        <w:tc>
          <w:tcPr>
            <w:tcW w:w="712" w:type="dxa"/>
            <w:vAlign w:val="bottom"/>
          </w:tcPr>
          <w:p w14:paraId="53C14070"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3.</w:t>
            </w:r>
            <w:r>
              <w:rPr>
                <w:rFonts w:ascii="Arial Narrow" w:hAnsi="Arial Narrow"/>
                <w:color w:val="000000" w:themeColor="text1"/>
              </w:rPr>
              <w:t>8</w:t>
            </w:r>
          </w:p>
        </w:tc>
        <w:tc>
          <w:tcPr>
            <w:tcW w:w="712" w:type="dxa"/>
            <w:shd w:val="clear" w:color="auto" w:fill="D99594" w:themeFill="accent2" w:themeFillTint="99"/>
            <w:vAlign w:val="bottom"/>
          </w:tcPr>
          <w:p w14:paraId="53C14071"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w:t>
            </w:r>
            <w:r>
              <w:rPr>
                <w:rFonts w:ascii="Arial Narrow" w:hAnsi="Arial Narrow"/>
                <w:color w:val="000000" w:themeColor="text1"/>
              </w:rPr>
              <w:t>5.9</w:t>
            </w:r>
          </w:p>
        </w:tc>
        <w:tc>
          <w:tcPr>
            <w:tcW w:w="712" w:type="dxa"/>
            <w:shd w:val="clear" w:color="auto" w:fill="D99594" w:themeFill="accent2" w:themeFillTint="99"/>
            <w:vAlign w:val="bottom"/>
          </w:tcPr>
          <w:p w14:paraId="53C14072"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w:t>
            </w:r>
            <w:r>
              <w:rPr>
                <w:rFonts w:ascii="Arial Narrow" w:hAnsi="Arial Narrow"/>
                <w:color w:val="000000" w:themeColor="text1"/>
              </w:rPr>
              <w:t>3.2</w:t>
            </w:r>
          </w:p>
        </w:tc>
      </w:tr>
      <w:tr w:rsidR="00BE4138" w14:paraId="53C14075" w14:textId="77777777" w:rsidTr="00877FA4">
        <w:tc>
          <w:tcPr>
            <w:tcW w:w="9629" w:type="dxa"/>
            <w:gridSpan w:val="12"/>
            <w:vAlign w:val="center"/>
          </w:tcPr>
          <w:p w14:paraId="53C14074" w14:textId="77777777" w:rsidR="00BE4138" w:rsidRPr="00FF69C5" w:rsidRDefault="00BE4138" w:rsidP="00877FA4">
            <w:pPr>
              <w:jc w:val="center"/>
              <w:rPr>
                <w:rFonts w:ascii="Arial Narrow" w:hAnsi="Arial Narrow"/>
                <w:color w:val="548DD4" w:themeColor="text2" w:themeTint="99"/>
              </w:rPr>
            </w:pPr>
            <w:r>
              <w:rPr>
                <w:rFonts w:ascii="Arial Narrow" w:hAnsi="Arial Narrow"/>
                <w:color w:val="000000"/>
              </w:rPr>
              <w:t>Non-algal particulate concentration</w:t>
            </w:r>
          </w:p>
        </w:tc>
      </w:tr>
      <w:tr w:rsidR="00BE4138" w14:paraId="53C14082" w14:textId="77777777" w:rsidTr="00877FA4">
        <w:tc>
          <w:tcPr>
            <w:tcW w:w="1980" w:type="dxa"/>
            <w:vAlign w:val="center"/>
          </w:tcPr>
          <w:p w14:paraId="53C14076" w14:textId="77777777" w:rsidR="00BE4138" w:rsidRPr="00FF69C5" w:rsidRDefault="00BE4138" w:rsidP="00877FA4">
            <w:pPr>
              <w:jc w:val="left"/>
              <w:rPr>
                <w:rFonts w:ascii="Arial Narrow" w:hAnsi="Arial Narrow"/>
                <w:color w:val="548DD4" w:themeColor="text2" w:themeTint="99"/>
              </w:rPr>
            </w:pPr>
            <w:r>
              <w:rPr>
                <w:rFonts w:ascii="Arial Narrow" w:hAnsi="Arial Narrow"/>
                <w:color w:val="000000"/>
              </w:rPr>
              <w:t>Macroalgae proportion</w:t>
            </w:r>
          </w:p>
        </w:tc>
        <w:tc>
          <w:tcPr>
            <w:tcW w:w="567" w:type="dxa"/>
            <w:vAlign w:val="bottom"/>
          </w:tcPr>
          <w:p w14:paraId="53C14077" w14:textId="77777777" w:rsidR="00BE4138" w:rsidRPr="00FF69C5" w:rsidRDefault="00BE4138" w:rsidP="00877FA4">
            <w:pPr>
              <w:jc w:val="center"/>
              <w:rPr>
                <w:rFonts w:ascii="Arial Narrow" w:hAnsi="Arial Narrow"/>
                <w:color w:val="548DD4" w:themeColor="text2" w:themeTint="99"/>
              </w:rPr>
            </w:pPr>
            <w:r w:rsidRPr="00FF69C5">
              <w:rPr>
                <w:rFonts w:ascii="Arial Narrow" w:hAnsi="Arial Narrow"/>
                <w:color w:val="000000"/>
              </w:rPr>
              <w:t>5</w:t>
            </w:r>
          </w:p>
        </w:tc>
        <w:tc>
          <w:tcPr>
            <w:tcW w:w="675" w:type="dxa"/>
            <w:shd w:val="clear" w:color="auto" w:fill="9BBB59" w:themeFill="accent3"/>
            <w:vAlign w:val="bottom"/>
          </w:tcPr>
          <w:p w14:paraId="53C14078"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0.4</w:t>
            </w:r>
          </w:p>
        </w:tc>
        <w:tc>
          <w:tcPr>
            <w:tcW w:w="712" w:type="dxa"/>
            <w:shd w:val="clear" w:color="auto" w:fill="9BBB59" w:themeFill="accent3"/>
            <w:vAlign w:val="bottom"/>
          </w:tcPr>
          <w:p w14:paraId="53C14079"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1.7</w:t>
            </w:r>
          </w:p>
        </w:tc>
        <w:tc>
          <w:tcPr>
            <w:tcW w:w="712" w:type="dxa"/>
            <w:vAlign w:val="bottom"/>
          </w:tcPr>
          <w:p w14:paraId="53C1407A"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-1.</w:t>
            </w:r>
            <w:r>
              <w:rPr>
                <w:rFonts w:ascii="Arial Narrow" w:hAnsi="Arial Narrow"/>
                <w:color w:val="000000" w:themeColor="text1"/>
              </w:rPr>
              <w:t>5</w:t>
            </w:r>
          </w:p>
        </w:tc>
        <w:tc>
          <w:tcPr>
            <w:tcW w:w="712" w:type="dxa"/>
            <w:vAlign w:val="bottom"/>
          </w:tcPr>
          <w:p w14:paraId="53C1407B"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4.3</w:t>
            </w:r>
          </w:p>
        </w:tc>
        <w:tc>
          <w:tcPr>
            <w:tcW w:w="712" w:type="dxa"/>
            <w:vAlign w:val="bottom"/>
          </w:tcPr>
          <w:p w14:paraId="53C1407C"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-0.</w:t>
            </w:r>
            <w:r>
              <w:rPr>
                <w:rFonts w:ascii="Arial Narrow" w:hAnsi="Arial Narrow"/>
                <w:color w:val="000000" w:themeColor="text1"/>
              </w:rPr>
              <w:t>1</w:t>
            </w:r>
          </w:p>
        </w:tc>
        <w:tc>
          <w:tcPr>
            <w:tcW w:w="711" w:type="dxa"/>
            <w:vAlign w:val="bottom"/>
          </w:tcPr>
          <w:p w14:paraId="53C1407D"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2.</w:t>
            </w:r>
            <w:r>
              <w:rPr>
                <w:rFonts w:ascii="Arial Narrow" w:hAnsi="Arial Narrow"/>
                <w:color w:val="000000" w:themeColor="text1"/>
              </w:rPr>
              <w:t>6</w:t>
            </w:r>
          </w:p>
        </w:tc>
        <w:tc>
          <w:tcPr>
            <w:tcW w:w="712" w:type="dxa"/>
            <w:vAlign w:val="bottom"/>
          </w:tcPr>
          <w:p w14:paraId="53C1407E"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-0</w:t>
            </w:r>
            <w:r>
              <w:rPr>
                <w:rFonts w:ascii="Arial Narrow" w:hAnsi="Arial Narrow"/>
                <w:color w:val="000000" w:themeColor="text1"/>
              </w:rPr>
              <w:t>.7</w:t>
            </w:r>
          </w:p>
        </w:tc>
        <w:tc>
          <w:tcPr>
            <w:tcW w:w="712" w:type="dxa"/>
            <w:vAlign w:val="bottom"/>
          </w:tcPr>
          <w:p w14:paraId="53C1407F" w14:textId="77777777" w:rsidR="00BE4138" w:rsidRPr="00DF57C6" w:rsidRDefault="00BE4138" w:rsidP="00877FA4">
            <w:pPr>
              <w:jc w:val="center"/>
              <w:rPr>
                <w:rFonts w:ascii="Arial Narrow" w:hAnsi="Arial Narrow"/>
                <w:color w:val="000000" w:themeColor="text1"/>
              </w:rPr>
            </w:pPr>
            <w:r>
              <w:rPr>
                <w:rFonts w:ascii="Arial Narrow" w:hAnsi="Arial Narrow"/>
                <w:color w:val="000000" w:themeColor="text1"/>
              </w:rPr>
              <w:t>2</w:t>
            </w:r>
            <w:r w:rsidRPr="00DF57C6">
              <w:rPr>
                <w:rFonts w:ascii="Arial Narrow" w:hAnsi="Arial Narrow"/>
                <w:color w:val="000000" w:themeColor="text1"/>
              </w:rPr>
              <w:t>.8</w:t>
            </w:r>
          </w:p>
        </w:tc>
        <w:tc>
          <w:tcPr>
            <w:tcW w:w="712" w:type="dxa"/>
            <w:shd w:val="clear" w:color="auto" w:fill="9BBB59" w:themeFill="accent3"/>
            <w:vAlign w:val="bottom"/>
          </w:tcPr>
          <w:p w14:paraId="53C14080"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0.</w:t>
            </w:r>
            <w:r>
              <w:rPr>
                <w:rFonts w:ascii="Arial Narrow" w:hAnsi="Arial Narrow"/>
                <w:color w:val="000000" w:themeColor="text1"/>
              </w:rPr>
              <w:t>1</w:t>
            </w:r>
          </w:p>
        </w:tc>
        <w:tc>
          <w:tcPr>
            <w:tcW w:w="712" w:type="dxa"/>
            <w:shd w:val="clear" w:color="auto" w:fill="9BBB59" w:themeFill="accent3"/>
            <w:vAlign w:val="bottom"/>
          </w:tcPr>
          <w:p w14:paraId="53C14081"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1.8</w:t>
            </w:r>
          </w:p>
        </w:tc>
      </w:tr>
      <w:tr w:rsidR="00BE4138" w14:paraId="53C1408F" w14:textId="77777777" w:rsidTr="00877FA4">
        <w:tc>
          <w:tcPr>
            <w:tcW w:w="1980" w:type="dxa"/>
            <w:vMerge w:val="restart"/>
            <w:vAlign w:val="center"/>
          </w:tcPr>
          <w:p w14:paraId="53C14083" w14:textId="77777777" w:rsidR="00BE4138" w:rsidRPr="00FF69C5" w:rsidRDefault="00BE4138" w:rsidP="00877FA4">
            <w:pPr>
              <w:jc w:val="left"/>
              <w:rPr>
                <w:rFonts w:ascii="Arial Narrow" w:hAnsi="Arial Narrow"/>
                <w:color w:val="548DD4" w:themeColor="text2" w:themeTint="99"/>
              </w:rPr>
            </w:pPr>
            <w:r>
              <w:rPr>
                <w:rFonts w:ascii="Arial Narrow" w:hAnsi="Arial Narrow"/>
                <w:color w:val="000000"/>
              </w:rPr>
              <w:t xml:space="preserve">Genus </w:t>
            </w:r>
            <w:r w:rsidRPr="00FF69C5">
              <w:rPr>
                <w:rFonts w:ascii="Arial Narrow" w:hAnsi="Arial Narrow"/>
                <w:color w:val="000000"/>
              </w:rPr>
              <w:t>composition</w:t>
            </w:r>
          </w:p>
        </w:tc>
        <w:tc>
          <w:tcPr>
            <w:tcW w:w="567" w:type="dxa"/>
            <w:vAlign w:val="bottom"/>
          </w:tcPr>
          <w:p w14:paraId="53C14084" w14:textId="77777777" w:rsidR="00BE4138" w:rsidRPr="00FF69C5" w:rsidRDefault="00BE4138" w:rsidP="00877FA4">
            <w:pPr>
              <w:jc w:val="center"/>
              <w:rPr>
                <w:rFonts w:ascii="Arial Narrow" w:hAnsi="Arial Narrow"/>
                <w:color w:val="548DD4" w:themeColor="text2" w:themeTint="99"/>
              </w:rPr>
            </w:pPr>
            <w:r w:rsidRPr="00FF69C5">
              <w:rPr>
                <w:rFonts w:ascii="Arial Narrow" w:hAnsi="Arial Narrow"/>
                <w:color w:val="000000"/>
              </w:rPr>
              <w:t>2</w:t>
            </w:r>
          </w:p>
        </w:tc>
        <w:tc>
          <w:tcPr>
            <w:tcW w:w="675" w:type="dxa"/>
            <w:shd w:val="clear" w:color="auto" w:fill="D99594" w:themeFill="accent2" w:themeFillTint="99"/>
            <w:vAlign w:val="bottom"/>
          </w:tcPr>
          <w:p w14:paraId="53C14085"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-0.6</w:t>
            </w:r>
          </w:p>
        </w:tc>
        <w:tc>
          <w:tcPr>
            <w:tcW w:w="712" w:type="dxa"/>
            <w:shd w:val="clear" w:color="auto" w:fill="D99594" w:themeFill="accent2" w:themeFillTint="99"/>
            <w:vAlign w:val="bottom"/>
          </w:tcPr>
          <w:p w14:paraId="53C14086"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-0.2</w:t>
            </w:r>
          </w:p>
        </w:tc>
        <w:tc>
          <w:tcPr>
            <w:tcW w:w="712" w:type="dxa"/>
            <w:shd w:val="clear" w:color="auto" w:fill="D99594" w:themeFill="accent2" w:themeFillTint="99"/>
            <w:vAlign w:val="bottom"/>
          </w:tcPr>
          <w:p w14:paraId="53C14087"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-1.</w:t>
            </w:r>
            <w:r>
              <w:rPr>
                <w:rFonts w:ascii="Arial Narrow" w:hAnsi="Arial Narrow"/>
                <w:color w:val="000000" w:themeColor="text1"/>
              </w:rPr>
              <w:t>7</w:t>
            </w:r>
          </w:p>
        </w:tc>
        <w:tc>
          <w:tcPr>
            <w:tcW w:w="712" w:type="dxa"/>
            <w:shd w:val="clear" w:color="auto" w:fill="D99594" w:themeFill="accent2" w:themeFillTint="99"/>
            <w:vAlign w:val="bottom"/>
          </w:tcPr>
          <w:p w14:paraId="53C14088"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-0.</w:t>
            </w:r>
            <w:r>
              <w:rPr>
                <w:rFonts w:ascii="Arial Narrow" w:hAnsi="Arial Narrow"/>
                <w:color w:val="000000" w:themeColor="text1"/>
              </w:rPr>
              <w:t>1</w:t>
            </w:r>
          </w:p>
        </w:tc>
        <w:tc>
          <w:tcPr>
            <w:tcW w:w="712" w:type="dxa"/>
            <w:vAlign w:val="bottom"/>
          </w:tcPr>
          <w:p w14:paraId="53C14089"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-0.</w:t>
            </w:r>
            <w:r>
              <w:rPr>
                <w:rFonts w:ascii="Arial Narrow" w:hAnsi="Arial Narrow"/>
                <w:color w:val="000000" w:themeColor="text1"/>
              </w:rPr>
              <w:t>7</w:t>
            </w:r>
          </w:p>
        </w:tc>
        <w:tc>
          <w:tcPr>
            <w:tcW w:w="711" w:type="dxa"/>
            <w:vAlign w:val="bottom"/>
          </w:tcPr>
          <w:p w14:paraId="53C1408A" w14:textId="77777777" w:rsidR="00BE4138" w:rsidRPr="00DF57C6" w:rsidRDefault="00BE4138" w:rsidP="00877FA4">
            <w:pPr>
              <w:jc w:val="center"/>
              <w:rPr>
                <w:rFonts w:ascii="Arial Narrow" w:hAnsi="Arial Narrow"/>
                <w:color w:val="000000" w:themeColor="text1"/>
              </w:rPr>
            </w:pPr>
            <w:r>
              <w:rPr>
                <w:rFonts w:ascii="Arial Narrow" w:hAnsi="Arial Narrow"/>
                <w:color w:val="000000" w:themeColor="text1"/>
              </w:rPr>
              <w:t>0.1</w:t>
            </w:r>
          </w:p>
        </w:tc>
        <w:tc>
          <w:tcPr>
            <w:tcW w:w="712" w:type="dxa"/>
            <w:vAlign w:val="bottom"/>
          </w:tcPr>
          <w:p w14:paraId="53C1408B" w14:textId="77777777" w:rsidR="00BE4138" w:rsidRPr="00DF57C6" w:rsidRDefault="00BE4138" w:rsidP="00877FA4">
            <w:pPr>
              <w:jc w:val="center"/>
              <w:rPr>
                <w:rFonts w:ascii="Arial Narrow" w:hAnsi="Arial Narrow"/>
                <w:color w:val="000000" w:themeColor="text1"/>
              </w:rPr>
            </w:pPr>
            <w:r>
              <w:rPr>
                <w:rFonts w:ascii="Arial Narrow" w:hAnsi="Arial Narrow"/>
                <w:color w:val="000000" w:themeColor="text1"/>
              </w:rPr>
              <w:t>0</w:t>
            </w:r>
          </w:p>
        </w:tc>
        <w:tc>
          <w:tcPr>
            <w:tcW w:w="712" w:type="dxa"/>
            <w:vAlign w:val="bottom"/>
          </w:tcPr>
          <w:p w14:paraId="53C1408C"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1.</w:t>
            </w:r>
            <w:r>
              <w:rPr>
                <w:rFonts w:ascii="Arial Narrow" w:hAnsi="Arial Narrow"/>
                <w:color w:val="000000" w:themeColor="text1"/>
              </w:rPr>
              <w:t>3</w:t>
            </w:r>
          </w:p>
        </w:tc>
        <w:tc>
          <w:tcPr>
            <w:tcW w:w="712" w:type="dxa"/>
            <w:shd w:val="clear" w:color="auto" w:fill="D99594" w:themeFill="accent2" w:themeFillTint="99"/>
            <w:vAlign w:val="bottom"/>
          </w:tcPr>
          <w:p w14:paraId="53C1408D"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-0.8</w:t>
            </w:r>
          </w:p>
        </w:tc>
        <w:tc>
          <w:tcPr>
            <w:tcW w:w="712" w:type="dxa"/>
            <w:shd w:val="clear" w:color="auto" w:fill="D99594" w:themeFill="accent2" w:themeFillTint="99"/>
            <w:vAlign w:val="bottom"/>
          </w:tcPr>
          <w:p w14:paraId="53C1408E"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-0.3</w:t>
            </w:r>
          </w:p>
        </w:tc>
      </w:tr>
      <w:tr w:rsidR="00BE4138" w14:paraId="53C1409C" w14:textId="77777777" w:rsidTr="00877FA4">
        <w:tc>
          <w:tcPr>
            <w:tcW w:w="1980" w:type="dxa"/>
            <w:vMerge/>
            <w:vAlign w:val="bottom"/>
          </w:tcPr>
          <w:p w14:paraId="53C14090" w14:textId="77777777" w:rsidR="00BE4138" w:rsidRPr="00FF69C5" w:rsidRDefault="00BE4138" w:rsidP="00877FA4">
            <w:pPr>
              <w:rPr>
                <w:rFonts w:ascii="Arial Narrow" w:hAnsi="Arial Narrow"/>
                <w:color w:val="548DD4" w:themeColor="text2" w:themeTint="99"/>
              </w:rPr>
            </w:pPr>
          </w:p>
        </w:tc>
        <w:tc>
          <w:tcPr>
            <w:tcW w:w="567" w:type="dxa"/>
            <w:vAlign w:val="bottom"/>
          </w:tcPr>
          <w:p w14:paraId="53C14091" w14:textId="77777777" w:rsidR="00BE4138" w:rsidRPr="00FF69C5" w:rsidRDefault="00BE4138" w:rsidP="00877FA4">
            <w:pPr>
              <w:jc w:val="center"/>
              <w:rPr>
                <w:rFonts w:ascii="Arial Narrow" w:hAnsi="Arial Narrow"/>
                <w:color w:val="548DD4" w:themeColor="text2" w:themeTint="99"/>
              </w:rPr>
            </w:pPr>
            <w:r w:rsidRPr="00FF69C5">
              <w:rPr>
                <w:rFonts w:ascii="Arial Narrow" w:hAnsi="Arial Narrow"/>
                <w:color w:val="000000"/>
              </w:rPr>
              <w:t>5</w:t>
            </w:r>
          </w:p>
        </w:tc>
        <w:tc>
          <w:tcPr>
            <w:tcW w:w="675" w:type="dxa"/>
            <w:shd w:val="clear" w:color="auto" w:fill="D99594" w:themeFill="accent2" w:themeFillTint="99"/>
            <w:vAlign w:val="bottom"/>
          </w:tcPr>
          <w:p w14:paraId="53C14092"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w:t>
            </w:r>
            <w:r>
              <w:rPr>
                <w:rFonts w:ascii="Arial Narrow" w:hAnsi="Arial Narrow"/>
                <w:color w:val="000000" w:themeColor="text1"/>
              </w:rPr>
              <w:t>0.9</w:t>
            </w:r>
          </w:p>
        </w:tc>
        <w:tc>
          <w:tcPr>
            <w:tcW w:w="712" w:type="dxa"/>
            <w:shd w:val="clear" w:color="auto" w:fill="D99594" w:themeFill="accent2" w:themeFillTint="99"/>
            <w:vAlign w:val="bottom"/>
          </w:tcPr>
          <w:p w14:paraId="53C14093"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-0.</w:t>
            </w:r>
            <w:r>
              <w:rPr>
                <w:rFonts w:ascii="Arial Narrow" w:hAnsi="Arial Narrow"/>
                <w:color w:val="000000" w:themeColor="text1"/>
              </w:rPr>
              <w:t>4</w:t>
            </w:r>
          </w:p>
        </w:tc>
        <w:tc>
          <w:tcPr>
            <w:tcW w:w="712" w:type="dxa"/>
            <w:shd w:val="clear" w:color="auto" w:fill="D99594" w:themeFill="accent2" w:themeFillTint="99"/>
            <w:vAlign w:val="bottom"/>
          </w:tcPr>
          <w:p w14:paraId="53C14094"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-2.</w:t>
            </w:r>
            <w:r>
              <w:rPr>
                <w:rFonts w:ascii="Arial Narrow" w:hAnsi="Arial Narrow"/>
                <w:color w:val="000000" w:themeColor="text1"/>
              </w:rPr>
              <w:t>2</w:t>
            </w:r>
          </w:p>
        </w:tc>
        <w:tc>
          <w:tcPr>
            <w:tcW w:w="712" w:type="dxa"/>
            <w:shd w:val="clear" w:color="auto" w:fill="D99594" w:themeFill="accent2" w:themeFillTint="99"/>
            <w:vAlign w:val="bottom"/>
          </w:tcPr>
          <w:p w14:paraId="53C14095"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-0.</w:t>
            </w:r>
            <w:r>
              <w:rPr>
                <w:rFonts w:ascii="Arial Narrow" w:hAnsi="Arial Narrow"/>
                <w:color w:val="000000" w:themeColor="text1"/>
              </w:rPr>
              <w:t>3</w:t>
            </w:r>
          </w:p>
        </w:tc>
        <w:tc>
          <w:tcPr>
            <w:tcW w:w="712" w:type="dxa"/>
            <w:shd w:val="clear" w:color="auto" w:fill="D99594" w:themeFill="accent2" w:themeFillTint="99"/>
            <w:vAlign w:val="bottom"/>
          </w:tcPr>
          <w:p w14:paraId="53C14096"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-1.1</w:t>
            </w:r>
          </w:p>
        </w:tc>
        <w:tc>
          <w:tcPr>
            <w:tcW w:w="711" w:type="dxa"/>
            <w:shd w:val="clear" w:color="auto" w:fill="D99594" w:themeFill="accent2" w:themeFillTint="99"/>
            <w:vAlign w:val="bottom"/>
          </w:tcPr>
          <w:p w14:paraId="53C14097" w14:textId="77777777" w:rsidR="00BE4138" w:rsidRPr="00DF57C6" w:rsidRDefault="00BE4138" w:rsidP="00877FA4">
            <w:pPr>
              <w:jc w:val="center"/>
              <w:rPr>
                <w:rFonts w:ascii="Arial Narrow" w:hAnsi="Arial Narrow"/>
                <w:color w:val="000000" w:themeColor="text1"/>
              </w:rPr>
            </w:pPr>
            <w:r>
              <w:rPr>
                <w:rFonts w:ascii="Arial Narrow" w:hAnsi="Arial Narrow"/>
                <w:color w:val="000000" w:themeColor="text1"/>
              </w:rPr>
              <w:t>0</w:t>
            </w:r>
          </w:p>
        </w:tc>
        <w:tc>
          <w:tcPr>
            <w:tcW w:w="712" w:type="dxa"/>
            <w:shd w:val="clear" w:color="auto" w:fill="auto"/>
            <w:vAlign w:val="bottom"/>
          </w:tcPr>
          <w:p w14:paraId="53C14098"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-0.</w:t>
            </w:r>
            <w:r>
              <w:rPr>
                <w:rFonts w:ascii="Arial Narrow" w:hAnsi="Arial Narrow"/>
                <w:color w:val="000000" w:themeColor="text1"/>
              </w:rPr>
              <w:t>4</w:t>
            </w:r>
          </w:p>
        </w:tc>
        <w:tc>
          <w:tcPr>
            <w:tcW w:w="712" w:type="dxa"/>
            <w:shd w:val="clear" w:color="auto" w:fill="auto"/>
            <w:vAlign w:val="bottom"/>
          </w:tcPr>
          <w:p w14:paraId="53C14099"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0</w:t>
            </w:r>
            <w:r>
              <w:rPr>
                <w:rFonts w:ascii="Arial Narrow" w:hAnsi="Arial Narrow"/>
                <w:color w:val="000000" w:themeColor="text1"/>
              </w:rPr>
              <w:t>.6</w:t>
            </w:r>
          </w:p>
        </w:tc>
        <w:tc>
          <w:tcPr>
            <w:tcW w:w="712" w:type="dxa"/>
            <w:shd w:val="clear" w:color="auto" w:fill="D99594" w:themeFill="accent2" w:themeFillTint="99"/>
            <w:vAlign w:val="bottom"/>
          </w:tcPr>
          <w:p w14:paraId="53C1409A"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-1.4</w:t>
            </w:r>
          </w:p>
        </w:tc>
        <w:tc>
          <w:tcPr>
            <w:tcW w:w="712" w:type="dxa"/>
            <w:shd w:val="clear" w:color="auto" w:fill="D99594" w:themeFill="accent2" w:themeFillTint="99"/>
            <w:vAlign w:val="bottom"/>
          </w:tcPr>
          <w:p w14:paraId="53C1409B" w14:textId="77777777" w:rsidR="00BE4138" w:rsidRPr="00DF57C6" w:rsidRDefault="00BE4138" w:rsidP="00877FA4">
            <w:pPr>
              <w:jc w:val="center"/>
              <w:rPr>
                <w:rFonts w:ascii="Arial Narrow" w:hAnsi="Arial Narrow"/>
                <w:color w:val="000000" w:themeColor="text1"/>
              </w:rPr>
            </w:pPr>
            <w:r w:rsidRPr="00DF57C6">
              <w:rPr>
                <w:rFonts w:ascii="Arial Narrow" w:hAnsi="Arial Narrow"/>
                <w:color w:val="000000" w:themeColor="text1"/>
              </w:rPr>
              <w:t>-0.7</w:t>
            </w:r>
          </w:p>
        </w:tc>
      </w:tr>
    </w:tbl>
    <w:p w14:paraId="53C1409D" w14:textId="77777777" w:rsidR="00BE4138" w:rsidRPr="00441A23" w:rsidRDefault="00BE4138" w:rsidP="00BE4138">
      <w:pPr>
        <w:rPr>
          <w:lang w:val="en-GB"/>
        </w:rPr>
      </w:pPr>
    </w:p>
    <w:p w14:paraId="53C1409E" w14:textId="77777777" w:rsidR="00BE4138" w:rsidRPr="00254DB0" w:rsidRDefault="00BE4138" w:rsidP="00BE4138">
      <w:pPr>
        <w:rPr>
          <w:lang w:val="en-GB"/>
        </w:rPr>
      </w:pPr>
      <w:r>
        <w:rPr>
          <w:noProof/>
          <w:lang w:eastAsia="en-AU"/>
        </w:rPr>
        <w:drawing>
          <wp:inline distT="0" distB="0" distL="0" distR="0" wp14:anchorId="53C15F6E" wp14:editId="5CB72891">
            <wp:extent cx="4953000" cy="3855085"/>
            <wp:effectExtent l="0" t="0" r="0" b="0"/>
            <wp:docPr id="25" name="Picture 25" descr="Plots present predicted relationship within each region" title="Relationship between proportions of algae cover classified as macroalgae and water quality prox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7" name="scores.MAprop.spatial.5y.png"/>
                    <pic:cNvPicPr/>
                  </pic:nvPicPr>
                  <pic:blipFill>
                    <a:blip r:embed="rId67" cstate="print">
                      <a:extLst>
                        <a:ext uri="{28A0092B-C50C-407E-A947-70E740481C1C}">
                          <a14:useLocalDpi xmlns:a14="http://schemas.microsoft.com/office/drawing/2010/main" val="0"/>
                        </a:ext>
                      </a:extLst>
                    </a:blip>
                    <a:stretch>
                      <a:fillRect/>
                    </a:stretch>
                  </pic:blipFill>
                  <pic:spPr>
                    <a:xfrm>
                      <a:off x="0" y="0"/>
                      <a:ext cx="4959802" cy="3860379"/>
                    </a:xfrm>
                    <a:prstGeom prst="rect">
                      <a:avLst/>
                    </a:prstGeom>
                  </pic:spPr>
                </pic:pic>
              </a:graphicData>
            </a:graphic>
          </wp:inline>
        </w:drawing>
      </w:r>
    </w:p>
    <w:p w14:paraId="53C1409F" w14:textId="3C93B84E" w:rsidR="00BE4138" w:rsidRPr="0062064A" w:rsidRDefault="00BE4138" w:rsidP="002B5296">
      <w:pPr>
        <w:pStyle w:val="Caption"/>
        <w:rPr>
          <w:rStyle w:val="FigureChar"/>
          <w:rFonts w:eastAsia="SimSun"/>
          <w:vanish/>
          <w:specVanish/>
        </w:rPr>
      </w:pPr>
      <w:bookmarkStart w:id="482" w:name="_Ref35873988"/>
      <w:bookmarkStart w:id="483" w:name="_Toc35947184"/>
      <w:r>
        <w:t xml:space="preserve">Figure </w:t>
      </w:r>
      <w:r>
        <w:fldChar w:fldCharType="begin"/>
      </w:r>
      <w:r>
        <w:instrText xml:space="preserve"> SEQ Figure \* ARABIC </w:instrText>
      </w:r>
      <w:r>
        <w:fldChar w:fldCharType="separate"/>
      </w:r>
      <w:r w:rsidR="003053D1">
        <w:rPr>
          <w:noProof/>
        </w:rPr>
        <w:t>34</w:t>
      </w:r>
      <w:r>
        <w:fldChar w:fldCharType="end"/>
      </w:r>
      <w:bookmarkEnd w:id="482"/>
      <w:r>
        <w:t xml:space="preserve"> Relationship between </w:t>
      </w:r>
      <w:r w:rsidR="00B766D2">
        <w:t>proportions</w:t>
      </w:r>
      <w:r>
        <w:t xml:space="preserve"> of algae cover classified as macroalgae and water quality proxies</w:t>
      </w:r>
      <w:bookmarkEnd w:id="483"/>
    </w:p>
    <w:p w14:paraId="53C140A0" w14:textId="75AFDAAA" w:rsidR="00BE4138" w:rsidRDefault="00BE4138">
      <w:pPr>
        <w:pStyle w:val="Caption"/>
        <w:rPr>
          <w:rStyle w:val="IntenseReference"/>
        </w:rPr>
      </w:pPr>
      <w:r>
        <w:t xml:space="preserve">. </w:t>
      </w:r>
      <w:r w:rsidRPr="008B5D40">
        <w:rPr>
          <w:rStyle w:val="IntenseReference"/>
        </w:rPr>
        <w:t xml:space="preserve">Plots present predicted relationship within each region. </w:t>
      </w:r>
      <w:r w:rsidR="00F4688B" w:rsidRPr="008B5D40">
        <w:rPr>
          <w:rStyle w:val="IntenseReference"/>
        </w:rPr>
        <w:t>Confidence intervals in predicated slopes are provided in (</w:t>
      </w:r>
      <w:r w:rsidR="00427E3C">
        <w:rPr>
          <w:rStyle w:val="IntenseReference"/>
        </w:rPr>
        <w:fldChar w:fldCharType="begin"/>
      </w:r>
      <w:r w:rsidR="00427E3C">
        <w:rPr>
          <w:rStyle w:val="IntenseReference"/>
        </w:rPr>
        <w:instrText xml:space="preserve"> REF _Ref35872982 \h </w:instrText>
      </w:r>
      <w:r w:rsidR="00427E3C">
        <w:rPr>
          <w:rStyle w:val="IntenseReference"/>
        </w:rPr>
      </w:r>
      <w:r w:rsidR="00427E3C">
        <w:rPr>
          <w:rStyle w:val="IntenseReference"/>
        </w:rPr>
        <w:fldChar w:fldCharType="separate"/>
      </w:r>
      <w:r w:rsidR="003053D1">
        <w:t xml:space="preserve">Table </w:t>
      </w:r>
      <w:r w:rsidR="003053D1">
        <w:rPr>
          <w:noProof/>
        </w:rPr>
        <w:t>15</w:t>
      </w:r>
      <w:r w:rsidR="00427E3C">
        <w:rPr>
          <w:rStyle w:val="IntenseReference"/>
        </w:rPr>
        <w:fldChar w:fldCharType="end"/>
      </w:r>
      <w:r w:rsidR="00F4688B" w:rsidRPr="008B5D40">
        <w:rPr>
          <w:rStyle w:val="IntenseReference"/>
        </w:rPr>
        <w:t>).</w:t>
      </w:r>
    </w:p>
    <w:p w14:paraId="53C140A1" w14:textId="7CF54D8E" w:rsidR="00BE4138" w:rsidRDefault="00BE4138" w:rsidP="00BE4138">
      <w:pPr>
        <w:rPr>
          <w:color w:val="000000" w:themeColor="text1"/>
        </w:rPr>
      </w:pPr>
      <w:r>
        <w:rPr>
          <w:color w:val="000000" w:themeColor="text1"/>
        </w:rPr>
        <w:lastRenderedPageBreak/>
        <w:t>Reef-wide genus composition values derived from the product of genus level coral cover estimates and eigenvalues for the distribution of genera along WQ gradients (</w:t>
      </w:r>
      <w:r>
        <w:rPr>
          <w:color w:val="000000" w:themeColor="text1"/>
        </w:rPr>
        <w:fldChar w:fldCharType="begin"/>
      </w:r>
      <w:r>
        <w:rPr>
          <w:color w:val="000000" w:themeColor="text1"/>
        </w:rPr>
        <w:instrText xml:space="preserve"> REF _Ref30695777 \h </w:instrText>
      </w:r>
      <w:r>
        <w:rPr>
          <w:color w:val="000000" w:themeColor="text1"/>
        </w:rPr>
      </w:r>
      <w:r>
        <w:rPr>
          <w:color w:val="000000" w:themeColor="text1"/>
        </w:rPr>
        <w:fldChar w:fldCharType="separate"/>
      </w:r>
      <w:r w:rsidR="003053D1">
        <w:t xml:space="preserve">Table A </w:t>
      </w:r>
      <w:r w:rsidR="003053D1">
        <w:rPr>
          <w:noProof/>
        </w:rPr>
        <w:t>5</w:t>
      </w:r>
      <w:r>
        <w:rPr>
          <w:color w:val="000000" w:themeColor="text1"/>
        </w:rPr>
        <w:fldChar w:fldCharType="end"/>
      </w:r>
      <w:r>
        <w:rPr>
          <w:color w:val="000000" w:themeColor="text1"/>
        </w:rPr>
        <w:t xml:space="preserve">), are negatively related to the water quality proxies at both 2 m and 5 m depths </w:t>
      </w:r>
      <w:r w:rsidR="00F4688B">
        <w:rPr>
          <w:color w:val="000000" w:themeColor="text1"/>
        </w:rPr>
        <w:t>(</w:t>
      </w:r>
      <w:r w:rsidR="00427E3C">
        <w:rPr>
          <w:color w:val="000000" w:themeColor="text1"/>
        </w:rPr>
        <w:fldChar w:fldCharType="begin"/>
      </w:r>
      <w:r w:rsidR="00427E3C">
        <w:rPr>
          <w:color w:val="000000" w:themeColor="text1"/>
        </w:rPr>
        <w:instrText xml:space="preserve"> REF _Ref35872982 \h </w:instrText>
      </w:r>
      <w:r w:rsidR="00427E3C">
        <w:rPr>
          <w:color w:val="000000" w:themeColor="text1"/>
        </w:rPr>
      </w:r>
      <w:r w:rsidR="00427E3C">
        <w:rPr>
          <w:color w:val="000000" w:themeColor="text1"/>
        </w:rPr>
        <w:fldChar w:fldCharType="separate"/>
      </w:r>
      <w:r w:rsidR="003053D1">
        <w:t xml:space="preserve">Table </w:t>
      </w:r>
      <w:r w:rsidR="003053D1">
        <w:rPr>
          <w:noProof/>
        </w:rPr>
        <w:t>15</w:t>
      </w:r>
      <w:r w:rsidR="00427E3C">
        <w:rPr>
          <w:color w:val="000000" w:themeColor="text1"/>
        </w:rPr>
        <w:fldChar w:fldCharType="end"/>
      </w:r>
      <w:r w:rsidR="00F4688B">
        <w:rPr>
          <w:color w:val="000000" w:themeColor="text1"/>
        </w:rPr>
        <w:t xml:space="preserve">). </w:t>
      </w:r>
      <w:r>
        <w:rPr>
          <w:color w:val="000000" w:themeColor="text1"/>
        </w:rPr>
        <w:t xml:space="preserve">This estimation of community composition is based on a constrained ordination of the baseline condition of coral communities at the start of the MMP, positive eigenvalues are assigned to genera that occurred disproportionately at reefs with better water quality. </w:t>
      </w:r>
    </w:p>
    <w:p w14:paraId="08AF28EA" w14:textId="3CC3AA26" w:rsidR="00660A5E" w:rsidRPr="006E4762" w:rsidRDefault="00660A5E" w:rsidP="00660A5E">
      <w:pPr>
        <w:rPr>
          <w:rFonts w:eastAsia="SimSun"/>
          <w:color w:val="000000" w:themeColor="text1"/>
        </w:rPr>
      </w:pPr>
      <w:r>
        <w:rPr>
          <w:color w:val="000000" w:themeColor="text1"/>
        </w:rPr>
        <w:t xml:space="preserve">At 2 m depth community composition is negatively related to Chl </w:t>
      </w:r>
      <w:r w:rsidRPr="00CC5655">
        <w:rPr>
          <w:i/>
          <w:color w:val="000000" w:themeColor="text1"/>
        </w:rPr>
        <w:t>a</w:t>
      </w:r>
      <w:r>
        <w:rPr>
          <w:color w:val="000000" w:themeColor="text1"/>
        </w:rPr>
        <w:t xml:space="preserve"> and NAP in both the Wet Tropics and Fitzroy regions and positively related to Chl </w:t>
      </w:r>
      <w:r w:rsidRPr="00CC5655">
        <w:rPr>
          <w:i/>
          <w:color w:val="000000" w:themeColor="text1"/>
        </w:rPr>
        <w:t>a</w:t>
      </w:r>
      <w:r>
        <w:rPr>
          <w:color w:val="000000" w:themeColor="text1"/>
        </w:rPr>
        <w:t xml:space="preserve"> in the Mackay-Whitsunday region (</w:t>
      </w:r>
      <w:r w:rsidR="00427E3C">
        <w:rPr>
          <w:color w:val="000000" w:themeColor="text1"/>
        </w:rPr>
        <w:fldChar w:fldCharType="begin"/>
      </w:r>
      <w:r w:rsidR="00427E3C">
        <w:rPr>
          <w:color w:val="000000" w:themeColor="text1"/>
        </w:rPr>
        <w:instrText xml:space="preserve"> REF _Ref35874054 \h </w:instrText>
      </w:r>
      <w:r w:rsidR="00427E3C">
        <w:rPr>
          <w:color w:val="000000" w:themeColor="text1"/>
        </w:rPr>
      </w:r>
      <w:r w:rsidR="00427E3C">
        <w:rPr>
          <w:color w:val="000000" w:themeColor="text1"/>
        </w:rPr>
        <w:fldChar w:fldCharType="separate"/>
      </w:r>
      <w:r w:rsidR="003053D1">
        <w:t xml:space="preserve">Figure </w:t>
      </w:r>
      <w:r w:rsidR="003053D1">
        <w:rPr>
          <w:noProof/>
        </w:rPr>
        <w:t>35</w:t>
      </w:r>
      <w:r w:rsidR="00427E3C">
        <w:rPr>
          <w:color w:val="000000" w:themeColor="text1"/>
        </w:rPr>
        <w:fldChar w:fldCharType="end"/>
      </w:r>
      <w:r>
        <w:rPr>
          <w:color w:val="000000" w:themeColor="text1"/>
        </w:rPr>
        <w:t>,</w:t>
      </w:r>
      <w:r w:rsidR="00427E3C">
        <w:rPr>
          <w:color w:val="000000" w:themeColor="text1"/>
        </w:rPr>
        <w:t xml:space="preserve"> </w:t>
      </w:r>
      <w:r w:rsidR="00427E3C">
        <w:rPr>
          <w:color w:val="000000" w:themeColor="text1"/>
        </w:rPr>
        <w:fldChar w:fldCharType="begin"/>
      </w:r>
      <w:r w:rsidR="00427E3C">
        <w:rPr>
          <w:color w:val="000000" w:themeColor="text1"/>
        </w:rPr>
        <w:instrText xml:space="preserve"> REF _Ref35872982 \h </w:instrText>
      </w:r>
      <w:r w:rsidR="00427E3C">
        <w:rPr>
          <w:color w:val="000000" w:themeColor="text1"/>
        </w:rPr>
      </w:r>
      <w:r w:rsidR="00427E3C">
        <w:rPr>
          <w:color w:val="000000" w:themeColor="text1"/>
        </w:rPr>
        <w:fldChar w:fldCharType="separate"/>
      </w:r>
      <w:r w:rsidR="003053D1">
        <w:t xml:space="preserve">Table </w:t>
      </w:r>
      <w:r w:rsidR="003053D1">
        <w:rPr>
          <w:noProof/>
        </w:rPr>
        <w:t>15</w:t>
      </w:r>
      <w:r w:rsidR="00427E3C">
        <w:rPr>
          <w:color w:val="000000" w:themeColor="text1"/>
        </w:rPr>
        <w:fldChar w:fldCharType="end"/>
      </w:r>
      <w:r>
        <w:rPr>
          <w:color w:val="000000" w:themeColor="text1"/>
        </w:rPr>
        <w:t>). At 5 m depths these negative relationships are evident in all regions other than Mackay-Whitsunday (</w:t>
      </w:r>
      <w:r w:rsidR="00427E3C">
        <w:rPr>
          <w:color w:val="000000" w:themeColor="text1"/>
        </w:rPr>
        <w:fldChar w:fldCharType="begin"/>
      </w:r>
      <w:r w:rsidR="00427E3C">
        <w:rPr>
          <w:color w:val="000000" w:themeColor="text1"/>
        </w:rPr>
        <w:instrText xml:space="preserve"> REF _Ref35874054 \h </w:instrText>
      </w:r>
      <w:r w:rsidR="00427E3C">
        <w:rPr>
          <w:color w:val="000000" w:themeColor="text1"/>
        </w:rPr>
      </w:r>
      <w:r w:rsidR="00427E3C">
        <w:rPr>
          <w:color w:val="000000" w:themeColor="text1"/>
        </w:rPr>
        <w:fldChar w:fldCharType="separate"/>
      </w:r>
      <w:r w:rsidR="003053D1">
        <w:t xml:space="preserve">Figure </w:t>
      </w:r>
      <w:r w:rsidR="003053D1">
        <w:rPr>
          <w:noProof/>
        </w:rPr>
        <w:t>35</w:t>
      </w:r>
      <w:r w:rsidR="00427E3C">
        <w:rPr>
          <w:color w:val="000000" w:themeColor="text1"/>
        </w:rPr>
        <w:fldChar w:fldCharType="end"/>
      </w:r>
      <w:r>
        <w:rPr>
          <w:color w:val="000000" w:themeColor="text1"/>
        </w:rPr>
        <w:t>,</w:t>
      </w:r>
      <w:r w:rsidR="00427E3C">
        <w:rPr>
          <w:color w:val="000000" w:themeColor="text1"/>
        </w:rPr>
        <w:t xml:space="preserve"> </w:t>
      </w:r>
      <w:r w:rsidR="00427E3C">
        <w:rPr>
          <w:color w:val="000000" w:themeColor="text1"/>
        </w:rPr>
        <w:fldChar w:fldCharType="begin"/>
      </w:r>
      <w:r w:rsidR="00427E3C">
        <w:rPr>
          <w:color w:val="000000" w:themeColor="text1"/>
        </w:rPr>
        <w:instrText xml:space="preserve"> REF _Ref35872982 \h </w:instrText>
      </w:r>
      <w:r w:rsidR="00427E3C">
        <w:rPr>
          <w:color w:val="000000" w:themeColor="text1"/>
        </w:rPr>
      </w:r>
      <w:r w:rsidR="00427E3C">
        <w:rPr>
          <w:color w:val="000000" w:themeColor="text1"/>
        </w:rPr>
        <w:fldChar w:fldCharType="separate"/>
      </w:r>
      <w:r w:rsidR="003053D1">
        <w:t xml:space="preserve">Table </w:t>
      </w:r>
      <w:r w:rsidR="003053D1">
        <w:rPr>
          <w:noProof/>
        </w:rPr>
        <w:t>15</w:t>
      </w:r>
      <w:r w:rsidR="00427E3C">
        <w:rPr>
          <w:color w:val="000000" w:themeColor="text1"/>
        </w:rPr>
        <w:fldChar w:fldCharType="end"/>
      </w:r>
      <w:r>
        <w:rPr>
          <w:color w:val="000000" w:themeColor="text1"/>
        </w:rPr>
        <w:t>). Limiting the sensitivity of the analyses in the Mackay-Whitsunday region is the relatively short gradient in water quality compared to other regions.</w:t>
      </w:r>
    </w:p>
    <w:p w14:paraId="53C140A3" w14:textId="77777777" w:rsidR="00BE4138" w:rsidRPr="00CC5655" w:rsidRDefault="00BE4138" w:rsidP="00BE4138">
      <w:pPr>
        <w:rPr>
          <w:lang w:val="en-GB"/>
        </w:rPr>
      </w:pPr>
    </w:p>
    <w:p w14:paraId="53C140A4" w14:textId="77777777" w:rsidR="00BE4138" w:rsidRDefault="00BE4138" w:rsidP="00BE4138">
      <w:r>
        <w:rPr>
          <w:noProof/>
          <w:lang w:eastAsia="en-AU"/>
        </w:rPr>
        <w:drawing>
          <wp:inline distT="0" distB="0" distL="0" distR="0" wp14:anchorId="53C15F70" wp14:editId="5043543E">
            <wp:extent cx="5486411" cy="4270257"/>
            <wp:effectExtent l="0" t="0" r="0" b="0"/>
            <wp:docPr id="26" name="Picture 26" descr="Plots present predicted relationship within each region" title="Relationship between coral community composition and water quality prox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enusComposition.spatial.5.png"/>
                    <pic:cNvPicPr/>
                  </pic:nvPicPr>
                  <pic:blipFill>
                    <a:blip r:embed="rId68" cstate="print">
                      <a:extLst>
                        <a:ext uri="{28A0092B-C50C-407E-A947-70E740481C1C}">
                          <a14:useLocalDpi xmlns:a14="http://schemas.microsoft.com/office/drawing/2010/main" val="0"/>
                        </a:ext>
                      </a:extLst>
                    </a:blip>
                    <a:stretch>
                      <a:fillRect/>
                    </a:stretch>
                  </pic:blipFill>
                  <pic:spPr>
                    <a:xfrm>
                      <a:off x="0" y="0"/>
                      <a:ext cx="5486411" cy="4270257"/>
                    </a:xfrm>
                    <a:prstGeom prst="rect">
                      <a:avLst/>
                    </a:prstGeom>
                  </pic:spPr>
                </pic:pic>
              </a:graphicData>
            </a:graphic>
          </wp:inline>
        </w:drawing>
      </w:r>
    </w:p>
    <w:p w14:paraId="53C140A5" w14:textId="04A89605" w:rsidR="00BE4138" w:rsidRPr="0062064A" w:rsidRDefault="00BE4138" w:rsidP="002B5296">
      <w:pPr>
        <w:pStyle w:val="Caption"/>
        <w:rPr>
          <w:rStyle w:val="FigureChar"/>
          <w:rFonts w:eastAsia="SimSun"/>
          <w:vanish/>
          <w:specVanish/>
        </w:rPr>
      </w:pPr>
      <w:bookmarkStart w:id="484" w:name="_Ref35874054"/>
      <w:bookmarkStart w:id="485" w:name="_Toc35947185"/>
      <w:r>
        <w:lastRenderedPageBreak/>
        <w:t xml:space="preserve">Figure </w:t>
      </w:r>
      <w:r>
        <w:fldChar w:fldCharType="begin"/>
      </w:r>
      <w:r>
        <w:instrText xml:space="preserve"> SEQ Figure \* ARABIC </w:instrText>
      </w:r>
      <w:r>
        <w:fldChar w:fldCharType="separate"/>
      </w:r>
      <w:r w:rsidR="003053D1">
        <w:rPr>
          <w:noProof/>
        </w:rPr>
        <w:t>35</w:t>
      </w:r>
      <w:r>
        <w:fldChar w:fldCharType="end"/>
      </w:r>
      <w:bookmarkEnd w:id="484"/>
      <w:r>
        <w:t xml:space="preserve"> Relationship between coral community composition and water quality proxies</w:t>
      </w:r>
      <w:bookmarkEnd w:id="485"/>
    </w:p>
    <w:p w14:paraId="53C140A6" w14:textId="30331AC9" w:rsidR="00BE4138" w:rsidRPr="008B5D40" w:rsidRDefault="00BE4138">
      <w:pPr>
        <w:pStyle w:val="Caption"/>
        <w:rPr>
          <w:rStyle w:val="IntenseReference"/>
        </w:rPr>
      </w:pPr>
      <w:r w:rsidRPr="008B5D40">
        <w:rPr>
          <w:rStyle w:val="IntenseReference"/>
        </w:rPr>
        <w:t xml:space="preserve">. Plots present predicted relationship within each region. Confidence intervals in predicated slopes are provided in </w:t>
      </w:r>
      <w:r w:rsidR="00F4688B">
        <w:rPr>
          <w:color w:val="000000" w:themeColor="text1"/>
        </w:rPr>
        <w:t>(</w:t>
      </w:r>
      <w:r w:rsidR="0018215B">
        <w:rPr>
          <w:color w:val="000000" w:themeColor="text1"/>
        </w:rPr>
        <w:fldChar w:fldCharType="begin"/>
      </w:r>
      <w:r w:rsidR="0018215B">
        <w:rPr>
          <w:color w:val="000000" w:themeColor="text1"/>
        </w:rPr>
        <w:instrText xml:space="preserve"> REF _Ref35872982 \h </w:instrText>
      </w:r>
      <w:r w:rsidR="0018215B">
        <w:rPr>
          <w:color w:val="000000" w:themeColor="text1"/>
        </w:rPr>
      </w:r>
      <w:r w:rsidR="0018215B">
        <w:rPr>
          <w:color w:val="000000" w:themeColor="text1"/>
        </w:rPr>
        <w:fldChar w:fldCharType="separate"/>
      </w:r>
      <w:r w:rsidR="003053D1">
        <w:t xml:space="preserve">Table </w:t>
      </w:r>
      <w:r w:rsidR="003053D1">
        <w:rPr>
          <w:noProof/>
        </w:rPr>
        <w:t>15</w:t>
      </w:r>
      <w:r w:rsidR="0018215B">
        <w:rPr>
          <w:color w:val="000000" w:themeColor="text1"/>
        </w:rPr>
        <w:fldChar w:fldCharType="end"/>
      </w:r>
      <w:r w:rsidR="00F4688B">
        <w:rPr>
          <w:color w:val="000000" w:themeColor="text1"/>
        </w:rPr>
        <w:t xml:space="preserve">). </w:t>
      </w:r>
      <w:r w:rsidRPr="008B5D40">
        <w:rPr>
          <w:rStyle w:val="IntenseReference"/>
        </w:rPr>
        <w:t xml:space="preserve">Colour coding for regional trends are consistent with those in </w:t>
      </w:r>
      <w:r>
        <w:rPr>
          <w:rStyle w:val="IntenseReference"/>
        </w:rPr>
        <w:t>above figures.</w:t>
      </w:r>
    </w:p>
    <w:p w14:paraId="53C140A7" w14:textId="77777777" w:rsidR="00BE4138" w:rsidRPr="00CE4E0F" w:rsidRDefault="00BE4138" w:rsidP="00BE4138">
      <w:pPr>
        <w:pStyle w:val="Heading3"/>
      </w:pPr>
      <w:bookmarkStart w:id="486" w:name="_Ref35860957"/>
      <w:bookmarkStart w:id="487" w:name="_Ref35861783"/>
      <w:bookmarkStart w:id="488" w:name="_Toc35947129"/>
      <w:r w:rsidRPr="00CE4E0F">
        <w:t>Influence of discharge</w:t>
      </w:r>
      <w:r>
        <w:t xml:space="preserve">, </w:t>
      </w:r>
      <w:r w:rsidRPr="00CE4E0F">
        <w:t>catchment loads</w:t>
      </w:r>
      <w:r>
        <w:t xml:space="preserve"> and water quality on reef recovery</w:t>
      </w:r>
      <w:bookmarkEnd w:id="486"/>
      <w:bookmarkEnd w:id="487"/>
      <w:bookmarkEnd w:id="488"/>
    </w:p>
    <w:p w14:paraId="53C140A8" w14:textId="1396AAAB" w:rsidR="00BE4138" w:rsidRDefault="00BE4138" w:rsidP="00BE4138">
      <w:pPr>
        <w:rPr>
          <w:color w:val="000000" w:themeColor="text1"/>
        </w:rPr>
      </w:pPr>
      <w:r w:rsidRPr="00E02A25">
        <w:rPr>
          <w:color w:val="000000" w:themeColor="text1"/>
        </w:rPr>
        <w:t xml:space="preserve">During periods </w:t>
      </w:r>
      <w:r>
        <w:rPr>
          <w:color w:val="000000" w:themeColor="text1"/>
        </w:rPr>
        <w:t xml:space="preserve">free from </w:t>
      </w:r>
      <w:r w:rsidRPr="00E02A25">
        <w:rPr>
          <w:color w:val="000000" w:themeColor="text1"/>
        </w:rPr>
        <w:t>acute disturbances (cyclones,</w:t>
      </w:r>
      <w:r w:rsidR="0023671D">
        <w:rPr>
          <w:color w:val="000000" w:themeColor="text1"/>
        </w:rPr>
        <w:t xml:space="preserve"> thermal</w:t>
      </w:r>
      <w:r w:rsidRPr="00E02A25">
        <w:rPr>
          <w:color w:val="000000" w:themeColor="text1"/>
        </w:rPr>
        <w:t xml:space="preserve"> bleaching, crown-of-thorns starfish or direct exposure to low salinity floodwaters) </w:t>
      </w:r>
      <w:r>
        <w:rPr>
          <w:color w:val="000000" w:themeColor="text1"/>
        </w:rPr>
        <w:t xml:space="preserve">the recovery of reefs, as measured by </w:t>
      </w:r>
      <w:r w:rsidRPr="00E02A25">
        <w:rPr>
          <w:color w:val="000000" w:themeColor="text1"/>
        </w:rPr>
        <w:t>biennial change in index scores</w:t>
      </w:r>
      <w:r>
        <w:rPr>
          <w:color w:val="000000" w:themeColor="text1"/>
        </w:rPr>
        <w:t>,</w:t>
      </w:r>
      <w:r w:rsidRPr="00E02A25">
        <w:rPr>
          <w:color w:val="000000" w:themeColor="text1"/>
        </w:rPr>
        <w:t xml:space="preserve"> were negatively related to discharge from the local catchments </w:t>
      </w:r>
      <w:r>
        <w:rPr>
          <w:color w:val="000000" w:themeColor="text1"/>
        </w:rPr>
        <w:t xml:space="preserve">in three of the four regions monitored (Mackay-Whitsunday Region showed no relationship </w:t>
      </w:r>
      <w:r w:rsidR="00660A5E" w:rsidRPr="00E02A25">
        <w:rPr>
          <w:color w:val="000000" w:themeColor="text1"/>
        </w:rPr>
        <w:t>(</w:t>
      </w:r>
      <w:r w:rsidR="00427E3C">
        <w:rPr>
          <w:color w:val="000000" w:themeColor="text1"/>
        </w:rPr>
        <w:fldChar w:fldCharType="begin"/>
      </w:r>
      <w:r w:rsidR="00427E3C">
        <w:rPr>
          <w:color w:val="000000" w:themeColor="text1"/>
        </w:rPr>
        <w:instrText xml:space="preserve"> REF _Ref35874152 \h </w:instrText>
      </w:r>
      <w:r w:rsidR="00427E3C">
        <w:rPr>
          <w:color w:val="000000" w:themeColor="text1"/>
        </w:rPr>
      </w:r>
      <w:r w:rsidR="00427E3C">
        <w:rPr>
          <w:color w:val="000000" w:themeColor="text1"/>
        </w:rPr>
        <w:fldChar w:fldCharType="separate"/>
      </w:r>
      <w:r w:rsidR="003053D1" w:rsidRPr="00CE4E0F">
        <w:t xml:space="preserve">Table </w:t>
      </w:r>
      <w:r w:rsidR="003053D1">
        <w:rPr>
          <w:noProof/>
        </w:rPr>
        <w:t>17</w:t>
      </w:r>
      <w:r w:rsidR="00427E3C">
        <w:rPr>
          <w:color w:val="000000" w:themeColor="text1"/>
        </w:rPr>
        <w:fldChar w:fldCharType="end"/>
      </w:r>
      <w:r w:rsidR="00660A5E" w:rsidRPr="00E02A25">
        <w:rPr>
          <w:color w:val="000000" w:themeColor="text1"/>
        </w:rPr>
        <w:t>,</w:t>
      </w:r>
      <w:r w:rsidR="00427E3C">
        <w:rPr>
          <w:color w:val="000000" w:themeColor="text1"/>
        </w:rPr>
        <w:t xml:space="preserve"> </w:t>
      </w:r>
      <w:r w:rsidR="00427E3C">
        <w:rPr>
          <w:color w:val="000000" w:themeColor="text1"/>
        </w:rPr>
        <w:fldChar w:fldCharType="begin"/>
      </w:r>
      <w:r w:rsidR="00427E3C">
        <w:rPr>
          <w:color w:val="000000" w:themeColor="text1"/>
        </w:rPr>
        <w:instrText xml:space="preserve"> REF _Ref35874318 \h </w:instrText>
      </w:r>
      <w:r w:rsidR="00427E3C">
        <w:rPr>
          <w:color w:val="000000" w:themeColor="text1"/>
        </w:rPr>
      </w:r>
      <w:r w:rsidR="00427E3C">
        <w:rPr>
          <w:color w:val="000000" w:themeColor="text1"/>
        </w:rPr>
        <w:fldChar w:fldCharType="separate"/>
      </w:r>
      <w:r w:rsidR="003053D1">
        <w:t xml:space="preserve">Figure </w:t>
      </w:r>
      <w:r w:rsidR="003053D1">
        <w:rPr>
          <w:noProof/>
        </w:rPr>
        <w:t>36</w:t>
      </w:r>
      <w:r w:rsidR="00427E3C">
        <w:rPr>
          <w:color w:val="000000" w:themeColor="text1"/>
        </w:rPr>
        <w:fldChar w:fldCharType="end"/>
      </w:r>
      <w:r w:rsidR="00660A5E" w:rsidRPr="00E02A25">
        <w:rPr>
          <w:color w:val="000000" w:themeColor="text1"/>
        </w:rPr>
        <w:t xml:space="preserve">). </w:t>
      </w:r>
      <w:r>
        <w:rPr>
          <w:color w:val="000000" w:themeColor="text1"/>
        </w:rPr>
        <w:t xml:space="preserve">Importantly, these relationships consider only the contemporary influence of environmental conditions on the indicators during recovery periods. Any influence of water quality on the severity of response to disturbance events, or lagged responses of indicators will not be included. In the case of lagged influences, such as the initial decrease then post disturbance increase in macroalgae cover described above, this will result in the underestimation of the response. </w:t>
      </w:r>
    </w:p>
    <w:p w14:paraId="53C140A9" w14:textId="33553888" w:rsidR="00BE4138" w:rsidRDefault="00BE4138" w:rsidP="00BE4138">
      <w:pPr>
        <w:rPr>
          <w:color w:val="000000" w:themeColor="text1"/>
        </w:rPr>
      </w:pPr>
      <w:r w:rsidRPr="006B0264">
        <w:rPr>
          <w:color w:val="000000" w:themeColor="text1"/>
        </w:rPr>
        <w:t xml:space="preserve">For </w:t>
      </w:r>
      <w:r>
        <w:rPr>
          <w:color w:val="000000" w:themeColor="text1"/>
        </w:rPr>
        <w:t xml:space="preserve">both </w:t>
      </w:r>
      <w:r w:rsidRPr="006B0264">
        <w:rPr>
          <w:color w:val="000000" w:themeColor="text1"/>
        </w:rPr>
        <w:t xml:space="preserve">the </w:t>
      </w:r>
      <w:r>
        <w:rPr>
          <w:color w:val="000000" w:themeColor="text1"/>
        </w:rPr>
        <w:t xml:space="preserve">Wet Tropics and </w:t>
      </w:r>
      <w:r w:rsidRPr="006B0264">
        <w:rPr>
          <w:color w:val="000000" w:themeColor="text1"/>
        </w:rPr>
        <w:t>Fitzroy region</w:t>
      </w:r>
      <w:r>
        <w:rPr>
          <w:color w:val="000000" w:themeColor="text1"/>
        </w:rPr>
        <w:t>s</w:t>
      </w:r>
      <w:r w:rsidRPr="006B0264">
        <w:rPr>
          <w:color w:val="000000" w:themeColor="text1"/>
        </w:rPr>
        <w:t xml:space="preserve"> the trend was not</w:t>
      </w:r>
      <w:r>
        <w:rPr>
          <w:color w:val="000000" w:themeColor="text1"/>
        </w:rPr>
        <w:t xml:space="preserve"> completely monotonic</w:t>
      </w:r>
      <w:r w:rsidRPr="006B0264">
        <w:rPr>
          <w:color w:val="000000" w:themeColor="text1"/>
        </w:rPr>
        <w:t xml:space="preserve">, </w:t>
      </w:r>
      <w:r>
        <w:rPr>
          <w:color w:val="000000" w:themeColor="text1"/>
        </w:rPr>
        <w:t xml:space="preserve">however changes where mostly positive at low discharge and negative at higher discharge </w:t>
      </w:r>
      <w:r w:rsidR="00660A5E" w:rsidRPr="006B0264">
        <w:rPr>
          <w:color w:val="000000" w:themeColor="text1"/>
        </w:rPr>
        <w:t>(</w:t>
      </w:r>
      <w:r w:rsidR="00427E3C">
        <w:rPr>
          <w:color w:val="000000" w:themeColor="text1"/>
        </w:rPr>
        <w:fldChar w:fldCharType="begin"/>
      </w:r>
      <w:r w:rsidR="00427E3C">
        <w:rPr>
          <w:color w:val="000000" w:themeColor="text1"/>
        </w:rPr>
        <w:instrText xml:space="preserve"> REF _Ref35874318 \h </w:instrText>
      </w:r>
      <w:r w:rsidR="00427E3C">
        <w:rPr>
          <w:color w:val="000000" w:themeColor="text1"/>
        </w:rPr>
      </w:r>
      <w:r w:rsidR="00427E3C">
        <w:rPr>
          <w:color w:val="000000" w:themeColor="text1"/>
        </w:rPr>
        <w:fldChar w:fldCharType="separate"/>
      </w:r>
      <w:r w:rsidR="003053D1">
        <w:t xml:space="preserve">Figure </w:t>
      </w:r>
      <w:r w:rsidR="003053D1">
        <w:rPr>
          <w:noProof/>
        </w:rPr>
        <w:t>36</w:t>
      </w:r>
      <w:r w:rsidR="00427E3C">
        <w:rPr>
          <w:color w:val="000000" w:themeColor="text1"/>
        </w:rPr>
        <w:fldChar w:fldCharType="end"/>
      </w:r>
      <w:r w:rsidR="00660A5E" w:rsidRPr="006B0264">
        <w:rPr>
          <w:color w:val="000000" w:themeColor="text1"/>
        </w:rPr>
        <w:t>).</w:t>
      </w:r>
      <w:r w:rsidR="00660A5E">
        <w:rPr>
          <w:color w:val="000000" w:themeColor="text1"/>
        </w:rPr>
        <w:t xml:space="preserve"> </w:t>
      </w:r>
      <w:r>
        <w:rPr>
          <w:color w:val="000000" w:themeColor="text1"/>
        </w:rPr>
        <w:t>It is not surprising that relationships between Total P and Total N and coral index change were generally like those described for discharge as nutrient loads in rivers are correlated with river discharge.</w:t>
      </w:r>
    </w:p>
    <w:p w14:paraId="53C140AA" w14:textId="12A95E9F" w:rsidR="00BE4138" w:rsidRDefault="00BE4138" w:rsidP="00BE4138">
      <w:pPr>
        <w:rPr>
          <w:color w:val="000000" w:themeColor="text1"/>
        </w:rPr>
      </w:pPr>
      <w:r>
        <w:rPr>
          <w:color w:val="000000" w:themeColor="text1"/>
        </w:rPr>
        <w:t>R</w:t>
      </w:r>
      <w:r w:rsidRPr="00E02A25">
        <w:rPr>
          <w:color w:val="000000" w:themeColor="text1"/>
        </w:rPr>
        <w:t xml:space="preserve">elationships between </w:t>
      </w:r>
      <w:r>
        <w:rPr>
          <w:color w:val="000000" w:themeColor="text1"/>
        </w:rPr>
        <w:t xml:space="preserve">satellite derived water quality variables estimated from the waters adjacent to the coral monitoring sites; NAP, Chl </w:t>
      </w:r>
      <w:r w:rsidRPr="008D3C5B">
        <w:rPr>
          <w:i/>
          <w:color w:val="000000" w:themeColor="text1"/>
        </w:rPr>
        <w:t>a</w:t>
      </w:r>
      <w:r>
        <w:rPr>
          <w:color w:val="000000" w:themeColor="text1"/>
        </w:rPr>
        <w:t xml:space="preserve"> and PAR </w:t>
      </w:r>
      <w:r w:rsidRPr="00E02A25">
        <w:rPr>
          <w:color w:val="000000" w:themeColor="text1"/>
        </w:rPr>
        <w:t xml:space="preserve">and changes in coral index scores </w:t>
      </w:r>
      <w:r>
        <w:rPr>
          <w:color w:val="000000" w:themeColor="text1"/>
        </w:rPr>
        <w:t xml:space="preserve">were most evident in the Fitzroy Region and </w:t>
      </w:r>
      <w:r w:rsidRPr="00E02A25">
        <w:rPr>
          <w:color w:val="000000" w:themeColor="text1"/>
        </w:rPr>
        <w:t xml:space="preserve">were consistently negative </w:t>
      </w:r>
      <w:r w:rsidR="00660A5E" w:rsidRPr="00E02A25">
        <w:rPr>
          <w:color w:val="000000" w:themeColor="text1"/>
        </w:rPr>
        <w:t>(</w:t>
      </w:r>
      <w:r w:rsidR="00427E3C">
        <w:rPr>
          <w:color w:val="000000" w:themeColor="text1"/>
        </w:rPr>
        <w:fldChar w:fldCharType="begin"/>
      </w:r>
      <w:r w:rsidR="00427E3C">
        <w:rPr>
          <w:color w:val="000000" w:themeColor="text1"/>
        </w:rPr>
        <w:instrText xml:space="preserve"> REF _Ref35874152 \h </w:instrText>
      </w:r>
      <w:r w:rsidR="00427E3C">
        <w:rPr>
          <w:color w:val="000000" w:themeColor="text1"/>
        </w:rPr>
      </w:r>
      <w:r w:rsidR="00427E3C">
        <w:rPr>
          <w:color w:val="000000" w:themeColor="text1"/>
        </w:rPr>
        <w:fldChar w:fldCharType="separate"/>
      </w:r>
      <w:r w:rsidR="003053D1" w:rsidRPr="00CE4E0F">
        <w:t xml:space="preserve">Table </w:t>
      </w:r>
      <w:r w:rsidR="003053D1">
        <w:rPr>
          <w:noProof/>
        </w:rPr>
        <w:t>17</w:t>
      </w:r>
      <w:r w:rsidR="00427E3C">
        <w:rPr>
          <w:color w:val="000000" w:themeColor="text1"/>
        </w:rPr>
        <w:fldChar w:fldCharType="end"/>
      </w:r>
      <w:r w:rsidR="00660A5E" w:rsidRPr="00E02A25">
        <w:rPr>
          <w:color w:val="000000" w:themeColor="text1"/>
        </w:rPr>
        <w:t>).</w:t>
      </w:r>
      <w:r w:rsidR="00660A5E">
        <w:rPr>
          <w:color w:val="000000" w:themeColor="text1"/>
        </w:rPr>
        <w:t xml:space="preserve"> </w:t>
      </w:r>
      <w:r>
        <w:rPr>
          <w:color w:val="000000" w:themeColor="text1"/>
        </w:rPr>
        <w:t xml:space="preserve">The strongest relationship between water quality on reef recovery in the Whitsunday Region was for river loads of </w:t>
      </w:r>
      <w:r w:rsidR="005A1B97">
        <w:rPr>
          <w:color w:val="000000" w:themeColor="text1"/>
        </w:rPr>
        <w:t>dissolved inorganic nitrogen (</w:t>
      </w:r>
      <w:r>
        <w:rPr>
          <w:color w:val="000000" w:themeColor="text1"/>
        </w:rPr>
        <w:t>DIN</w:t>
      </w:r>
      <w:r w:rsidR="005A1B97">
        <w:rPr>
          <w:color w:val="000000" w:themeColor="text1"/>
        </w:rPr>
        <w:t>)</w:t>
      </w:r>
      <w:r>
        <w:rPr>
          <w:color w:val="000000" w:themeColor="text1"/>
        </w:rPr>
        <w:t xml:space="preserve"> that were not monotonic although the lowest recovery did correspond to high DIN load </w:t>
      </w:r>
      <w:r w:rsidR="00660A5E">
        <w:rPr>
          <w:color w:val="000000" w:themeColor="text1"/>
        </w:rPr>
        <w:t>(</w:t>
      </w:r>
      <w:r w:rsidR="00427E3C">
        <w:rPr>
          <w:color w:val="000000" w:themeColor="text1"/>
        </w:rPr>
        <w:fldChar w:fldCharType="begin"/>
      </w:r>
      <w:r w:rsidR="00427E3C">
        <w:rPr>
          <w:color w:val="000000" w:themeColor="text1"/>
        </w:rPr>
        <w:instrText xml:space="preserve"> REF _Ref35874152 \h </w:instrText>
      </w:r>
      <w:r w:rsidR="00427E3C">
        <w:rPr>
          <w:color w:val="000000" w:themeColor="text1"/>
        </w:rPr>
      </w:r>
      <w:r w:rsidR="00427E3C">
        <w:rPr>
          <w:color w:val="000000" w:themeColor="text1"/>
        </w:rPr>
        <w:fldChar w:fldCharType="separate"/>
      </w:r>
      <w:r w:rsidR="003053D1" w:rsidRPr="00CE4E0F">
        <w:t xml:space="preserve">Table </w:t>
      </w:r>
      <w:r w:rsidR="003053D1">
        <w:rPr>
          <w:noProof/>
        </w:rPr>
        <w:t>17</w:t>
      </w:r>
      <w:r w:rsidR="00427E3C">
        <w:rPr>
          <w:color w:val="000000" w:themeColor="text1"/>
        </w:rPr>
        <w:fldChar w:fldCharType="end"/>
      </w:r>
      <w:r w:rsidR="00660A5E">
        <w:rPr>
          <w:color w:val="000000" w:themeColor="text1"/>
        </w:rPr>
        <w:t>,</w:t>
      </w:r>
      <w:r w:rsidR="00427E3C">
        <w:rPr>
          <w:color w:val="000000" w:themeColor="text1"/>
        </w:rPr>
        <w:t xml:space="preserve"> </w:t>
      </w:r>
      <w:r w:rsidR="00427E3C">
        <w:rPr>
          <w:color w:val="000000" w:themeColor="text1"/>
        </w:rPr>
        <w:fldChar w:fldCharType="begin"/>
      </w:r>
      <w:r w:rsidR="00427E3C">
        <w:rPr>
          <w:color w:val="000000" w:themeColor="text1"/>
        </w:rPr>
        <w:instrText xml:space="preserve"> REF _Ref35874318 \h </w:instrText>
      </w:r>
      <w:r w:rsidR="00427E3C">
        <w:rPr>
          <w:color w:val="000000" w:themeColor="text1"/>
        </w:rPr>
      </w:r>
      <w:r w:rsidR="00427E3C">
        <w:rPr>
          <w:color w:val="000000" w:themeColor="text1"/>
        </w:rPr>
        <w:fldChar w:fldCharType="separate"/>
      </w:r>
      <w:r w:rsidR="003053D1">
        <w:t xml:space="preserve">Figure </w:t>
      </w:r>
      <w:r w:rsidR="003053D1">
        <w:rPr>
          <w:noProof/>
        </w:rPr>
        <w:t>36</w:t>
      </w:r>
      <w:r w:rsidR="00427E3C">
        <w:rPr>
          <w:color w:val="000000" w:themeColor="text1"/>
        </w:rPr>
        <w:fldChar w:fldCharType="end"/>
      </w:r>
      <w:r w:rsidR="00427E3C">
        <w:rPr>
          <w:color w:val="000000" w:themeColor="text1"/>
        </w:rPr>
        <w:t>)</w:t>
      </w:r>
      <w:r w:rsidR="00660A5E">
        <w:rPr>
          <w:color w:val="000000" w:themeColor="text1"/>
        </w:rPr>
        <w:t xml:space="preserve">. </w:t>
      </w:r>
      <w:r>
        <w:rPr>
          <w:color w:val="000000" w:themeColor="text1"/>
        </w:rPr>
        <w:t xml:space="preserve">Similarly, the relationship between NAP and changes in coral index scores in the Mackay-Whitsunday Region was again not monotonic </w:t>
      </w:r>
      <w:r w:rsidR="00660A5E">
        <w:rPr>
          <w:color w:val="000000" w:themeColor="text1"/>
        </w:rPr>
        <w:t>(</w:t>
      </w:r>
      <w:r w:rsidR="00427E3C">
        <w:rPr>
          <w:color w:val="000000" w:themeColor="text1"/>
        </w:rPr>
        <w:fldChar w:fldCharType="begin"/>
      </w:r>
      <w:r w:rsidR="00427E3C">
        <w:rPr>
          <w:color w:val="000000" w:themeColor="text1"/>
        </w:rPr>
        <w:instrText xml:space="preserve"> REF _Ref35874152 \h </w:instrText>
      </w:r>
      <w:r w:rsidR="00427E3C">
        <w:rPr>
          <w:color w:val="000000" w:themeColor="text1"/>
        </w:rPr>
      </w:r>
      <w:r w:rsidR="00427E3C">
        <w:rPr>
          <w:color w:val="000000" w:themeColor="text1"/>
        </w:rPr>
        <w:fldChar w:fldCharType="separate"/>
      </w:r>
      <w:r w:rsidR="003053D1" w:rsidRPr="00CE4E0F">
        <w:t xml:space="preserve">Table </w:t>
      </w:r>
      <w:r w:rsidR="003053D1">
        <w:rPr>
          <w:noProof/>
        </w:rPr>
        <w:t>17</w:t>
      </w:r>
      <w:r w:rsidR="00427E3C">
        <w:rPr>
          <w:color w:val="000000" w:themeColor="text1"/>
        </w:rPr>
        <w:fldChar w:fldCharType="end"/>
      </w:r>
      <w:r w:rsidR="00660A5E">
        <w:rPr>
          <w:color w:val="000000" w:themeColor="text1"/>
        </w:rPr>
        <w:t xml:space="preserve">) </w:t>
      </w:r>
      <w:r>
        <w:rPr>
          <w:color w:val="000000" w:themeColor="text1"/>
        </w:rPr>
        <w:t xml:space="preserve">but demonstrated a </w:t>
      </w:r>
      <w:r>
        <w:rPr>
          <w:color w:val="000000" w:themeColor="text1"/>
        </w:rPr>
        <w:lastRenderedPageBreak/>
        <w:t>clear decline in index score change at higher NAP exposure.</w:t>
      </w:r>
      <w:r w:rsidR="006E4762">
        <w:rPr>
          <w:color w:val="000000" w:themeColor="text1"/>
        </w:rPr>
        <w:t xml:space="preserve"> </w:t>
      </w:r>
      <w:r w:rsidR="00C861C6">
        <w:rPr>
          <w:color w:val="000000" w:themeColor="text1"/>
        </w:rPr>
        <w:t xml:space="preserve">Uncertainty in the covariate estimation, and necessity to derive estimates from waters approximately 1-3 km off the reefs that may not describe the exposure at the coral, limits </w:t>
      </w:r>
      <w:r w:rsidR="006E4762">
        <w:rPr>
          <w:color w:val="000000" w:themeColor="text1"/>
        </w:rPr>
        <w:t xml:space="preserve">the potential </w:t>
      </w:r>
      <w:r w:rsidR="00C861C6">
        <w:rPr>
          <w:color w:val="000000" w:themeColor="text1"/>
        </w:rPr>
        <w:t xml:space="preserve">to uncover </w:t>
      </w:r>
      <w:r w:rsidR="006E4762">
        <w:rPr>
          <w:color w:val="000000" w:themeColor="text1"/>
        </w:rPr>
        <w:t>relationships between coral community responses and satellite derived environmental covariates.</w:t>
      </w:r>
    </w:p>
    <w:p w14:paraId="53C140AB" w14:textId="236093E9" w:rsidR="00BE4138" w:rsidRPr="0062064A" w:rsidRDefault="00BE4138" w:rsidP="002B5296">
      <w:pPr>
        <w:pStyle w:val="Caption"/>
        <w:rPr>
          <w:rStyle w:val="FigureChar"/>
          <w:rFonts w:eastAsia="SimSun"/>
          <w:vanish/>
          <w:specVanish/>
        </w:rPr>
      </w:pPr>
      <w:bookmarkStart w:id="489" w:name="_Ref35874152"/>
      <w:bookmarkStart w:id="490" w:name="_Toc35947203"/>
      <w:r w:rsidRPr="00CE4E0F">
        <w:t xml:space="preserve">Table </w:t>
      </w:r>
      <w:r w:rsidRPr="00CE4E0F">
        <w:rPr>
          <w:noProof/>
        </w:rPr>
        <w:fldChar w:fldCharType="begin"/>
      </w:r>
      <w:r w:rsidRPr="00CE4E0F">
        <w:rPr>
          <w:noProof/>
        </w:rPr>
        <w:instrText xml:space="preserve"> SEQ Table \* ARABIC </w:instrText>
      </w:r>
      <w:r w:rsidRPr="00CE4E0F">
        <w:rPr>
          <w:noProof/>
        </w:rPr>
        <w:fldChar w:fldCharType="separate"/>
      </w:r>
      <w:r w:rsidR="003053D1">
        <w:rPr>
          <w:noProof/>
        </w:rPr>
        <w:t>17</w:t>
      </w:r>
      <w:r w:rsidRPr="00CE4E0F">
        <w:rPr>
          <w:noProof/>
        </w:rPr>
        <w:fldChar w:fldCharType="end"/>
      </w:r>
      <w:bookmarkEnd w:id="489"/>
      <w:r w:rsidRPr="00CE4E0F">
        <w:t xml:space="preserve"> Relationship between changes in index scores and environmental conditions</w:t>
      </w:r>
      <w:bookmarkEnd w:id="490"/>
    </w:p>
    <w:p w14:paraId="53C140AC" w14:textId="77777777" w:rsidR="00BE4138" w:rsidRPr="008B5D40" w:rsidRDefault="00BE4138">
      <w:pPr>
        <w:pStyle w:val="Caption"/>
        <w:rPr>
          <w:rStyle w:val="IntenseReference"/>
        </w:rPr>
      </w:pPr>
      <w:r w:rsidRPr="008B5D40">
        <w:rPr>
          <w:rStyle w:val="IntenseReference"/>
        </w:rPr>
        <w:t>. Tabulated are the proportion of deviance explained by models fit to relationships between the time-series of index score changes during non-disturbance periods and summaries of environmental condition during those periods. Bolding indicates statistical significance, P-values&lt;0.05 in bold, P-values between 0.05 and 0.1 not bold. Shading indicates the relationship was monotonic with higher increase in index scores at lower exposures to the environmental pressure. A (*) marks relationships that where not monotonic although either, the most negative index score changes were observed at high exposures, or most positive changes occurred at lower exposures. Blank cells indicate no relationship was observed with AICc not more than 2 units lower than null models.</w:t>
      </w:r>
    </w:p>
    <w:tbl>
      <w:tblPr>
        <w:tblStyle w:val="TableGrid5"/>
        <w:tblW w:w="9493" w:type="dxa"/>
        <w:tblLayout w:type="fixed"/>
        <w:tblLook w:val="04A0" w:firstRow="1" w:lastRow="0" w:firstColumn="1" w:lastColumn="0" w:noHBand="0" w:noVBand="1"/>
        <w:tblCaption w:val="relationship between index scores and variability in environemntal conditions"/>
        <w:tblDescription w:val="A table listing the significance and r-square values for temporal relationships between the coral index and a range of waterquality and riverine discharge parameters. Salient points are described in the main text."/>
      </w:tblPr>
      <w:tblGrid>
        <w:gridCol w:w="1696"/>
        <w:gridCol w:w="1134"/>
        <w:gridCol w:w="993"/>
        <w:gridCol w:w="992"/>
        <w:gridCol w:w="1134"/>
        <w:gridCol w:w="1417"/>
        <w:gridCol w:w="1134"/>
        <w:gridCol w:w="993"/>
      </w:tblGrid>
      <w:tr w:rsidR="00BE4138" w:rsidRPr="00CE4E0F" w14:paraId="53C140B5" w14:textId="77777777" w:rsidTr="00877FA4">
        <w:trPr>
          <w:tblHeader/>
        </w:trPr>
        <w:tc>
          <w:tcPr>
            <w:tcW w:w="1696" w:type="dxa"/>
          </w:tcPr>
          <w:p w14:paraId="53C140AD" w14:textId="77777777" w:rsidR="00BE4138" w:rsidRPr="000D4171" w:rsidRDefault="00BE4138" w:rsidP="00877FA4">
            <w:pPr>
              <w:jc w:val="left"/>
              <w:rPr>
                <w:rFonts w:ascii="Arial Narrow" w:hAnsi="Arial Narrow"/>
                <w:bCs/>
                <w:color w:val="000000" w:themeColor="text1"/>
              </w:rPr>
            </w:pPr>
            <w:r w:rsidRPr="000D4171">
              <w:rPr>
                <w:rFonts w:ascii="Arial Narrow" w:hAnsi="Arial Narrow"/>
                <w:bCs/>
                <w:color w:val="000000" w:themeColor="text1"/>
              </w:rPr>
              <w:t>Region</w:t>
            </w:r>
          </w:p>
        </w:tc>
        <w:tc>
          <w:tcPr>
            <w:tcW w:w="1134" w:type="dxa"/>
          </w:tcPr>
          <w:p w14:paraId="53C140AE" w14:textId="77777777" w:rsidR="00BE4138" w:rsidRPr="000D4171" w:rsidRDefault="00BE4138" w:rsidP="00877FA4">
            <w:pPr>
              <w:jc w:val="center"/>
              <w:rPr>
                <w:rFonts w:ascii="Arial Narrow" w:hAnsi="Arial Narrow"/>
                <w:bCs/>
                <w:color w:val="000000" w:themeColor="text1"/>
              </w:rPr>
            </w:pPr>
            <w:r w:rsidRPr="000D4171">
              <w:rPr>
                <w:rFonts w:ascii="Arial Narrow" w:hAnsi="Arial Narrow"/>
                <w:bCs/>
                <w:color w:val="000000" w:themeColor="text1"/>
              </w:rPr>
              <w:t>Freshwater Discharge</w:t>
            </w:r>
          </w:p>
        </w:tc>
        <w:tc>
          <w:tcPr>
            <w:tcW w:w="993" w:type="dxa"/>
          </w:tcPr>
          <w:p w14:paraId="53C140AF" w14:textId="77777777" w:rsidR="00BE4138" w:rsidRPr="000D4171" w:rsidRDefault="00BE4138" w:rsidP="00877FA4">
            <w:pPr>
              <w:jc w:val="center"/>
              <w:rPr>
                <w:rFonts w:ascii="Arial Narrow" w:hAnsi="Arial Narrow"/>
                <w:bCs/>
                <w:color w:val="000000" w:themeColor="text1"/>
              </w:rPr>
            </w:pPr>
            <w:r w:rsidRPr="000D4171">
              <w:rPr>
                <w:rFonts w:ascii="Arial Narrow" w:hAnsi="Arial Narrow"/>
                <w:bCs/>
                <w:color w:val="000000" w:themeColor="text1"/>
              </w:rPr>
              <w:t>Total N river load</w:t>
            </w:r>
          </w:p>
        </w:tc>
        <w:tc>
          <w:tcPr>
            <w:tcW w:w="992" w:type="dxa"/>
          </w:tcPr>
          <w:p w14:paraId="53C140B0" w14:textId="77777777" w:rsidR="00BE4138" w:rsidRPr="000D4171" w:rsidRDefault="00BE4138" w:rsidP="00877FA4">
            <w:pPr>
              <w:jc w:val="center"/>
              <w:rPr>
                <w:rFonts w:ascii="Arial Narrow" w:hAnsi="Arial Narrow"/>
                <w:bCs/>
                <w:color w:val="000000" w:themeColor="text1"/>
              </w:rPr>
            </w:pPr>
            <w:r w:rsidRPr="000D4171">
              <w:rPr>
                <w:rFonts w:ascii="Arial Narrow" w:hAnsi="Arial Narrow"/>
                <w:bCs/>
                <w:color w:val="000000" w:themeColor="text1"/>
              </w:rPr>
              <w:t>Total P river load</w:t>
            </w:r>
          </w:p>
        </w:tc>
        <w:tc>
          <w:tcPr>
            <w:tcW w:w="1134" w:type="dxa"/>
          </w:tcPr>
          <w:p w14:paraId="53C140B1" w14:textId="77777777" w:rsidR="00BE4138" w:rsidRPr="000D4171" w:rsidRDefault="00BE4138" w:rsidP="00877FA4">
            <w:pPr>
              <w:jc w:val="center"/>
              <w:rPr>
                <w:rFonts w:ascii="Arial Narrow" w:eastAsia="Calibri" w:hAnsi="Arial Narrow"/>
                <w:bCs/>
                <w:color w:val="000000" w:themeColor="text1"/>
              </w:rPr>
            </w:pPr>
            <w:r>
              <w:rPr>
                <w:rFonts w:ascii="Arial Narrow" w:eastAsia="Calibri" w:hAnsi="Arial Narrow"/>
                <w:bCs/>
                <w:color w:val="000000" w:themeColor="text1"/>
              </w:rPr>
              <w:t>DIN Region load</w:t>
            </w:r>
          </w:p>
        </w:tc>
        <w:tc>
          <w:tcPr>
            <w:tcW w:w="1417" w:type="dxa"/>
          </w:tcPr>
          <w:p w14:paraId="53C140B2" w14:textId="77777777" w:rsidR="00BE4138" w:rsidRPr="000D4171" w:rsidRDefault="00BE4138" w:rsidP="00877FA4">
            <w:pPr>
              <w:jc w:val="center"/>
              <w:rPr>
                <w:rFonts w:ascii="Arial Narrow" w:eastAsia="Calibri" w:hAnsi="Arial Narrow"/>
                <w:bCs/>
                <w:color w:val="000000" w:themeColor="text1"/>
              </w:rPr>
            </w:pPr>
            <w:r>
              <w:rPr>
                <w:rFonts w:ascii="Arial Narrow" w:eastAsia="Calibri" w:hAnsi="Arial Narrow"/>
                <w:bCs/>
                <w:color w:val="000000" w:themeColor="text1"/>
              </w:rPr>
              <w:t>Non-</w:t>
            </w:r>
            <w:r w:rsidRPr="000D4171">
              <w:rPr>
                <w:rFonts w:ascii="Arial Narrow" w:eastAsia="Calibri" w:hAnsi="Arial Narrow"/>
                <w:bCs/>
                <w:color w:val="000000" w:themeColor="text1"/>
              </w:rPr>
              <w:t>algal particulates (reef)</w:t>
            </w:r>
          </w:p>
        </w:tc>
        <w:tc>
          <w:tcPr>
            <w:tcW w:w="1134" w:type="dxa"/>
          </w:tcPr>
          <w:p w14:paraId="53C140B3" w14:textId="77777777" w:rsidR="00BE4138" w:rsidRPr="000D4171" w:rsidRDefault="00BE4138" w:rsidP="00877FA4">
            <w:pPr>
              <w:jc w:val="center"/>
              <w:rPr>
                <w:rFonts w:ascii="Arial Narrow" w:eastAsia="Calibri" w:hAnsi="Arial Narrow"/>
                <w:bCs/>
                <w:color w:val="000000" w:themeColor="text1"/>
              </w:rPr>
            </w:pPr>
            <w:r w:rsidRPr="000D4171">
              <w:rPr>
                <w:rFonts w:ascii="Arial Narrow" w:eastAsia="Calibri" w:hAnsi="Arial Narrow"/>
                <w:bCs/>
                <w:color w:val="000000" w:themeColor="text1"/>
              </w:rPr>
              <w:t>Chlorophyll (reef)</w:t>
            </w:r>
          </w:p>
        </w:tc>
        <w:tc>
          <w:tcPr>
            <w:tcW w:w="993" w:type="dxa"/>
          </w:tcPr>
          <w:p w14:paraId="53C140B4" w14:textId="77777777" w:rsidR="00BE4138" w:rsidRPr="000D4171" w:rsidRDefault="00BE4138" w:rsidP="00877FA4">
            <w:pPr>
              <w:jc w:val="center"/>
              <w:rPr>
                <w:rFonts w:ascii="Arial Narrow" w:eastAsia="Calibri" w:hAnsi="Arial Narrow"/>
                <w:bCs/>
                <w:color w:val="000000" w:themeColor="text1"/>
              </w:rPr>
            </w:pPr>
            <w:r>
              <w:rPr>
                <w:rFonts w:ascii="Arial Narrow" w:eastAsia="Calibri" w:hAnsi="Arial Narrow"/>
                <w:bCs/>
                <w:color w:val="000000" w:themeColor="text1"/>
              </w:rPr>
              <w:t>Light (reef)</w:t>
            </w:r>
          </w:p>
        </w:tc>
      </w:tr>
      <w:tr w:rsidR="00BE4138" w:rsidRPr="00CE4E0F" w14:paraId="53C140BE" w14:textId="77777777" w:rsidTr="00877FA4">
        <w:trPr>
          <w:tblHeader/>
        </w:trPr>
        <w:tc>
          <w:tcPr>
            <w:tcW w:w="1696" w:type="dxa"/>
          </w:tcPr>
          <w:p w14:paraId="53C140B6" w14:textId="77777777" w:rsidR="00BE4138" w:rsidRPr="00430AA5" w:rsidRDefault="00BE4138" w:rsidP="00877FA4">
            <w:pPr>
              <w:jc w:val="left"/>
              <w:rPr>
                <w:rFonts w:ascii="Arial Narrow" w:hAnsi="Arial Narrow"/>
                <w:bCs/>
                <w:color w:val="000000" w:themeColor="text1"/>
              </w:rPr>
            </w:pPr>
            <w:r w:rsidRPr="00430AA5">
              <w:rPr>
                <w:rFonts w:ascii="Arial Narrow" w:hAnsi="Arial Narrow"/>
                <w:bCs/>
                <w:color w:val="000000" w:themeColor="text1"/>
              </w:rPr>
              <w:t>Wet Tropics</w:t>
            </w:r>
          </w:p>
        </w:tc>
        <w:tc>
          <w:tcPr>
            <w:tcW w:w="1134" w:type="dxa"/>
            <w:shd w:val="clear" w:color="auto" w:fill="auto"/>
            <w:tcMar>
              <w:left w:w="57" w:type="dxa"/>
              <w:right w:w="57" w:type="dxa"/>
            </w:tcMar>
          </w:tcPr>
          <w:p w14:paraId="53C140B7" w14:textId="77777777" w:rsidR="00BE4138" w:rsidRPr="00430AA5" w:rsidRDefault="00BE4138" w:rsidP="00877FA4">
            <w:pPr>
              <w:jc w:val="center"/>
              <w:rPr>
                <w:rFonts w:ascii="Arial Narrow" w:hAnsi="Arial Narrow"/>
                <w:b/>
                <w:bCs/>
                <w:color w:val="000000" w:themeColor="text1"/>
              </w:rPr>
            </w:pPr>
            <w:r>
              <w:rPr>
                <w:rFonts w:ascii="Arial Narrow" w:hAnsi="Arial Narrow"/>
                <w:b/>
                <w:bCs/>
                <w:color w:val="000000" w:themeColor="text1"/>
              </w:rPr>
              <w:t>15.4%*</w:t>
            </w:r>
          </w:p>
        </w:tc>
        <w:tc>
          <w:tcPr>
            <w:tcW w:w="993" w:type="dxa"/>
            <w:shd w:val="clear" w:color="auto" w:fill="FF5B5B"/>
            <w:tcMar>
              <w:left w:w="57" w:type="dxa"/>
              <w:right w:w="57" w:type="dxa"/>
            </w:tcMar>
          </w:tcPr>
          <w:p w14:paraId="53C140B8" w14:textId="77777777" w:rsidR="00BE4138" w:rsidRPr="00430AA5" w:rsidRDefault="00BE4138" w:rsidP="00877FA4">
            <w:pPr>
              <w:jc w:val="center"/>
              <w:rPr>
                <w:rFonts w:ascii="Arial Narrow" w:hAnsi="Arial Narrow"/>
                <w:b/>
                <w:bCs/>
                <w:color w:val="000000" w:themeColor="text1"/>
              </w:rPr>
            </w:pPr>
            <w:r>
              <w:rPr>
                <w:rFonts w:ascii="Arial Narrow" w:hAnsi="Arial Narrow"/>
                <w:b/>
                <w:bCs/>
                <w:color w:val="000000" w:themeColor="text1"/>
              </w:rPr>
              <w:t>16%</w:t>
            </w:r>
          </w:p>
        </w:tc>
        <w:tc>
          <w:tcPr>
            <w:tcW w:w="992" w:type="dxa"/>
            <w:shd w:val="clear" w:color="auto" w:fill="FF5B5B"/>
            <w:tcMar>
              <w:left w:w="57" w:type="dxa"/>
              <w:right w:w="57" w:type="dxa"/>
            </w:tcMar>
          </w:tcPr>
          <w:p w14:paraId="53C140B9" w14:textId="77777777" w:rsidR="00BE4138" w:rsidRPr="00430AA5" w:rsidRDefault="00BE4138" w:rsidP="00877FA4">
            <w:pPr>
              <w:jc w:val="center"/>
              <w:rPr>
                <w:rFonts w:ascii="Arial Narrow" w:hAnsi="Arial Narrow"/>
                <w:b/>
                <w:bCs/>
                <w:color w:val="000000" w:themeColor="text1"/>
              </w:rPr>
            </w:pPr>
            <w:r>
              <w:rPr>
                <w:rFonts w:ascii="Arial Narrow" w:hAnsi="Arial Narrow"/>
                <w:b/>
                <w:bCs/>
                <w:color w:val="000000" w:themeColor="text1"/>
              </w:rPr>
              <w:t>18.1%</w:t>
            </w:r>
          </w:p>
        </w:tc>
        <w:tc>
          <w:tcPr>
            <w:tcW w:w="1134" w:type="dxa"/>
          </w:tcPr>
          <w:p w14:paraId="53C140BA" w14:textId="77777777" w:rsidR="00BE4138" w:rsidRPr="00430AA5" w:rsidRDefault="00BE4138" w:rsidP="00877FA4">
            <w:pPr>
              <w:jc w:val="center"/>
              <w:rPr>
                <w:rFonts w:ascii="Arial Narrow" w:eastAsia="Calibri" w:hAnsi="Arial Narrow"/>
                <w:bCs/>
                <w:color w:val="000000" w:themeColor="text1"/>
              </w:rPr>
            </w:pPr>
          </w:p>
        </w:tc>
        <w:tc>
          <w:tcPr>
            <w:tcW w:w="1417" w:type="dxa"/>
            <w:tcMar>
              <w:left w:w="57" w:type="dxa"/>
              <w:right w:w="57" w:type="dxa"/>
            </w:tcMar>
          </w:tcPr>
          <w:p w14:paraId="53C140BB" w14:textId="77777777" w:rsidR="00BE4138" w:rsidRPr="00430AA5" w:rsidRDefault="00BE4138" w:rsidP="00877FA4">
            <w:pPr>
              <w:jc w:val="center"/>
              <w:rPr>
                <w:rFonts w:ascii="Arial Narrow" w:eastAsia="Calibri" w:hAnsi="Arial Narrow"/>
                <w:bCs/>
                <w:color w:val="000000" w:themeColor="text1"/>
              </w:rPr>
            </w:pPr>
          </w:p>
        </w:tc>
        <w:tc>
          <w:tcPr>
            <w:tcW w:w="1134" w:type="dxa"/>
            <w:tcBorders>
              <w:bottom w:val="single" w:sz="4" w:space="0" w:color="auto"/>
            </w:tcBorders>
            <w:tcMar>
              <w:left w:w="57" w:type="dxa"/>
              <w:right w:w="57" w:type="dxa"/>
            </w:tcMar>
          </w:tcPr>
          <w:p w14:paraId="53C140BC" w14:textId="77777777" w:rsidR="00BE4138" w:rsidRPr="00290E57" w:rsidRDefault="00BE4138" w:rsidP="00877FA4">
            <w:pPr>
              <w:rPr>
                <w:rFonts w:ascii="Arial Narrow" w:eastAsia="Calibri" w:hAnsi="Arial Narrow"/>
                <w:bCs/>
                <w:color w:val="000000" w:themeColor="text1"/>
              </w:rPr>
            </w:pPr>
          </w:p>
        </w:tc>
        <w:tc>
          <w:tcPr>
            <w:tcW w:w="993" w:type="dxa"/>
            <w:tcBorders>
              <w:bottom w:val="single" w:sz="4" w:space="0" w:color="auto"/>
            </w:tcBorders>
            <w:shd w:val="clear" w:color="auto" w:fill="FF5B5B"/>
          </w:tcPr>
          <w:p w14:paraId="53C140BD" w14:textId="77777777" w:rsidR="00BE4138" w:rsidRPr="00F214FD" w:rsidRDefault="00BE4138" w:rsidP="00877FA4">
            <w:pPr>
              <w:jc w:val="center"/>
              <w:rPr>
                <w:rFonts w:ascii="Arial Narrow" w:eastAsia="Calibri" w:hAnsi="Arial Narrow"/>
                <w:b/>
                <w:bCs/>
                <w:color w:val="000000" w:themeColor="text1"/>
              </w:rPr>
            </w:pPr>
            <w:r>
              <w:rPr>
                <w:rFonts w:ascii="Arial Narrow" w:eastAsia="Calibri" w:hAnsi="Arial Narrow"/>
                <w:b/>
                <w:bCs/>
                <w:color w:val="000000" w:themeColor="text1"/>
              </w:rPr>
              <w:t>3.3%</w:t>
            </w:r>
          </w:p>
        </w:tc>
      </w:tr>
      <w:tr w:rsidR="00BE4138" w:rsidRPr="00CE4E0F" w14:paraId="53C140C7" w14:textId="77777777" w:rsidTr="00877FA4">
        <w:trPr>
          <w:tblHeader/>
        </w:trPr>
        <w:tc>
          <w:tcPr>
            <w:tcW w:w="1696" w:type="dxa"/>
          </w:tcPr>
          <w:p w14:paraId="53C140BF" w14:textId="77777777" w:rsidR="00BE4138" w:rsidRPr="00705502" w:rsidRDefault="00BE4138" w:rsidP="00877FA4">
            <w:pPr>
              <w:jc w:val="left"/>
              <w:rPr>
                <w:rFonts w:ascii="Arial Narrow" w:hAnsi="Arial Narrow"/>
                <w:bCs/>
                <w:color w:val="000000" w:themeColor="text1"/>
              </w:rPr>
            </w:pPr>
            <w:r w:rsidRPr="00705502">
              <w:rPr>
                <w:rFonts w:ascii="Arial Narrow" w:hAnsi="Arial Narrow"/>
                <w:bCs/>
                <w:color w:val="000000" w:themeColor="text1"/>
              </w:rPr>
              <w:t>Burdekin</w:t>
            </w:r>
          </w:p>
        </w:tc>
        <w:tc>
          <w:tcPr>
            <w:tcW w:w="1134" w:type="dxa"/>
            <w:shd w:val="clear" w:color="auto" w:fill="FF5B5B"/>
            <w:tcMar>
              <w:left w:w="57" w:type="dxa"/>
              <w:right w:w="57" w:type="dxa"/>
            </w:tcMar>
          </w:tcPr>
          <w:p w14:paraId="53C140C0" w14:textId="77777777" w:rsidR="00BE4138" w:rsidRPr="00705502" w:rsidRDefault="00BE4138" w:rsidP="00877FA4">
            <w:pPr>
              <w:jc w:val="center"/>
              <w:rPr>
                <w:rFonts w:ascii="Arial Narrow" w:hAnsi="Arial Narrow"/>
                <w:b/>
                <w:bCs/>
                <w:color w:val="000000" w:themeColor="text1"/>
              </w:rPr>
            </w:pPr>
            <w:r>
              <w:rPr>
                <w:rFonts w:ascii="Arial Narrow" w:hAnsi="Arial Narrow"/>
                <w:b/>
                <w:bCs/>
                <w:color w:val="000000" w:themeColor="text1"/>
              </w:rPr>
              <w:t>14.8%</w:t>
            </w:r>
          </w:p>
        </w:tc>
        <w:tc>
          <w:tcPr>
            <w:tcW w:w="993" w:type="dxa"/>
            <w:shd w:val="clear" w:color="auto" w:fill="auto"/>
            <w:tcMar>
              <w:left w:w="57" w:type="dxa"/>
              <w:right w:w="57" w:type="dxa"/>
            </w:tcMar>
          </w:tcPr>
          <w:p w14:paraId="53C140C1" w14:textId="77777777" w:rsidR="00BE4138" w:rsidRPr="00705502" w:rsidRDefault="00BE4138" w:rsidP="00877FA4">
            <w:pPr>
              <w:jc w:val="center"/>
              <w:rPr>
                <w:rFonts w:ascii="Arial Narrow" w:hAnsi="Arial Narrow"/>
                <w:b/>
                <w:bCs/>
                <w:color w:val="000000" w:themeColor="text1"/>
              </w:rPr>
            </w:pPr>
            <w:r>
              <w:rPr>
                <w:rFonts w:ascii="Arial Narrow" w:hAnsi="Arial Narrow"/>
                <w:b/>
                <w:bCs/>
                <w:color w:val="000000" w:themeColor="text1"/>
              </w:rPr>
              <w:t>15.5%*</w:t>
            </w:r>
          </w:p>
        </w:tc>
        <w:tc>
          <w:tcPr>
            <w:tcW w:w="992" w:type="dxa"/>
            <w:shd w:val="clear" w:color="auto" w:fill="FF5B5B"/>
            <w:tcMar>
              <w:left w:w="57" w:type="dxa"/>
              <w:right w:w="57" w:type="dxa"/>
            </w:tcMar>
          </w:tcPr>
          <w:p w14:paraId="53C140C2" w14:textId="77777777" w:rsidR="00BE4138" w:rsidRPr="00705502" w:rsidRDefault="00BE4138" w:rsidP="00877FA4">
            <w:pPr>
              <w:jc w:val="center"/>
              <w:rPr>
                <w:rFonts w:ascii="Arial Narrow" w:hAnsi="Arial Narrow"/>
                <w:b/>
                <w:bCs/>
                <w:color w:val="000000" w:themeColor="text1"/>
              </w:rPr>
            </w:pPr>
            <w:r>
              <w:rPr>
                <w:rFonts w:ascii="Arial Narrow" w:hAnsi="Arial Narrow"/>
                <w:b/>
                <w:bCs/>
                <w:color w:val="000000" w:themeColor="text1"/>
              </w:rPr>
              <w:t>15.9%</w:t>
            </w:r>
          </w:p>
        </w:tc>
        <w:tc>
          <w:tcPr>
            <w:tcW w:w="1134" w:type="dxa"/>
          </w:tcPr>
          <w:p w14:paraId="53C140C3" w14:textId="77777777" w:rsidR="00BE4138" w:rsidRPr="00705502" w:rsidRDefault="00BE4138" w:rsidP="00877FA4">
            <w:pPr>
              <w:jc w:val="center"/>
              <w:rPr>
                <w:rFonts w:ascii="Arial Narrow" w:eastAsia="Calibri" w:hAnsi="Arial Narrow"/>
                <w:bCs/>
                <w:color w:val="000000" w:themeColor="text1"/>
              </w:rPr>
            </w:pPr>
          </w:p>
        </w:tc>
        <w:tc>
          <w:tcPr>
            <w:tcW w:w="1417" w:type="dxa"/>
            <w:tcMar>
              <w:left w:w="57" w:type="dxa"/>
              <w:right w:w="57" w:type="dxa"/>
            </w:tcMar>
          </w:tcPr>
          <w:p w14:paraId="53C140C4" w14:textId="77777777" w:rsidR="00BE4138" w:rsidRPr="00705502" w:rsidRDefault="00BE4138" w:rsidP="00877FA4">
            <w:pPr>
              <w:jc w:val="center"/>
              <w:rPr>
                <w:rFonts w:ascii="Arial Narrow" w:eastAsia="Calibri" w:hAnsi="Arial Narrow"/>
                <w:bCs/>
                <w:color w:val="000000" w:themeColor="text1"/>
              </w:rPr>
            </w:pPr>
          </w:p>
        </w:tc>
        <w:tc>
          <w:tcPr>
            <w:tcW w:w="1134" w:type="dxa"/>
            <w:shd w:val="clear" w:color="auto" w:fill="auto"/>
            <w:tcMar>
              <w:left w:w="57" w:type="dxa"/>
              <w:right w:w="57" w:type="dxa"/>
            </w:tcMar>
          </w:tcPr>
          <w:p w14:paraId="53C140C5" w14:textId="77777777" w:rsidR="00BE4138" w:rsidRPr="00705502" w:rsidRDefault="00BE4138" w:rsidP="00877FA4">
            <w:pPr>
              <w:jc w:val="center"/>
              <w:rPr>
                <w:rFonts w:ascii="Arial Narrow" w:eastAsia="Calibri" w:hAnsi="Arial Narrow"/>
                <w:bCs/>
                <w:color w:val="000000" w:themeColor="text1"/>
              </w:rPr>
            </w:pPr>
            <w:r>
              <w:rPr>
                <w:rFonts w:ascii="Arial Narrow" w:eastAsia="Calibri" w:hAnsi="Arial Narrow"/>
                <w:bCs/>
                <w:color w:val="000000" w:themeColor="text1"/>
              </w:rPr>
              <w:t>9.6%</w:t>
            </w:r>
            <w:r w:rsidRPr="00705502">
              <w:rPr>
                <w:rFonts w:ascii="Arial Narrow" w:eastAsia="Calibri" w:hAnsi="Arial Narrow"/>
                <w:bCs/>
                <w:color w:val="000000" w:themeColor="text1"/>
              </w:rPr>
              <w:t>*</w:t>
            </w:r>
          </w:p>
        </w:tc>
        <w:tc>
          <w:tcPr>
            <w:tcW w:w="993" w:type="dxa"/>
            <w:shd w:val="clear" w:color="auto" w:fill="FF5B5B"/>
          </w:tcPr>
          <w:p w14:paraId="53C140C6" w14:textId="77777777" w:rsidR="00BE4138" w:rsidRPr="00705502" w:rsidRDefault="00BE4138" w:rsidP="00877FA4">
            <w:pPr>
              <w:jc w:val="center"/>
              <w:rPr>
                <w:rFonts w:ascii="Arial Narrow" w:eastAsia="Calibri" w:hAnsi="Arial Narrow"/>
                <w:bCs/>
                <w:color w:val="000000" w:themeColor="text1"/>
              </w:rPr>
            </w:pPr>
            <w:r>
              <w:rPr>
                <w:rFonts w:ascii="Arial Narrow" w:eastAsia="Calibri" w:hAnsi="Arial Narrow"/>
                <w:bCs/>
                <w:color w:val="000000" w:themeColor="text1"/>
              </w:rPr>
              <w:t>5.0%</w:t>
            </w:r>
          </w:p>
        </w:tc>
      </w:tr>
      <w:tr w:rsidR="00BE4138" w:rsidRPr="00CE4E0F" w14:paraId="53C140D0" w14:textId="77777777" w:rsidTr="00877FA4">
        <w:trPr>
          <w:tblHeader/>
        </w:trPr>
        <w:tc>
          <w:tcPr>
            <w:tcW w:w="1696" w:type="dxa"/>
          </w:tcPr>
          <w:p w14:paraId="53C140C8" w14:textId="77777777" w:rsidR="00BE4138" w:rsidRPr="00705502" w:rsidRDefault="00BE4138" w:rsidP="00877FA4">
            <w:pPr>
              <w:jc w:val="left"/>
              <w:rPr>
                <w:rFonts w:ascii="Arial Narrow" w:hAnsi="Arial Narrow"/>
                <w:bCs/>
                <w:color w:val="000000" w:themeColor="text1"/>
              </w:rPr>
            </w:pPr>
            <w:r>
              <w:rPr>
                <w:rFonts w:ascii="Arial Narrow" w:hAnsi="Arial Narrow"/>
                <w:bCs/>
                <w:color w:val="000000" w:themeColor="text1"/>
              </w:rPr>
              <w:t>Mackay-Whitsunday</w:t>
            </w:r>
          </w:p>
        </w:tc>
        <w:tc>
          <w:tcPr>
            <w:tcW w:w="1134" w:type="dxa"/>
            <w:shd w:val="clear" w:color="auto" w:fill="auto"/>
            <w:tcMar>
              <w:left w:w="57" w:type="dxa"/>
              <w:right w:w="57" w:type="dxa"/>
            </w:tcMar>
          </w:tcPr>
          <w:p w14:paraId="53C140C9" w14:textId="77777777" w:rsidR="00BE4138" w:rsidRPr="00705502" w:rsidRDefault="00BE4138" w:rsidP="00877FA4">
            <w:pPr>
              <w:jc w:val="center"/>
              <w:rPr>
                <w:rFonts w:ascii="Arial Narrow" w:hAnsi="Arial Narrow"/>
                <w:bCs/>
                <w:color w:val="000000" w:themeColor="text1"/>
              </w:rPr>
            </w:pPr>
          </w:p>
        </w:tc>
        <w:tc>
          <w:tcPr>
            <w:tcW w:w="993" w:type="dxa"/>
            <w:shd w:val="clear" w:color="auto" w:fill="auto"/>
            <w:tcMar>
              <w:left w:w="57" w:type="dxa"/>
              <w:right w:w="57" w:type="dxa"/>
            </w:tcMar>
          </w:tcPr>
          <w:p w14:paraId="53C140CA" w14:textId="77777777" w:rsidR="00BE4138" w:rsidRPr="00292C4E" w:rsidRDefault="00BE4138" w:rsidP="00877FA4">
            <w:pPr>
              <w:jc w:val="center"/>
              <w:rPr>
                <w:rFonts w:ascii="Arial Narrow" w:hAnsi="Arial Narrow"/>
                <w:bCs/>
                <w:color w:val="000000" w:themeColor="text1"/>
              </w:rPr>
            </w:pPr>
          </w:p>
        </w:tc>
        <w:tc>
          <w:tcPr>
            <w:tcW w:w="992" w:type="dxa"/>
            <w:shd w:val="clear" w:color="auto" w:fill="FF5B5B"/>
            <w:tcMar>
              <w:left w:w="57" w:type="dxa"/>
              <w:right w:w="57" w:type="dxa"/>
            </w:tcMar>
          </w:tcPr>
          <w:p w14:paraId="53C140CB" w14:textId="77777777" w:rsidR="00BE4138" w:rsidRPr="00292C4E" w:rsidRDefault="00BE4138" w:rsidP="00877FA4">
            <w:pPr>
              <w:jc w:val="center"/>
              <w:rPr>
                <w:rFonts w:ascii="Arial Narrow" w:hAnsi="Arial Narrow"/>
                <w:bCs/>
                <w:color w:val="548DD4" w:themeColor="text2" w:themeTint="99"/>
              </w:rPr>
            </w:pPr>
            <w:r w:rsidRPr="00292C4E">
              <w:rPr>
                <w:rFonts w:ascii="Arial Narrow" w:hAnsi="Arial Narrow"/>
                <w:bCs/>
                <w:color w:val="000000" w:themeColor="text1"/>
              </w:rPr>
              <w:t>5.3%</w:t>
            </w:r>
          </w:p>
        </w:tc>
        <w:tc>
          <w:tcPr>
            <w:tcW w:w="1134" w:type="dxa"/>
          </w:tcPr>
          <w:p w14:paraId="53C140CC" w14:textId="77777777" w:rsidR="00BE4138" w:rsidRDefault="00BE4138" w:rsidP="00877FA4">
            <w:pPr>
              <w:jc w:val="center"/>
              <w:rPr>
                <w:rFonts w:ascii="Arial Narrow" w:eastAsia="Calibri" w:hAnsi="Arial Narrow"/>
                <w:b/>
                <w:bCs/>
                <w:color w:val="000000" w:themeColor="text1"/>
              </w:rPr>
            </w:pPr>
            <w:r>
              <w:rPr>
                <w:rFonts w:ascii="Arial Narrow" w:eastAsia="Calibri" w:hAnsi="Arial Narrow"/>
                <w:b/>
                <w:bCs/>
                <w:color w:val="000000" w:themeColor="text1"/>
              </w:rPr>
              <w:t>17.2%*</w:t>
            </w:r>
          </w:p>
        </w:tc>
        <w:tc>
          <w:tcPr>
            <w:tcW w:w="1417" w:type="dxa"/>
            <w:tcBorders>
              <w:bottom w:val="single" w:sz="4" w:space="0" w:color="auto"/>
            </w:tcBorders>
            <w:shd w:val="clear" w:color="auto" w:fill="auto"/>
            <w:tcMar>
              <w:left w:w="57" w:type="dxa"/>
              <w:right w:w="57" w:type="dxa"/>
            </w:tcMar>
          </w:tcPr>
          <w:p w14:paraId="53C140CD" w14:textId="77777777" w:rsidR="00BE4138" w:rsidRPr="00290E57" w:rsidRDefault="00BE4138" w:rsidP="00877FA4">
            <w:pPr>
              <w:jc w:val="center"/>
              <w:rPr>
                <w:rFonts w:ascii="Arial Narrow" w:eastAsia="Calibri" w:hAnsi="Arial Narrow"/>
                <w:b/>
                <w:bCs/>
                <w:color w:val="000000" w:themeColor="text1"/>
              </w:rPr>
            </w:pPr>
            <w:r>
              <w:rPr>
                <w:rFonts w:ascii="Arial Narrow" w:eastAsia="Calibri" w:hAnsi="Arial Narrow"/>
                <w:b/>
                <w:bCs/>
                <w:color w:val="000000" w:themeColor="text1"/>
              </w:rPr>
              <w:t>13.3%</w:t>
            </w:r>
            <w:r w:rsidRPr="00290E57">
              <w:rPr>
                <w:rFonts w:ascii="Arial Narrow" w:eastAsia="Calibri" w:hAnsi="Arial Narrow"/>
                <w:b/>
                <w:bCs/>
                <w:color w:val="000000" w:themeColor="text1"/>
              </w:rPr>
              <w:t>*</w:t>
            </w:r>
          </w:p>
        </w:tc>
        <w:tc>
          <w:tcPr>
            <w:tcW w:w="1134" w:type="dxa"/>
            <w:tcBorders>
              <w:bottom w:val="single" w:sz="4" w:space="0" w:color="auto"/>
            </w:tcBorders>
            <w:shd w:val="clear" w:color="auto" w:fill="auto"/>
            <w:tcMar>
              <w:left w:w="57" w:type="dxa"/>
              <w:right w:w="57" w:type="dxa"/>
            </w:tcMar>
          </w:tcPr>
          <w:p w14:paraId="53C140CE" w14:textId="77777777" w:rsidR="00BE4138" w:rsidRPr="00CE4E0F" w:rsidRDefault="00BE4138" w:rsidP="00877FA4">
            <w:pPr>
              <w:jc w:val="center"/>
              <w:rPr>
                <w:rFonts w:ascii="Arial Narrow" w:eastAsia="Calibri" w:hAnsi="Arial Narrow"/>
                <w:bCs/>
                <w:color w:val="548DD4" w:themeColor="text2" w:themeTint="99"/>
              </w:rPr>
            </w:pPr>
          </w:p>
        </w:tc>
        <w:tc>
          <w:tcPr>
            <w:tcW w:w="993" w:type="dxa"/>
            <w:tcBorders>
              <w:bottom w:val="single" w:sz="4" w:space="0" w:color="auto"/>
            </w:tcBorders>
          </w:tcPr>
          <w:p w14:paraId="53C140CF" w14:textId="77777777" w:rsidR="00BE4138" w:rsidRPr="00CE4E0F" w:rsidRDefault="00BE4138" w:rsidP="00877FA4">
            <w:pPr>
              <w:jc w:val="center"/>
              <w:rPr>
                <w:rFonts w:ascii="Arial Narrow" w:eastAsia="Calibri" w:hAnsi="Arial Narrow"/>
                <w:bCs/>
                <w:color w:val="548DD4" w:themeColor="text2" w:themeTint="99"/>
              </w:rPr>
            </w:pPr>
          </w:p>
        </w:tc>
      </w:tr>
      <w:tr w:rsidR="00BE4138" w:rsidRPr="00CE4E0F" w14:paraId="53C140D9" w14:textId="77777777" w:rsidTr="00877FA4">
        <w:trPr>
          <w:tblHeader/>
        </w:trPr>
        <w:tc>
          <w:tcPr>
            <w:tcW w:w="1696" w:type="dxa"/>
          </w:tcPr>
          <w:p w14:paraId="53C140D1" w14:textId="77777777" w:rsidR="00BE4138" w:rsidRPr="00CE4E0F" w:rsidRDefault="00BE4138" w:rsidP="00877FA4">
            <w:pPr>
              <w:jc w:val="left"/>
              <w:rPr>
                <w:rFonts w:ascii="Arial Narrow" w:hAnsi="Arial Narrow"/>
                <w:bCs/>
                <w:color w:val="548DD4" w:themeColor="text2" w:themeTint="99"/>
              </w:rPr>
            </w:pPr>
            <w:r w:rsidRPr="000D4171">
              <w:rPr>
                <w:rFonts w:ascii="Arial Narrow" w:hAnsi="Arial Narrow"/>
                <w:bCs/>
                <w:color w:val="000000" w:themeColor="text1"/>
              </w:rPr>
              <w:t>Fitzroy</w:t>
            </w:r>
          </w:p>
        </w:tc>
        <w:tc>
          <w:tcPr>
            <w:tcW w:w="1134" w:type="dxa"/>
            <w:shd w:val="clear" w:color="auto" w:fill="auto"/>
            <w:tcMar>
              <w:left w:w="57" w:type="dxa"/>
              <w:right w:w="57" w:type="dxa"/>
            </w:tcMar>
          </w:tcPr>
          <w:p w14:paraId="53C140D2" w14:textId="77777777" w:rsidR="00BE4138" w:rsidRPr="00CE4E0F" w:rsidRDefault="00BE4138" w:rsidP="00877FA4">
            <w:pPr>
              <w:jc w:val="center"/>
              <w:rPr>
                <w:rFonts w:ascii="Arial Narrow" w:hAnsi="Arial Narrow"/>
                <w:b/>
                <w:bCs/>
                <w:color w:val="548DD4" w:themeColor="text2" w:themeTint="99"/>
              </w:rPr>
            </w:pPr>
            <w:r>
              <w:rPr>
                <w:rFonts w:ascii="Arial Narrow" w:hAnsi="Arial Narrow"/>
                <w:b/>
                <w:bCs/>
                <w:color w:val="000000" w:themeColor="text1"/>
              </w:rPr>
              <w:t>30.1%*</w:t>
            </w:r>
          </w:p>
        </w:tc>
        <w:tc>
          <w:tcPr>
            <w:tcW w:w="993" w:type="dxa"/>
            <w:tcMar>
              <w:left w:w="57" w:type="dxa"/>
              <w:right w:w="57" w:type="dxa"/>
            </w:tcMar>
          </w:tcPr>
          <w:p w14:paraId="53C140D3" w14:textId="77777777" w:rsidR="00BE4138" w:rsidRPr="00424155" w:rsidRDefault="00BE4138" w:rsidP="00877FA4">
            <w:pPr>
              <w:jc w:val="center"/>
              <w:rPr>
                <w:rFonts w:ascii="Arial Narrow" w:hAnsi="Arial Narrow"/>
                <w:b/>
                <w:bCs/>
                <w:color w:val="548DD4" w:themeColor="text2" w:themeTint="99"/>
              </w:rPr>
            </w:pPr>
            <w:r>
              <w:rPr>
                <w:rFonts w:ascii="Arial Narrow" w:hAnsi="Arial Narrow"/>
                <w:b/>
                <w:bCs/>
                <w:color w:val="000000" w:themeColor="text1"/>
              </w:rPr>
              <w:t>28</w:t>
            </w:r>
            <w:r w:rsidRPr="00424155">
              <w:rPr>
                <w:rFonts w:ascii="Arial Narrow" w:hAnsi="Arial Narrow"/>
                <w:b/>
                <w:bCs/>
                <w:color w:val="000000" w:themeColor="text1"/>
              </w:rPr>
              <w:t>%*</w:t>
            </w:r>
          </w:p>
        </w:tc>
        <w:tc>
          <w:tcPr>
            <w:tcW w:w="992" w:type="dxa"/>
            <w:tcMar>
              <w:left w:w="57" w:type="dxa"/>
              <w:right w:w="57" w:type="dxa"/>
            </w:tcMar>
          </w:tcPr>
          <w:p w14:paraId="53C140D4" w14:textId="77777777" w:rsidR="00BE4138" w:rsidRPr="00CE4E0F" w:rsidRDefault="00BE4138" w:rsidP="00877FA4">
            <w:pPr>
              <w:jc w:val="center"/>
              <w:rPr>
                <w:rFonts w:ascii="Arial Narrow" w:hAnsi="Arial Narrow"/>
                <w:b/>
                <w:bCs/>
                <w:color w:val="548DD4" w:themeColor="text2" w:themeTint="99"/>
              </w:rPr>
            </w:pPr>
            <w:r>
              <w:rPr>
                <w:rFonts w:ascii="Arial Narrow" w:hAnsi="Arial Narrow"/>
                <w:b/>
                <w:bCs/>
                <w:color w:val="000000" w:themeColor="text1"/>
              </w:rPr>
              <w:t>27</w:t>
            </w:r>
            <w:r w:rsidRPr="00424155">
              <w:rPr>
                <w:rFonts w:ascii="Arial Narrow" w:hAnsi="Arial Narrow"/>
                <w:b/>
                <w:bCs/>
                <w:color w:val="000000" w:themeColor="text1"/>
              </w:rPr>
              <w:t>.7%*</w:t>
            </w:r>
          </w:p>
        </w:tc>
        <w:tc>
          <w:tcPr>
            <w:tcW w:w="1134" w:type="dxa"/>
            <w:shd w:val="clear" w:color="auto" w:fill="auto"/>
          </w:tcPr>
          <w:p w14:paraId="53C140D5" w14:textId="77777777" w:rsidR="00BE4138" w:rsidRDefault="00BE4138" w:rsidP="00877FA4">
            <w:pPr>
              <w:jc w:val="center"/>
              <w:rPr>
                <w:rFonts w:ascii="Arial Narrow" w:eastAsia="Calibri" w:hAnsi="Arial Narrow"/>
                <w:b/>
                <w:bCs/>
                <w:color w:val="000000" w:themeColor="text1"/>
              </w:rPr>
            </w:pPr>
            <w:r>
              <w:rPr>
                <w:rFonts w:ascii="Arial Narrow" w:eastAsia="Calibri" w:hAnsi="Arial Narrow"/>
                <w:b/>
                <w:bCs/>
                <w:color w:val="000000" w:themeColor="text1"/>
              </w:rPr>
              <w:t>20.1%*</w:t>
            </w:r>
          </w:p>
        </w:tc>
        <w:tc>
          <w:tcPr>
            <w:tcW w:w="1417" w:type="dxa"/>
            <w:shd w:val="clear" w:color="auto" w:fill="FF5B5B"/>
            <w:tcMar>
              <w:left w:w="57" w:type="dxa"/>
              <w:right w:w="57" w:type="dxa"/>
            </w:tcMar>
          </w:tcPr>
          <w:p w14:paraId="53C140D6" w14:textId="77777777" w:rsidR="00BE4138" w:rsidRPr="009244F2" w:rsidRDefault="00BE4138" w:rsidP="00877FA4">
            <w:pPr>
              <w:jc w:val="center"/>
              <w:rPr>
                <w:rFonts w:ascii="Arial Narrow" w:eastAsia="Calibri" w:hAnsi="Arial Narrow"/>
                <w:b/>
                <w:bCs/>
                <w:color w:val="548DD4" w:themeColor="text2" w:themeTint="99"/>
              </w:rPr>
            </w:pPr>
            <w:r>
              <w:rPr>
                <w:rFonts w:ascii="Arial Narrow" w:eastAsia="Calibri" w:hAnsi="Arial Narrow"/>
                <w:b/>
                <w:bCs/>
                <w:color w:val="000000" w:themeColor="text1"/>
              </w:rPr>
              <w:t>6.1%</w:t>
            </w:r>
          </w:p>
        </w:tc>
        <w:tc>
          <w:tcPr>
            <w:tcW w:w="1134" w:type="dxa"/>
            <w:shd w:val="clear" w:color="auto" w:fill="FF5B5B"/>
            <w:tcMar>
              <w:left w:w="57" w:type="dxa"/>
              <w:right w:w="57" w:type="dxa"/>
            </w:tcMar>
          </w:tcPr>
          <w:p w14:paraId="53C140D7" w14:textId="77777777" w:rsidR="00BE4138" w:rsidRPr="00CE4E0F" w:rsidRDefault="00BE4138" w:rsidP="00877FA4">
            <w:pPr>
              <w:jc w:val="center"/>
              <w:rPr>
                <w:rFonts w:ascii="Arial Narrow" w:eastAsia="Calibri" w:hAnsi="Arial Narrow"/>
                <w:b/>
                <w:bCs/>
                <w:color w:val="548DD4" w:themeColor="text2" w:themeTint="99"/>
              </w:rPr>
            </w:pPr>
            <w:r w:rsidRPr="000D4171">
              <w:rPr>
                <w:rFonts w:ascii="Arial Narrow" w:eastAsia="Calibri" w:hAnsi="Arial Narrow"/>
                <w:b/>
                <w:bCs/>
                <w:color w:val="000000" w:themeColor="text1"/>
              </w:rPr>
              <w:t>2</w:t>
            </w:r>
            <w:r>
              <w:rPr>
                <w:rFonts w:ascii="Arial Narrow" w:eastAsia="Calibri" w:hAnsi="Arial Narrow"/>
                <w:b/>
                <w:bCs/>
                <w:color w:val="000000" w:themeColor="text1"/>
              </w:rPr>
              <w:t>2.3%</w:t>
            </w:r>
          </w:p>
        </w:tc>
        <w:tc>
          <w:tcPr>
            <w:tcW w:w="993" w:type="dxa"/>
            <w:shd w:val="clear" w:color="auto" w:fill="FF5B5B"/>
          </w:tcPr>
          <w:p w14:paraId="53C140D8" w14:textId="77777777" w:rsidR="00BE4138" w:rsidRPr="000D4171" w:rsidRDefault="00BE4138" w:rsidP="00877FA4">
            <w:pPr>
              <w:jc w:val="center"/>
              <w:rPr>
                <w:rFonts w:ascii="Arial Narrow" w:eastAsia="Calibri" w:hAnsi="Arial Narrow"/>
                <w:b/>
                <w:bCs/>
                <w:color w:val="000000" w:themeColor="text1"/>
              </w:rPr>
            </w:pPr>
            <w:r>
              <w:rPr>
                <w:rFonts w:ascii="Arial Narrow" w:eastAsia="Calibri" w:hAnsi="Arial Narrow"/>
                <w:b/>
                <w:bCs/>
                <w:color w:val="000000" w:themeColor="text1"/>
              </w:rPr>
              <w:t>8.8%</w:t>
            </w:r>
          </w:p>
        </w:tc>
      </w:tr>
    </w:tbl>
    <w:p w14:paraId="53C140DA" w14:textId="77777777" w:rsidR="00BE4138" w:rsidRPr="006E4762" w:rsidRDefault="00BE4138" w:rsidP="00BE4138">
      <w:pPr>
        <w:rPr>
          <w:b/>
          <w:noProof/>
          <w:color w:val="000000" w:themeColor="text1"/>
          <w:lang w:eastAsia="en-AU"/>
        </w:rPr>
      </w:pPr>
    </w:p>
    <w:p w14:paraId="53C140DB" w14:textId="77777777" w:rsidR="00BE4138" w:rsidRDefault="00BE4138" w:rsidP="002B5296">
      <w:pPr>
        <w:pStyle w:val="Caption"/>
      </w:pPr>
      <w:r w:rsidRPr="00506C77">
        <w:rPr>
          <w:rStyle w:val="IntenseReference"/>
          <w:noProof/>
          <w:lang w:val="en-AU" w:eastAsia="en-AU"/>
        </w:rPr>
        <w:lastRenderedPageBreak/>
        <w:drawing>
          <wp:inline distT="0" distB="0" distL="0" distR="0" wp14:anchorId="53C15F72" wp14:editId="391145CA">
            <wp:extent cx="5969000" cy="5609832"/>
            <wp:effectExtent l="0" t="0" r="0" b="0"/>
            <wp:docPr id="27" name="Picture 27" descr="shows relationship. Body text describes output" title="Relationship between the coral index and run-off from local catch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ndex_change_discharge.png"/>
                    <pic:cNvPicPr/>
                  </pic:nvPicPr>
                  <pic:blipFill rotWithShape="1">
                    <a:blip r:embed="rId69" cstate="print">
                      <a:extLst>
                        <a:ext uri="{28A0092B-C50C-407E-A947-70E740481C1C}">
                          <a14:useLocalDpi xmlns:a14="http://schemas.microsoft.com/office/drawing/2010/main" val="0"/>
                        </a:ext>
                      </a:extLst>
                    </a:blip>
                    <a:srcRect t="6017"/>
                    <a:stretch/>
                  </pic:blipFill>
                  <pic:spPr bwMode="auto">
                    <a:xfrm>
                      <a:off x="0" y="0"/>
                      <a:ext cx="5970887" cy="5611605"/>
                    </a:xfrm>
                    <a:prstGeom prst="rect">
                      <a:avLst/>
                    </a:prstGeom>
                    <a:ln>
                      <a:noFill/>
                    </a:ln>
                    <a:extLst>
                      <a:ext uri="{53640926-AAD7-44D8-BBD7-CCE9431645EC}">
                        <a14:shadowObscured xmlns:a14="http://schemas.microsoft.com/office/drawing/2010/main"/>
                      </a:ext>
                    </a:extLst>
                  </pic:spPr>
                </pic:pic>
              </a:graphicData>
            </a:graphic>
          </wp:inline>
        </w:drawing>
      </w:r>
      <w:r w:rsidRPr="00CE4E0F">
        <w:t xml:space="preserve"> </w:t>
      </w:r>
    </w:p>
    <w:p w14:paraId="53C140DC" w14:textId="3C3E7548" w:rsidR="00BE4138" w:rsidRPr="0062064A" w:rsidRDefault="00BE4138" w:rsidP="002B5296">
      <w:pPr>
        <w:pStyle w:val="Caption"/>
        <w:rPr>
          <w:rStyle w:val="FigureChar"/>
          <w:rFonts w:eastAsia="SimSun"/>
          <w:vanish/>
          <w:specVanish/>
        </w:rPr>
      </w:pPr>
      <w:bookmarkStart w:id="491" w:name="_Ref35874318"/>
      <w:bookmarkStart w:id="492" w:name="_Toc35947186"/>
      <w:r>
        <w:t xml:space="preserve">Figure </w:t>
      </w:r>
      <w:r>
        <w:fldChar w:fldCharType="begin"/>
      </w:r>
      <w:r>
        <w:instrText xml:space="preserve"> SEQ Figure \* ARABIC </w:instrText>
      </w:r>
      <w:r>
        <w:fldChar w:fldCharType="separate"/>
      </w:r>
      <w:r w:rsidR="003053D1">
        <w:rPr>
          <w:noProof/>
        </w:rPr>
        <w:t>36</w:t>
      </w:r>
      <w:r>
        <w:fldChar w:fldCharType="end"/>
      </w:r>
      <w:bookmarkEnd w:id="491"/>
      <w:r>
        <w:t xml:space="preserve"> </w:t>
      </w:r>
      <w:r w:rsidRPr="00CE4E0F">
        <w:t>Relationship between the coral index and run-off from local catchments</w:t>
      </w:r>
      <w:bookmarkEnd w:id="492"/>
    </w:p>
    <w:p w14:paraId="53C140DD" w14:textId="77777777" w:rsidR="00BE4138" w:rsidRDefault="00BE4138" w:rsidP="00BE4138">
      <w:pPr>
        <w:jc w:val="left"/>
        <w:rPr>
          <w:rStyle w:val="IntenseReference"/>
        </w:rPr>
      </w:pPr>
      <w:r w:rsidRPr="00CE4E0F">
        <w:t xml:space="preserve">. </w:t>
      </w:r>
      <w:r w:rsidRPr="008B5D40">
        <w:rPr>
          <w:rStyle w:val="IntenseReference"/>
        </w:rPr>
        <w:t>Plotted points represent observed change in the index score at each reef and depth over a two-year period. Observations following years for which acute disturbances impacted communities in the period between samples were excluded. Discharge values represent the cumulative discharge from the region’s major rivers over the two-year period corresponding to index changes. Trend lines represent the predicted change in index scores (solid line) and the 95% confidence intervals of the prediction (dash</w:t>
      </w:r>
      <w:r w:rsidR="002519E5">
        <w:rPr>
          <w:rStyle w:val="IntenseReference"/>
        </w:rPr>
        <w:t>ed lines)</w:t>
      </w:r>
    </w:p>
    <w:p w14:paraId="53C140DE" w14:textId="77777777" w:rsidR="002519E5" w:rsidRDefault="002519E5">
      <w:pPr>
        <w:jc w:val="left"/>
        <w:rPr>
          <w:rStyle w:val="IntenseReference"/>
        </w:rPr>
      </w:pPr>
      <w:r>
        <w:rPr>
          <w:rStyle w:val="IntenseReference"/>
        </w:rPr>
        <w:br w:type="page"/>
      </w:r>
    </w:p>
    <w:p w14:paraId="53C140DF" w14:textId="77777777" w:rsidR="00A84742" w:rsidRPr="00FA63C5" w:rsidRDefault="00A84742" w:rsidP="00D217FF">
      <w:pPr>
        <w:pStyle w:val="Heading1"/>
      </w:pPr>
      <w:bookmarkStart w:id="493" w:name="_Toc526246920"/>
      <w:bookmarkStart w:id="494" w:name="_Toc530654973"/>
      <w:bookmarkStart w:id="495" w:name="_Toc35947130"/>
      <w:r w:rsidRPr="00FA63C5">
        <w:lastRenderedPageBreak/>
        <w:t>Discussion</w:t>
      </w:r>
      <w:bookmarkEnd w:id="493"/>
      <w:bookmarkEnd w:id="494"/>
      <w:bookmarkEnd w:id="495"/>
      <w:r w:rsidRPr="00FA63C5">
        <w:t xml:space="preserve"> </w:t>
      </w:r>
    </w:p>
    <w:p w14:paraId="53C140E0" w14:textId="77777777" w:rsidR="0018456E" w:rsidRPr="00DA3B84" w:rsidRDefault="0018456E" w:rsidP="0018456E">
      <w:r w:rsidRPr="0053606F">
        <w:t>As naturally dynamic systems that alternate between impacts and periods of recovery (Connell 1978)</w:t>
      </w:r>
      <w:r>
        <w:t>,</w:t>
      </w:r>
      <w:r w:rsidRPr="0053606F">
        <w:t xml:space="preserve"> it is critical for the persistence of coral communities that there is a long-term balance between </w:t>
      </w:r>
      <w:r w:rsidRPr="00DA3B84">
        <w:t xml:space="preserve">disturbance and recovery processes. The </w:t>
      </w:r>
      <w:r w:rsidRPr="00DA3B84">
        <w:rPr>
          <w:i/>
        </w:rPr>
        <w:t>Driver-Pressure-State-Impact-Response</w:t>
      </w:r>
      <w:r w:rsidRPr="00DA3B84">
        <w:t xml:space="preserve"> (DPSIR) framework </w:t>
      </w:r>
      <w:r w:rsidRPr="00DA3B84">
        <w:rPr>
          <w:color w:val="000000" w:themeColor="text1"/>
        </w:rPr>
        <w:t xml:space="preserve">(Maxim </w:t>
      </w:r>
      <w:r w:rsidRPr="00DA3B84">
        <w:rPr>
          <w:i/>
          <w:color w:val="000000" w:themeColor="text1"/>
        </w:rPr>
        <w:t>et al.</w:t>
      </w:r>
      <w:r w:rsidRPr="00DA3B84">
        <w:rPr>
          <w:color w:val="000000" w:themeColor="text1"/>
        </w:rPr>
        <w:t xml:space="preserve"> 2009, Rehr </w:t>
      </w:r>
      <w:r w:rsidRPr="00DA3B84">
        <w:rPr>
          <w:i/>
          <w:color w:val="000000" w:themeColor="text1"/>
        </w:rPr>
        <w:t>et al.</w:t>
      </w:r>
      <w:r w:rsidRPr="00DA3B84">
        <w:rPr>
          <w:color w:val="000000" w:themeColor="text1"/>
        </w:rPr>
        <w:t xml:space="preserve"> 2012) </w:t>
      </w:r>
      <w:r w:rsidRPr="00DA3B84">
        <w:t>allows identification of some of the key drivers and pressures influencing coral condition, and management responses</w:t>
      </w:r>
      <w:r w:rsidR="00DA3B84">
        <w:t xml:space="preserve"> required to maintain a healthy Reef</w:t>
      </w:r>
      <w:r w:rsidRPr="00DA3B84">
        <w:t xml:space="preserve">. </w:t>
      </w:r>
    </w:p>
    <w:p w14:paraId="53C140E1" w14:textId="77777777" w:rsidR="0018456E" w:rsidRPr="00DA3B84" w:rsidRDefault="0018456E" w:rsidP="0018456E">
      <w:pPr>
        <w:pStyle w:val="ListParagraph"/>
        <w:numPr>
          <w:ilvl w:val="0"/>
          <w:numId w:val="52"/>
        </w:numPr>
        <w:rPr>
          <w:color w:val="000000" w:themeColor="text1"/>
        </w:rPr>
      </w:pPr>
      <w:r w:rsidRPr="00DA3B84">
        <w:rPr>
          <w:color w:val="000000" w:themeColor="text1"/>
        </w:rPr>
        <w:t xml:space="preserve">Social and economic development are two of the </w:t>
      </w:r>
      <w:r w:rsidRPr="00DA3B84">
        <w:rPr>
          <w:i/>
          <w:color w:val="000000" w:themeColor="text1"/>
        </w:rPr>
        <w:t>drivers</w:t>
      </w:r>
      <w:r w:rsidRPr="00DA3B84">
        <w:rPr>
          <w:color w:val="000000" w:themeColor="text1"/>
        </w:rPr>
        <w:t xml:space="preserve"> of human activities; from local, within catchment, through to global scales. </w:t>
      </w:r>
    </w:p>
    <w:p w14:paraId="53C140E2" w14:textId="77777777" w:rsidR="0018456E" w:rsidRPr="00DA3B84" w:rsidRDefault="0018456E" w:rsidP="0018456E">
      <w:pPr>
        <w:pStyle w:val="ListParagraph"/>
        <w:numPr>
          <w:ilvl w:val="0"/>
          <w:numId w:val="52"/>
        </w:numPr>
        <w:rPr>
          <w:color w:val="000000" w:themeColor="text1"/>
        </w:rPr>
      </w:pPr>
      <w:r w:rsidRPr="00DA3B84">
        <w:rPr>
          <w:color w:val="000000" w:themeColor="text1"/>
        </w:rPr>
        <w:t xml:space="preserve">Human activities result in local scale </w:t>
      </w:r>
      <w:r w:rsidRPr="00DA3B84">
        <w:rPr>
          <w:i/>
          <w:color w:val="000000" w:themeColor="text1"/>
        </w:rPr>
        <w:t>pressures</w:t>
      </w:r>
      <w:r w:rsidRPr="00DA3B84">
        <w:rPr>
          <w:color w:val="000000" w:themeColor="text1"/>
        </w:rPr>
        <w:t xml:space="preserve"> on downstream ecosystems such as increased exposure to sediments, nutrients and toxicants, through to direct drivers such as global climate change. </w:t>
      </w:r>
      <w:r w:rsidRPr="00DA3B84">
        <w:t xml:space="preserve">In this context, there is a distinction between pressures arising from climate change that are beyond the realm of management under Reef 2050 Water Quality Improvement Plan, such as acute disturbances associated with severe storms or </w:t>
      </w:r>
      <w:r w:rsidR="0023671D">
        <w:t xml:space="preserve">thermal </w:t>
      </w:r>
      <w:r w:rsidRPr="00DA3B84">
        <w:t>bleaching events, and those related more tangibly to water quality, and as such, expected to be manageable. A primary focus of this component of the MMP is assessing the role of water quality in this balance.</w:t>
      </w:r>
    </w:p>
    <w:p w14:paraId="53C140E3" w14:textId="77777777" w:rsidR="00F27A32" w:rsidRPr="000D0DFC" w:rsidRDefault="0018456E" w:rsidP="000D0DFC">
      <w:pPr>
        <w:pStyle w:val="ListParagraph"/>
        <w:numPr>
          <w:ilvl w:val="0"/>
          <w:numId w:val="52"/>
        </w:numPr>
        <w:rPr>
          <w:color w:val="000000" w:themeColor="text1"/>
        </w:rPr>
      </w:pPr>
      <w:r w:rsidRPr="00DA3B84">
        <w:rPr>
          <w:color w:val="000000" w:themeColor="text1"/>
        </w:rPr>
        <w:t xml:space="preserve">These </w:t>
      </w:r>
      <w:r w:rsidRPr="00DA3B84">
        <w:rPr>
          <w:i/>
          <w:color w:val="000000" w:themeColor="text1"/>
        </w:rPr>
        <w:t>pressures</w:t>
      </w:r>
      <w:r w:rsidRPr="00DA3B84">
        <w:rPr>
          <w:color w:val="000000" w:themeColor="text1"/>
        </w:rPr>
        <w:t xml:space="preserve"> change the </w:t>
      </w:r>
      <w:r w:rsidRPr="00DA3B84">
        <w:rPr>
          <w:i/>
          <w:color w:val="000000" w:themeColor="text1"/>
        </w:rPr>
        <w:t>state</w:t>
      </w:r>
      <w:r w:rsidRPr="00DA3B84">
        <w:rPr>
          <w:color w:val="000000" w:themeColor="text1"/>
        </w:rPr>
        <w:t xml:space="preserve"> of the Reef ecosystems. This </w:t>
      </w:r>
      <w:r w:rsidRPr="00DA3B84">
        <w:rPr>
          <w:i/>
          <w:color w:val="000000" w:themeColor="text1"/>
        </w:rPr>
        <w:t>state</w:t>
      </w:r>
      <w:r w:rsidRPr="00DA3B84">
        <w:rPr>
          <w:color w:val="000000" w:themeColor="text1"/>
        </w:rPr>
        <w:t xml:space="preserve"> can then be interpreted in terms of </w:t>
      </w:r>
      <w:r w:rsidRPr="00DA3B84">
        <w:rPr>
          <w:i/>
          <w:color w:val="000000" w:themeColor="text1"/>
        </w:rPr>
        <w:t>impact</w:t>
      </w:r>
      <w:r w:rsidRPr="00DA3B84">
        <w:rPr>
          <w:color w:val="000000" w:themeColor="text1"/>
        </w:rPr>
        <w:t xml:space="preserve"> on desirable ecosystem functioning or services that can be used to inform decisions for </w:t>
      </w:r>
      <w:r w:rsidRPr="00DA3B84">
        <w:rPr>
          <w:i/>
          <w:color w:val="000000" w:themeColor="text1"/>
        </w:rPr>
        <w:t>response</w:t>
      </w:r>
      <w:r w:rsidRPr="00DA3B84">
        <w:rPr>
          <w:color w:val="000000" w:themeColor="text1"/>
        </w:rPr>
        <w:t xml:space="preserve"> such as policy or regulatory actions to alleviate that </w:t>
      </w:r>
      <w:r w:rsidRPr="00DA3B84">
        <w:rPr>
          <w:i/>
          <w:color w:val="000000" w:themeColor="text1"/>
        </w:rPr>
        <w:t>impact</w:t>
      </w:r>
      <w:r w:rsidRPr="00DA3B84">
        <w:rPr>
          <w:color w:val="000000" w:themeColor="text1"/>
        </w:rPr>
        <w:t>.</w:t>
      </w:r>
      <w:bookmarkStart w:id="496" w:name="_Toc25750190"/>
      <w:bookmarkStart w:id="497" w:name="_Toc30596452"/>
      <w:bookmarkStart w:id="498" w:name="_Toc471376417"/>
      <w:bookmarkStart w:id="499" w:name="_Toc526246921"/>
      <w:bookmarkStart w:id="500" w:name="_Toc530654974"/>
      <w:bookmarkEnd w:id="496"/>
      <w:bookmarkEnd w:id="497"/>
    </w:p>
    <w:p w14:paraId="53C140E4" w14:textId="77777777" w:rsidR="00A84742" w:rsidRDefault="00A84742" w:rsidP="006F1D4F">
      <w:pPr>
        <w:pStyle w:val="Heading2"/>
        <w:numPr>
          <w:ilvl w:val="1"/>
          <w:numId w:val="70"/>
        </w:numPr>
      </w:pPr>
      <w:bookmarkStart w:id="501" w:name="_Toc35947131"/>
      <w:r w:rsidRPr="0053606F">
        <w:t>Pressures</w:t>
      </w:r>
      <w:bookmarkEnd w:id="498"/>
      <w:bookmarkEnd w:id="499"/>
      <w:bookmarkEnd w:id="500"/>
      <w:bookmarkEnd w:id="501"/>
    </w:p>
    <w:p w14:paraId="53C140E5" w14:textId="77777777" w:rsidR="00A84742" w:rsidRPr="00CE4E0F" w:rsidRDefault="00A84742" w:rsidP="00727D87">
      <w:pPr>
        <w:pStyle w:val="Heading3"/>
      </w:pPr>
      <w:bookmarkStart w:id="502" w:name="_Toc526246922"/>
      <w:bookmarkStart w:id="503" w:name="_Toc530654975"/>
      <w:bookmarkStart w:id="504" w:name="_Toc35947132"/>
      <w:r w:rsidRPr="00CE4E0F">
        <w:t>Acute disturbances</w:t>
      </w:r>
      <w:bookmarkEnd w:id="502"/>
      <w:bookmarkEnd w:id="503"/>
      <w:bookmarkEnd w:id="504"/>
    </w:p>
    <w:p w14:paraId="53C140E6" w14:textId="77777777" w:rsidR="00532D47" w:rsidRDefault="00532D47" w:rsidP="00532D47">
      <w:r>
        <w:t xml:space="preserve">Since MMP surveys began in 2005 inshore reefs have been impacted by multiple acute disturbance events. Cyclones and storms have caused almost half (48%) of all coral cover losses on inshore reefs since 2005. Unsurprisingly it has been the intense category 4 and 5 systems; cyclone Larry (Wet Tropics and </w:t>
      </w:r>
      <w:r>
        <w:lastRenderedPageBreak/>
        <w:t xml:space="preserve">Burdekin Regions – 2006), cyclone Yasi (Wet Tropics and Burdekin Regions – 2011), and cyclone Debbie (Whitsunday Region – 2017) that have caused the greatest losses. </w:t>
      </w:r>
    </w:p>
    <w:p w14:paraId="53C140E7" w14:textId="77777777" w:rsidR="00532D47" w:rsidRDefault="00532D47" w:rsidP="00532D47">
      <w:r>
        <w:t xml:space="preserve">Loss of coral cover attributed to thermal stress leading to coral bleaching has caused 12.7% of coral cover loss; primarily during 2006 in the Fitzroy region and 2017 in the Wet Tropics region. </w:t>
      </w:r>
    </w:p>
    <w:p w14:paraId="53C140E8" w14:textId="77777777" w:rsidR="00532D47" w:rsidRDefault="00532D47" w:rsidP="00532D47">
      <w:r>
        <w:t xml:space="preserve">Exposure to low salinity flood waters has been limited to two metre depths on reefs south of Great Keppel Island in the Fitzroy region in 2011, and at Snapper Island in 2019. In combination these disturbance events contribute strongly to the declines in the coral cover (Lam </w:t>
      </w:r>
      <w:r w:rsidRPr="4FF5FF20">
        <w:rPr>
          <w:i/>
          <w:iCs/>
        </w:rPr>
        <w:t>et al.</w:t>
      </w:r>
      <w:r>
        <w:t xml:space="preserve"> 2018) and index scores in all regions.</w:t>
      </w:r>
    </w:p>
    <w:p w14:paraId="53C140E9" w14:textId="77777777" w:rsidR="0084273A" w:rsidRDefault="00532D47" w:rsidP="00532D47">
      <w:r>
        <w:t xml:space="preserve">The maintenance of coral community condition requires that recovery process </w:t>
      </w:r>
      <w:r w:rsidR="0084273A">
        <w:t xml:space="preserve">keep pace with the impact of disturbances. For the reef monitoring program, it is important that acute disturbances are identified and quantified primarily to allow the quantification of the resilience of communities to their cumulative impacts. </w:t>
      </w:r>
    </w:p>
    <w:p w14:paraId="53C140EA" w14:textId="77777777" w:rsidR="00D737CF" w:rsidRDefault="0084273A" w:rsidP="00EA3A98">
      <w:r>
        <w:t xml:space="preserve">The quantification of disturbance is largely based on changes in coral cover as a coral community state. </w:t>
      </w:r>
      <w:r w:rsidR="00EA3A98">
        <w:t xml:space="preserve">Each of the remaining indicator metrics has been formulated to limit responsiveness to acute pressures to focus, as directly as possible, on responses to chronic pressures such as water quality. </w:t>
      </w:r>
    </w:p>
    <w:p w14:paraId="53C140EB" w14:textId="77777777" w:rsidR="00EA3A98" w:rsidRDefault="00D737CF" w:rsidP="00EA3A98">
      <w:r>
        <w:t>The reader must be aware, however, that while the categorisation of both acute and chronic pressures helps to focus on reef recovery processes it is inevitable that acute and chronic pressure will interact. In short quantification of acute pressures will include the cumulative response of the identified pressure and any additional sensitivity of the coral community to that pressure as a result of local environmental conditions. Similarly</w:t>
      </w:r>
      <w:r w:rsidR="006E7A16">
        <w:t>,</w:t>
      </w:r>
      <w:r>
        <w:t xml:space="preserve"> minor acute pressures that go unnoticed will potentially confound estimates of chronic pressure.</w:t>
      </w:r>
    </w:p>
    <w:p w14:paraId="53C140EC" w14:textId="77777777" w:rsidR="00CB70F4" w:rsidRPr="00E86CBB" w:rsidRDefault="00CB70F4" w:rsidP="00A84742"/>
    <w:p w14:paraId="53C140ED" w14:textId="77777777" w:rsidR="00A84742" w:rsidRPr="00686163" w:rsidRDefault="00A84742" w:rsidP="00727D87">
      <w:pPr>
        <w:pStyle w:val="Heading3"/>
      </w:pPr>
      <w:bookmarkStart w:id="505" w:name="_Toc526246923"/>
      <w:bookmarkStart w:id="506" w:name="_Ref528137137"/>
      <w:bookmarkStart w:id="507" w:name="_Ref528137171"/>
      <w:bookmarkStart w:id="508" w:name="_Ref528137203"/>
      <w:bookmarkStart w:id="509" w:name="_Toc530654976"/>
      <w:bookmarkStart w:id="510" w:name="_Toc35947133"/>
      <w:r w:rsidRPr="00686163">
        <w:t>Chronic conditions – water quality</w:t>
      </w:r>
      <w:bookmarkEnd w:id="505"/>
      <w:bookmarkEnd w:id="506"/>
      <w:bookmarkEnd w:id="507"/>
      <w:bookmarkEnd w:id="508"/>
      <w:bookmarkEnd w:id="509"/>
      <w:bookmarkEnd w:id="510"/>
    </w:p>
    <w:p w14:paraId="53C140EE" w14:textId="77777777" w:rsidR="00603CE8" w:rsidRDefault="00A84742" w:rsidP="00A84742">
      <w:r w:rsidRPr="006D5116">
        <w:t>Water quality is a summary term for a range of chemical and physical properties of marine waters that exert a fundamental influence on</w:t>
      </w:r>
      <w:r w:rsidR="005E7E1B">
        <w:t xml:space="preserve"> the processes governing </w:t>
      </w:r>
      <w:r w:rsidR="005E7E1B">
        <w:lastRenderedPageBreak/>
        <w:t>ecosyst</w:t>
      </w:r>
      <w:r w:rsidRPr="006D5116">
        <w:t xml:space="preserve">em health. </w:t>
      </w:r>
      <w:r w:rsidRPr="006D5116">
        <w:rPr>
          <w:lang w:val="en-US"/>
        </w:rPr>
        <w:t>Water quality in the inshore Reef shows a strong gradient, improving with distance from the coast and major rivers. Variation in benthic comm</w:t>
      </w:r>
      <w:r w:rsidR="00CA115F">
        <w:rPr>
          <w:lang w:val="en-US"/>
        </w:rPr>
        <w:t>unities on coral reefs along the</w:t>
      </w:r>
      <w:r w:rsidRPr="006D5116">
        <w:rPr>
          <w:lang w:val="en-US"/>
        </w:rPr>
        <w:t>s</w:t>
      </w:r>
      <w:r w:rsidR="00CA115F">
        <w:rPr>
          <w:lang w:val="en-US"/>
        </w:rPr>
        <w:t>e</w:t>
      </w:r>
      <w:r w:rsidRPr="006D5116">
        <w:rPr>
          <w:lang w:val="en-US"/>
        </w:rPr>
        <w:t xml:space="preserve"> gradient</w:t>
      </w:r>
      <w:r w:rsidR="00CA115F">
        <w:rPr>
          <w:lang w:val="en-US"/>
        </w:rPr>
        <w:t>s</w:t>
      </w:r>
      <w:r w:rsidRPr="006D5116">
        <w:rPr>
          <w:lang w:val="en-US"/>
        </w:rPr>
        <w:t xml:space="preserve"> </w:t>
      </w:r>
      <w:r w:rsidR="00CA115F">
        <w:rPr>
          <w:lang w:val="en-US"/>
        </w:rPr>
        <w:t>provides clear</w:t>
      </w:r>
      <w:r w:rsidRPr="006D5116">
        <w:rPr>
          <w:lang w:val="en-US"/>
        </w:rPr>
        <w:t xml:space="preserve"> evidence for the selective pressures imposed by water quality </w:t>
      </w:r>
      <w:r w:rsidRPr="006D5116">
        <w:t xml:space="preserve">(van Woesik &amp; Done 1997, van Woesik </w:t>
      </w:r>
      <w:r w:rsidRPr="006D5116">
        <w:rPr>
          <w:i/>
        </w:rPr>
        <w:t>et al.</w:t>
      </w:r>
      <w:r w:rsidRPr="006D5116">
        <w:t xml:space="preserve"> 1999, Fabricius </w:t>
      </w:r>
      <w:r w:rsidRPr="006D5116">
        <w:rPr>
          <w:i/>
        </w:rPr>
        <w:t>et al.</w:t>
      </w:r>
      <w:r w:rsidRPr="006D5116">
        <w:t xml:space="preserve"> 2005, De’ath &amp; Fabricius 2008, Uthicke </w:t>
      </w:r>
      <w:r w:rsidRPr="006D5116">
        <w:rPr>
          <w:i/>
        </w:rPr>
        <w:t>et al.</w:t>
      </w:r>
      <w:r w:rsidRPr="006D5116">
        <w:t xml:space="preserve"> 2010, Fabricius </w:t>
      </w:r>
      <w:r w:rsidRPr="006D5116">
        <w:rPr>
          <w:i/>
        </w:rPr>
        <w:t>et al.</w:t>
      </w:r>
      <w:r w:rsidRPr="006D5116">
        <w:t xml:space="preserve"> 2012)</w:t>
      </w:r>
      <w:r w:rsidR="00603CE8">
        <w:t xml:space="preserve">. The </w:t>
      </w:r>
      <w:r w:rsidRPr="006D5116">
        <w:t xml:space="preserve">physical properties of the sites such as hydrodynamic conditions and depth </w:t>
      </w:r>
      <w:r w:rsidR="00603CE8">
        <w:t xml:space="preserve">also contribute </w:t>
      </w:r>
      <w:r w:rsidRPr="006D5116">
        <w:t xml:space="preserve">(Uthicke </w:t>
      </w:r>
      <w:r w:rsidRPr="006D5116">
        <w:rPr>
          <w:i/>
        </w:rPr>
        <w:t>et al.</w:t>
      </w:r>
      <w:r w:rsidRPr="006D5116">
        <w:t xml:space="preserve"> 2010, Thompson </w:t>
      </w:r>
      <w:r w:rsidRPr="006D5116">
        <w:rPr>
          <w:i/>
        </w:rPr>
        <w:t>et al.</w:t>
      </w:r>
      <w:r w:rsidRPr="006D5116">
        <w:t xml:space="preserve"> 2010, Browne </w:t>
      </w:r>
      <w:r w:rsidRPr="006D5116">
        <w:rPr>
          <w:i/>
        </w:rPr>
        <w:t>et al</w:t>
      </w:r>
      <w:r w:rsidRPr="006D5116">
        <w:t xml:space="preserve">. 2010). </w:t>
      </w:r>
    </w:p>
    <w:p w14:paraId="53C140EF" w14:textId="77777777" w:rsidR="00A84742" w:rsidRPr="006D5116" w:rsidRDefault="00A84742" w:rsidP="00A84742">
      <w:pPr>
        <w:rPr>
          <w:lang w:val="en-US"/>
        </w:rPr>
      </w:pPr>
      <w:r w:rsidRPr="006D5116">
        <w:rPr>
          <w:lang w:val="en-US"/>
        </w:rPr>
        <w:t>Such gradients are a natural part of the Reef ecosystem, albeit with lower levels of input of run-off-derived pollutants than presently occurs (Belp</w:t>
      </w:r>
      <w:r w:rsidRPr="006D5116">
        <w:t>erio &amp; Searle 1988</w:t>
      </w:r>
      <w:r w:rsidRPr="006D5116">
        <w:rPr>
          <w:lang w:val="en-US"/>
        </w:rPr>
        <w:t xml:space="preserve">, Waters </w:t>
      </w:r>
      <w:r w:rsidRPr="006D5116">
        <w:rPr>
          <w:i/>
          <w:lang w:val="en-US"/>
        </w:rPr>
        <w:t>et al.</w:t>
      </w:r>
      <w:r w:rsidRPr="006D5116">
        <w:rPr>
          <w:lang w:val="en-US"/>
        </w:rPr>
        <w:t xml:space="preserve"> 2014). </w:t>
      </w:r>
      <w:r w:rsidRPr="006D5116" w:rsidDel="00A45D48">
        <w:t xml:space="preserve">The premise underpinning </w:t>
      </w:r>
      <w:r w:rsidRPr="006D5116">
        <w:t xml:space="preserve">the </w:t>
      </w:r>
      <w:r w:rsidRPr="006D5116" w:rsidDel="00A45D48">
        <w:t>Reef</w:t>
      </w:r>
      <w:r w:rsidRPr="006D5116">
        <w:t xml:space="preserve"> 2050 WQIP</w:t>
      </w:r>
      <w:r w:rsidRPr="006D5116" w:rsidDel="00A45D48">
        <w:t xml:space="preserve"> is that </w:t>
      </w:r>
      <w:r w:rsidRPr="006D5116">
        <w:t xml:space="preserve">anthropogenic </w:t>
      </w:r>
      <w:r w:rsidRPr="006D5116" w:rsidDel="00A45D48">
        <w:t xml:space="preserve">contaminant loads delivered by rivers </w:t>
      </w:r>
      <w:r w:rsidRPr="006D5116">
        <w:t xml:space="preserve">create conditions </w:t>
      </w:r>
      <w:r w:rsidR="00211358">
        <w:t>that</w:t>
      </w:r>
      <w:r w:rsidR="00211358" w:rsidRPr="006D5116">
        <w:t xml:space="preserve"> </w:t>
      </w:r>
      <w:r w:rsidRPr="006D5116">
        <w:t xml:space="preserve">suppress the health </w:t>
      </w:r>
      <w:r w:rsidR="00A30A1A" w:rsidRPr="000F363E">
        <w:rPr>
          <w:color w:val="000000" w:themeColor="text1"/>
          <w:lang w:eastAsia="en-GB"/>
        </w:rPr>
        <w:t xml:space="preserve">or </w:t>
      </w:r>
      <w:r w:rsidRPr="006D5116">
        <w:t>resilience of the Reef</w:t>
      </w:r>
      <w:r w:rsidR="00A30A1A">
        <w:t>’</w:t>
      </w:r>
      <w:r w:rsidRPr="006D5116">
        <w:t>s ecosystems</w:t>
      </w:r>
      <w:r w:rsidRPr="006D5116" w:rsidDel="00A45D48">
        <w:t>.</w:t>
      </w:r>
      <w:r w:rsidRPr="006D5116">
        <w:t xml:space="preserve"> </w:t>
      </w:r>
      <w:r w:rsidRPr="006D5116">
        <w:rPr>
          <w:lang w:val="en-US"/>
        </w:rPr>
        <w:t xml:space="preserve">It is the quantification of the compounding influence of run-off on the naturally occurring gradients, and any subsequent improvement under the Reef 2050 WQIP, that is the core focus of the water quality monitoring component of the MMP (see separate report by Gruber </w:t>
      </w:r>
      <w:r w:rsidRPr="006D5116">
        <w:rPr>
          <w:i/>
          <w:lang w:val="en-US"/>
        </w:rPr>
        <w:t>et al</w:t>
      </w:r>
      <w:r w:rsidRPr="006D5116">
        <w:rPr>
          <w:lang w:val="en-US"/>
        </w:rPr>
        <w:t xml:space="preserve">. </w:t>
      </w:r>
      <w:r w:rsidR="005E7E1B" w:rsidRPr="005E7E1B">
        <w:rPr>
          <w:lang w:val="en-US"/>
        </w:rPr>
        <w:t>2020</w:t>
      </w:r>
      <w:r w:rsidRPr="006D5116">
        <w:rPr>
          <w:lang w:val="en-US"/>
        </w:rPr>
        <w:t>).</w:t>
      </w:r>
    </w:p>
    <w:p w14:paraId="53C140F0" w14:textId="77777777" w:rsidR="00A84742" w:rsidRPr="00780E9D" w:rsidRDefault="00A84742" w:rsidP="00A84742">
      <w:r w:rsidRPr="00780E9D">
        <w:t xml:space="preserve">For corals, the pressure relating to land management practices is the ‘state’ of marine water quality, which in turn is influenced by the pressure of contaminant loads entering marine waters as run-off. The MMP river plume monitoring </w:t>
      </w:r>
      <w:r w:rsidRPr="00780E9D">
        <w:rPr>
          <w:lang w:val="en-US"/>
        </w:rPr>
        <w:t xml:space="preserve">(see Gruber </w:t>
      </w:r>
      <w:r w:rsidRPr="00780E9D">
        <w:rPr>
          <w:i/>
          <w:lang w:val="en-US"/>
        </w:rPr>
        <w:t>et al.</w:t>
      </w:r>
      <w:r w:rsidRPr="00780E9D">
        <w:rPr>
          <w:lang w:val="en-US"/>
        </w:rPr>
        <w:t xml:space="preserve"> </w:t>
      </w:r>
      <w:r w:rsidR="005E7E1B" w:rsidRPr="005E7E1B">
        <w:rPr>
          <w:lang w:val="en-US"/>
        </w:rPr>
        <w:t>2020</w:t>
      </w:r>
      <w:r w:rsidRPr="00780E9D">
        <w:rPr>
          <w:lang w:val="en-US"/>
        </w:rPr>
        <w:t xml:space="preserve">) </w:t>
      </w:r>
      <w:r w:rsidRPr="00780E9D">
        <w:t xml:space="preserve">clearly shows that inshore reefs are directly exposed to elevated loads of sediments and nutrients carried by flood plumes. </w:t>
      </w:r>
      <w:r w:rsidR="006E7A16">
        <w:t>Such plumes may be considered acute pressures</w:t>
      </w:r>
      <w:r w:rsidR="00AA734D">
        <w:t>. However, v</w:t>
      </w:r>
      <w:r w:rsidRPr="00780E9D">
        <w:t xml:space="preserve">ariability in nutrient loads delivered to the Reef has not been closely linked to variability in </w:t>
      </w:r>
      <w:r w:rsidR="00A30A1A">
        <w:t xml:space="preserve">ambient </w:t>
      </w:r>
      <w:r w:rsidRPr="00780E9D">
        <w:t>marine water quality conditions. This is not unexpected given the complexity of nutrient cycling that occurs in marine waters, dilution of plumes, and the necessarily sparse sampling regime of the long-term water quality monitoring program.</w:t>
      </w:r>
      <w:r w:rsidR="00AA734D">
        <w:t xml:space="preserve"> Both the cycling of flood delivered loads and the loads delivered during more moderate river flows become a chronic pressure for inshore corals.</w:t>
      </w:r>
    </w:p>
    <w:p w14:paraId="53C140F1" w14:textId="77777777" w:rsidR="00A30A1A" w:rsidRDefault="00A84742" w:rsidP="00A84742">
      <w:pPr>
        <w:rPr>
          <w:color w:val="000000" w:themeColor="text1"/>
          <w:lang w:eastAsia="en-AU"/>
        </w:rPr>
      </w:pPr>
      <w:r w:rsidRPr="000F355C">
        <w:rPr>
          <w:color w:val="000000" w:themeColor="text1"/>
        </w:rPr>
        <w:t>It is evident from the MMP marine water quality time-series, that the</w:t>
      </w:r>
      <w:r w:rsidR="00AA2FBE" w:rsidRPr="000F355C">
        <w:rPr>
          <w:color w:val="000000" w:themeColor="text1"/>
        </w:rPr>
        <w:t xml:space="preserve">re have been </w:t>
      </w:r>
      <w:r w:rsidR="00723E7C" w:rsidRPr="000F355C">
        <w:rPr>
          <w:color w:val="000000" w:themeColor="text1"/>
        </w:rPr>
        <w:t>general increases in o</w:t>
      </w:r>
      <w:r w:rsidRPr="000F355C">
        <w:rPr>
          <w:color w:val="000000" w:themeColor="text1"/>
        </w:rPr>
        <w:t>xidised forms of dissolved nitrogen (NOx) and dis</w:t>
      </w:r>
      <w:r w:rsidRPr="000F355C">
        <w:rPr>
          <w:color w:val="000000" w:themeColor="text1"/>
        </w:rPr>
        <w:lastRenderedPageBreak/>
        <w:t xml:space="preserve">solved organic carbon (DOC). </w:t>
      </w:r>
      <w:r w:rsidRPr="000F355C">
        <w:rPr>
          <w:color w:val="000000" w:themeColor="text1"/>
          <w:lang w:eastAsia="en-AU"/>
        </w:rPr>
        <w:t xml:space="preserve">Lønborg </w:t>
      </w:r>
      <w:r w:rsidRPr="000F355C">
        <w:rPr>
          <w:i/>
          <w:color w:val="000000" w:themeColor="text1"/>
          <w:lang w:eastAsia="en-AU"/>
        </w:rPr>
        <w:t>et al.</w:t>
      </w:r>
      <w:r w:rsidRPr="000F355C">
        <w:rPr>
          <w:color w:val="000000" w:themeColor="text1"/>
          <w:lang w:eastAsia="en-AU"/>
        </w:rPr>
        <w:t xml:space="preserve"> (2015) suggest that these </w:t>
      </w:r>
      <w:r w:rsidRPr="000F355C">
        <w:rPr>
          <w:color w:val="000000" w:themeColor="text1"/>
        </w:rPr>
        <w:t xml:space="preserve">observations indicate changes in the </w:t>
      </w:r>
      <w:r w:rsidRPr="000F355C">
        <w:rPr>
          <w:color w:val="000000" w:themeColor="text1"/>
          <w:lang w:eastAsia="en-AU"/>
        </w:rPr>
        <w:t>carbon and nutrient cycling processes in the Reef lagoon, although the detailed understanding of these processes remains elusive.</w:t>
      </w:r>
      <w:r w:rsidR="00723E7C" w:rsidRPr="000F355C">
        <w:rPr>
          <w:color w:val="000000" w:themeColor="text1"/>
          <w:lang w:eastAsia="en-AU"/>
        </w:rPr>
        <w:t xml:space="preserve"> </w:t>
      </w:r>
    </w:p>
    <w:p w14:paraId="53C140F2" w14:textId="77777777" w:rsidR="00A84742" w:rsidRPr="000F355C" w:rsidRDefault="00723E7C" w:rsidP="00A84742">
      <w:pPr>
        <w:rPr>
          <w:color w:val="000000" w:themeColor="text1"/>
          <w:lang w:eastAsia="en-AU"/>
        </w:rPr>
      </w:pPr>
      <w:r w:rsidRPr="000F355C">
        <w:rPr>
          <w:color w:val="000000" w:themeColor="text1"/>
          <w:lang w:eastAsia="en-AU"/>
        </w:rPr>
        <w:t xml:space="preserve">Of direct relevance to corals is that </w:t>
      </w:r>
      <w:r w:rsidR="00CF5C43" w:rsidRPr="000F355C">
        <w:rPr>
          <w:color w:val="000000" w:themeColor="text1"/>
          <w:lang w:eastAsia="en-AU"/>
        </w:rPr>
        <w:t xml:space="preserve">both </w:t>
      </w:r>
      <w:r w:rsidRPr="000F355C">
        <w:rPr>
          <w:color w:val="000000" w:themeColor="text1"/>
          <w:lang w:eastAsia="en-AU"/>
        </w:rPr>
        <w:t xml:space="preserve">increased DOC </w:t>
      </w:r>
      <w:r w:rsidR="00CF5C43" w:rsidRPr="000F355C">
        <w:rPr>
          <w:color w:val="000000" w:themeColor="text1"/>
          <w:lang w:eastAsia="en-AU"/>
        </w:rPr>
        <w:t xml:space="preserve">and nutrient </w:t>
      </w:r>
      <w:r w:rsidRPr="000F355C">
        <w:rPr>
          <w:color w:val="000000" w:themeColor="text1"/>
          <w:lang w:eastAsia="en-AU"/>
        </w:rPr>
        <w:t>concentration</w:t>
      </w:r>
      <w:r w:rsidR="00CF5C43" w:rsidRPr="000F355C">
        <w:rPr>
          <w:color w:val="000000" w:themeColor="text1"/>
          <w:lang w:eastAsia="en-AU"/>
        </w:rPr>
        <w:t>s</w:t>
      </w:r>
      <w:r w:rsidR="0013394F">
        <w:rPr>
          <w:color w:val="000000" w:themeColor="text1"/>
          <w:lang w:eastAsia="en-AU"/>
        </w:rPr>
        <w:t xml:space="preserve"> have</w:t>
      </w:r>
      <w:r w:rsidRPr="000F355C">
        <w:rPr>
          <w:color w:val="000000" w:themeColor="text1"/>
          <w:lang w:eastAsia="en-AU"/>
        </w:rPr>
        <w:t xml:space="preserve"> been shown to influence the microbiome of corals with potential to shift microbial fauna to a more pathogenic state </w:t>
      </w:r>
      <w:r w:rsidRPr="001F66EA">
        <w:rPr>
          <w:color w:val="000000" w:themeColor="text1"/>
          <w:lang w:eastAsia="en-AU"/>
        </w:rPr>
        <w:t>(</w:t>
      </w:r>
      <w:r w:rsidR="001F66EA" w:rsidRPr="001F66EA">
        <w:rPr>
          <w:color w:val="000000" w:themeColor="text1"/>
        </w:rPr>
        <w:t xml:space="preserve">Kline </w:t>
      </w:r>
      <w:r w:rsidR="001F66EA" w:rsidRPr="001F66EA">
        <w:rPr>
          <w:i/>
          <w:color w:val="000000" w:themeColor="text1"/>
        </w:rPr>
        <w:t>et al.</w:t>
      </w:r>
      <w:r w:rsidR="001F66EA" w:rsidRPr="001F66EA">
        <w:rPr>
          <w:color w:val="000000" w:themeColor="text1"/>
        </w:rPr>
        <w:t xml:space="preserve"> 2006, Kuntz </w:t>
      </w:r>
      <w:r w:rsidR="001F66EA" w:rsidRPr="001F66EA">
        <w:rPr>
          <w:i/>
          <w:color w:val="000000" w:themeColor="text1"/>
        </w:rPr>
        <w:t>et al.</w:t>
      </w:r>
      <w:r w:rsidR="001F66EA" w:rsidRPr="001F66EA">
        <w:rPr>
          <w:color w:val="000000" w:themeColor="text1"/>
        </w:rPr>
        <w:t xml:space="preserve"> 2005, </w:t>
      </w:r>
      <w:r w:rsidRPr="001F66EA">
        <w:rPr>
          <w:color w:val="000000" w:themeColor="text1"/>
          <w:lang w:eastAsia="en-AU"/>
        </w:rPr>
        <w:t xml:space="preserve">Vega </w:t>
      </w:r>
      <w:r w:rsidRPr="000F355C">
        <w:rPr>
          <w:color w:val="000000" w:themeColor="text1"/>
          <w:lang w:eastAsia="en-AU"/>
        </w:rPr>
        <w:t xml:space="preserve">Thurber </w:t>
      </w:r>
      <w:r w:rsidRPr="00C8724B">
        <w:rPr>
          <w:i/>
          <w:color w:val="000000" w:themeColor="text1"/>
          <w:lang w:eastAsia="en-AU"/>
        </w:rPr>
        <w:t>et al.</w:t>
      </w:r>
      <w:r w:rsidRPr="000F355C">
        <w:rPr>
          <w:color w:val="000000" w:themeColor="text1"/>
          <w:lang w:eastAsia="en-AU"/>
        </w:rPr>
        <w:t xml:space="preserve"> 2009).</w:t>
      </w:r>
      <w:r w:rsidR="00CF5C43" w:rsidRPr="000F355C">
        <w:rPr>
          <w:color w:val="000000" w:themeColor="text1"/>
          <w:lang w:eastAsia="en-AU"/>
        </w:rPr>
        <w:t xml:space="preserve"> An emerging concept is that </w:t>
      </w:r>
      <w:r w:rsidR="001C4622">
        <w:rPr>
          <w:color w:val="000000" w:themeColor="text1"/>
          <w:lang w:eastAsia="en-AU"/>
        </w:rPr>
        <w:t>dissolved inorganic nitrogen (</w:t>
      </w:r>
      <w:r w:rsidR="00CF5C43" w:rsidRPr="000F355C">
        <w:rPr>
          <w:color w:val="000000" w:themeColor="text1"/>
          <w:lang w:eastAsia="en-AU"/>
        </w:rPr>
        <w:t>DIN</w:t>
      </w:r>
      <w:r w:rsidR="001C4622">
        <w:rPr>
          <w:color w:val="000000" w:themeColor="text1"/>
          <w:lang w:eastAsia="en-AU"/>
        </w:rPr>
        <w:t>)</w:t>
      </w:r>
      <w:r w:rsidR="00CF5C43" w:rsidRPr="000F355C">
        <w:rPr>
          <w:color w:val="000000" w:themeColor="text1"/>
          <w:lang w:eastAsia="en-AU"/>
        </w:rPr>
        <w:t xml:space="preserve"> enrichment can lead to an imbalance in the N:P ratios </w:t>
      </w:r>
      <w:r w:rsidR="00FB79AB" w:rsidRPr="000F355C">
        <w:rPr>
          <w:color w:val="000000" w:themeColor="text1"/>
          <w:lang w:eastAsia="en-AU"/>
        </w:rPr>
        <w:t>within the cora</w:t>
      </w:r>
      <w:r w:rsidR="002D5986" w:rsidRPr="000F355C">
        <w:rPr>
          <w:color w:val="000000" w:themeColor="text1"/>
          <w:lang w:eastAsia="en-AU"/>
        </w:rPr>
        <w:t>ls symbiotic algae that results in reduced flow of carbon between the coral and symbionts</w:t>
      </w:r>
      <w:r w:rsidR="00A30A1A">
        <w:rPr>
          <w:color w:val="000000" w:themeColor="text1"/>
          <w:lang w:eastAsia="en-AU"/>
        </w:rPr>
        <w:t xml:space="preserve"> that in turn</w:t>
      </w:r>
      <w:r w:rsidR="002D5986" w:rsidRPr="000F355C">
        <w:rPr>
          <w:color w:val="000000" w:themeColor="text1"/>
          <w:lang w:eastAsia="en-AU"/>
        </w:rPr>
        <w:t xml:space="preserve"> increas</w:t>
      </w:r>
      <w:r w:rsidR="00A30A1A">
        <w:rPr>
          <w:color w:val="000000" w:themeColor="text1"/>
          <w:lang w:eastAsia="en-AU"/>
        </w:rPr>
        <w:t xml:space="preserve">es their </w:t>
      </w:r>
      <w:r w:rsidR="002D5986" w:rsidRPr="000F355C">
        <w:rPr>
          <w:color w:val="000000" w:themeColor="text1"/>
          <w:lang w:eastAsia="en-AU"/>
        </w:rPr>
        <w:t>susceptibility to thermal stress and reduc</w:t>
      </w:r>
      <w:r w:rsidR="00A30A1A">
        <w:rPr>
          <w:color w:val="000000" w:themeColor="text1"/>
          <w:lang w:eastAsia="en-AU"/>
        </w:rPr>
        <w:t xml:space="preserve">es </w:t>
      </w:r>
      <w:r w:rsidR="002D5986" w:rsidRPr="000F355C">
        <w:rPr>
          <w:color w:val="000000" w:themeColor="text1"/>
          <w:lang w:eastAsia="en-AU"/>
        </w:rPr>
        <w:t>energy required for recovery (</w:t>
      </w:r>
      <w:r w:rsidR="00EE5717" w:rsidRPr="000F355C">
        <w:rPr>
          <w:color w:val="000000" w:themeColor="text1"/>
          <w:lang w:eastAsia="en-AU"/>
        </w:rPr>
        <w:t xml:space="preserve">Morris </w:t>
      </w:r>
      <w:r w:rsidR="00EE5717" w:rsidRPr="000F355C">
        <w:rPr>
          <w:i/>
          <w:color w:val="000000" w:themeColor="text1"/>
          <w:lang w:eastAsia="en-AU"/>
        </w:rPr>
        <w:t>et al</w:t>
      </w:r>
      <w:r w:rsidR="00EE5717" w:rsidRPr="000F355C">
        <w:rPr>
          <w:color w:val="000000" w:themeColor="text1"/>
          <w:lang w:eastAsia="en-AU"/>
        </w:rPr>
        <w:t>. 2019</w:t>
      </w:r>
      <w:r w:rsidR="002D5986" w:rsidRPr="000F355C">
        <w:rPr>
          <w:color w:val="000000" w:themeColor="text1"/>
          <w:lang w:eastAsia="en-AU"/>
        </w:rPr>
        <w:t>).</w:t>
      </w:r>
      <w:r w:rsidR="0013394F">
        <w:rPr>
          <w:color w:val="000000" w:themeColor="text1"/>
          <w:lang w:eastAsia="en-AU"/>
        </w:rPr>
        <w:t xml:space="preserve"> </w:t>
      </w:r>
      <w:r w:rsidR="002D5986" w:rsidRPr="000F355C">
        <w:rPr>
          <w:color w:val="000000" w:themeColor="text1"/>
          <w:lang w:eastAsia="en-AU"/>
        </w:rPr>
        <w:t xml:space="preserve">Perversely, given energy supplied to the coral is in the form of DOC, elevated water column concentration of DOC </w:t>
      </w:r>
      <w:r w:rsidR="00EE5717" w:rsidRPr="000F355C">
        <w:rPr>
          <w:color w:val="000000" w:themeColor="text1"/>
          <w:lang w:eastAsia="en-AU"/>
        </w:rPr>
        <w:t xml:space="preserve">has also been shown to stimulate nitrogen fixation by cyanobacteria within corals </w:t>
      </w:r>
      <w:r w:rsidR="00A30A1A">
        <w:rPr>
          <w:color w:val="000000" w:themeColor="text1"/>
          <w:lang w:eastAsia="en-AU"/>
        </w:rPr>
        <w:t xml:space="preserve">that </w:t>
      </w:r>
      <w:r w:rsidR="00EE5717" w:rsidRPr="000F355C">
        <w:rPr>
          <w:color w:val="000000" w:themeColor="text1"/>
          <w:lang w:eastAsia="en-AU"/>
        </w:rPr>
        <w:t>further enhances the availability of N to algal symbionts (</w:t>
      </w:r>
      <w:r w:rsidR="00EE5717" w:rsidRPr="000F355C">
        <w:rPr>
          <w:color w:val="000000" w:themeColor="text1"/>
        </w:rPr>
        <w:t xml:space="preserve">Pogoreutz </w:t>
      </w:r>
      <w:r w:rsidR="00EE5717" w:rsidRPr="000F355C">
        <w:rPr>
          <w:i/>
          <w:color w:val="000000" w:themeColor="text1"/>
        </w:rPr>
        <w:t>et al</w:t>
      </w:r>
      <w:r w:rsidR="00EE5717" w:rsidRPr="000F355C">
        <w:rPr>
          <w:color w:val="000000" w:themeColor="text1"/>
        </w:rPr>
        <w:t>. 2017)</w:t>
      </w:r>
      <w:r w:rsidR="00EE5717" w:rsidRPr="000F355C">
        <w:rPr>
          <w:color w:val="000000" w:themeColor="text1"/>
          <w:lang w:eastAsia="en-AU"/>
        </w:rPr>
        <w:t xml:space="preserve">. </w:t>
      </w:r>
      <w:r w:rsidR="00A30A1A">
        <w:rPr>
          <w:color w:val="000000" w:themeColor="text1"/>
          <w:lang w:eastAsia="en-AU"/>
        </w:rPr>
        <w:t xml:space="preserve">In general, the NOx concentrations observed </w:t>
      </w:r>
      <w:r w:rsidR="0060145D">
        <w:rPr>
          <w:color w:val="000000" w:themeColor="text1"/>
          <w:lang w:eastAsia="en-AU"/>
        </w:rPr>
        <w:t>are low in comparison to P concentration and so unlikely to directly cause imbalance in N:P ratio, the role of increased DOC h</w:t>
      </w:r>
      <w:r w:rsidR="00EE5717" w:rsidRPr="000F355C">
        <w:rPr>
          <w:color w:val="000000" w:themeColor="text1"/>
          <w:lang w:eastAsia="en-AU"/>
        </w:rPr>
        <w:t>owever,</w:t>
      </w:r>
      <w:r w:rsidR="0060145D">
        <w:rPr>
          <w:color w:val="000000" w:themeColor="text1"/>
          <w:lang w:eastAsia="en-AU"/>
        </w:rPr>
        <w:t xml:space="preserve"> remains unknown</w:t>
      </w:r>
      <w:r w:rsidR="000F355C" w:rsidRPr="000F355C">
        <w:rPr>
          <w:color w:val="000000" w:themeColor="text1"/>
          <w:lang w:eastAsia="en-AU"/>
        </w:rPr>
        <w:t>.</w:t>
      </w:r>
    </w:p>
    <w:p w14:paraId="53C140F3" w14:textId="77777777" w:rsidR="00AC501F" w:rsidRDefault="00A84742" w:rsidP="00A84742">
      <w:r w:rsidRPr="00780E9D">
        <w:rPr>
          <w:lang w:eastAsia="en-AU"/>
        </w:rPr>
        <w:t>T</w:t>
      </w:r>
      <w:r w:rsidRPr="00780E9D">
        <w:t>urbidity in the Reef lagoon is strongly influenced by variations in the inflow of particles from the catchment and resuspension by wind, currents</w:t>
      </w:r>
      <w:r w:rsidR="000F561F">
        <w:t>,</w:t>
      </w:r>
      <w:r w:rsidRPr="00780E9D">
        <w:t xml:space="preserve"> and tides (Larcombe </w:t>
      </w:r>
      <w:r w:rsidRPr="00780E9D">
        <w:rPr>
          <w:i/>
        </w:rPr>
        <w:t>et al.</w:t>
      </w:r>
      <w:r w:rsidRPr="00780E9D">
        <w:t xml:space="preserve"> 1995). The trends emerging from the MMP support other studies showing that the additional flux of fine sediment imported by rivers remains in the coastal zone for periods of months to years leading to chronically elevated turbidity (Wolanski </w:t>
      </w:r>
      <w:r w:rsidRPr="00780E9D">
        <w:rPr>
          <w:i/>
        </w:rPr>
        <w:t>et al.</w:t>
      </w:r>
      <w:r w:rsidRPr="00780E9D">
        <w:t xml:space="preserve"> 2008, Lambrechts </w:t>
      </w:r>
      <w:r w:rsidRPr="00780E9D">
        <w:rPr>
          <w:i/>
        </w:rPr>
        <w:t>et al.</w:t>
      </w:r>
      <w:r w:rsidRPr="00780E9D">
        <w:t xml:space="preserve"> 2010, Brodie </w:t>
      </w:r>
      <w:r w:rsidRPr="00780E9D">
        <w:rPr>
          <w:i/>
        </w:rPr>
        <w:t>et al</w:t>
      </w:r>
      <w:r w:rsidRPr="00780E9D">
        <w:t xml:space="preserve">. 2012a, Thompson </w:t>
      </w:r>
      <w:r w:rsidRPr="00780E9D">
        <w:rPr>
          <w:i/>
        </w:rPr>
        <w:t>et al.</w:t>
      </w:r>
      <w:r w:rsidRPr="00780E9D">
        <w:t xml:space="preserve"> 2014a, Fabricius </w:t>
      </w:r>
      <w:r w:rsidRPr="00780E9D">
        <w:rPr>
          <w:i/>
        </w:rPr>
        <w:t>et al.</w:t>
      </w:r>
      <w:r w:rsidRPr="00780E9D">
        <w:t xml:space="preserve"> 2013a, Fabricius </w:t>
      </w:r>
      <w:r w:rsidRPr="00780E9D">
        <w:rPr>
          <w:i/>
        </w:rPr>
        <w:t>et al.</w:t>
      </w:r>
      <w:r w:rsidRPr="00780E9D">
        <w:t xml:space="preserve"> 2014, Fabricius </w:t>
      </w:r>
      <w:r w:rsidRPr="00780E9D">
        <w:rPr>
          <w:i/>
        </w:rPr>
        <w:t>et al.</w:t>
      </w:r>
      <w:r w:rsidRPr="00780E9D">
        <w:t xml:space="preserve"> 2016). Any increase in turbidity associated with run-off will reduce the level of photosynthetically active radiation reaching the benthos</w:t>
      </w:r>
      <w:r w:rsidR="00CA115F">
        <w:t xml:space="preserve">; </w:t>
      </w:r>
      <w:r w:rsidRPr="00780E9D">
        <w:t xml:space="preserve">a primary energy source for corals and so a key factor limiting coral productivity and growth (Cooper </w:t>
      </w:r>
      <w:r w:rsidRPr="00780E9D">
        <w:rPr>
          <w:i/>
        </w:rPr>
        <w:t>et al.</w:t>
      </w:r>
      <w:r w:rsidRPr="00780E9D">
        <w:t xml:space="preserve"> 2007, Muir </w:t>
      </w:r>
      <w:r w:rsidRPr="00780E9D">
        <w:rPr>
          <w:i/>
        </w:rPr>
        <w:t>et al.</w:t>
      </w:r>
      <w:r w:rsidRPr="00780E9D">
        <w:t xml:space="preserve"> 2015).</w:t>
      </w:r>
    </w:p>
    <w:p w14:paraId="53C140F4" w14:textId="77777777" w:rsidR="00A84742" w:rsidRPr="00CE4E0F" w:rsidRDefault="00A84742" w:rsidP="006F1D4F">
      <w:pPr>
        <w:pStyle w:val="Heading2"/>
      </w:pPr>
      <w:bookmarkStart w:id="511" w:name="_Toc471376418"/>
      <w:bookmarkStart w:id="512" w:name="_Toc526246924"/>
      <w:bookmarkStart w:id="513" w:name="_Ref528137142"/>
      <w:bookmarkStart w:id="514" w:name="_Ref528137147"/>
      <w:bookmarkStart w:id="515" w:name="_Ref528137159"/>
      <w:bookmarkStart w:id="516" w:name="_Toc530654977"/>
      <w:bookmarkStart w:id="517" w:name="_Toc35947134"/>
      <w:r w:rsidRPr="00CE4E0F">
        <w:lastRenderedPageBreak/>
        <w:t>Ecosystem State</w:t>
      </w:r>
      <w:bookmarkEnd w:id="511"/>
      <w:bookmarkEnd w:id="512"/>
      <w:bookmarkEnd w:id="513"/>
      <w:bookmarkEnd w:id="514"/>
      <w:bookmarkEnd w:id="515"/>
      <w:bookmarkEnd w:id="516"/>
      <w:bookmarkEnd w:id="517"/>
    </w:p>
    <w:p w14:paraId="53C140F5" w14:textId="77777777" w:rsidR="00A84742" w:rsidRPr="00CE4E0F" w:rsidRDefault="00A84742" w:rsidP="00727D87">
      <w:pPr>
        <w:pStyle w:val="Heading3"/>
      </w:pPr>
      <w:bookmarkStart w:id="518" w:name="_Toc526246925"/>
      <w:bookmarkStart w:id="519" w:name="_Toc530654978"/>
      <w:bookmarkStart w:id="520" w:name="_Toc35947135"/>
      <w:r w:rsidRPr="00CE4E0F">
        <w:t>Coral condition based on the index</w:t>
      </w:r>
      <w:bookmarkEnd w:id="518"/>
      <w:bookmarkEnd w:id="519"/>
      <w:bookmarkEnd w:id="520"/>
    </w:p>
    <w:p w14:paraId="53C140F6" w14:textId="77777777" w:rsidR="00A44EF5" w:rsidRPr="00AA734D" w:rsidRDefault="000F355C" w:rsidP="00A84742">
      <w:pPr>
        <w:rPr>
          <w:color w:val="000000" w:themeColor="text1"/>
        </w:rPr>
      </w:pPr>
      <w:r w:rsidRPr="000F355C">
        <w:rPr>
          <w:color w:val="000000" w:themeColor="text1"/>
        </w:rPr>
        <w:t>In 2019</w:t>
      </w:r>
      <w:r w:rsidR="00A84742" w:rsidRPr="000F355C">
        <w:rPr>
          <w:color w:val="000000" w:themeColor="text1"/>
        </w:rPr>
        <w:t xml:space="preserve"> coral condition scores </w:t>
      </w:r>
      <w:r w:rsidRPr="000F355C">
        <w:rPr>
          <w:color w:val="000000" w:themeColor="text1"/>
        </w:rPr>
        <w:t xml:space="preserve">at two metre depths </w:t>
      </w:r>
      <w:r w:rsidR="00A84742" w:rsidRPr="000F355C">
        <w:rPr>
          <w:color w:val="000000" w:themeColor="text1"/>
        </w:rPr>
        <w:t xml:space="preserve">were inversely related to the </w:t>
      </w:r>
      <w:r w:rsidRPr="000F355C">
        <w:rPr>
          <w:color w:val="000000" w:themeColor="text1"/>
        </w:rPr>
        <w:t>concentration of Chl</w:t>
      </w:r>
      <w:r w:rsidR="00097540">
        <w:rPr>
          <w:color w:val="000000" w:themeColor="text1"/>
        </w:rPr>
        <w:t>orophyll</w:t>
      </w:r>
      <w:r w:rsidRPr="000F355C">
        <w:rPr>
          <w:color w:val="000000" w:themeColor="text1"/>
        </w:rPr>
        <w:t xml:space="preserve"> </w:t>
      </w:r>
      <w:r w:rsidRPr="000F355C">
        <w:rPr>
          <w:i/>
          <w:color w:val="000000" w:themeColor="text1"/>
        </w:rPr>
        <w:t>a</w:t>
      </w:r>
      <w:r w:rsidR="00A84742" w:rsidRPr="000F355C">
        <w:rPr>
          <w:color w:val="000000" w:themeColor="text1"/>
        </w:rPr>
        <w:t xml:space="preserve"> </w:t>
      </w:r>
      <w:r w:rsidR="001C4622">
        <w:rPr>
          <w:color w:val="000000" w:themeColor="text1"/>
        </w:rPr>
        <w:t xml:space="preserve">(Chl </w:t>
      </w:r>
      <w:r w:rsidR="001C4622" w:rsidRPr="001C4622">
        <w:rPr>
          <w:i/>
          <w:color w:val="000000" w:themeColor="text1"/>
        </w:rPr>
        <w:t>a</w:t>
      </w:r>
      <w:r w:rsidR="001C4622">
        <w:rPr>
          <w:color w:val="000000" w:themeColor="text1"/>
        </w:rPr>
        <w:t xml:space="preserve">) </w:t>
      </w:r>
      <w:r w:rsidR="00097540">
        <w:rPr>
          <w:color w:val="000000" w:themeColor="text1"/>
        </w:rPr>
        <w:t>and non-algal particulates</w:t>
      </w:r>
      <w:r w:rsidRPr="000F355C">
        <w:rPr>
          <w:color w:val="000000" w:themeColor="text1"/>
        </w:rPr>
        <w:t xml:space="preserve"> </w:t>
      </w:r>
      <w:r w:rsidR="001C4622">
        <w:rPr>
          <w:color w:val="000000" w:themeColor="text1"/>
        </w:rPr>
        <w:t xml:space="preserve">(NAP) </w:t>
      </w:r>
      <w:r w:rsidRPr="000F355C">
        <w:rPr>
          <w:color w:val="000000" w:themeColor="text1"/>
        </w:rPr>
        <w:t>in surrounding water</w:t>
      </w:r>
      <w:r w:rsidR="00736C68">
        <w:rPr>
          <w:color w:val="000000" w:themeColor="text1"/>
        </w:rPr>
        <w:t>s</w:t>
      </w:r>
      <w:r w:rsidR="00A84742" w:rsidRPr="00CE4E0F">
        <w:rPr>
          <w:color w:val="548DD4" w:themeColor="text2" w:themeTint="99"/>
        </w:rPr>
        <w:t xml:space="preserve">. </w:t>
      </w:r>
      <w:r w:rsidR="00736C68" w:rsidRPr="00A44EF5">
        <w:rPr>
          <w:color w:val="000000" w:themeColor="text1"/>
        </w:rPr>
        <w:t xml:space="preserve">This relationship was not consistent among regions or the individual indicators, but most strongly influenced by negative relationships between coral cover </w:t>
      </w:r>
      <w:r w:rsidR="00097540" w:rsidRPr="00A44EF5">
        <w:rPr>
          <w:color w:val="000000" w:themeColor="text1"/>
        </w:rPr>
        <w:t xml:space="preserve">and water quality </w:t>
      </w:r>
      <w:r w:rsidR="00736C68" w:rsidRPr="00A44EF5">
        <w:rPr>
          <w:color w:val="000000" w:themeColor="text1"/>
        </w:rPr>
        <w:t xml:space="preserve">in the Wet Tropics and Fitzroy regions. At five metre depth no overall relationship between index scores and Chl </w:t>
      </w:r>
      <w:r w:rsidR="00736C68" w:rsidRPr="00EA3A98">
        <w:rPr>
          <w:i/>
          <w:color w:val="000000" w:themeColor="text1"/>
        </w:rPr>
        <w:t>a</w:t>
      </w:r>
      <w:r w:rsidR="00736C68" w:rsidRPr="00A44EF5">
        <w:rPr>
          <w:color w:val="000000" w:themeColor="text1"/>
        </w:rPr>
        <w:t xml:space="preserve"> level </w:t>
      </w:r>
      <w:r w:rsidR="00097540" w:rsidRPr="00A44EF5">
        <w:rPr>
          <w:color w:val="000000" w:themeColor="text1"/>
        </w:rPr>
        <w:t>was</w:t>
      </w:r>
      <w:r w:rsidR="00736C68" w:rsidRPr="00A44EF5">
        <w:rPr>
          <w:color w:val="000000" w:themeColor="text1"/>
        </w:rPr>
        <w:t xml:space="preserve"> observed</w:t>
      </w:r>
      <w:r w:rsidR="00097540" w:rsidRPr="00A44EF5">
        <w:rPr>
          <w:color w:val="000000" w:themeColor="text1"/>
        </w:rPr>
        <w:t>, however</w:t>
      </w:r>
      <w:r w:rsidR="00736C68" w:rsidRPr="00A44EF5">
        <w:rPr>
          <w:color w:val="000000" w:themeColor="text1"/>
        </w:rPr>
        <w:t xml:space="preserve"> macroalgae scores did decline with increasin</w:t>
      </w:r>
      <w:r w:rsidR="00097540" w:rsidRPr="00A44EF5">
        <w:rPr>
          <w:color w:val="000000" w:themeColor="text1"/>
        </w:rPr>
        <w:t xml:space="preserve">g Chl </w:t>
      </w:r>
      <w:r w:rsidR="00097540" w:rsidRPr="00EA3A98">
        <w:rPr>
          <w:i/>
          <w:color w:val="000000" w:themeColor="text1"/>
        </w:rPr>
        <w:t>a</w:t>
      </w:r>
      <w:r w:rsidR="00097540" w:rsidRPr="00A44EF5">
        <w:rPr>
          <w:color w:val="000000" w:themeColor="text1"/>
        </w:rPr>
        <w:t xml:space="preserve"> concentration</w:t>
      </w:r>
      <w:r w:rsidR="00736C68" w:rsidRPr="00A44EF5">
        <w:rPr>
          <w:color w:val="000000" w:themeColor="text1"/>
        </w:rPr>
        <w:t>, although this relationsh</w:t>
      </w:r>
      <w:r w:rsidR="00097540" w:rsidRPr="00A44EF5">
        <w:rPr>
          <w:color w:val="000000" w:themeColor="text1"/>
        </w:rPr>
        <w:t>ip was</w:t>
      </w:r>
      <w:r w:rsidR="00A44EF5" w:rsidRPr="00A44EF5">
        <w:rPr>
          <w:color w:val="000000" w:themeColor="text1"/>
        </w:rPr>
        <w:t>, again,</w:t>
      </w:r>
      <w:r w:rsidR="00097540" w:rsidRPr="00A44EF5">
        <w:rPr>
          <w:color w:val="000000" w:themeColor="text1"/>
        </w:rPr>
        <w:t xml:space="preserve"> variable within regions. In contrast, juvenile scores increased with Chl </w:t>
      </w:r>
      <w:r w:rsidR="00097540" w:rsidRPr="00EA3A98">
        <w:rPr>
          <w:i/>
          <w:color w:val="000000" w:themeColor="text1"/>
        </w:rPr>
        <w:t>a</w:t>
      </w:r>
      <w:r w:rsidR="00097540" w:rsidRPr="00A44EF5">
        <w:rPr>
          <w:color w:val="000000" w:themeColor="text1"/>
        </w:rPr>
        <w:t xml:space="preserve"> concentration, due largely to high recruitment of the </w:t>
      </w:r>
      <w:r w:rsidR="00097540" w:rsidRPr="00A44EF5">
        <w:rPr>
          <w:i/>
          <w:color w:val="000000" w:themeColor="text1"/>
        </w:rPr>
        <w:t xml:space="preserve">Turbinaria </w:t>
      </w:r>
      <w:r w:rsidR="00097540" w:rsidRPr="00A44EF5">
        <w:rPr>
          <w:color w:val="000000" w:themeColor="text1"/>
        </w:rPr>
        <w:t xml:space="preserve">at some high Chl </w:t>
      </w:r>
      <w:r w:rsidR="00097540" w:rsidRPr="00EA3A98">
        <w:rPr>
          <w:i/>
          <w:color w:val="000000" w:themeColor="text1"/>
        </w:rPr>
        <w:t>a</w:t>
      </w:r>
      <w:r w:rsidR="00097540" w:rsidRPr="00A44EF5">
        <w:rPr>
          <w:color w:val="000000" w:themeColor="text1"/>
        </w:rPr>
        <w:t xml:space="preserve"> concentration reefs in the Herbert </w:t>
      </w:r>
      <w:r w:rsidR="008E17A4">
        <w:rPr>
          <w:color w:val="000000" w:themeColor="text1"/>
        </w:rPr>
        <w:t xml:space="preserve">Tully </w:t>
      </w:r>
      <w:r w:rsidR="00097540" w:rsidRPr="00A44EF5">
        <w:rPr>
          <w:color w:val="000000" w:themeColor="text1"/>
        </w:rPr>
        <w:t>sub-region and Burdekin region</w:t>
      </w:r>
      <w:r w:rsidR="00097540" w:rsidRPr="00AA734D">
        <w:rPr>
          <w:color w:val="000000" w:themeColor="text1"/>
        </w:rPr>
        <w:t xml:space="preserve">. </w:t>
      </w:r>
    </w:p>
    <w:p w14:paraId="53C140F7" w14:textId="77777777" w:rsidR="00E84FFC" w:rsidRDefault="4FF5FF20" w:rsidP="4FF5FF20">
      <w:pPr>
        <w:rPr>
          <w:color w:val="000000" w:themeColor="text1"/>
        </w:rPr>
      </w:pPr>
      <w:r w:rsidRPr="4FF5FF20">
        <w:rPr>
          <w:color w:val="000000" w:themeColor="text1"/>
        </w:rPr>
        <w:t xml:space="preserve">Stronger relationships between current scores and water quality gradients are limited by two primary factors. Firstly, the severe impact </w:t>
      </w:r>
      <w:r w:rsidR="00AA734D">
        <w:rPr>
          <w:color w:val="000000" w:themeColor="text1"/>
        </w:rPr>
        <w:t xml:space="preserve">of </w:t>
      </w:r>
      <w:r w:rsidR="00EA3A98">
        <w:rPr>
          <w:color w:val="000000" w:themeColor="text1"/>
        </w:rPr>
        <w:t xml:space="preserve">disturbance events such as </w:t>
      </w:r>
      <w:r w:rsidRPr="4FF5FF20">
        <w:rPr>
          <w:color w:val="000000" w:themeColor="text1"/>
        </w:rPr>
        <w:t xml:space="preserve">cyclone Debbie at some </w:t>
      </w:r>
      <w:r w:rsidR="005F2B5B">
        <w:rPr>
          <w:color w:val="000000" w:themeColor="text1"/>
        </w:rPr>
        <w:t>Mackay-Whitsunday</w:t>
      </w:r>
      <w:r w:rsidR="00EA3A98">
        <w:rPr>
          <w:color w:val="000000" w:themeColor="text1"/>
        </w:rPr>
        <w:t xml:space="preserve">, </w:t>
      </w:r>
      <w:r w:rsidRPr="4FF5FF20">
        <w:rPr>
          <w:color w:val="000000" w:themeColor="text1"/>
        </w:rPr>
        <w:t xml:space="preserve">set low scores for indicators at reefs independent of their location along water-quality gradients. In addition, the relatively low variability in </w:t>
      </w:r>
      <w:r w:rsidR="00EA3A98">
        <w:rPr>
          <w:color w:val="000000" w:themeColor="text1"/>
        </w:rPr>
        <w:t xml:space="preserve">water quality </w:t>
      </w:r>
      <w:r w:rsidRPr="4FF5FF20">
        <w:rPr>
          <w:color w:val="000000" w:themeColor="text1"/>
        </w:rPr>
        <w:t>condition</w:t>
      </w:r>
      <w:r w:rsidR="00EA3A98">
        <w:rPr>
          <w:color w:val="000000" w:themeColor="text1"/>
        </w:rPr>
        <w:t>s</w:t>
      </w:r>
      <w:r w:rsidRPr="4FF5FF20">
        <w:rPr>
          <w:color w:val="000000" w:themeColor="text1"/>
        </w:rPr>
        <w:t xml:space="preserve"> among </w:t>
      </w:r>
      <w:r w:rsidR="00EA3A98">
        <w:rPr>
          <w:color w:val="000000" w:themeColor="text1"/>
        </w:rPr>
        <w:t xml:space="preserve">some </w:t>
      </w:r>
      <w:r w:rsidRPr="4FF5FF20">
        <w:rPr>
          <w:color w:val="000000" w:themeColor="text1"/>
        </w:rPr>
        <w:t xml:space="preserve">reefs likely reduces the scope for strong differentiation of condition. </w:t>
      </w:r>
      <w:r w:rsidR="00AA734D">
        <w:rPr>
          <w:color w:val="000000" w:themeColor="text1"/>
        </w:rPr>
        <w:t xml:space="preserve">Compounding this lack of differentiation among sites is that satellite derived </w:t>
      </w:r>
      <w:r w:rsidR="00E84FFC">
        <w:rPr>
          <w:color w:val="000000" w:themeColor="text1"/>
        </w:rPr>
        <w:t>estimates</w:t>
      </w:r>
      <w:r w:rsidR="00AA734D">
        <w:rPr>
          <w:color w:val="000000" w:themeColor="text1"/>
        </w:rPr>
        <w:t xml:space="preserve"> </w:t>
      </w:r>
      <w:r w:rsidR="00E84FFC">
        <w:rPr>
          <w:color w:val="000000" w:themeColor="text1"/>
        </w:rPr>
        <w:t xml:space="preserve">of water quality </w:t>
      </w:r>
      <w:r w:rsidR="00AA734D">
        <w:rPr>
          <w:color w:val="000000" w:themeColor="text1"/>
        </w:rPr>
        <w:t xml:space="preserve">are necessarily </w:t>
      </w:r>
      <w:r w:rsidR="00E84FFC">
        <w:rPr>
          <w:color w:val="000000" w:themeColor="text1"/>
        </w:rPr>
        <w:t xml:space="preserve">derived from open waters adjacent to the sampled reefs, assimilating estimates from waters ~ 1-3 km from the coral sites. Fine-scale hydrodynamic processes may divorce the conditions estimated in waters adjacent to the reefs from those experienced by the corals. </w:t>
      </w:r>
    </w:p>
    <w:p w14:paraId="53C140F8" w14:textId="3588F643" w:rsidR="00F05850" w:rsidRDefault="4FF5FF20" w:rsidP="4FF5FF20">
      <w:pPr>
        <w:rPr>
          <w:color w:val="000000" w:themeColor="text1"/>
        </w:rPr>
      </w:pPr>
      <w:r w:rsidRPr="4FF5FF20">
        <w:rPr>
          <w:color w:val="000000" w:themeColor="text1"/>
        </w:rPr>
        <w:t xml:space="preserve">Secondly, the index has been designed to be responsive to change in environmental pressures and this required ensuring reef level scores for each indicator had the potential to </w:t>
      </w:r>
      <w:r w:rsidR="00B766D2" w:rsidRPr="4FF5FF20">
        <w:rPr>
          <w:color w:val="000000" w:themeColor="text1"/>
        </w:rPr>
        <w:t>either improve or</w:t>
      </w:r>
      <w:r w:rsidRPr="4FF5FF20">
        <w:rPr>
          <w:color w:val="000000" w:themeColor="text1"/>
        </w:rPr>
        <w:t xml:space="preserve"> decline. This desire for a responsive index required setting location-specific thresholds for scores of the cover change, composition and macroalgae indicators as water quality pressures unequivocally influence the underlying values of these indicators. Analysis of the values underpinning the macroalgae and composition indicators to reef-level water </w:t>
      </w:r>
      <w:r w:rsidRPr="4FF5FF20">
        <w:rPr>
          <w:color w:val="000000" w:themeColor="text1"/>
        </w:rPr>
        <w:lastRenderedPageBreak/>
        <w:t>quality demonstrates both the higher proportion of macroalgae in algal communities with increased concentrations of Chl a and NAP, and changes in community composition that are driven by water quality.</w:t>
      </w:r>
    </w:p>
    <w:p w14:paraId="53C140F9" w14:textId="77777777" w:rsidR="00A84742" w:rsidRPr="00A44EF5" w:rsidRDefault="4FF5FF20" w:rsidP="4FF5FF20">
      <w:pPr>
        <w:rPr>
          <w:color w:val="000000" w:themeColor="text1"/>
        </w:rPr>
      </w:pPr>
      <w:r w:rsidRPr="4FF5FF20">
        <w:rPr>
          <w:color w:val="000000" w:themeColor="text1"/>
        </w:rPr>
        <w:t xml:space="preserve">Further, the single dimensional summaries of community composition reported were derived from the product of eigenvalues for each genus along water-quality gradients and the relative cover of those genera. Importantly, the fast growing </w:t>
      </w:r>
      <w:r w:rsidRPr="4FF5FF20">
        <w:rPr>
          <w:i/>
          <w:iCs/>
          <w:color w:val="000000" w:themeColor="text1"/>
        </w:rPr>
        <w:t>Acropora</w:t>
      </w:r>
      <w:r w:rsidRPr="4FF5FF20">
        <w:rPr>
          <w:color w:val="000000" w:themeColor="text1"/>
        </w:rPr>
        <w:t xml:space="preserve"> score positively on this scale compared to the slower growing species of most other genera. The result is that while the cover change score is standardised for community composition the actual rate of recovery of communities will be higher at reefs with a high proportion of </w:t>
      </w:r>
      <w:r w:rsidRPr="4FF5FF20">
        <w:rPr>
          <w:i/>
          <w:iCs/>
          <w:color w:val="000000" w:themeColor="text1"/>
        </w:rPr>
        <w:t>Acropora</w:t>
      </w:r>
      <w:r w:rsidRPr="4FF5FF20">
        <w:rPr>
          <w:color w:val="000000" w:themeColor="text1"/>
        </w:rPr>
        <w:t>. In short, the negative relationships between genus composition and water quality variables are indicative of reduced recovery rates of coral cover as water quality declines.</w:t>
      </w:r>
    </w:p>
    <w:p w14:paraId="53C140FA" w14:textId="77777777" w:rsidR="00A84742" w:rsidRPr="005C65CD" w:rsidRDefault="4FF5FF20" w:rsidP="00A84742">
      <w:r>
        <w:t>Temporal trends in coral index scores reflect the cumulative influence of multiple acute disturbances and the mediation of recovery because of environmental pressures. In all regions index scores reached a low point between 2012 and 2014 following a period of acute disturbances, but also high discharge and the associated nutrient and sediment loads from adjacent catchments. In all regions recovery was observed and the condition in 2019 reflects both the strength of this recovery but also the influence of more recent disturbance events.</w:t>
      </w:r>
    </w:p>
    <w:p w14:paraId="53C140FB" w14:textId="77777777" w:rsidR="00A84742" w:rsidRPr="00FE37E3" w:rsidRDefault="00A84742" w:rsidP="00A84742">
      <w:r w:rsidRPr="00FE37E3">
        <w:t>In 201</w:t>
      </w:r>
      <w:r w:rsidR="00780E9D" w:rsidRPr="00FE37E3">
        <w:t>9</w:t>
      </w:r>
      <w:r w:rsidRPr="00FE37E3">
        <w:t xml:space="preserve"> index scores varied among regions:</w:t>
      </w:r>
    </w:p>
    <w:p w14:paraId="53C140FC" w14:textId="77777777" w:rsidR="00A84742" w:rsidRPr="00FE37E3" w:rsidRDefault="4FF5FF20" w:rsidP="4FF5FF20">
      <w:pPr>
        <w:numPr>
          <w:ilvl w:val="0"/>
          <w:numId w:val="28"/>
        </w:numPr>
        <w:contextualSpacing/>
        <w:rPr>
          <w:lang w:eastAsia="en-GB"/>
        </w:rPr>
      </w:pPr>
      <w:r w:rsidRPr="4FF5FF20">
        <w:rPr>
          <w:lang w:eastAsia="en-GB"/>
        </w:rPr>
        <w:t>The cumulative impacts of thermal stress in 2017, exposure to flooding of the Daintree River in 2019 and crown-of-thorns starfish resulted in a decline in scores in the Barron Daintree sub-region. The score in 2019 was only marginally higher than the 2014 low.</w:t>
      </w:r>
    </w:p>
    <w:p w14:paraId="53C140FD" w14:textId="77777777" w:rsidR="0026447E" w:rsidRPr="00FE37E3" w:rsidRDefault="0026447E" w:rsidP="00A84742">
      <w:pPr>
        <w:numPr>
          <w:ilvl w:val="0"/>
          <w:numId w:val="28"/>
        </w:numPr>
        <w:contextualSpacing/>
        <w:rPr>
          <w:lang w:eastAsia="en-GB"/>
        </w:rPr>
      </w:pPr>
      <w:r w:rsidRPr="00FE37E3">
        <w:rPr>
          <w:lang w:eastAsia="en-GB"/>
        </w:rPr>
        <w:t>Joh</w:t>
      </w:r>
      <w:r w:rsidR="005A642F">
        <w:rPr>
          <w:lang w:eastAsia="en-GB"/>
        </w:rPr>
        <w:t>n</w:t>
      </w:r>
      <w:r w:rsidRPr="00FE37E3">
        <w:rPr>
          <w:lang w:eastAsia="en-GB"/>
        </w:rPr>
        <w:t>ston</w:t>
      </w:r>
      <w:r w:rsidR="005A642F">
        <w:rPr>
          <w:lang w:eastAsia="en-GB"/>
        </w:rPr>
        <w:t>e</w:t>
      </w:r>
      <w:r w:rsidRPr="00FE37E3">
        <w:rPr>
          <w:lang w:eastAsia="en-GB"/>
        </w:rPr>
        <w:t xml:space="preserve"> Russell-Mulgrave sub-region </w:t>
      </w:r>
      <w:r w:rsidR="003F2D56">
        <w:rPr>
          <w:lang w:eastAsia="en-GB"/>
        </w:rPr>
        <w:t>scores have varied about the threshold between ‘moderate’ and ‘good’ since 20</w:t>
      </w:r>
      <w:r w:rsidR="008C2EF8">
        <w:rPr>
          <w:lang w:eastAsia="en-GB"/>
        </w:rPr>
        <w:t xml:space="preserve">15. </w:t>
      </w:r>
      <w:r w:rsidR="0023671D">
        <w:rPr>
          <w:lang w:eastAsia="en-GB"/>
        </w:rPr>
        <w:t>Thermal b</w:t>
      </w:r>
      <w:r w:rsidR="008C2EF8">
        <w:rPr>
          <w:lang w:eastAsia="en-GB"/>
        </w:rPr>
        <w:t xml:space="preserve">leaching in 2017 in combination with ongoing </w:t>
      </w:r>
      <w:r w:rsidRPr="00FE37E3">
        <w:rPr>
          <w:lang w:eastAsia="en-GB"/>
        </w:rPr>
        <w:t xml:space="preserve">presence of crown-of-thorns starfish </w:t>
      </w:r>
      <w:r w:rsidR="008C2EF8">
        <w:rPr>
          <w:lang w:eastAsia="en-GB"/>
        </w:rPr>
        <w:t>have limited increase in index scores</w:t>
      </w:r>
      <w:r w:rsidRPr="00FE37E3">
        <w:rPr>
          <w:lang w:eastAsia="en-GB"/>
        </w:rPr>
        <w:t>.</w:t>
      </w:r>
    </w:p>
    <w:p w14:paraId="53C140FE" w14:textId="77777777" w:rsidR="00A84742" w:rsidRPr="00FE37E3" w:rsidRDefault="008C2EF8" w:rsidP="00A84742">
      <w:pPr>
        <w:numPr>
          <w:ilvl w:val="0"/>
          <w:numId w:val="28"/>
        </w:numPr>
        <w:contextualSpacing/>
        <w:rPr>
          <w:lang w:eastAsia="en-GB"/>
        </w:rPr>
      </w:pPr>
      <w:r>
        <w:rPr>
          <w:lang w:eastAsia="en-GB"/>
        </w:rPr>
        <w:t>Herbert Tully sub-region score reach</w:t>
      </w:r>
      <w:r w:rsidR="0060145D">
        <w:rPr>
          <w:lang w:eastAsia="en-GB"/>
        </w:rPr>
        <w:t>ed</w:t>
      </w:r>
      <w:r>
        <w:rPr>
          <w:lang w:eastAsia="en-GB"/>
        </w:rPr>
        <w:t xml:space="preserve"> ‘good’ condition in 2019 following strong recovery from the ‘poor’ level observed in 2013. </w:t>
      </w:r>
      <w:r w:rsidR="0023671D">
        <w:rPr>
          <w:lang w:eastAsia="en-GB"/>
        </w:rPr>
        <w:t>Thermal b</w:t>
      </w:r>
      <w:r>
        <w:rPr>
          <w:lang w:eastAsia="en-GB"/>
        </w:rPr>
        <w:t xml:space="preserve">leaching in 2017 caused a slight interruption to an otherwise consistent improvement. </w:t>
      </w:r>
    </w:p>
    <w:p w14:paraId="53C140FF" w14:textId="77777777" w:rsidR="00A84742" w:rsidRPr="00FE37E3" w:rsidRDefault="00A84742" w:rsidP="00A84742">
      <w:pPr>
        <w:numPr>
          <w:ilvl w:val="0"/>
          <w:numId w:val="28"/>
        </w:numPr>
        <w:contextualSpacing/>
        <w:rPr>
          <w:lang w:eastAsia="en-GB"/>
        </w:rPr>
      </w:pPr>
      <w:r w:rsidRPr="00FE37E3">
        <w:rPr>
          <w:lang w:eastAsia="en-GB"/>
        </w:rPr>
        <w:lastRenderedPageBreak/>
        <w:t>The index has re</w:t>
      </w:r>
      <w:r w:rsidR="008C2EF8">
        <w:rPr>
          <w:lang w:eastAsia="en-GB"/>
        </w:rPr>
        <w:t xml:space="preserve">gained a positive trajectory </w:t>
      </w:r>
      <w:r w:rsidRPr="00FE37E3">
        <w:rPr>
          <w:lang w:eastAsia="en-GB"/>
        </w:rPr>
        <w:t xml:space="preserve">in the Burdekin Region </w:t>
      </w:r>
      <w:r w:rsidR="008C2EF8">
        <w:rPr>
          <w:lang w:eastAsia="en-GB"/>
        </w:rPr>
        <w:t>following impacts attributed to thermal stress in 2017</w:t>
      </w:r>
      <w:r w:rsidRPr="00FE37E3">
        <w:rPr>
          <w:lang w:eastAsia="en-GB"/>
        </w:rPr>
        <w:t>.</w:t>
      </w:r>
    </w:p>
    <w:p w14:paraId="53C14100" w14:textId="77777777" w:rsidR="00A84742" w:rsidRPr="00FE37E3" w:rsidRDefault="00B978BB" w:rsidP="00A84742">
      <w:pPr>
        <w:numPr>
          <w:ilvl w:val="0"/>
          <w:numId w:val="28"/>
        </w:numPr>
        <w:contextualSpacing/>
        <w:rPr>
          <w:lang w:eastAsia="en-GB"/>
        </w:rPr>
      </w:pPr>
      <w:r>
        <w:rPr>
          <w:lang w:eastAsia="en-GB"/>
        </w:rPr>
        <w:t>C</w:t>
      </w:r>
      <w:r w:rsidR="00A84742" w:rsidRPr="00FE37E3">
        <w:rPr>
          <w:lang w:eastAsia="en-GB"/>
        </w:rPr>
        <w:t xml:space="preserve">yclone Debbie </w:t>
      </w:r>
      <w:r>
        <w:rPr>
          <w:lang w:eastAsia="en-GB"/>
        </w:rPr>
        <w:t xml:space="preserve">severely impacted reefs in the </w:t>
      </w:r>
      <w:r w:rsidR="005F2B5B">
        <w:rPr>
          <w:lang w:eastAsia="en-GB"/>
        </w:rPr>
        <w:t>Mackay-Whitsunday</w:t>
      </w:r>
      <w:r>
        <w:rPr>
          <w:lang w:eastAsia="en-GB"/>
        </w:rPr>
        <w:t xml:space="preserve"> region </w:t>
      </w:r>
      <w:r w:rsidR="0060145D">
        <w:rPr>
          <w:lang w:eastAsia="en-GB"/>
        </w:rPr>
        <w:t xml:space="preserve">in 2017, </w:t>
      </w:r>
      <w:r>
        <w:rPr>
          <w:lang w:eastAsia="en-GB"/>
        </w:rPr>
        <w:t xml:space="preserve">resulting in a </w:t>
      </w:r>
      <w:r w:rsidR="0060145D">
        <w:rPr>
          <w:lang w:eastAsia="en-GB"/>
        </w:rPr>
        <w:t xml:space="preserve">steep </w:t>
      </w:r>
      <w:r>
        <w:rPr>
          <w:lang w:eastAsia="en-GB"/>
        </w:rPr>
        <w:t>decline in index score from ‘good’ in 2016 to ‘poor’ in 2019.</w:t>
      </w:r>
    </w:p>
    <w:p w14:paraId="53C14101" w14:textId="77777777" w:rsidR="00A84742" w:rsidRDefault="00A84742" w:rsidP="00A84742">
      <w:pPr>
        <w:numPr>
          <w:ilvl w:val="0"/>
          <w:numId w:val="28"/>
        </w:numPr>
        <w:contextualSpacing/>
        <w:rPr>
          <w:lang w:eastAsia="en-GB"/>
        </w:rPr>
      </w:pPr>
      <w:r w:rsidRPr="00FE37E3">
        <w:rPr>
          <w:lang w:eastAsia="en-GB"/>
        </w:rPr>
        <w:t>The index has continued to improve in the Fitzroy Region.</w:t>
      </w:r>
    </w:p>
    <w:p w14:paraId="53C14102" w14:textId="77777777" w:rsidR="007F310F" w:rsidRPr="00FE37E3" w:rsidRDefault="007F310F" w:rsidP="007F310F">
      <w:pPr>
        <w:rPr>
          <w:lang w:eastAsia="en-GB"/>
        </w:rPr>
      </w:pPr>
    </w:p>
    <w:p w14:paraId="53C14103" w14:textId="77777777" w:rsidR="00A84742" w:rsidRPr="0032413E" w:rsidRDefault="007F310F" w:rsidP="00A84742">
      <w:pPr>
        <w:rPr>
          <w:color w:val="000000" w:themeColor="text1"/>
        </w:rPr>
      </w:pPr>
      <w:r>
        <w:t>Acute disturbance events are primarily responsible for the loss of coral cover at most reefs</w:t>
      </w:r>
      <w:r w:rsidRPr="005C65CD">
        <w:t xml:space="preserve"> (Lam </w:t>
      </w:r>
      <w:r w:rsidRPr="007F310F">
        <w:rPr>
          <w:i/>
        </w:rPr>
        <w:t>et al.</w:t>
      </w:r>
      <w:r w:rsidRPr="005C65CD">
        <w:t xml:space="preserve"> 2018)</w:t>
      </w:r>
      <w:r>
        <w:t xml:space="preserve">. </w:t>
      </w:r>
      <w:r w:rsidR="00B978BB">
        <w:t xml:space="preserve">Our analysis of recovery periods, when reefs were not exposed to acute disturbances, demonstrates that the rate of change </w:t>
      </w:r>
      <w:r w:rsidR="00B978BB" w:rsidRPr="00A9470D">
        <w:rPr>
          <w:color w:val="000000" w:themeColor="text1"/>
        </w:rPr>
        <w:t xml:space="preserve">in </w:t>
      </w:r>
      <w:r w:rsidR="00A84742" w:rsidRPr="00A9470D">
        <w:rPr>
          <w:color w:val="000000" w:themeColor="text1"/>
        </w:rPr>
        <w:t>index</w:t>
      </w:r>
      <w:r w:rsidR="00B978BB" w:rsidRPr="00A9470D">
        <w:rPr>
          <w:color w:val="000000" w:themeColor="text1"/>
        </w:rPr>
        <w:t xml:space="preserve"> scores</w:t>
      </w:r>
      <w:r w:rsidR="00A84742" w:rsidRPr="00A9470D">
        <w:rPr>
          <w:color w:val="000000" w:themeColor="text1"/>
        </w:rPr>
        <w:t xml:space="preserve">, which we consider as representative of community resilience, </w:t>
      </w:r>
      <w:r w:rsidR="00A9470D" w:rsidRPr="00A9470D">
        <w:rPr>
          <w:color w:val="000000" w:themeColor="text1"/>
        </w:rPr>
        <w:t xml:space="preserve">were negatively associated with catchment </w:t>
      </w:r>
      <w:r w:rsidR="00A9470D">
        <w:rPr>
          <w:color w:val="000000" w:themeColor="text1"/>
        </w:rPr>
        <w:t>discharge</w:t>
      </w:r>
      <w:r w:rsidR="00A9470D" w:rsidRPr="00A9470D">
        <w:rPr>
          <w:color w:val="000000" w:themeColor="text1"/>
        </w:rPr>
        <w:t xml:space="preserve"> in t</w:t>
      </w:r>
      <w:r w:rsidR="00A84742" w:rsidRPr="00A9470D">
        <w:rPr>
          <w:color w:val="000000" w:themeColor="text1"/>
        </w:rPr>
        <w:t>he Wet Tropics, Burdekin and Fitzroy regions</w:t>
      </w:r>
      <w:r w:rsidR="00A9470D">
        <w:rPr>
          <w:color w:val="000000" w:themeColor="text1"/>
        </w:rPr>
        <w:t>.</w:t>
      </w:r>
      <w:r w:rsidR="00A84742" w:rsidRPr="00CE4E0F">
        <w:rPr>
          <w:color w:val="548DD4" w:themeColor="text2" w:themeTint="99"/>
        </w:rPr>
        <w:t xml:space="preserve"> </w:t>
      </w:r>
      <w:r w:rsidR="00A84742" w:rsidRPr="00A9470D">
        <w:rPr>
          <w:color w:val="000000" w:themeColor="text1"/>
        </w:rPr>
        <w:t xml:space="preserve">Similar relationships were evident for end-of-catchment loads of total phosphorus and total nitrogen in these regions. </w:t>
      </w:r>
      <w:r w:rsidR="00A9470D">
        <w:rPr>
          <w:color w:val="000000" w:themeColor="text1"/>
        </w:rPr>
        <w:t xml:space="preserve">There was some evidence that </w:t>
      </w:r>
      <w:r w:rsidR="00A9470D" w:rsidRPr="0032413E">
        <w:rPr>
          <w:color w:val="000000" w:themeColor="text1"/>
        </w:rPr>
        <w:t>t</w:t>
      </w:r>
      <w:r w:rsidR="00A84742" w:rsidRPr="0032413E">
        <w:rPr>
          <w:color w:val="000000" w:themeColor="text1"/>
        </w:rPr>
        <w:t xml:space="preserve">he relationships between river inputs were realised as </w:t>
      </w:r>
      <w:r w:rsidR="0032413E" w:rsidRPr="0032413E">
        <w:rPr>
          <w:color w:val="000000" w:themeColor="text1"/>
        </w:rPr>
        <w:t xml:space="preserve">reduced light levels at the reefs in these regions and, in the Fitzroy region, </w:t>
      </w:r>
      <w:r w:rsidR="00A84742" w:rsidRPr="0032413E">
        <w:rPr>
          <w:color w:val="000000" w:themeColor="text1"/>
        </w:rPr>
        <w:t xml:space="preserve">negative </w:t>
      </w:r>
      <w:r w:rsidR="0032413E" w:rsidRPr="0032413E">
        <w:rPr>
          <w:color w:val="000000" w:themeColor="text1"/>
        </w:rPr>
        <w:t xml:space="preserve">relationships between </w:t>
      </w:r>
      <w:r w:rsidR="006902D1" w:rsidRPr="0032413E">
        <w:rPr>
          <w:color w:val="000000" w:themeColor="text1"/>
        </w:rPr>
        <w:t xml:space="preserve">Chl </w:t>
      </w:r>
      <w:r w:rsidR="00A84742" w:rsidRPr="0032413E">
        <w:rPr>
          <w:i/>
          <w:color w:val="000000" w:themeColor="text1"/>
        </w:rPr>
        <w:t>a</w:t>
      </w:r>
      <w:r w:rsidR="00A84742" w:rsidRPr="0032413E">
        <w:rPr>
          <w:color w:val="000000" w:themeColor="text1"/>
        </w:rPr>
        <w:t xml:space="preserve"> </w:t>
      </w:r>
      <w:r w:rsidR="0032413E" w:rsidRPr="0032413E">
        <w:rPr>
          <w:color w:val="000000" w:themeColor="text1"/>
        </w:rPr>
        <w:t xml:space="preserve">and NAP </w:t>
      </w:r>
      <w:r w:rsidR="00A84742" w:rsidRPr="0032413E">
        <w:rPr>
          <w:color w:val="000000" w:themeColor="text1"/>
        </w:rPr>
        <w:t>concentration</w:t>
      </w:r>
      <w:r w:rsidR="0032413E" w:rsidRPr="0032413E">
        <w:rPr>
          <w:color w:val="000000" w:themeColor="text1"/>
        </w:rPr>
        <w:t>s.</w:t>
      </w:r>
    </w:p>
    <w:p w14:paraId="53C14104" w14:textId="77777777" w:rsidR="00A84742" w:rsidRPr="0032413E" w:rsidRDefault="4FF5FF20" w:rsidP="4FF5FF20">
      <w:pPr>
        <w:rPr>
          <w:color w:val="000000" w:themeColor="text1"/>
        </w:rPr>
      </w:pPr>
      <w:r w:rsidRPr="4FF5FF20">
        <w:rPr>
          <w:color w:val="000000" w:themeColor="text1"/>
        </w:rPr>
        <w:t xml:space="preserve">The observed relationship between discharge and changes in the coral condition index implies that the cumulative impacts of river-delivered contaminants suppress the resilience of coral communities. We are mindful, however, that temporal responses of the index to water quality or discharge varied among reefs. This is expected as index scores at any point in space or time will reflect the cumulative responses of the communities to: past disturbance events and chronic pressures, selective pressures imposed by ambient conditions, and stochasticity in the population dynamics of the diverse communities inhabiting these reefs. In combination, variable exposure to past events and location specific pressures are also likely to have selected for communities tolerant of those conditions. What this means, is that communities in different locations will have different susceptibilities to water quality pressures (e.g. Morgan </w:t>
      </w:r>
      <w:r w:rsidRPr="4FF5FF20">
        <w:rPr>
          <w:i/>
          <w:iCs/>
          <w:color w:val="000000" w:themeColor="text1"/>
        </w:rPr>
        <w:t>et al.</w:t>
      </w:r>
      <w:r w:rsidRPr="4FF5FF20">
        <w:rPr>
          <w:color w:val="000000" w:themeColor="text1"/>
        </w:rPr>
        <w:t xml:space="preserve"> 2016). It is precisely the inability to accurately measure, or predict, cumulative impacts across a diversity of exposures that supports the use of biological indicators, such as the coral and seagrass (McKenzie </w:t>
      </w:r>
      <w:r w:rsidRPr="4FF5FF20">
        <w:rPr>
          <w:i/>
          <w:iCs/>
          <w:color w:val="000000" w:themeColor="text1"/>
        </w:rPr>
        <w:t>et al.</w:t>
      </w:r>
      <w:r w:rsidRPr="4FF5FF20">
        <w:rPr>
          <w:color w:val="000000" w:themeColor="text1"/>
        </w:rPr>
        <w:t xml:space="preserve"> 2017) indices in the MMP, as </w:t>
      </w:r>
      <w:r w:rsidRPr="4FF5FF20">
        <w:rPr>
          <w:color w:val="000000" w:themeColor="text1"/>
        </w:rPr>
        <w:lastRenderedPageBreak/>
        <w:t xml:space="preserve">tools to identify where, and when, environmental stress is occurring (Karr 2006, Crain </w:t>
      </w:r>
      <w:r w:rsidRPr="4FF5FF20">
        <w:rPr>
          <w:i/>
          <w:iCs/>
          <w:color w:val="000000" w:themeColor="text1"/>
        </w:rPr>
        <w:t>et al.</w:t>
      </w:r>
      <w:r w:rsidRPr="4FF5FF20">
        <w:rPr>
          <w:color w:val="000000" w:themeColor="text1"/>
        </w:rPr>
        <w:t xml:space="preserve"> 2008). A potential way forward is to consider reef level responses within a decision tree framework that is explicitly aimed at identification of likely drivers of any observed lack of resilience (Flower </w:t>
      </w:r>
      <w:r w:rsidRPr="4FF5FF20">
        <w:rPr>
          <w:i/>
          <w:iCs/>
          <w:color w:val="000000" w:themeColor="text1"/>
        </w:rPr>
        <w:t>et al.</w:t>
      </w:r>
      <w:r w:rsidRPr="4FF5FF20">
        <w:rPr>
          <w:color w:val="000000" w:themeColor="text1"/>
        </w:rPr>
        <w:t xml:space="preserve"> 2017).</w:t>
      </w:r>
    </w:p>
    <w:p w14:paraId="53C14105" w14:textId="77777777" w:rsidR="00A84742" w:rsidRPr="00210983" w:rsidRDefault="00A84742" w:rsidP="00A84742">
      <w:pPr>
        <w:rPr>
          <w:color w:val="000000" w:themeColor="text1"/>
        </w:rPr>
      </w:pPr>
      <w:r w:rsidRPr="00210983">
        <w:rPr>
          <w:color w:val="000000" w:themeColor="text1"/>
        </w:rPr>
        <w:t xml:space="preserve">In general, the spatial and temporal variability in index scores presented in this report are consistent with well documented links between increased run-off and stress to corals (Bruno </w:t>
      </w:r>
      <w:r w:rsidRPr="00210983">
        <w:rPr>
          <w:i/>
          <w:color w:val="000000" w:themeColor="text1"/>
        </w:rPr>
        <w:t>et al.</w:t>
      </w:r>
      <w:r w:rsidRPr="00210983">
        <w:rPr>
          <w:color w:val="000000" w:themeColor="text1"/>
        </w:rPr>
        <w:t xml:space="preserve"> 2003, Kline </w:t>
      </w:r>
      <w:r w:rsidRPr="00210983">
        <w:rPr>
          <w:i/>
          <w:color w:val="000000" w:themeColor="text1"/>
        </w:rPr>
        <w:t>et al</w:t>
      </w:r>
      <w:r w:rsidRPr="00210983">
        <w:rPr>
          <w:color w:val="000000" w:themeColor="text1"/>
        </w:rPr>
        <w:t xml:space="preserve">. 2006, Kuntz </w:t>
      </w:r>
      <w:r w:rsidRPr="00210983">
        <w:rPr>
          <w:i/>
          <w:color w:val="000000" w:themeColor="text1"/>
        </w:rPr>
        <w:t>et al</w:t>
      </w:r>
      <w:r w:rsidRPr="00210983">
        <w:rPr>
          <w:color w:val="000000" w:themeColor="text1"/>
        </w:rPr>
        <w:t xml:space="preserve">. 2005, Voss &amp; Richardson 2006, Kaczmarsky &amp; Richardson 2010, Haapkylä </w:t>
      </w:r>
      <w:r w:rsidRPr="00210983">
        <w:rPr>
          <w:i/>
          <w:color w:val="000000" w:themeColor="text1"/>
        </w:rPr>
        <w:t xml:space="preserve">et al. </w:t>
      </w:r>
      <w:r w:rsidRPr="00210983">
        <w:rPr>
          <w:color w:val="000000" w:themeColor="text1"/>
        </w:rPr>
        <w:t xml:space="preserve">2011, 2013, Vega Thurber </w:t>
      </w:r>
      <w:r w:rsidRPr="00210983">
        <w:rPr>
          <w:i/>
          <w:color w:val="000000" w:themeColor="text1"/>
        </w:rPr>
        <w:t>et al.</w:t>
      </w:r>
      <w:r w:rsidRPr="00210983">
        <w:rPr>
          <w:color w:val="000000" w:themeColor="text1"/>
        </w:rPr>
        <w:t xml:space="preserve"> 2013). Failure to observe a clear relationship between discharge and change in the index scores in the </w:t>
      </w:r>
      <w:r w:rsidR="005F2B5B">
        <w:rPr>
          <w:color w:val="000000" w:themeColor="text1"/>
        </w:rPr>
        <w:t>Mackay-Whitsunday</w:t>
      </w:r>
      <w:r w:rsidRPr="00210983">
        <w:rPr>
          <w:color w:val="000000" w:themeColor="text1"/>
        </w:rPr>
        <w:t xml:space="preserve"> Region is likely due to the relatively low discharge but high tidal range in this region. This combination</w:t>
      </w:r>
      <w:r w:rsidR="004A54C7">
        <w:rPr>
          <w:color w:val="000000" w:themeColor="text1"/>
        </w:rPr>
        <w:t>, along with the distance of reefs from river mouths</w:t>
      </w:r>
      <w:r w:rsidRPr="00210983">
        <w:rPr>
          <w:color w:val="000000" w:themeColor="text1"/>
        </w:rPr>
        <w:t xml:space="preserve"> will reduce the relative influence of run-off compared with hydrodynamic processes on </w:t>
      </w:r>
      <w:r w:rsidR="0032413E" w:rsidRPr="00210983">
        <w:rPr>
          <w:color w:val="000000" w:themeColor="text1"/>
        </w:rPr>
        <w:t xml:space="preserve">the </w:t>
      </w:r>
      <w:r w:rsidRPr="00210983">
        <w:rPr>
          <w:color w:val="000000" w:themeColor="text1"/>
        </w:rPr>
        <w:t xml:space="preserve">variability </w:t>
      </w:r>
      <w:r w:rsidR="0032413E" w:rsidRPr="00210983">
        <w:rPr>
          <w:color w:val="000000" w:themeColor="text1"/>
        </w:rPr>
        <w:t xml:space="preserve">in </w:t>
      </w:r>
      <w:r w:rsidRPr="00210983">
        <w:rPr>
          <w:color w:val="000000" w:themeColor="text1"/>
        </w:rPr>
        <w:t>conditions experienced by co</w:t>
      </w:r>
      <w:r w:rsidR="0032413E" w:rsidRPr="00210983">
        <w:rPr>
          <w:color w:val="000000" w:themeColor="text1"/>
        </w:rPr>
        <w:t>rals</w:t>
      </w:r>
      <w:r w:rsidRPr="00210983">
        <w:rPr>
          <w:color w:val="000000" w:themeColor="text1"/>
        </w:rPr>
        <w:t xml:space="preserve">. Indeed, the strong vertical differentiation in community composition at many </w:t>
      </w:r>
      <w:r w:rsidR="005F2B5B">
        <w:rPr>
          <w:color w:val="000000" w:themeColor="text1"/>
        </w:rPr>
        <w:t>Mackay-Whitsunday</w:t>
      </w:r>
      <w:r w:rsidRPr="00210983">
        <w:rPr>
          <w:color w:val="000000" w:themeColor="text1"/>
        </w:rPr>
        <w:t xml:space="preserve"> reefs, where there is a high representation of species tolerant to high turbidity at the </w:t>
      </w:r>
      <w:r w:rsidR="006F1464" w:rsidRPr="00210983">
        <w:rPr>
          <w:color w:val="000000" w:themeColor="text1"/>
        </w:rPr>
        <w:t>five metre</w:t>
      </w:r>
      <w:r w:rsidRPr="00210983">
        <w:rPr>
          <w:color w:val="000000" w:themeColor="text1"/>
        </w:rPr>
        <w:t xml:space="preserve"> depths, reflects a selection for turbidity tolerance that is likely to offer a degree of resistance to additional pressures imposed by variable run-off; a point raised by Morgan </w:t>
      </w:r>
      <w:r w:rsidRPr="00210983">
        <w:rPr>
          <w:i/>
          <w:color w:val="000000" w:themeColor="text1"/>
        </w:rPr>
        <w:t>et al.</w:t>
      </w:r>
      <w:r w:rsidRPr="00210983">
        <w:rPr>
          <w:color w:val="000000" w:themeColor="text1"/>
        </w:rPr>
        <w:t xml:space="preserve"> (2016). Influential in the results for the </w:t>
      </w:r>
      <w:r w:rsidR="005F2B5B">
        <w:rPr>
          <w:color w:val="000000" w:themeColor="text1"/>
        </w:rPr>
        <w:t>Mackay-Whitsunday</w:t>
      </w:r>
      <w:r w:rsidRPr="00210983">
        <w:rPr>
          <w:color w:val="000000" w:themeColor="text1"/>
        </w:rPr>
        <w:t xml:space="preserve"> Region were declines in the index that occurred in 2006 when discharge was low. While the 2006 declines remain unexplained, our estimation of relative temperature stress - based on </w:t>
      </w:r>
      <w:r w:rsidRPr="00210983">
        <w:rPr>
          <w:i/>
          <w:color w:val="000000" w:themeColor="text1"/>
        </w:rPr>
        <w:t xml:space="preserve">in situ </w:t>
      </w:r>
      <w:r w:rsidRPr="00210983">
        <w:rPr>
          <w:color w:val="000000" w:themeColor="text1"/>
        </w:rPr>
        <w:t>loggers rather than satellites, and expressed as degree heating days (available from the Bureau of Meteorology), implicate high summer temperatures as the likely stressor.</w:t>
      </w:r>
    </w:p>
    <w:p w14:paraId="53C14106" w14:textId="44DEF8F3" w:rsidR="00CC4D51" w:rsidRPr="00210983" w:rsidRDefault="00A84742" w:rsidP="009E00F5">
      <w:pPr>
        <w:rPr>
          <w:color w:val="000000" w:themeColor="text1"/>
        </w:rPr>
      </w:pPr>
      <w:r w:rsidRPr="00210983">
        <w:rPr>
          <w:color w:val="000000" w:themeColor="text1"/>
        </w:rPr>
        <w:t>Changes in index scores attributed to acute disturbances are also likely to be confounded by water quality pressures. In addition to reducing capacity for recovery, degraded water quality may also increase the susceptibility of corals to acute disturbance events. Evidence from recent research into the interactions between water quality and temperature</w:t>
      </w:r>
      <w:r w:rsidRPr="00210983" w:rsidDel="00657E98">
        <w:rPr>
          <w:color w:val="000000" w:themeColor="text1"/>
        </w:rPr>
        <w:t xml:space="preserve"> </w:t>
      </w:r>
      <w:r w:rsidRPr="00210983">
        <w:rPr>
          <w:color w:val="000000" w:themeColor="text1"/>
        </w:rPr>
        <w:t xml:space="preserve">suggests that coral’s tolerance to heat stress is reduced by exposure to contaminants including nutrients, herbicides and suspended particulate matter (Wooldridge &amp; Done 2004, Negri </w:t>
      </w:r>
      <w:r w:rsidRPr="00210983">
        <w:rPr>
          <w:i/>
          <w:color w:val="000000" w:themeColor="text1"/>
        </w:rPr>
        <w:t>et al</w:t>
      </w:r>
      <w:r w:rsidRPr="00210983">
        <w:rPr>
          <w:color w:val="000000" w:themeColor="text1"/>
        </w:rPr>
        <w:t xml:space="preserve">. 2011, Wiedenmann </w:t>
      </w:r>
      <w:r w:rsidRPr="00210983">
        <w:rPr>
          <w:i/>
          <w:color w:val="000000" w:themeColor="text1"/>
        </w:rPr>
        <w:t>et al</w:t>
      </w:r>
      <w:r w:rsidRPr="00210983">
        <w:rPr>
          <w:color w:val="000000" w:themeColor="text1"/>
        </w:rPr>
        <w:t xml:space="preserve">. 2013, Fabricius </w:t>
      </w:r>
      <w:r w:rsidRPr="00210983">
        <w:rPr>
          <w:i/>
          <w:color w:val="000000" w:themeColor="text1"/>
        </w:rPr>
        <w:t>et al.</w:t>
      </w:r>
      <w:r w:rsidRPr="00210983">
        <w:rPr>
          <w:color w:val="000000" w:themeColor="text1"/>
        </w:rPr>
        <w:t xml:space="preserve"> 2013b, Wooldridge 2016, Bessell-Browne </w:t>
      </w:r>
      <w:r w:rsidRPr="00210983">
        <w:rPr>
          <w:i/>
          <w:color w:val="000000" w:themeColor="text1"/>
        </w:rPr>
        <w:t>et al</w:t>
      </w:r>
      <w:r w:rsidRPr="00210983">
        <w:rPr>
          <w:color w:val="000000" w:themeColor="text1"/>
        </w:rPr>
        <w:t>. 2017b</w:t>
      </w:r>
      <w:r w:rsidR="00210983" w:rsidRPr="00210983">
        <w:rPr>
          <w:color w:val="000000" w:themeColor="text1"/>
        </w:rPr>
        <w:t xml:space="preserve">, Morris </w:t>
      </w:r>
      <w:r w:rsidR="00210983" w:rsidRPr="00210983">
        <w:rPr>
          <w:i/>
          <w:color w:val="000000" w:themeColor="text1"/>
        </w:rPr>
        <w:t>et al.</w:t>
      </w:r>
      <w:r w:rsidR="00210983" w:rsidRPr="00210983">
        <w:rPr>
          <w:color w:val="000000" w:themeColor="text1"/>
        </w:rPr>
        <w:t xml:space="preserve"> 2019</w:t>
      </w:r>
      <w:r w:rsidRPr="00210983">
        <w:rPr>
          <w:color w:val="000000" w:themeColor="text1"/>
        </w:rPr>
        <w:t>)</w:t>
      </w:r>
      <w:r w:rsidR="00CC0ED1" w:rsidRPr="00210983">
        <w:rPr>
          <w:color w:val="000000" w:themeColor="text1"/>
        </w:rPr>
        <w:t xml:space="preserve">, although during the widespread and </w:t>
      </w:r>
      <w:r w:rsidR="00CC0ED1" w:rsidRPr="00210983">
        <w:rPr>
          <w:color w:val="000000" w:themeColor="text1"/>
        </w:rPr>
        <w:lastRenderedPageBreak/>
        <w:t xml:space="preserve">severe 2016 </w:t>
      </w:r>
      <w:r w:rsidR="0023671D">
        <w:rPr>
          <w:color w:val="000000" w:themeColor="text1"/>
        </w:rPr>
        <w:t xml:space="preserve">thermal </w:t>
      </w:r>
      <w:r w:rsidR="00CC0ED1" w:rsidRPr="00210983">
        <w:rPr>
          <w:color w:val="000000" w:themeColor="text1"/>
        </w:rPr>
        <w:t xml:space="preserve">bleaching no such effect was detected (Hughes </w:t>
      </w:r>
      <w:r w:rsidR="00CC0ED1" w:rsidRPr="00210983">
        <w:rPr>
          <w:i/>
          <w:color w:val="000000" w:themeColor="text1"/>
        </w:rPr>
        <w:t>et al.</w:t>
      </w:r>
      <w:r w:rsidR="00CC0ED1" w:rsidRPr="00210983">
        <w:rPr>
          <w:color w:val="000000" w:themeColor="text1"/>
        </w:rPr>
        <w:t xml:space="preserve"> 2017)</w:t>
      </w:r>
      <w:r w:rsidRPr="00210983">
        <w:rPr>
          <w:color w:val="000000" w:themeColor="text1"/>
        </w:rPr>
        <w:t xml:space="preserve">. </w:t>
      </w:r>
      <w:r w:rsidR="00181F56" w:rsidRPr="00210983">
        <w:rPr>
          <w:color w:val="000000" w:themeColor="text1"/>
        </w:rPr>
        <w:t xml:space="preserve">With widespread </w:t>
      </w:r>
      <w:r w:rsidR="0023671D">
        <w:rPr>
          <w:color w:val="000000" w:themeColor="text1"/>
        </w:rPr>
        <w:t xml:space="preserve">thermal </w:t>
      </w:r>
      <w:r w:rsidR="00181F56" w:rsidRPr="00210983">
        <w:rPr>
          <w:color w:val="000000" w:themeColor="text1"/>
        </w:rPr>
        <w:t xml:space="preserve">bleaching events impacting the Reef in 2016 and 2017 (Hughes </w:t>
      </w:r>
      <w:r w:rsidR="00181F56" w:rsidRPr="00210983">
        <w:rPr>
          <w:i/>
          <w:color w:val="000000" w:themeColor="text1"/>
        </w:rPr>
        <w:t>et al.</w:t>
      </w:r>
      <w:r w:rsidR="00181F56" w:rsidRPr="00210983">
        <w:rPr>
          <w:color w:val="000000" w:themeColor="text1"/>
        </w:rPr>
        <w:t xml:space="preserve"> 2018) </w:t>
      </w:r>
      <w:r w:rsidR="00535E32" w:rsidRPr="00210983">
        <w:rPr>
          <w:color w:val="000000" w:themeColor="text1"/>
        </w:rPr>
        <w:t>a likely precursor of increasingly frequent bleaching events (</w:t>
      </w:r>
      <w:r w:rsidR="00CC4D51" w:rsidRPr="00210983">
        <w:rPr>
          <w:color w:val="000000" w:themeColor="text1"/>
        </w:rPr>
        <w:t xml:space="preserve">van Hooidonk </w:t>
      </w:r>
      <w:r w:rsidR="00CC4D51" w:rsidRPr="00210983">
        <w:rPr>
          <w:i/>
          <w:color w:val="000000" w:themeColor="text1"/>
        </w:rPr>
        <w:t>et al</w:t>
      </w:r>
      <w:r w:rsidR="00CC4D51" w:rsidRPr="00210983">
        <w:rPr>
          <w:color w:val="000000" w:themeColor="text1"/>
        </w:rPr>
        <w:t>.</w:t>
      </w:r>
      <w:r w:rsidR="00535E32" w:rsidRPr="00210983">
        <w:rPr>
          <w:color w:val="000000" w:themeColor="text1"/>
        </w:rPr>
        <w:t xml:space="preserve"> 2017) </w:t>
      </w:r>
      <w:r w:rsidR="00181F56" w:rsidRPr="00210983">
        <w:rPr>
          <w:color w:val="000000" w:themeColor="text1"/>
        </w:rPr>
        <w:t xml:space="preserve">any interaction between water quality conditions and temperature on the fate of corals remains an ongoing concern. </w:t>
      </w:r>
      <w:r w:rsidRPr="00210983">
        <w:rPr>
          <w:color w:val="000000" w:themeColor="text1"/>
        </w:rPr>
        <w:t xml:space="preserve">Similarly, </w:t>
      </w:r>
      <w:r w:rsidR="00181F56" w:rsidRPr="00210983">
        <w:rPr>
          <w:color w:val="000000" w:themeColor="text1"/>
        </w:rPr>
        <w:t xml:space="preserve">the </w:t>
      </w:r>
      <w:r w:rsidRPr="00210983">
        <w:rPr>
          <w:color w:val="000000" w:themeColor="text1"/>
        </w:rPr>
        <w:t>increased s</w:t>
      </w:r>
      <w:r w:rsidR="00181F56" w:rsidRPr="00210983">
        <w:rPr>
          <w:color w:val="000000" w:themeColor="text1"/>
        </w:rPr>
        <w:t>tress to corals in response to run-off</w:t>
      </w:r>
      <w:r w:rsidR="00CC4D51" w:rsidRPr="00210983">
        <w:rPr>
          <w:color w:val="000000" w:themeColor="text1"/>
        </w:rPr>
        <w:t>,</w:t>
      </w:r>
      <w:r w:rsidR="00181F56" w:rsidRPr="00210983">
        <w:rPr>
          <w:color w:val="000000" w:themeColor="text1"/>
        </w:rPr>
        <w:t xml:space="preserve"> discussed above</w:t>
      </w:r>
      <w:r w:rsidR="00CC4D51" w:rsidRPr="00210983">
        <w:rPr>
          <w:color w:val="000000" w:themeColor="text1"/>
        </w:rPr>
        <w:t>,</w:t>
      </w:r>
      <w:r w:rsidR="00181F56" w:rsidRPr="00210983">
        <w:rPr>
          <w:color w:val="000000" w:themeColor="text1"/>
        </w:rPr>
        <w:t xml:space="preserve"> </w:t>
      </w:r>
      <w:r w:rsidRPr="00210983">
        <w:rPr>
          <w:color w:val="000000" w:themeColor="text1"/>
        </w:rPr>
        <w:t xml:space="preserve">may </w:t>
      </w:r>
      <w:r w:rsidR="00181F56" w:rsidRPr="00210983">
        <w:rPr>
          <w:color w:val="000000" w:themeColor="text1"/>
        </w:rPr>
        <w:t xml:space="preserve">compound </w:t>
      </w:r>
      <w:r w:rsidRPr="00210983">
        <w:rPr>
          <w:color w:val="000000" w:themeColor="text1"/>
        </w:rPr>
        <w:t>loss</w:t>
      </w:r>
      <w:r w:rsidR="00181F56" w:rsidRPr="00210983">
        <w:rPr>
          <w:color w:val="000000" w:themeColor="text1"/>
        </w:rPr>
        <w:t>es</w:t>
      </w:r>
      <w:r w:rsidRPr="00210983">
        <w:rPr>
          <w:color w:val="000000" w:themeColor="text1"/>
        </w:rPr>
        <w:t xml:space="preserve"> of coral cover attributed to cyclones, floods, or crown-of-thorns starfish.</w:t>
      </w:r>
      <w:bookmarkStart w:id="521" w:name="_Toc526246926"/>
      <w:bookmarkStart w:id="522" w:name="_Toc530654979"/>
    </w:p>
    <w:p w14:paraId="53C14107" w14:textId="77777777" w:rsidR="00A84742" w:rsidRPr="00CE4E0F" w:rsidRDefault="00A84742" w:rsidP="00727D87">
      <w:pPr>
        <w:pStyle w:val="Heading3"/>
      </w:pPr>
      <w:bookmarkStart w:id="523" w:name="_Toc35947136"/>
      <w:r w:rsidRPr="00CE4E0F">
        <w:t>Coral cover</w:t>
      </w:r>
      <w:bookmarkEnd w:id="521"/>
      <w:bookmarkEnd w:id="522"/>
      <w:bookmarkEnd w:id="523"/>
    </w:p>
    <w:p w14:paraId="53C14108" w14:textId="77777777" w:rsidR="00A84742" w:rsidRPr="00210983" w:rsidRDefault="00A84742" w:rsidP="00A84742">
      <w:pPr>
        <w:rPr>
          <w:color w:val="000000" w:themeColor="text1"/>
        </w:rPr>
      </w:pPr>
      <w:r w:rsidRPr="00210983">
        <w:rPr>
          <w:color w:val="000000" w:themeColor="text1"/>
        </w:rPr>
        <w:t xml:space="preserve">For corals to persist in a location they need to be able to survive environmental </w:t>
      </w:r>
      <w:r w:rsidR="00FD38CE">
        <w:rPr>
          <w:color w:val="000000" w:themeColor="text1"/>
        </w:rPr>
        <w:t>extremes</w:t>
      </w:r>
      <w:r w:rsidRPr="00210983">
        <w:rPr>
          <w:color w:val="000000" w:themeColor="text1"/>
        </w:rPr>
        <w:t xml:space="preserve"> but also maintain a competitive ability under ambient conditions. Although low scores for the coral cover indicator </w:t>
      </w:r>
      <w:r w:rsidR="007A3FDC">
        <w:rPr>
          <w:color w:val="000000" w:themeColor="text1"/>
        </w:rPr>
        <w:t xml:space="preserve">in the </w:t>
      </w:r>
      <w:r w:rsidR="005F2B5B">
        <w:rPr>
          <w:color w:val="000000" w:themeColor="text1"/>
        </w:rPr>
        <w:t>Mackay-Whitsunday</w:t>
      </w:r>
      <w:r w:rsidR="007A3FDC">
        <w:rPr>
          <w:color w:val="000000" w:themeColor="text1"/>
        </w:rPr>
        <w:t xml:space="preserve"> compared to the Wet Tropics and Burdekin regions is clearly infl</w:t>
      </w:r>
      <w:r w:rsidR="00FD38CE">
        <w:rPr>
          <w:color w:val="000000" w:themeColor="text1"/>
        </w:rPr>
        <w:t>uenced by the recent impact of c</w:t>
      </w:r>
      <w:r w:rsidR="007A3FDC">
        <w:rPr>
          <w:color w:val="000000" w:themeColor="text1"/>
        </w:rPr>
        <w:t xml:space="preserve">yclone Debbie, </w:t>
      </w:r>
      <w:r w:rsidRPr="00210983">
        <w:rPr>
          <w:color w:val="000000" w:themeColor="text1"/>
        </w:rPr>
        <w:t>low cover, as a response to water quality pressures, can also be inferred from our analyses. In 201</w:t>
      </w:r>
      <w:r w:rsidR="00210983" w:rsidRPr="00210983">
        <w:rPr>
          <w:color w:val="000000" w:themeColor="text1"/>
        </w:rPr>
        <w:t>9</w:t>
      </w:r>
      <w:r w:rsidRPr="00210983">
        <w:rPr>
          <w:color w:val="000000" w:themeColor="text1"/>
        </w:rPr>
        <w:t xml:space="preserve">, coral cover </w:t>
      </w:r>
      <w:r w:rsidR="00210983" w:rsidRPr="00210983">
        <w:rPr>
          <w:color w:val="000000" w:themeColor="text1"/>
        </w:rPr>
        <w:t xml:space="preserve">at 2 m depths </w:t>
      </w:r>
      <w:r w:rsidRPr="00210983">
        <w:rPr>
          <w:color w:val="000000" w:themeColor="text1"/>
        </w:rPr>
        <w:t xml:space="preserve">was generally higher at reefs with low </w:t>
      </w:r>
      <w:r w:rsidR="00210983" w:rsidRPr="00210983">
        <w:rPr>
          <w:color w:val="000000" w:themeColor="text1"/>
        </w:rPr>
        <w:t>Chl a</w:t>
      </w:r>
      <w:r w:rsidRPr="00210983">
        <w:rPr>
          <w:color w:val="000000" w:themeColor="text1"/>
        </w:rPr>
        <w:t xml:space="preserve"> </w:t>
      </w:r>
      <w:r w:rsidR="00210983" w:rsidRPr="00210983">
        <w:rPr>
          <w:color w:val="000000" w:themeColor="text1"/>
        </w:rPr>
        <w:t xml:space="preserve">or NAP </w:t>
      </w:r>
      <w:r w:rsidRPr="00210983">
        <w:rPr>
          <w:color w:val="000000" w:themeColor="text1"/>
        </w:rPr>
        <w:t xml:space="preserve">concentrations. High turbidity or nutrient levels do not, however, preclude high cover of corals on inshore reefs. There is ample evidence from the data presented in this report along with other studies (e.g. Sweatman </w:t>
      </w:r>
      <w:r w:rsidRPr="00210983">
        <w:rPr>
          <w:i/>
          <w:color w:val="000000" w:themeColor="text1"/>
        </w:rPr>
        <w:t>et al.</w:t>
      </w:r>
      <w:r w:rsidRPr="00210983">
        <w:rPr>
          <w:color w:val="000000" w:themeColor="text1"/>
        </w:rPr>
        <w:t xml:space="preserve"> 2007, Brown </w:t>
      </w:r>
      <w:r w:rsidRPr="00210983">
        <w:rPr>
          <w:i/>
          <w:color w:val="000000" w:themeColor="text1"/>
        </w:rPr>
        <w:t>et al.</w:t>
      </w:r>
      <w:r w:rsidRPr="00210983">
        <w:rPr>
          <w:color w:val="000000" w:themeColor="text1"/>
        </w:rPr>
        <w:t xml:space="preserve"> 2010, Morgan </w:t>
      </w:r>
      <w:r w:rsidRPr="00210983">
        <w:rPr>
          <w:i/>
          <w:color w:val="000000" w:themeColor="text1"/>
        </w:rPr>
        <w:t>et al.</w:t>
      </w:r>
      <w:r w:rsidRPr="00210983">
        <w:rPr>
          <w:color w:val="000000" w:themeColor="text1"/>
        </w:rPr>
        <w:t xml:space="preserve"> 2016) that reefs in highly turbid settings can support very high cover of species tolerant to those conditions. Despite claims for high diversity in turbid habitats based on aggregated diversity over a variety of microhabitats (Brown </w:t>
      </w:r>
      <w:r w:rsidRPr="00210983">
        <w:rPr>
          <w:i/>
          <w:color w:val="000000" w:themeColor="text1"/>
        </w:rPr>
        <w:t>et al.</w:t>
      </w:r>
      <w:r w:rsidRPr="00210983">
        <w:rPr>
          <w:color w:val="000000" w:themeColor="text1"/>
        </w:rPr>
        <w:t xml:space="preserve"> 2010, Morgan </w:t>
      </w:r>
      <w:r w:rsidRPr="00210983">
        <w:rPr>
          <w:i/>
          <w:color w:val="000000" w:themeColor="text1"/>
        </w:rPr>
        <w:t>et al.</w:t>
      </w:r>
      <w:r w:rsidRPr="00210983">
        <w:rPr>
          <w:color w:val="000000" w:themeColor="text1"/>
        </w:rPr>
        <w:t xml:space="preserve"> 2016), from sites that control for depth and exposure to wave energy, it is evident that as turbidity increases, high coral cover typically results from relatively few species tolerant of their local environment, particularly at deeper depths (De Vantier </w:t>
      </w:r>
      <w:r w:rsidRPr="00210983">
        <w:rPr>
          <w:i/>
          <w:color w:val="000000" w:themeColor="text1"/>
        </w:rPr>
        <w:t>et al.</w:t>
      </w:r>
      <w:r w:rsidRPr="00210983">
        <w:rPr>
          <w:color w:val="000000" w:themeColor="text1"/>
        </w:rPr>
        <w:t xml:space="preserve"> 2006, Sweatman </w:t>
      </w:r>
      <w:r w:rsidRPr="00210983">
        <w:rPr>
          <w:i/>
          <w:color w:val="000000" w:themeColor="text1"/>
        </w:rPr>
        <w:t>et al.</w:t>
      </w:r>
      <w:r w:rsidRPr="00210983">
        <w:rPr>
          <w:color w:val="000000" w:themeColor="text1"/>
        </w:rPr>
        <w:t xml:space="preserve"> 2007). These selective pressures will contribute to the observed negative relationship between coral cover and NAP as not only do they limit the number of species that can contribute to recovery of coral cover following disturbance events, they also limit the rate at which corals grow (see below). In combination this leads to prolonged recovery of coral cover and</w:t>
      </w:r>
      <w:r w:rsidR="000979D5" w:rsidRPr="00210983">
        <w:rPr>
          <w:color w:val="000000" w:themeColor="text1"/>
        </w:rPr>
        <w:t>,</w:t>
      </w:r>
      <w:r w:rsidRPr="00210983">
        <w:rPr>
          <w:color w:val="000000" w:themeColor="text1"/>
        </w:rPr>
        <w:t xml:space="preserve"> on balance</w:t>
      </w:r>
      <w:r w:rsidR="000979D5" w:rsidRPr="00210983">
        <w:rPr>
          <w:color w:val="000000" w:themeColor="text1"/>
        </w:rPr>
        <w:t>,</w:t>
      </w:r>
      <w:r w:rsidRPr="00210983">
        <w:rPr>
          <w:color w:val="000000" w:themeColor="text1"/>
        </w:rPr>
        <w:t xml:space="preserve"> lower cover in areas subject to higher water quality pressures.</w:t>
      </w:r>
    </w:p>
    <w:p w14:paraId="53C14109" w14:textId="77777777" w:rsidR="00A84742" w:rsidRPr="00CE4E0F" w:rsidRDefault="00A84742" w:rsidP="00727D87">
      <w:pPr>
        <w:pStyle w:val="Heading3"/>
      </w:pPr>
      <w:bookmarkStart w:id="524" w:name="_Toc526246927"/>
      <w:bookmarkStart w:id="525" w:name="_Toc530654980"/>
      <w:bookmarkStart w:id="526" w:name="_Toc35947137"/>
      <w:r w:rsidRPr="00CE4E0F">
        <w:lastRenderedPageBreak/>
        <w:t>Rate of change in coral cover</w:t>
      </w:r>
      <w:bookmarkEnd w:id="524"/>
      <w:bookmarkEnd w:id="525"/>
      <w:bookmarkEnd w:id="526"/>
    </w:p>
    <w:p w14:paraId="53C1410A" w14:textId="77777777" w:rsidR="00A84742" w:rsidRPr="005C65CD" w:rsidRDefault="00A84742" w:rsidP="00A84742">
      <w:r w:rsidRPr="005C65CD">
        <w:t>The cover change metric assesses the rate of change in coral cover (growth) during years free from acute disturbances. An adequate rate of coral cover increase is essential to ensure the long-term balance between cover lost to disturbances and that regained under ambient conditions. Within regions, the cover change indicator scores are often highly variable. Such variability is likely due to a combination of both sampling error and real responses as communities are differentially exposed to pressures in both space and time. The formulation of this metric includes the averaging of estimates over a four-year period intended to allow averaging over potential sampling error. Unfortunately, the move to a biennial sampling and the multiple disturbances recorded over the life of the program mean that the scores over a four-year period may represent estimates derived from a single observation of cover change. It was partly to account for this that the program adopted a conti</w:t>
      </w:r>
      <w:r w:rsidR="00FD38CE">
        <w:t>ngent</w:t>
      </w:r>
      <w:r w:rsidRPr="005C65CD">
        <w:t xml:space="preserve"> sampling </w:t>
      </w:r>
      <w:r w:rsidR="00FD38CE">
        <w:t xml:space="preserve">design </w:t>
      </w:r>
      <w:r w:rsidRPr="005C65CD">
        <w:t>to ensure visitation of reefs following disturbances and so improve the data available from which to estimate scores for this indicator.</w:t>
      </w:r>
    </w:p>
    <w:p w14:paraId="53C1410B" w14:textId="77777777" w:rsidR="00A84742" w:rsidRPr="00785032" w:rsidRDefault="00A84742" w:rsidP="00A84742">
      <w:pPr>
        <w:rPr>
          <w:color w:val="000000" w:themeColor="text1"/>
        </w:rPr>
      </w:pPr>
      <w:r w:rsidRPr="00785032">
        <w:rPr>
          <w:color w:val="000000" w:themeColor="text1"/>
        </w:rPr>
        <w:t>In 201</w:t>
      </w:r>
      <w:r w:rsidR="00AC444F" w:rsidRPr="00785032">
        <w:rPr>
          <w:color w:val="000000" w:themeColor="text1"/>
        </w:rPr>
        <w:t>9</w:t>
      </w:r>
      <w:r w:rsidRPr="00785032">
        <w:rPr>
          <w:color w:val="000000" w:themeColor="text1"/>
        </w:rPr>
        <w:t xml:space="preserve"> cover change indicator </w:t>
      </w:r>
      <w:r w:rsidR="00AC444F" w:rsidRPr="00785032">
        <w:rPr>
          <w:color w:val="000000" w:themeColor="text1"/>
        </w:rPr>
        <w:t xml:space="preserve">scores were lowest in the </w:t>
      </w:r>
      <w:r w:rsidR="005F2B5B">
        <w:rPr>
          <w:color w:val="000000" w:themeColor="text1"/>
        </w:rPr>
        <w:t>Mackay-Whitsunday</w:t>
      </w:r>
      <w:r w:rsidR="00AC444F" w:rsidRPr="00785032">
        <w:rPr>
          <w:color w:val="000000" w:themeColor="text1"/>
        </w:rPr>
        <w:t xml:space="preserve"> Region, where </w:t>
      </w:r>
      <w:r w:rsidRPr="00785032">
        <w:rPr>
          <w:color w:val="000000" w:themeColor="text1"/>
        </w:rPr>
        <w:t xml:space="preserve">coral cover has shown no sign of recovery </w:t>
      </w:r>
      <w:r w:rsidR="00AC444F" w:rsidRPr="00785032">
        <w:rPr>
          <w:color w:val="000000" w:themeColor="text1"/>
        </w:rPr>
        <w:t xml:space="preserve">in the two years since </w:t>
      </w:r>
      <w:r w:rsidRPr="00785032">
        <w:rPr>
          <w:color w:val="000000" w:themeColor="text1"/>
        </w:rPr>
        <w:t xml:space="preserve">cyclone Debbie. </w:t>
      </w:r>
      <w:r w:rsidR="00AC444F" w:rsidRPr="00785032">
        <w:rPr>
          <w:color w:val="000000" w:themeColor="text1"/>
        </w:rPr>
        <w:t xml:space="preserve">Of concern is that </w:t>
      </w:r>
      <w:r w:rsidR="00FD38CE">
        <w:rPr>
          <w:color w:val="000000" w:themeColor="text1"/>
        </w:rPr>
        <w:t xml:space="preserve">the </w:t>
      </w:r>
      <w:r w:rsidRPr="00785032">
        <w:rPr>
          <w:color w:val="000000" w:themeColor="text1"/>
        </w:rPr>
        <w:t xml:space="preserve">cover change indicator score has been consistently low in the </w:t>
      </w:r>
      <w:r w:rsidR="005F2B5B">
        <w:rPr>
          <w:color w:val="000000" w:themeColor="text1"/>
        </w:rPr>
        <w:t>Mackay-Whitsunday</w:t>
      </w:r>
      <w:r w:rsidRPr="00785032">
        <w:rPr>
          <w:color w:val="000000" w:themeColor="text1"/>
        </w:rPr>
        <w:t xml:space="preserve"> Region </w:t>
      </w:r>
      <w:r w:rsidR="00785032" w:rsidRPr="00785032">
        <w:rPr>
          <w:color w:val="000000" w:themeColor="text1"/>
        </w:rPr>
        <w:t>an</w:t>
      </w:r>
      <w:r w:rsidR="002D12E3">
        <w:rPr>
          <w:color w:val="000000" w:themeColor="text1"/>
        </w:rPr>
        <w:t>d,</w:t>
      </w:r>
      <w:r w:rsidR="00785032" w:rsidRPr="00785032">
        <w:rPr>
          <w:color w:val="000000" w:themeColor="text1"/>
        </w:rPr>
        <w:t xml:space="preserve"> in combination with communit</w:t>
      </w:r>
      <w:r w:rsidR="00FD38CE">
        <w:rPr>
          <w:color w:val="000000" w:themeColor="text1"/>
        </w:rPr>
        <w:t>ies</w:t>
      </w:r>
      <w:r w:rsidR="00785032" w:rsidRPr="00785032">
        <w:rPr>
          <w:color w:val="000000" w:themeColor="text1"/>
        </w:rPr>
        <w:t xml:space="preserve"> dominated by slow growing species at fi</w:t>
      </w:r>
      <w:r w:rsidR="00FD38CE">
        <w:rPr>
          <w:color w:val="000000" w:themeColor="text1"/>
        </w:rPr>
        <w:t>v</w:t>
      </w:r>
      <w:r w:rsidR="00785032" w:rsidRPr="00785032">
        <w:rPr>
          <w:color w:val="000000" w:themeColor="text1"/>
        </w:rPr>
        <w:t>e metre depths</w:t>
      </w:r>
      <w:r w:rsidR="002D12E3">
        <w:rPr>
          <w:color w:val="000000" w:themeColor="text1"/>
        </w:rPr>
        <w:t>,</w:t>
      </w:r>
      <w:r w:rsidR="00785032" w:rsidRPr="00785032">
        <w:rPr>
          <w:color w:val="000000" w:themeColor="text1"/>
        </w:rPr>
        <w:t xml:space="preserve"> suggests slow </w:t>
      </w:r>
      <w:r w:rsidRPr="00785032">
        <w:rPr>
          <w:color w:val="000000" w:themeColor="text1"/>
        </w:rPr>
        <w:t>recovery</w:t>
      </w:r>
      <w:r w:rsidR="00785032" w:rsidRPr="00785032">
        <w:rPr>
          <w:color w:val="000000" w:themeColor="text1"/>
        </w:rPr>
        <w:t xml:space="preserve"> is likely</w:t>
      </w:r>
      <w:r w:rsidRPr="00785032">
        <w:rPr>
          <w:color w:val="000000" w:themeColor="text1"/>
        </w:rPr>
        <w:t>.</w:t>
      </w:r>
    </w:p>
    <w:p w14:paraId="53C1410C" w14:textId="77777777" w:rsidR="00A84742" w:rsidRPr="00785032" w:rsidRDefault="4FF5FF20" w:rsidP="4FF5FF20">
      <w:pPr>
        <w:rPr>
          <w:color w:val="000000" w:themeColor="text1"/>
        </w:rPr>
      </w:pPr>
      <w:r w:rsidRPr="4FF5FF20">
        <w:rPr>
          <w:color w:val="000000" w:themeColor="text1"/>
        </w:rPr>
        <w:t>In contrast, the moderate to high scores for the cover change indicator in Burdekin and Wet Tropics in 2019 demonstrate the ongoing potential for recovery of coral communities especially those in less turbid waters. Of note is that ongoing presence of low densities of crown-of-thorn starfish at High Island and the Frankland Group are likely to have reduced the rate of increase in cover at these reefs meaning that the cover change score may be slightly underestimated. For the Fitzroy region although the indicator score remains poor, it has improved since 2014.</w:t>
      </w:r>
    </w:p>
    <w:p w14:paraId="53C1410D" w14:textId="77777777" w:rsidR="00E96C03" w:rsidRDefault="4FF5FF20" w:rsidP="4FF5FF20">
      <w:pPr>
        <w:rPr>
          <w:color w:val="000000" w:themeColor="text1"/>
        </w:rPr>
      </w:pPr>
      <w:r w:rsidRPr="4FF5FF20">
        <w:rPr>
          <w:color w:val="000000" w:themeColor="text1"/>
        </w:rPr>
        <w:t xml:space="preserve">Over the period of the MMP, temporal trends in cover change indicator scores can be generalised as having declined to low points in the coral index between </w:t>
      </w:r>
      <w:r w:rsidRPr="4FF5FF20">
        <w:rPr>
          <w:color w:val="000000" w:themeColor="text1"/>
        </w:rPr>
        <w:lastRenderedPageBreak/>
        <w:t xml:space="preserve">2012 and 2014 and subsequently improved. Exceptions were, the Herbert Tully sub-region where both the index and cover change indicator scores improved between 2008 and 2011, and the </w:t>
      </w:r>
      <w:r w:rsidR="005F2B5B">
        <w:rPr>
          <w:color w:val="000000" w:themeColor="text1"/>
        </w:rPr>
        <w:t>Mackay-Whitsunday</w:t>
      </w:r>
      <w:r w:rsidRPr="4FF5FF20">
        <w:rPr>
          <w:color w:val="000000" w:themeColor="text1"/>
        </w:rPr>
        <w:t xml:space="preserve"> Region where the cover change score was consistently low prior to declining since 2017. The general decline in the cover change indicator scores coincided with a period during which high river discharge delivered high loads of sediments and nutrients to the Reef (Joo </w:t>
      </w:r>
      <w:r w:rsidRPr="4FF5FF20">
        <w:rPr>
          <w:i/>
          <w:iCs/>
          <w:color w:val="000000" w:themeColor="text1"/>
        </w:rPr>
        <w:t>et al.</w:t>
      </w:r>
      <w:r w:rsidRPr="4FF5FF20">
        <w:rPr>
          <w:color w:val="000000" w:themeColor="text1"/>
        </w:rPr>
        <w:t xml:space="preserve"> 2012, Turner </w:t>
      </w:r>
      <w:r w:rsidRPr="4FF5FF20">
        <w:rPr>
          <w:i/>
          <w:iCs/>
          <w:color w:val="000000" w:themeColor="text1"/>
        </w:rPr>
        <w:t>et al.</w:t>
      </w:r>
      <w:r w:rsidRPr="4FF5FF20">
        <w:rPr>
          <w:color w:val="000000" w:themeColor="text1"/>
        </w:rPr>
        <w:t xml:space="preserve"> 2012, 2013, Wallace </w:t>
      </w:r>
      <w:r w:rsidRPr="4FF5FF20">
        <w:rPr>
          <w:i/>
          <w:iCs/>
          <w:color w:val="000000" w:themeColor="text1"/>
        </w:rPr>
        <w:t>et al.</w:t>
      </w:r>
      <w:r w:rsidRPr="4FF5FF20">
        <w:rPr>
          <w:color w:val="000000" w:themeColor="text1"/>
        </w:rPr>
        <w:t xml:space="preserve"> 2014, 2015). In each region, we noted peaks in coral disease that corresponded to major flooding in the adjacent catchments. </w:t>
      </w:r>
    </w:p>
    <w:p w14:paraId="53C1410E" w14:textId="77777777" w:rsidR="00A84742" w:rsidRPr="001F66EA" w:rsidRDefault="4FF5FF20" w:rsidP="4FF5FF20">
      <w:pPr>
        <w:rPr>
          <w:color w:val="000000" w:themeColor="text1"/>
        </w:rPr>
      </w:pPr>
      <w:r w:rsidRPr="4FF5FF20">
        <w:rPr>
          <w:color w:val="000000" w:themeColor="text1"/>
        </w:rPr>
        <w:t xml:space="preserve">The conclusion </w:t>
      </w:r>
      <w:r w:rsidR="00E96C03">
        <w:rPr>
          <w:color w:val="000000" w:themeColor="text1"/>
        </w:rPr>
        <w:t xml:space="preserve">is </w:t>
      </w:r>
      <w:r w:rsidRPr="4FF5FF20">
        <w:rPr>
          <w:color w:val="000000" w:themeColor="text1"/>
        </w:rPr>
        <w:t>that environmental conditions associated with the increased loads of sediments and nutrients delivered by these floods were sufficiently stressful to reduce growth rates, and/or induce disease in susceptible species</w:t>
      </w:r>
      <w:r w:rsidR="00E96C03">
        <w:rPr>
          <w:color w:val="000000" w:themeColor="text1"/>
        </w:rPr>
        <w:t xml:space="preserve">. This </w:t>
      </w:r>
      <w:r w:rsidRPr="4FF5FF20">
        <w:rPr>
          <w:color w:val="000000" w:themeColor="text1"/>
        </w:rPr>
        <w:t xml:space="preserve">is consistent with previous observations linking nutrients and organic matter availability to higher incidence and severity of coral disease (Bruno </w:t>
      </w:r>
      <w:r w:rsidRPr="4FF5FF20">
        <w:rPr>
          <w:i/>
          <w:iCs/>
          <w:color w:val="000000" w:themeColor="text1"/>
        </w:rPr>
        <w:t>et al.</w:t>
      </w:r>
      <w:r w:rsidRPr="4FF5FF20">
        <w:rPr>
          <w:color w:val="000000" w:themeColor="text1"/>
        </w:rPr>
        <w:t xml:space="preserve"> 2003, Haapkylä </w:t>
      </w:r>
      <w:r w:rsidRPr="4FF5FF20">
        <w:rPr>
          <w:i/>
          <w:iCs/>
          <w:color w:val="000000" w:themeColor="text1"/>
        </w:rPr>
        <w:t>et al</w:t>
      </w:r>
      <w:r w:rsidRPr="4FF5FF20">
        <w:rPr>
          <w:color w:val="000000" w:themeColor="text1"/>
        </w:rPr>
        <w:t xml:space="preserve">. 2011, Weber </w:t>
      </w:r>
      <w:r w:rsidRPr="4FF5FF20">
        <w:rPr>
          <w:i/>
          <w:iCs/>
          <w:color w:val="000000" w:themeColor="text1"/>
        </w:rPr>
        <w:t>et al.</w:t>
      </w:r>
      <w:r w:rsidRPr="4FF5FF20">
        <w:rPr>
          <w:color w:val="000000" w:themeColor="text1"/>
        </w:rPr>
        <w:t xml:space="preserve"> 2012, Vega Thurber </w:t>
      </w:r>
      <w:r w:rsidRPr="4FF5FF20">
        <w:rPr>
          <w:i/>
          <w:iCs/>
          <w:color w:val="000000" w:themeColor="text1"/>
        </w:rPr>
        <w:t>et al.</w:t>
      </w:r>
      <w:r w:rsidRPr="4FF5FF20">
        <w:rPr>
          <w:color w:val="000000" w:themeColor="text1"/>
        </w:rPr>
        <w:t xml:space="preserve"> 2013).</w:t>
      </w:r>
    </w:p>
    <w:p w14:paraId="53C1410F" w14:textId="77777777" w:rsidR="00A84742" w:rsidRPr="00D54183" w:rsidRDefault="00A84742" w:rsidP="00A84742">
      <w:pPr>
        <w:rPr>
          <w:color w:val="000000" w:themeColor="text1"/>
        </w:rPr>
      </w:pPr>
      <w:r w:rsidRPr="00D54183">
        <w:rPr>
          <w:color w:val="000000" w:themeColor="text1"/>
        </w:rPr>
        <w:t xml:space="preserve">As discharge from local catchments returned to median levels or below, the cover change indicator scores improved </w:t>
      </w:r>
      <w:r w:rsidR="00347BDE" w:rsidRPr="00D54183">
        <w:rPr>
          <w:color w:val="000000" w:themeColor="text1"/>
        </w:rPr>
        <w:t xml:space="preserve">suggesting </w:t>
      </w:r>
      <w:r w:rsidRPr="00D54183">
        <w:rPr>
          <w:color w:val="000000" w:themeColor="text1"/>
        </w:rPr>
        <w:t xml:space="preserve">a link between coral community recovery and catchment inputs. Interestingly, although coral recovery had improved, suggesting at least a partial release from chronic pressures, there is no clear signal for reduced concentrations of any of the monitored </w:t>
      </w:r>
      <w:r w:rsidR="002D12E3">
        <w:rPr>
          <w:color w:val="000000" w:themeColor="text1"/>
        </w:rPr>
        <w:t xml:space="preserve">water quality variables </w:t>
      </w:r>
      <w:r w:rsidRPr="00D54183">
        <w:rPr>
          <w:color w:val="000000" w:themeColor="text1"/>
        </w:rPr>
        <w:t>in the surrounding waters. Rather, concentrations appear to have remained stable at elevated levels, or continued to increase.</w:t>
      </w:r>
      <w:r w:rsidR="00D54183" w:rsidRPr="00D54183">
        <w:rPr>
          <w:color w:val="000000" w:themeColor="text1"/>
        </w:rPr>
        <w:t xml:space="preserve"> </w:t>
      </w:r>
    </w:p>
    <w:p w14:paraId="53C14110" w14:textId="77777777" w:rsidR="00A84742" w:rsidRPr="00CE4E0F" w:rsidRDefault="00A84742" w:rsidP="00727D87">
      <w:pPr>
        <w:pStyle w:val="Heading3"/>
      </w:pPr>
      <w:bookmarkStart w:id="527" w:name="_Toc526246928"/>
      <w:bookmarkStart w:id="528" w:name="_Toc530654981"/>
      <w:bookmarkStart w:id="529" w:name="_Toc35947138"/>
      <w:r w:rsidRPr="00CE4E0F">
        <w:t>Community composition</w:t>
      </w:r>
      <w:bookmarkEnd w:id="527"/>
      <w:bookmarkEnd w:id="528"/>
      <w:bookmarkEnd w:id="529"/>
    </w:p>
    <w:p w14:paraId="53C14111" w14:textId="77777777" w:rsidR="00A84742" w:rsidRPr="005C65CD" w:rsidRDefault="00A84742" w:rsidP="003D4C57">
      <w:r w:rsidRPr="005C65CD">
        <w:t xml:space="preserve">It is well documented that compositional differences in coral communities </w:t>
      </w:r>
      <w:r w:rsidR="00CE0CEB" w:rsidRPr="005C65CD">
        <w:t xml:space="preserve">on the Reef </w:t>
      </w:r>
      <w:r w:rsidRPr="005C65CD">
        <w:t>occur along environmental gradients</w:t>
      </w:r>
      <w:r w:rsidR="00CE0CEB" w:rsidRPr="005C65CD">
        <w:t xml:space="preserve"> at a range of scales</w:t>
      </w:r>
      <w:r w:rsidRPr="005C65CD">
        <w:t xml:space="preserve"> (Done 1982, van Woesik </w:t>
      </w:r>
      <w:r w:rsidRPr="005C65CD">
        <w:rPr>
          <w:i/>
        </w:rPr>
        <w:t>et al.</w:t>
      </w:r>
      <w:r w:rsidRPr="005C65CD">
        <w:t xml:space="preserve"> 1999, Fabricius </w:t>
      </w:r>
      <w:r w:rsidRPr="005C65CD">
        <w:rPr>
          <w:i/>
        </w:rPr>
        <w:t>et al.</w:t>
      </w:r>
      <w:r w:rsidRPr="005C65CD">
        <w:t xml:space="preserve"> 2005, Browne </w:t>
      </w:r>
      <w:r w:rsidRPr="005C65CD">
        <w:rPr>
          <w:i/>
        </w:rPr>
        <w:t>et al</w:t>
      </w:r>
      <w:r w:rsidRPr="005C65CD">
        <w:t xml:space="preserve">. 2010, De’ath &amp; Fabricius 2010, Uthicke </w:t>
      </w:r>
      <w:r w:rsidRPr="005C65CD">
        <w:rPr>
          <w:i/>
        </w:rPr>
        <w:t>et al</w:t>
      </w:r>
      <w:r w:rsidRPr="005C65CD">
        <w:t xml:space="preserve">. 2010). The relationships between disease and altered environmental conditions, discussed above, demonstrate the dynamic nature of coral community selection occurring on inshore reefs. Sensitive species gain a foot-hold during relatively benign conditions only to be removed during periods when environmental conditions are beyond their tolerance. </w:t>
      </w:r>
    </w:p>
    <w:p w14:paraId="53C14112" w14:textId="77777777" w:rsidR="00A84742" w:rsidRPr="00817CE7" w:rsidRDefault="4FF5FF20" w:rsidP="4FF5FF20">
      <w:pPr>
        <w:rPr>
          <w:color w:val="000000" w:themeColor="text1"/>
        </w:rPr>
      </w:pPr>
      <w:r w:rsidRPr="4FF5FF20">
        <w:rPr>
          <w:color w:val="000000" w:themeColor="text1"/>
        </w:rPr>
        <w:lastRenderedPageBreak/>
        <w:t xml:space="preserve">In 2019, the composition indicator scores improved in all regions except in Mackay-Whitsunday, demonstrating that recovery of coral cover includes increased representation of species sensitive to poor water quality. In general, the coral community composition indicator has tended to track the trend in coral cover indicating the disproportionate loss, and subsequent recovery, of genera sensitive to water quality. This does not necessarily imply poor water quality as a causative agent as the genus most susceptible to poor water quality, </w:t>
      </w:r>
      <w:r w:rsidRPr="4FF5FF20">
        <w:rPr>
          <w:i/>
          <w:iCs/>
          <w:color w:val="000000" w:themeColor="text1"/>
        </w:rPr>
        <w:t xml:space="preserve">Acropora, </w:t>
      </w:r>
      <w:r w:rsidRPr="4FF5FF20">
        <w:rPr>
          <w:color w:val="000000" w:themeColor="text1"/>
        </w:rPr>
        <w:t xml:space="preserve">is also susceptible to cyclones (Fabricius </w:t>
      </w:r>
      <w:r w:rsidRPr="4FF5FF20">
        <w:rPr>
          <w:i/>
          <w:iCs/>
          <w:color w:val="000000" w:themeColor="text1"/>
        </w:rPr>
        <w:t>et al</w:t>
      </w:r>
      <w:r w:rsidRPr="4FF5FF20">
        <w:rPr>
          <w:color w:val="000000" w:themeColor="text1"/>
        </w:rPr>
        <w:t xml:space="preserve">. 2008), thermal bleaching (Marshall &amp; Baird 2000), and a preferred prey group for crown-of-thorns starfish (Pratchett 2007). Over the longer term, however, there is evidence that the representation of </w:t>
      </w:r>
      <w:r w:rsidRPr="4FF5FF20">
        <w:rPr>
          <w:i/>
          <w:iCs/>
          <w:color w:val="000000" w:themeColor="text1"/>
        </w:rPr>
        <w:t>Acropora</w:t>
      </w:r>
      <w:r w:rsidRPr="4FF5FF20">
        <w:rPr>
          <w:color w:val="000000" w:themeColor="text1"/>
        </w:rPr>
        <w:t xml:space="preserve"> on reefs in the Burdekin region has declined since the mid-20</w:t>
      </w:r>
      <w:r w:rsidRPr="4FF5FF20">
        <w:rPr>
          <w:color w:val="000000" w:themeColor="text1"/>
          <w:vertAlign w:val="superscript"/>
        </w:rPr>
        <w:t>th</w:t>
      </w:r>
      <w:r w:rsidRPr="4FF5FF20">
        <w:rPr>
          <w:color w:val="000000" w:themeColor="text1"/>
        </w:rPr>
        <w:t xml:space="preserve"> century, possibly due to increased run-off from the adjacent catchments (Roff </w:t>
      </w:r>
      <w:r w:rsidRPr="4FF5FF20">
        <w:rPr>
          <w:i/>
          <w:iCs/>
          <w:color w:val="000000" w:themeColor="text1"/>
        </w:rPr>
        <w:t>et al.</w:t>
      </w:r>
      <w:r w:rsidRPr="4FF5FF20">
        <w:rPr>
          <w:color w:val="000000" w:themeColor="text1"/>
        </w:rPr>
        <w:t xml:space="preserve"> 2013). Branching </w:t>
      </w:r>
      <w:r w:rsidRPr="4FF5FF20">
        <w:rPr>
          <w:i/>
          <w:iCs/>
          <w:color w:val="000000" w:themeColor="text1"/>
        </w:rPr>
        <w:t>Acropora</w:t>
      </w:r>
      <w:r w:rsidRPr="4FF5FF20">
        <w:rPr>
          <w:color w:val="000000" w:themeColor="text1"/>
        </w:rPr>
        <w:t xml:space="preserve"> were one group identified by Roff </w:t>
      </w:r>
      <w:r w:rsidRPr="4FF5FF20">
        <w:rPr>
          <w:i/>
          <w:iCs/>
          <w:color w:val="000000" w:themeColor="text1"/>
        </w:rPr>
        <w:t>et al.</w:t>
      </w:r>
      <w:r w:rsidRPr="4FF5FF20">
        <w:rPr>
          <w:color w:val="000000" w:themeColor="text1"/>
        </w:rPr>
        <w:t xml:space="preserve"> (2013) as showing clear reduction in contemporary communities. While branching </w:t>
      </w:r>
      <w:r w:rsidRPr="4FF5FF20">
        <w:rPr>
          <w:i/>
          <w:iCs/>
          <w:color w:val="000000" w:themeColor="text1"/>
        </w:rPr>
        <w:t>Acropora</w:t>
      </w:r>
      <w:r w:rsidRPr="4FF5FF20">
        <w:rPr>
          <w:color w:val="000000" w:themeColor="text1"/>
        </w:rPr>
        <w:t xml:space="preserve"> have recruited and contributed to increased coral cover across the region, losses of cover at two metre depth of Havannah Island since 2017 were primarily the result of large stands of the </w:t>
      </w:r>
      <w:r w:rsidRPr="4FF5FF20">
        <w:rPr>
          <w:i/>
          <w:iCs/>
          <w:color w:val="000000" w:themeColor="text1"/>
        </w:rPr>
        <w:t>Acropora pulchra</w:t>
      </w:r>
      <w:r w:rsidRPr="4FF5FF20">
        <w:rPr>
          <w:color w:val="000000" w:themeColor="text1"/>
        </w:rPr>
        <w:t xml:space="preserve">, a branching species, being killed by disease.  </w:t>
      </w:r>
    </w:p>
    <w:p w14:paraId="53C14113" w14:textId="77777777" w:rsidR="00AD42E1" w:rsidRDefault="4FF5FF20" w:rsidP="4FF5FF20">
      <w:pPr>
        <w:rPr>
          <w:color w:val="000000" w:themeColor="text1"/>
        </w:rPr>
      </w:pPr>
      <w:r w:rsidRPr="4FF5FF20">
        <w:rPr>
          <w:color w:val="000000" w:themeColor="text1"/>
        </w:rPr>
        <w:t xml:space="preserve">That this indicator tends to reiterate changes in coral cover, due to its responsiveness to fluctuations in the cover of </w:t>
      </w:r>
      <w:r w:rsidRPr="4FF5FF20">
        <w:rPr>
          <w:i/>
          <w:iCs/>
          <w:color w:val="000000" w:themeColor="text1"/>
        </w:rPr>
        <w:t>Acropora,</w:t>
      </w:r>
      <w:r w:rsidRPr="4FF5FF20">
        <w:rPr>
          <w:color w:val="000000" w:themeColor="text1"/>
        </w:rPr>
        <w:t xml:space="preserve"> means it is partially redundant within the index. As the indicator is based on a constrained redundancy analysis it is only sensitive to changes in the taxa that respond strongly to the univariate water quality gradient imposed on that analysis, meaning that changes in relative abundance of other taxa may go unnoticed. It is also apparent that the use of a three-level categorical scoring can result in large changes in score with very little actual change in community composition when communities a</w:t>
      </w:r>
      <w:r w:rsidR="004A54C7">
        <w:rPr>
          <w:color w:val="000000" w:themeColor="text1"/>
        </w:rPr>
        <w:t>re near categorical thresholds.</w:t>
      </w:r>
    </w:p>
    <w:p w14:paraId="53C14114" w14:textId="77777777" w:rsidR="004446BD" w:rsidRPr="00822BC2" w:rsidRDefault="4FF5FF20" w:rsidP="4FF5FF20">
      <w:pPr>
        <w:rPr>
          <w:color w:val="000000" w:themeColor="text1"/>
        </w:rPr>
      </w:pPr>
      <w:r w:rsidRPr="4FF5FF20">
        <w:rPr>
          <w:color w:val="000000" w:themeColor="text1"/>
        </w:rPr>
        <w:t xml:space="preserve">In light of these realisations, consideration </w:t>
      </w:r>
      <w:r w:rsidR="00AD42E1">
        <w:rPr>
          <w:color w:val="000000" w:themeColor="text1"/>
        </w:rPr>
        <w:t>will</w:t>
      </w:r>
      <w:r w:rsidR="00AD42E1" w:rsidRPr="4FF5FF20">
        <w:rPr>
          <w:color w:val="000000" w:themeColor="text1"/>
        </w:rPr>
        <w:t xml:space="preserve"> </w:t>
      </w:r>
      <w:r w:rsidRPr="4FF5FF20">
        <w:rPr>
          <w:color w:val="000000" w:themeColor="text1"/>
        </w:rPr>
        <w:t xml:space="preserve">be given to removing this indicator from the annually reported coral index and investing effort into the development of a less constrained method for the identification of changes in community composition, the cause and change could be investigated using post hoc analyses focused on likely drivers. </w:t>
      </w:r>
    </w:p>
    <w:p w14:paraId="53C14115" w14:textId="77777777" w:rsidR="00A84742" w:rsidRPr="00CE4E0F" w:rsidRDefault="00A84742" w:rsidP="00727D87">
      <w:pPr>
        <w:pStyle w:val="Heading3"/>
      </w:pPr>
      <w:bookmarkStart w:id="530" w:name="_Toc526246929"/>
      <w:bookmarkStart w:id="531" w:name="_Toc530654982"/>
      <w:bookmarkStart w:id="532" w:name="_Toc35947139"/>
      <w:r w:rsidRPr="00CE4E0F">
        <w:lastRenderedPageBreak/>
        <w:t>Macroalgae</w:t>
      </w:r>
      <w:bookmarkEnd w:id="530"/>
      <w:bookmarkEnd w:id="531"/>
      <w:bookmarkEnd w:id="532"/>
      <w:r w:rsidRPr="00CE4E0F">
        <w:t xml:space="preserve"> </w:t>
      </w:r>
    </w:p>
    <w:p w14:paraId="53C14116" w14:textId="77777777" w:rsidR="001225D7" w:rsidRDefault="00A84742" w:rsidP="00A84742">
      <w:r w:rsidRPr="00FE37E3">
        <w:t xml:space="preserve">Macroalgae generally benefit from increased nutrient availability due to run-off (e.g. Schaffelke </w:t>
      </w:r>
      <w:r w:rsidRPr="00FE37E3">
        <w:rPr>
          <w:i/>
        </w:rPr>
        <w:t>et al.</w:t>
      </w:r>
      <w:r w:rsidRPr="00FE37E3">
        <w:t xml:space="preserve"> 2005)</w:t>
      </w:r>
      <w:r w:rsidR="00822BC2">
        <w:t>. A</w:t>
      </w:r>
      <w:r w:rsidRPr="00FE37E3">
        <w:t>s coral competitors</w:t>
      </w:r>
      <w:r w:rsidR="002D12E3">
        <w:t>,</w:t>
      </w:r>
      <w:r w:rsidR="00822BC2">
        <w:t xml:space="preserve"> macroalgae </w:t>
      </w:r>
      <w:r w:rsidRPr="00FE37E3">
        <w:t xml:space="preserve">suppress both coral growth and juvenile settlement or survival (e.g., Tanner 1995, McCook </w:t>
      </w:r>
      <w:r w:rsidRPr="00FE37E3">
        <w:rPr>
          <w:i/>
        </w:rPr>
        <w:t>et al.</w:t>
      </w:r>
      <w:r w:rsidRPr="00FE37E3">
        <w:t xml:space="preserve"> 2001, Birrell </w:t>
      </w:r>
      <w:r w:rsidRPr="00FE37E3">
        <w:rPr>
          <w:i/>
        </w:rPr>
        <w:t>et al.</w:t>
      </w:r>
      <w:r w:rsidRPr="00FE37E3">
        <w:t xml:space="preserve"> 2005, 2008a, b)</w:t>
      </w:r>
      <w:r w:rsidR="00C85312">
        <w:t xml:space="preserve"> providing positive feedbacks to maintain communities in a macroalgae dominated state (Johns </w:t>
      </w:r>
      <w:r w:rsidR="00C85312" w:rsidRPr="002D12E3">
        <w:rPr>
          <w:i/>
        </w:rPr>
        <w:t>et al.</w:t>
      </w:r>
      <w:r w:rsidR="00C85312">
        <w:t xml:space="preserve"> 2018)</w:t>
      </w:r>
      <w:r w:rsidRPr="00FE37E3">
        <w:t xml:space="preserve">. Clear relationships between </w:t>
      </w:r>
      <w:r w:rsidR="006902D1" w:rsidRPr="00FE37E3">
        <w:t xml:space="preserve">Chl </w:t>
      </w:r>
      <w:r w:rsidRPr="00FE37E3">
        <w:rPr>
          <w:i/>
        </w:rPr>
        <w:t>a</w:t>
      </w:r>
      <w:r w:rsidRPr="00FE37E3">
        <w:t xml:space="preserve"> concentration, a proxy for nutrient availability, and the proportion of macroalgae link nutrient availability to reduced coral community resilience in inshore areas of the Reef. </w:t>
      </w:r>
    </w:p>
    <w:p w14:paraId="53C14117" w14:textId="77777777" w:rsidR="00A84742" w:rsidRPr="00FE37E3" w:rsidRDefault="00A84742" w:rsidP="00A84742">
      <w:r w:rsidRPr="00FE37E3">
        <w:t>Unlike the coral indicators that are plausibly respon</w:t>
      </w:r>
      <w:r w:rsidR="0090502C" w:rsidRPr="00FE37E3">
        <w:t>ding</w:t>
      </w:r>
      <w:r w:rsidRPr="00FE37E3">
        <w:t xml:space="preserve"> to water quality extremes, the persistence of macroalgae suggest that ambient water quality levels are important for the maintenance of high macroalgal cover. While reef specific thresholds for macroalgae allow for increased abundance of macroalgae in response to naturally occurring gradients of water quality, their cover in 201</w:t>
      </w:r>
      <w:r w:rsidR="00FE37E3" w:rsidRPr="00FE37E3">
        <w:t>9</w:t>
      </w:r>
      <w:r w:rsidRPr="00FE37E3">
        <w:t xml:space="preserve">, where long-term </w:t>
      </w:r>
      <w:r w:rsidR="006902D1" w:rsidRPr="00FE37E3">
        <w:t xml:space="preserve">Chl </w:t>
      </w:r>
      <w:r w:rsidRPr="00FE37E3">
        <w:rPr>
          <w:i/>
        </w:rPr>
        <w:t>a</w:t>
      </w:r>
      <w:r w:rsidRPr="00FE37E3">
        <w:t xml:space="preserve"> concentration exceeds guideline levels, was often at levels likely to have detrimental influences on coral recruitment and growth.</w:t>
      </w:r>
    </w:p>
    <w:p w14:paraId="53C14118" w14:textId="77777777" w:rsidR="00A84742" w:rsidRPr="00FE37E3" w:rsidRDefault="00A84742" w:rsidP="00A84742">
      <w:r w:rsidRPr="00FE37E3">
        <w:t xml:space="preserve">It is important to note, that the relationship between high </w:t>
      </w:r>
      <w:r w:rsidR="006902D1" w:rsidRPr="00FE37E3">
        <w:t xml:space="preserve">Chl </w:t>
      </w:r>
      <w:r w:rsidRPr="00FE37E3">
        <w:rPr>
          <w:i/>
        </w:rPr>
        <w:t>a</w:t>
      </w:r>
      <w:r w:rsidRPr="00FE37E3">
        <w:t xml:space="preserve"> concentration and macroalgae cover is correlative only and does not necessarily indicate a direct cause-effect relationship between nutrient concentration and pressures imposed by macroalgae. Chl </w:t>
      </w:r>
      <w:r w:rsidRPr="00FE37E3">
        <w:rPr>
          <w:i/>
        </w:rPr>
        <w:t>a</w:t>
      </w:r>
      <w:r w:rsidRPr="00FE37E3">
        <w:t xml:space="preserve"> may be a proxy for environmental variables or ecological processes other than the direct availability of nutrients that influence macroalgae abundance. Wismer </w:t>
      </w:r>
      <w:r w:rsidRPr="00FE37E3">
        <w:rPr>
          <w:i/>
        </w:rPr>
        <w:t>et al.</w:t>
      </w:r>
      <w:r w:rsidRPr="00FE37E3">
        <w:t xml:space="preserve"> (2009) demonstrate an inverse relationship between macroalgal cover and herbivore biomass and Cheal </w:t>
      </w:r>
      <w:r w:rsidRPr="00FE37E3">
        <w:rPr>
          <w:i/>
        </w:rPr>
        <w:t>et al.</w:t>
      </w:r>
      <w:r w:rsidRPr="00FE37E3">
        <w:t xml:space="preserve"> (2013) link this relationship to water quality by demonstrating a decline in herbivorous fish populations with increasing turbidity. Importantly, the reduction in herbivore biomass noted by Cheal </w:t>
      </w:r>
      <w:r w:rsidRPr="00FE37E3">
        <w:rPr>
          <w:i/>
        </w:rPr>
        <w:t>et al.</w:t>
      </w:r>
      <w:r w:rsidRPr="00FE37E3">
        <w:t xml:space="preserve"> (2013) occurred on the LTMP survey reefs included in this report and are among the reefs toward the better end of the strong water quality gradient in inshore waters. The higher turbidity at most reefs surveyed under the MMP suggest even lower biomass of herbivorous fishes.</w:t>
      </w:r>
    </w:p>
    <w:p w14:paraId="53C14119" w14:textId="77777777" w:rsidR="00A84742" w:rsidRPr="00FE37E3" w:rsidRDefault="4FF5FF20" w:rsidP="00A84742">
      <w:r>
        <w:t xml:space="preserve">Grazing is a key process for the control of macroalgal blooms and research demonstrates the importance of the maintenance of herbivore populations to avoid a phase shift to a macroalgae dominated state (e.g. Hughes </w:t>
      </w:r>
      <w:r w:rsidRPr="4FF5FF20">
        <w:rPr>
          <w:i/>
          <w:iCs/>
        </w:rPr>
        <w:t>et al.</w:t>
      </w:r>
      <w:r>
        <w:t xml:space="preserve"> 2007). </w:t>
      </w:r>
      <w:r>
        <w:lastRenderedPageBreak/>
        <w:t xml:space="preserve">Within the Burdekin region Hughes </w:t>
      </w:r>
      <w:r w:rsidRPr="4FF5FF20">
        <w:rPr>
          <w:i/>
          <w:iCs/>
        </w:rPr>
        <w:t>et al.</w:t>
      </w:r>
      <w:r>
        <w:t xml:space="preserve"> (2007) demonstrated that dense macroalgal communities could be supported in the absence of grazing on a reef with generally low cover of fleshy macroalgae, partly divorcing macroalgae biomass from a direct relationship to water quality alone. The relative influences of herbivory and nutrients on coral reef macroalgae is undoubtedly complex and likely to ‘depend on the species, circumstances and life-history processes under consideration’ (Diaz-Pulido &amp; McCook 2003).</w:t>
      </w:r>
    </w:p>
    <w:p w14:paraId="53C1411A" w14:textId="77777777" w:rsidR="00A84742" w:rsidRPr="00FE37E3" w:rsidRDefault="00A84742" w:rsidP="00A84742">
      <w:r w:rsidRPr="00FE37E3">
        <w:t xml:space="preserve">Irrespective of the underlying mechanism that limits macroalgae on reefs, the environmental conditions at sites where </w:t>
      </w:r>
      <w:r w:rsidR="006902D1" w:rsidRPr="00FE37E3">
        <w:t xml:space="preserve">Chl </w:t>
      </w:r>
      <w:r w:rsidRPr="00FE37E3">
        <w:rPr>
          <w:i/>
        </w:rPr>
        <w:t>a</w:t>
      </w:r>
      <w:r w:rsidRPr="00FE37E3">
        <w:t xml:space="preserve"> concentration frequently exceeds the summer guideline value support macroalgal cover at a level detrimental to coral community resilience. The distribution of large brown macroalgae shows a strong relationship to environmental conditions of high nutrient availability, adequate light (prevalence is limited by turbidity at </w:t>
      </w:r>
      <w:r w:rsidR="006F1464">
        <w:t>five metre</w:t>
      </w:r>
      <w:r w:rsidRPr="00FE37E3">
        <w:t xml:space="preserve"> depths) and sufficient water movement to preclude the build-up of fine sediments on the substrate (Thompson </w:t>
      </w:r>
      <w:r w:rsidRPr="00FE37E3">
        <w:rPr>
          <w:i/>
        </w:rPr>
        <w:t>et al.</w:t>
      </w:r>
      <w:r w:rsidRPr="00FE37E3">
        <w:t xml:space="preserve"> 2017).</w:t>
      </w:r>
    </w:p>
    <w:p w14:paraId="53C1411B" w14:textId="77777777" w:rsidR="00767ABD" w:rsidRPr="00BD5D94" w:rsidRDefault="00A84742" w:rsidP="00767ABD">
      <w:r w:rsidRPr="00FE37E3">
        <w:t xml:space="preserve">In terms of light availability and water movement, the preferred habitat for brown macroalgae overlaps strongly with that of some corals, particularly the fast growing Acroporidae, highlighting the direct competition for space between these groups. The correspondence between high prevalence of macroalgae and </w:t>
      </w:r>
      <w:r w:rsidR="006902D1" w:rsidRPr="00FE37E3">
        <w:t xml:space="preserve">Chl </w:t>
      </w:r>
      <w:r w:rsidRPr="00FE37E3">
        <w:rPr>
          <w:i/>
        </w:rPr>
        <w:t>a</w:t>
      </w:r>
      <w:r w:rsidRPr="00FE37E3">
        <w:t xml:space="preserve"> concentration implies that a reduction in the availability of nutrients has the potential to shift the competitive relationship between macroalgae a</w:t>
      </w:r>
      <w:r w:rsidR="00C364FF">
        <w:t xml:space="preserve">nd coral reducing </w:t>
      </w:r>
      <w:r w:rsidR="0086677B">
        <w:t xml:space="preserve">potential for </w:t>
      </w:r>
      <w:r w:rsidR="00C364FF">
        <w:t>long-term phase shifts</w:t>
      </w:r>
      <w:r w:rsidRPr="00FE37E3">
        <w:t>.</w:t>
      </w:r>
      <w:r w:rsidR="00767ABD" w:rsidRPr="00767ABD">
        <w:t xml:space="preserve"> </w:t>
      </w:r>
      <w:r w:rsidR="00767ABD" w:rsidRPr="00BD5D94">
        <w:t>Alternatively, the persistence of macroalgae may</w:t>
      </w:r>
      <w:r w:rsidR="003B5981">
        <w:t xml:space="preserve"> be supported by</w:t>
      </w:r>
      <w:r w:rsidR="00767ABD" w:rsidRPr="00BD5D94">
        <w:t xml:space="preserve"> density dependant feedbacks that help to maintain the macroalgal dominated state (Roff </w:t>
      </w:r>
      <w:r w:rsidR="00767ABD" w:rsidRPr="00BD5D94">
        <w:rPr>
          <w:i/>
        </w:rPr>
        <w:t>et al</w:t>
      </w:r>
      <w:r w:rsidR="00767ABD" w:rsidRPr="00BD5D94">
        <w:t xml:space="preserve">. 2015, Johns </w:t>
      </w:r>
      <w:r w:rsidR="00767ABD" w:rsidRPr="00BD5D94">
        <w:rPr>
          <w:i/>
        </w:rPr>
        <w:t>et al.</w:t>
      </w:r>
      <w:r w:rsidR="00767ABD" w:rsidRPr="00BD5D94">
        <w:t xml:space="preserve"> 2018) in which case management of nutrient levels to mitigate initial blooms or management of blooms may provide scope for coral recovery.</w:t>
      </w:r>
    </w:p>
    <w:p w14:paraId="53C1411C" w14:textId="77777777" w:rsidR="00A84742" w:rsidRPr="00FE37E3" w:rsidRDefault="00A84742" w:rsidP="00A84742"/>
    <w:p w14:paraId="53C1411D" w14:textId="77777777" w:rsidR="00A84742" w:rsidRPr="00CE4E0F" w:rsidRDefault="00A84742" w:rsidP="00727D87">
      <w:pPr>
        <w:pStyle w:val="Heading3"/>
      </w:pPr>
      <w:bookmarkStart w:id="533" w:name="_Toc526246930"/>
      <w:bookmarkStart w:id="534" w:name="_Toc530654983"/>
      <w:bookmarkStart w:id="535" w:name="_Toc35947140"/>
      <w:r w:rsidRPr="00CE4E0F">
        <w:t>Juvenile density</w:t>
      </w:r>
      <w:bookmarkEnd w:id="533"/>
      <w:bookmarkEnd w:id="534"/>
      <w:bookmarkEnd w:id="535"/>
    </w:p>
    <w:p w14:paraId="53C1411E" w14:textId="77777777" w:rsidR="00C364FF" w:rsidRDefault="00A84742" w:rsidP="00A84742">
      <w:r w:rsidRPr="001530AF">
        <w:t xml:space="preserve">The early life history stages of corals are sensitive to a range of water quality parameters (Fabricius 2011). Direct effects of high concentrations of suspended </w:t>
      </w:r>
      <w:r w:rsidRPr="001530AF">
        <w:lastRenderedPageBreak/>
        <w:t xml:space="preserve">sediments can reduce fertilisation (Ricardo </w:t>
      </w:r>
      <w:r w:rsidRPr="001530AF">
        <w:rPr>
          <w:i/>
        </w:rPr>
        <w:t>et al.</w:t>
      </w:r>
      <w:r w:rsidRPr="001530AF">
        <w:t xml:space="preserve"> 2016) whereas the accumulation of sediments on the substrate can preclude larval settlement (Ricardo </w:t>
      </w:r>
      <w:r w:rsidRPr="001530AF">
        <w:rPr>
          <w:i/>
        </w:rPr>
        <w:t>et al.</w:t>
      </w:r>
      <w:r w:rsidRPr="001530AF">
        <w:t xml:space="preserve"> 2017). In contrast, conditions that promote macroalgae are likely to have secondary effects on larval settlement and survival (Tanner 1995, McCook </w:t>
      </w:r>
      <w:r w:rsidRPr="001530AF">
        <w:rPr>
          <w:i/>
        </w:rPr>
        <w:t>et al.</w:t>
      </w:r>
      <w:r w:rsidRPr="001530AF">
        <w:t xml:space="preserve"> 2001, Birrell </w:t>
      </w:r>
      <w:r w:rsidRPr="001530AF">
        <w:rPr>
          <w:i/>
        </w:rPr>
        <w:t>et al.</w:t>
      </w:r>
      <w:r w:rsidRPr="001530AF">
        <w:t xml:space="preserve"> 2005, 2008a, b).</w:t>
      </w:r>
      <w:r w:rsidRPr="00CE4E0F">
        <w:rPr>
          <w:color w:val="548DD4" w:themeColor="text2" w:themeTint="99"/>
        </w:rPr>
        <w:t xml:space="preserve"> </w:t>
      </w:r>
      <w:r w:rsidRPr="00C364FF">
        <w:rPr>
          <w:color w:val="000000" w:themeColor="text1"/>
        </w:rPr>
        <w:t>That the juvenile indicator scores do not correspond to observed gradients in water quality almost certainly reflects the interaction of a range of additional limiting factors such as acute disturbances, variable connectivity to brood-stock populations and changes in juvenile community composition among sites.</w:t>
      </w:r>
      <w:r w:rsidR="00C364FF" w:rsidRPr="00C364FF">
        <w:t xml:space="preserve"> </w:t>
      </w:r>
    </w:p>
    <w:p w14:paraId="53C1411F" w14:textId="77777777" w:rsidR="00A84742" w:rsidRPr="00E84FFC" w:rsidRDefault="00C364FF" w:rsidP="00A84742">
      <w:pPr>
        <w:rPr>
          <w:color w:val="000000" w:themeColor="text1"/>
        </w:rPr>
      </w:pPr>
      <w:r w:rsidRPr="001530AF">
        <w:t>Some of the highest densities of juven</w:t>
      </w:r>
      <w:r>
        <w:t xml:space="preserve">ile corals occur in the Herbert </w:t>
      </w:r>
      <w:r w:rsidRPr="001530AF">
        <w:t>Tully and Burdekin (sub</w:t>
      </w:r>
      <w:r w:rsidRPr="001530AF">
        <w:noBreakHyphen/>
        <w:t xml:space="preserve">)regions on reefs where the genus </w:t>
      </w:r>
      <w:r w:rsidRPr="001530AF">
        <w:rPr>
          <w:i/>
        </w:rPr>
        <w:t>Turbinaria</w:t>
      </w:r>
      <w:r w:rsidRPr="001530AF">
        <w:t xml:space="preserve"> recruits in vast numbers. As this genus was not well represented in the adult community prior to successive cyclonic disturbances in 2006 and 2011, it is unclear whether this recruitment pattern is simply due to natural variability or indicates the selection for species more suited to the recent environmental conditions (Sofonia &amp; Anthony 2008). These </w:t>
      </w:r>
      <w:r w:rsidRPr="001530AF">
        <w:rPr>
          <w:i/>
        </w:rPr>
        <w:t>Turbinaria</w:t>
      </w:r>
      <w:r w:rsidRPr="001530AF">
        <w:t xml:space="preserve"> juveniles </w:t>
      </w:r>
      <w:r>
        <w:t xml:space="preserve">appear </w:t>
      </w:r>
      <w:r w:rsidRPr="001530AF">
        <w:t xml:space="preserve">tolerant of conditions that limit recruitment of other species. This shift in species composition along environmental gradients has the potential to mask trends in sensitive species. A possible solution would be the development of a metric that includes consideration of community composition in addition to abundance of juveniles, or focused on a group, such as, </w:t>
      </w:r>
      <w:r w:rsidRPr="001530AF">
        <w:rPr>
          <w:i/>
        </w:rPr>
        <w:t>Acropora</w:t>
      </w:r>
      <w:r w:rsidRPr="001530AF">
        <w:t xml:space="preserve"> that is important for recovery of coral communities (Fabricius </w:t>
      </w:r>
      <w:r w:rsidRPr="001530AF">
        <w:rPr>
          <w:i/>
        </w:rPr>
        <w:t>et al.</w:t>
      </w:r>
      <w:r w:rsidRPr="001530AF">
        <w:t xml:space="preserve"> 2012).</w:t>
      </w:r>
    </w:p>
    <w:p w14:paraId="53C14120" w14:textId="77777777" w:rsidR="00A84742" w:rsidRDefault="00A84742" w:rsidP="00A84742">
      <w:r w:rsidRPr="001530AF">
        <w:t xml:space="preserve">In general, juvenile densities have increased at most reefs over several years following the major disturbances that led to low points in condition index scores between 2012 and 2014 in each region. While these increases demonstrate an ongoing capacity for recovery of communities via the recruitment of new colonies there are some notable exceptions that suggest a limiting influence of water quality. At many reefs with persistently very poor scores for macroalgae, the scores for the juvenile density indicator were also very poor. Where this relationship is not evident higher juvenile scores result from high densities of juveniles from genera such as </w:t>
      </w:r>
      <w:r w:rsidRPr="001530AF">
        <w:rPr>
          <w:i/>
        </w:rPr>
        <w:t>Turbinaria</w:t>
      </w:r>
      <w:r w:rsidRPr="001530AF">
        <w:t xml:space="preserve">, </w:t>
      </w:r>
      <w:r w:rsidRPr="001530AF">
        <w:rPr>
          <w:i/>
        </w:rPr>
        <w:t>Goniastrea</w:t>
      </w:r>
      <w:r w:rsidRPr="001530AF">
        <w:t xml:space="preserve">, and </w:t>
      </w:r>
      <w:r w:rsidRPr="001530AF">
        <w:rPr>
          <w:i/>
        </w:rPr>
        <w:t>Favites</w:t>
      </w:r>
      <w:r w:rsidRPr="001530AF">
        <w:t xml:space="preserve"> that have cover distributions skewed toward poor water quality environments. </w:t>
      </w:r>
    </w:p>
    <w:p w14:paraId="53C14121" w14:textId="77777777" w:rsidR="003B5981" w:rsidRDefault="003B5981" w:rsidP="003B5981">
      <w:r>
        <w:lastRenderedPageBreak/>
        <w:t xml:space="preserve">Monitoring of coral settlement during early years of the MMP (Davidson </w:t>
      </w:r>
      <w:r w:rsidRPr="00F568DD">
        <w:rPr>
          <w:i/>
        </w:rPr>
        <w:t>et al.</w:t>
      </w:r>
      <w:r>
        <w:t xml:space="preserve"> 2019) indicated sporadic but generally low supply of larvae to reefs in the Burdekin region and a severe reduction in settlement at Pelican Island in the Keppel region following local loss of corals. These results suggest</w:t>
      </w:r>
      <w:r w:rsidR="00CF1A09">
        <w:t xml:space="preserve"> connectivity broodstock may also play an important role in early recovery of reefs. </w:t>
      </w:r>
      <w:r w:rsidRPr="00BB0D5B">
        <w:t xml:space="preserve">Preliminary hydrodynamic modelling (Luick </w:t>
      </w:r>
      <w:r w:rsidRPr="00BB0D5B">
        <w:rPr>
          <w:i/>
        </w:rPr>
        <w:t>et al.</w:t>
      </w:r>
      <w:r w:rsidRPr="00BB0D5B">
        <w:t xml:space="preserve"> 2007, Connie 2.0</w:t>
      </w:r>
      <w:r w:rsidRPr="00BB0D5B">
        <w:rPr>
          <w:vertAlign w:val="superscript"/>
        </w:rPr>
        <w:footnoteReference w:id="4"/>
      </w:r>
      <w:r w:rsidRPr="00BB0D5B">
        <w:t xml:space="preserve">) and differences in population genetics of corals (Mackenzie </w:t>
      </w:r>
      <w:r w:rsidRPr="00BB0D5B">
        <w:rPr>
          <w:i/>
        </w:rPr>
        <w:t>et al.</w:t>
      </w:r>
      <w:r w:rsidRPr="00BB0D5B">
        <w:t xml:space="preserve"> 2004) </w:t>
      </w:r>
      <w:r w:rsidR="00CF1A09">
        <w:t xml:space="preserve">in the Burdekin Region </w:t>
      </w:r>
      <w:r w:rsidRPr="00BB0D5B">
        <w:t xml:space="preserve">both indicate limited connectivity between Halifax Bay and reefs further offshore. </w:t>
      </w:r>
    </w:p>
    <w:p w14:paraId="53C14122" w14:textId="77777777" w:rsidR="00A84742" w:rsidRPr="00CE4E0F" w:rsidRDefault="00A84742" w:rsidP="006F1D4F">
      <w:pPr>
        <w:pStyle w:val="Heading2"/>
      </w:pPr>
      <w:bookmarkStart w:id="536" w:name="_Toc526246931"/>
      <w:bookmarkStart w:id="537" w:name="_Toc530654984"/>
      <w:bookmarkStart w:id="538" w:name="_Toc35947141"/>
      <w:r w:rsidRPr="00CE4E0F">
        <w:t>Regional summaries</w:t>
      </w:r>
      <w:bookmarkEnd w:id="536"/>
      <w:bookmarkEnd w:id="537"/>
      <w:bookmarkEnd w:id="538"/>
    </w:p>
    <w:p w14:paraId="53C14123" w14:textId="77777777" w:rsidR="00A84742" w:rsidRPr="00CE4E0F" w:rsidRDefault="00A84742" w:rsidP="00727D87">
      <w:pPr>
        <w:pStyle w:val="Heading3"/>
      </w:pPr>
      <w:bookmarkStart w:id="539" w:name="_Toc526246932"/>
      <w:bookmarkStart w:id="540" w:name="_Toc530654985"/>
      <w:bookmarkStart w:id="541" w:name="_Toc35947142"/>
      <w:r w:rsidRPr="00CE4E0F">
        <w:t>Wet Tropics</w:t>
      </w:r>
      <w:bookmarkEnd w:id="539"/>
      <w:bookmarkEnd w:id="540"/>
      <w:bookmarkEnd w:id="541"/>
    </w:p>
    <w:p w14:paraId="53C14124" w14:textId="77777777" w:rsidR="00A7100B" w:rsidRDefault="00A13629" w:rsidP="00A84742">
      <w:r>
        <w:t xml:space="preserve">Index scores remain moderate in </w:t>
      </w:r>
      <w:r w:rsidR="00604259">
        <w:t>b</w:t>
      </w:r>
      <w:r w:rsidR="00130AC2" w:rsidRPr="00BB1063">
        <w:t xml:space="preserve">oth the </w:t>
      </w:r>
      <w:r w:rsidR="00A3399D" w:rsidRPr="00BB1063">
        <w:t xml:space="preserve">Barron </w:t>
      </w:r>
      <w:r w:rsidR="00130AC2" w:rsidRPr="00BB1063">
        <w:t>Daintree</w:t>
      </w:r>
      <w:r w:rsidR="00A3399D" w:rsidRPr="00BB1063">
        <w:t xml:space="preserve"> and the Johnstone </w:t>
      </w:r>
      <w:r w:rsidR="0031196C" w:rsidRPr="00BB1063">
        <w:t>Russell-Mulgrave</w:t>
      </w:r>
      <w:r w:rsidR="00A84742" w:rsidRPr="00BB1063">
        <w:t xml:space="preserve"> </w:t>
      </w:r>
      <w:r w:rsidR="00604259">
        <w:t xml:space="preserve">sub-regions </w:t>
      </w:r>
      <w:r>
        <w:t>and have improved to good in the Herbert Tully Region. There have been no severe disturbances in recent years</w:t>
      </w:r>
      <w:r w:rsidR="00403492">
        <w:t xml:space="preserve"> although</w:t>
      </w:r>
      <w:r>
        <w:t xml:space="preserve"> discharge from the region’s rivers </w:t>
      </w:r>
      <w:r w:rsidR="00403492">
        <w:t xml:space="preserve">did cause </w:t>
      </w:r>
      <w:r>
        <w:t xml:space="preserve">some loss of coral in shallow water on reefs in close proximity to </w:t>
      </w:r>
      <w:r w:rsidR="00EC09F7">
        <w:t xml:space="preserve">rivers </w:t>
      </w:r>
      <w:r w:rsidR="00403492">
        <w:t xml:space="preserve">over the 2018-19 wet season. Flooding may also have </w:t>
      </w:r>
      <w:r>
        <w:t>contributed to elevated levels of disease.</w:t>
      </w:r>
    </w:p>
    <w:p w14:paraId="53C14125" w14:textId="35CEE74F" w:rsidR="0010681C" w:rsidRPr="00BB1063" w:rsidRDefault="00403492" w:rsidP="00A84742">
      <w:r>
        <w:t xml:space="preserve">This is the only region in which crown-of-thorns starfish have been common on inshore reefs. </w:t>
      </w:r>
      <w:r w:rsidR="00483EE3">
        <w:t xml:space="preserve">In recent years </w:t>
      </w:r>
      <w:r w:rsidR="00B6582D">
        <w:t xml:space="preserve">the Great Barrier Reef Marine Park Authority’s crown-of-thorns control program has </w:t>
      </w:r>
      <w:r w:rsidR="00483EE3">
        <w:t>helped</w:t>
      </w:r>
      <w:r w:rsidR="00B6582D">
        <w:t xml:space="preserve"> to </w:t>
      </w:r>
      <w:r w:rsidR="00483EE3">
        <w:t xml:space="preserve">mitigate the impact of </w:t>
      </w:r>
      <w:r w:rsidR="00483EE3" w:rsidRPr="00134A71">
        <w:t>crown-of-thorns starfish</w:t>
      </w:r>
      <w:r w:rsidR="00483EE3" w:rsidRPr="00134A71">
        <w:rPr>
          <w:vertAlign w:val="superscript"/>
        </w:rPr>
        <w:footnoteReference w:id="5"/>
      </w:r>
      <w:r w:rsidR="00483EE3" w:rsidRPr="00134A71">
        <w:t xml:space="preserve"> with 15,067 individuals removed from the monitoring reefs prior to</w:t>
      </w:r>
      <w:r w:rsidR="00483EE3">
        <w:t xml:space="preserve"> 2019</w:t>
      </w:r>
      <w:r w:rsidR="00483EE3" w:rsidRPr="00134A71">
        <w:t xml:space="preserve">. </w:t>
      </w:r>
      <w:r w:rsidR="00A7100B">
        <w:t xml:space="preserve">There were </w:t>
      </w:r>
      <w:r w:rsidR="00483EE3" w:rsidRPr="00134A71">
        <w:t xml:space="preserve">no </w:t>
      </w:r>
      <w:r w:rsidR="00C861C6">
        <w:t>was no culling on inshore reefs in this region</w:t>
      </w:r>
      <w:r w:rsidR="00A7100B">
        <w:t xml:space="preserve"> over the 2018-</w:t>
      </w:r>
      <w:r w:rsidR="00E62E6B">
        <w:t xml:space="preserve">2019 </w:t>
      </w:r>
      <w:r w:rsidR="00A7100B">
        <w:t>financial year.</w:t>
      </w:r>
      <w:r w:rsidR="00035CF4" w:rsidRPr="00134A71">
        <w:t xml:space="preserve"> </w:t>
      </w:r>
      <w:r>
        <w:t>MMP surveys in 2019 again noted low densities of crown-of-thorns starfish across a range of size classes demonstrating the ongoing risk posed by these coral predators.</w:t>
      </w:r>
    </w:p>
    <w:p w14:paraId="53C14126" w14:textId="77777777" w:rsidR="00A84742" w:rsidRPr="00311F67" w:rsidRDefault="00403492" w:rsidP="00A84742">
      <w:r>
        <w:lastRenderedPageBreak/>
        <w:t>Most reefs have demonstrated a clear potential for recovery with coral cover increasing during periods free from acute disturbance. However, p</w:t>
      </w:r>
      <w:r w:rsidR="00EC09F7">
        <w:t>ersistently</w:t>
      </w:r>
      <w:r w:rsidR="00A13629">
        <w:t xml:space="preserve"> v</w:t>
      </w:r>
      <w:r w:rsidR="00A84742" w:rsidRPr="00311F67">
        <w:t xml:space="preserve">ery poor scores for the macroalgae indicator </w:t>
      </w:r>
      <w:r w:rsidR="0086677B">
        <w:t xml:space="preserve">at Bedarra, Dunk South and </w:t>
      </w:r>
      <w:r w:rsidR="00A84742" w:rsidRPr="00311F67">
        <w:t>Snapper Island</w:t>
      </w:r>
      <w:r w:rsidR="00EC09F7">
        <w:t xml:space="preserve"> </w:t>
      </w:r>
      <w:r>
        <w:t xml:space="preserve">appropriately </w:t>
      </w:r>
      <w:r w:rsidR="00EC09F7">
        <w:t xml:space="preserve">limit </w:t>
      </w:r>
      <w:r>
        <w:t>the regions over all o</w:t>
      </w:r>
      <w:r w:rsidR="00EC09F7">
        <w:t>verall index scores a</w:t>
      </w:r>
      <w:r>
        <w:t xml:space="preserve">s at these reefs coral recovery is suppressed. </w:t>
      </w:r>
    </w:p>
    <w:p w14:paraId="53C14127" w14:textId="77777777" w:rsidR="00A84742" w:rsidRPr="00CE4E0F" w:rsidRDefault="00A84742" w:rsidP="00727D87">
      <w:pPr>
        <w:pStyle w:val="Heading3"/>
      </w:pPr>
      <w:bookmarkStart w:id="542" w:name="_Toc526246933"/>
      <w:bookmarkStart w:id="543" w:name="_Toc530654986"/>
      <w:bookmarkStart w:id="544" w:name="_Toc35947143"/>
      <w:r w:rsidRPr="00CE4E0F">
        <w:t>Burdekin</w:t>
      </w:r>
      <w:bookmarkEnd w:id="542"/>
      <w:bookmarkEnd w:id="543"/>
      <w:bookmarkEnd w:id="544"/>
    </w:p>
    <w:p w14:paraId="53C14128" w14:textId="77777777" w:rsidR="00F568DD" w:rsidRDefault="4FF5FF20" w:rsidP="00A84742">
      <w:r>
        <w:t xml:space="preserve">The coral index score for the Burdekin region improved in 2019 and remains ‘moderate’. Only the juvenile indicator score did not improve in 2019, rather, has steadily declined since 2016. Much of the decline in juvenile score in recent years has been due to a return to </w:t>
      </w:r>
      <w:r w:rsidR="00D43DA2">
        <w:t>more typical</w:t>
      </w:r>
      <w:r>
        <w:t xml:space="preserve"> densities of </w:t>
      </w:r>
      <w:r w:rsidRPr="4FF5FF20">
        <w:rPr>
          <w:i/>
          <w:iCs/>
        </w:rPr>
        <w:t xml:space="preserve">Turbinaria </w:t>
      </w:r>
      <w:r>
        <w:t xml:space="preserve">juveniles following very strong recruitment in recent years at Lady Elliot and Havannah North and, to a lesser degree, Magnetic Island. Juvenile densities at Palms East have also declined noticeably since 2017. </w:t>
      </w:r>
    </w:p>
    <w:p w14:paraId="53C14129" w14:textId="77777777" w:rsidR="00EC09F7" w:rsidRDefault="00E842E3" w:rsidP="00A84742">
      <w:r w:rsidRPr="00BB0D5B">
        <w:t xml:space="preserve">Historically, recovery from acute events, in this region has been slow (Sweatman </w:t>
      </w:r>
      <w:r w:rsidRPr="00BB0D5B">
        <w:rPr>
          <w:i/>
        </w:rPr>
        <w:t>et al</w:t>
      </w:r>
      <w:r w:rsidRPr="00BB0D5B">
        <w:t xml:space="preserve">. 2007, Cheal </w:t>
      </w:r>
      <w:r w:rsidRPr="00BB0D5B">
        <w:rPr>
          <w:i/>
        </w:rPr>
        <w:t>et al.</w:t>
      </w:r>
      <w:r w:rsidRPr="00BB0D5B">
        <w:t xml:space="preserve"> 2013). </w:t>
      </w:r>
      <w:r w:rsidR="009210D4">
        <w:t xml:space="preserve">Monitoring of coral settlement during early years of the MMP (Davidson </w:t>
      </w:r>
      <w:r w:rsidR="009210D4" w:rsidRPr="00F568DD">
        <w:rPr>
          <w:i/>
        </w:rPr>
        <w:t>et al.</w:t>
      </w:r>
      <w:r w:rsidR="009210D4">
        <w:t xml:space="preserve"> 2019) indicated sporadic but generally low supply of larvae to this region. Low settlement would logically contribute to the low density of juveniles on most reefs. </w:t>
      </w:r>
      <w:r w:rsidRPr="00BB0D5B">
        <w:t xml:space="preserve">Preliminary hydrodynamic modelling (Luick </w:t>
      </w:r>
      <w:r w:rsidRPr="00BB0D5B">
        <w:rPr>
          <w:i/>
        </w:rPr>
        <w:t>et al.</w:t>
      </w:r>
      <w:r w:rsidRPr="00BB0D5B">
        <w:t xml:space="preserve"> 2007, Connie 2.0</w:t>
      </w:r>
      <w:r w:rsidRPr="00BB0D5B">
        <w:rPr>
          <w:vertAlign w:val="superscript"/>
        </w:rPr>
        <w:footnoteReference w:id="6"/>
      </w:r>
      <w:r w:rsidRPr="00BB0D5B">
        <w:t xml:space="preserve">) and differences in population genetics of corals (Mackenzie </w:t>
      </w:r>
      <w:r w:rsidRPr="00BB0D5B">
        <w:rPr>
          <w:i/>
        </w:rPr>
        <w:t>et al.</w:t>
      </w:r>
      <w:r w:rsidRPr="00BB0D5B">
        <w:t xml:space="preserve"> 2004) both indicate limited connectivity between Halifax Bay and reefs further offshore. </w:t>
      </w:r>
    </w:p>
    <w:p w14:paraId="53C1412A" w14:textId="77777777" w:rsidR="00E842E3" w:rsidRDefault="00E842E3" w:rsidP="00A84742">
      <w:r w:rsidRPr="00BB0D5B">
        <w:t xml:space="preserve">Exacerbating any supply-side limitation to coral recruitment is the persistently high cover of macroalgae at several reefs that is likely to further suppress recruitment success (Tanner 1995, McCook </w:t>
      </w:r>
      <w:r w:rsidRPr="00BB0D5B">
        <w:rPr>
          <w:i/>
        </w:rPr>
        <w:t>et al.</w:t>
      </w:r>
      <w:r w:rsidRPr="00BB0D5B">
        <w:t xml:space="preserve"> 2001, Birrell </w:t>
      </w:r>
      <w:r w:rsidRPr="00BB0D5B">
        <w:rPr>
          <w:i/>
        </w:rPr>
        <w:t>et al.</w:t>
      </w:r>
      <w:r w:rsidRPr="00BB0D5B">
        <w:t xml:space="preserve"> 2005, 2008a, b</w:t>
      </w:r>
      <w:r w:rsidR="009210D4">
        <w:t xml:space="preserve">, Johns </w:t>
      </w:r>
      <w:r w:rsidR="009210D4" w:rsidRPr="009210D4">
        <w:rPr>
          <w:i/>
        </w:rPr>
        <w:t>et al.</w:t>
      </w:r>
      <w:r w:rsidR="009210D4">
        <w:t xml:space="preserve"> 2018</w:t>
      </w:r>
      <w:r w:rsidRPr="00BB0D5B">
        <w:t>).</w:t>
      </w:r>
    </w:p>
    <w:p w14:paraId="53C1412B" w14:textId="77777777" w:rsidR="00A84742" w:rsidRPr="00506C77" w:rsidRDefault="00F568DD" w:rsidP="00A84742">
      <w:r>
        <w:t xml:space="preserve">Across the region, the clear relationship between the representation of macroalgal species in the algal community and gradients in water quality at two metre </w:t>
      </w:r>
      <w:r>
        <w:lastRenderedPageBreak/>
        <w:t xml:space="preserve">depths provides strong evidence that nutrient levels </w:t>
      </w:r>
      <w:r w:rsidRPr="00BD5D94">
        <w:t xml:space="preserve">are </w:t>
      </w:r>
      <w:r w:rsidR="00AA6FA8" w:rsidRPr="00BD5D94">
        <w:t xml:space="preserve">influencing the score for this indicator. Johns </w:t>
      </w:r>
      <w:r w:rsidR="00AA6FA8" w:rsidRPr="00BD5D94">
        <w:rPr>
          <w:i/>
        </w:rPr>
        <w:t>et al</w:t>
      </w:r>
      <w:r w:rsidR="00AA6FA8" w:rsidRPr="00BD5D94">
        <w:t xml:space="preserve">. (2018) show that at Havannah North macroalgae were at sufficient density to severely limit juvenile settlement and this is likely to have trapped the benthic community in a macroalgae dominated phase for two decades. It is noteworthy that the surveys in 2019 demonstrate the first evidence of coral recovery at this reef. </w:t>
      </w:r>
      <w:r w:rsidR="00D43DA2" w:rsidRPr="00BD5D94">
        <w:t>However, the long-term persistence of high macroalgae is common within the region</w:t>
      </w:r>
      <w:r w:rsidR="00BD5D94" w:rsidRPr="00BD5D94">
        <w:t xml:space="preserve"> with scores for the ma</w:t>
      </w:r>
      <w:r w:rsidR="006F74DF" w:rsidRPr="00BD5D94">
        <w:t xml:space="preserve">croalgae </w:t>
      </w:r>
      <w:r w:rsidR="00BD5D94" w:rsidRPr="00BD5D94">
        <w:t xml:space="preserve">indicator </w:t>
      </w:r>
      <w:r w:rsidR="002B577B" w:rsidRPr="00BD5D94">
        <w:t>remain</w:t>
      </w:r>
      <w:r w:rsidR="00BD5D94" w:rsidRPr="00BD5D94">
        <w:t>ing</w:t>
      </w:r>
      <w:r w:rsidR="002B577B" w:rsidRPr="00BD5D94">
        <w:t xml:space="preserve"> ‘very poor’ at</w:t>
      </w:r>
      <w:r w:rsidR="00BD5D94" w:rsidRPr="00BD5D94">
        <w:t xml:space="preserve"> </w:t>
      </w:r>
      <w:r w:rsidR="002B577B" w:rsidRPr="00BD5D94">
        <w:t>all reefs other than Palms East, Palms West and Havannah</w:t>
      </w:r>
      <w:r w:rsidR="00BD5D94" w:rsidRPr="00BD5D94">
        <w:t xml:space="preserve">. Persistent cover of macroalgae implies </w:t>
      </w:r>
      <w:r w:rsidR="00A84742" w:rsidRPr="00BD5D94">
        <w:t>high nutrient availability. Alternatively, the persistence of macroalgae may represent a</w:t>
      </w:r>
      <w:r w:rsidR="00DC4E4B">
        <w:t xml:space="preserve">n alternate stable state </w:t>
      </w:r>
      <w:r w:rsidR="00A84742" w:rsidRPr="00BD5D94">
        <w:t xml:space="preserve">whereby the biomass of algae that occupied space following severe disturbance to the coral communities has created density dependant feedbacks that help to maintain the macroalgal </w:t>
      </w:r>
      <w:r w:rsidR="00FF499D" w:rsidRPr="00BD5D94">
        <w:t>dominated state</w:t>
      </w:r>
      <w:r w:rsidR="00A84742" w:rsidRPr="00BD5D94">
        <w:t xml:space="preserve"> (Roff </w:t>
      </w:r>
      <w:r w:rsidR="00A84742" w:rsidRPr="00BD5D94">
        <w:rPr>
          <w:i/>
        </w:rPr>
        <w:t>et al</w:t>
      </w:r>
      <w:r w:rsidR="00A84742" w:rsidRPr="00BD5D94">
        <w:t>. 2015</w:t>
      </w:r>
      <w:r w:rsidR="00F42B05" w:rsidRPr="00BD5D94">
        <w:t xml:space="preserve">, Johns </w:t>
      </w:r>
      <w:r w:rsidR="00F42B05" w:rsidRPr="00BD5D94">
        <w:rPr>
          <w:i/>
        </w:rPr>
        <w:t>et al.</w:t>
      </w:r>
      <w:r w:rsidR="00F42B05" w:rsidRPr="00BD5D94">
        <w:t xml:space="preserve"> 2018</w:t>
      </w:r>
      <w:r w:rsidR="00A84742" w:rsidRPr="00BD5D94">
        <w:t>)</w:t>
      </w:r>
      <w:r w:rsidR="00F42B05" w:rsidRPr="00BD5D94">
        <w:t xml:space="preserve"> in which case management of nutrient levels to mitigate initial blooms or management of blooms may provide scope for co</w:t>
      </w:r>
      <w:r w:rsidR="00F42B05" w:rsidRPr="00506C77">
        <w:t>ral recovery.</w:t>
      </w:r>
    </w:p>
    <w:p w14:paraId="53C1412C" w14:textId="77777777" w:rsidR="00FC3E13" w:rsidRPr="00506C77" w:rsidRDefault="00BD5D94" w:rsidP="00A84742">
      <w:pPr>
        <w:rPr>
          <w:color w:val="000000" w:themeColor="text1"/>
        </w:rPr>
      </w:pPr>
      <w:r w:rsidRPr="00506C77">
        <w:rPr>
          <w:color w:val="000000" w:themeColor="text1"/>
        </w:rPr>
        <w:t xml:space="preserve">The influence of water quality on reef resilience is also </w:t>
      </w:r>
      <w:r w:rsidR="00A84742" w:rsidRPr="00506C77">
        <w:rPr>
          <w:color w:val="000000" w:themeColor="text1"/>
        </w:rPr>
        <w:t>demonstrate</w:t>
      </w:r>
      <w:r w:rsidRPr="00506C77">
        <w:rPr>
          <w:color w:val="000000" w:themeColor="text1"/>
        </w:rPr>
        <w:t xml:space="preserve">d by the </w:t>
      </w:r>
      <w:r w:rsidR="00A84742" w:rsidRPr="00506C77">
        <w:rPr>
          <w:color w:val="000000" w:themeColor="text1"/>
        </w:rPr>
        <w:t>inverse rela</w:t>
      </w:r>
      <w:r w:rsidR="00FF499D" w:rsidRPr="00506C77">
        <w:rPr>
          <w:color w:val="000000" w:themeColor="text1"/>
        </w:rPr>
        <w:t xml:space="preserve">tionship </w:t>
      </w:r>
      <w:r w:rsidRPr="00506C77">
        <w:rPr>
          <w:color w:val="000000" w:themeColor="text1"/>
        </w:rPr>
        <w:t xml:space="preserve">between </w:t>
      </w:r>
      <w:r w:rsidR="00FF499D" w:rsidRPr="00506C77">
        <w:rPr>
          <w:color w:val="000000" w:themeColor="text1"/>
        </w:rPr>
        <w:t>discharge from the R</w:t>
      </w:r>
      <w:r w:rsidR="00A84742" w:rsidRPr="00506C77">
        <w:rPr>
          <w:color w:val="000000" w:themeColor="text1"/>
        </w:rPr>
        <w:t>egion’s rivers</w:t>
      </w:r>
      <w:r w:rsidRPr="00506C77">
        <w:rPr>
          <w:color w:val="000000" w:themeColor="text1"/>
        </w:rPr>
        <w:t xml:space="preserve"> and the rate of improvement in the coral index</w:t>
      </w:r>
      <w:r w:rsidR="00A84742" w:rsidRPr="00506C77">
        <w:rPr>
          <w:color w:val="000000" w:themeColor="text1"/>
        </w:rPr>
        <w:t xml:space="preserve">. It was not until 2014, a year into a period of below median discharges from the </w:t>
      </w:r>
      <w:r w:rsidR="00FF499D" w:rsidRPr="00506C77">
        <w:rPr>
          <w:color w:val="000000" w:themeColor="text1"/>
        </w:rPr>
        <w:t>R</w:t>
      </w:r>
      <w:r w:rsidR="00A84742" w:rsidRPr="00506C77">
        <w:rPr>
          <w:color w:val="000000" w:themeColor="text1"/>
        </w:rPr>
        <w:t>egion’s rivers, that the average rates of hard coral cover increase began matching modelled expectations.</w:t>
      </w:r>
    </w:p>
    <w:p w14:paraId="53C1412D" w14:textId="77777777" w:rsidR="00A84742" w:rsidRPr="00506C77" w:rsidRDefault="4FF5FF20" w:rsidP="4FF5FF20">
      <w:pPr>
        <w:rPr>
          <w:color w:val="000000" w:themeColor="text1"/>
        </w:rPr>
      </w:pPr>
      <w:r w:rsidRPr="00506C77">
        <w:rPr>
          <w:color w:val="000000" w:themeColor="text1"/>
        </w:rPr>
        <w:t xml:space="preserve">In addition to generally low rates of cover increase, stress to corals during periods of high catchment discharge were observed as increased levels of disease in 2007–2009. Over that period discharge from the Region’s rivers were consistently above median levels, in contrast to the below median discharges of the preceding years. Moderate increases in coral disease were also noted in 2011 and 2019, again following high catchment discharges, </w:t>
      </w:r>
      <w:r w:rsidR="00BD5D94" w:rsidRPr="00506C77">
        <w:rPr>
          <w:color w:val="000000" w:themeColor="text1"/>
        </w:rPr>
        <w:t>although</w:t>
      </w:r>
      <w:r w:rsidRPr="00506C77">
        <w:rPr>
          <w:color w:val="000000" w:themeColor="text1"/>
        </w:rPr>
        <w:t xml:space="preserve"> the severe impact of cyclone Yasi confounds the 2011 observation. In combination, these results are consistent with the well documented link between increased run-off and stress in coral communities, expressed as increased levels of coral disease (Bruno </w:t>
      </w:r>
      <w:r w:rsidRPr="00506C77">
        <w:rPr>
          <w:i/>
          <w:iCs/>
          <w:color w:val="000000" w:themeColor="text1"/>
        </w:rPr>
        <w:t>et al.</w:t>
      </w:r>
      <w:r w:rsidRPr="00506C77">
        <w:rPr>
          <w:color w:val="000000" w:themeColor="text1"/>
        </w:rPr>
        <w:t xml:space="preserve"> 2003, Kline </w:t>
      </w:r>
      <w:r w:rsidRPr="00506C77">
        <w:rPr>
          <w:i/>
          <w:iCs/>
          <w:color w:val="000000" w:themeColor="text1"/>
        </w:rPr>
        <w:t>et al</w:t>
      </w:r>
      <w:r w:rsidRPr="00506C77">
        <w:rPr>
          <w:color w:val="000000" w:themeColor="text1"/>
        </w:rPr>
        <w:t xml:space="preserve">. 2006, Kuntz </w:t>
      </w:r>
      <w:r w:rsidRPr="00506C77">
        <w:rPr>
          <w:i/>
          <w:iCs/>
          <w:color w:val="000000" w:themeColor="text1"/>
        </w:rPr>
        <w:t>et al</w:t>
      </w:r>
      <w:r w:rsidRPr="00506C77">
        <w:rPr>
          <w:color w:val="000000" w:themeColor="text1"/>
        </w:rPr>
        <w:t xml:space="preserve">. 2005, Voss &amp; Richardson 2006, Kaczmarsky &amp; Richardson 2010, Haapkylä </w:t>
      </w:r>
      <w:r w:rsidRPr="00506C77">
        <w:rPr>
          <w:i/>
          <w:iCs/>
          <w:color w:val="000000" w:themeColor="text1"/>
        </w:rPr>
        <w:t xml:space="preserve">et al. </w:t>
      </w:r>
      <w:r w:rsidRPr="00506C77">
        <w:rPr>
          <w:color w:val="000000" w:themeColor="text1"/>
        </w:rPr>
        <w:t xml:space="preserve">2011, 2013, Vega Thurber </w:t>
      </w:r>
      <w:r w:rsidRPr="00506C77">
        <w:rPr>
          <w:i/>
          <w:iCs/>
          <w:color w:val="000000" w:themeColor="text1"/>
        </w:rPr>
        <w:t>et al.</w:t>
      </w:r>
      <w:r w:rsidRPr="00506C77">
        <w:rPr>
          <w:color w:val="000000" w:themeColor="text1"/>
        </w:rPr>
        <w:t xml:space="preserve"> 2013). Increased levels of disease recorded in 2018 are likely associated with the reduced fitness of corals due to </w:t>
      </w:r>
      <w:r w:rsidR="0023671D">
        <w:rPr>
          <w:color w:val="000000" w:themeColor="text1"/>
        </w:rPr>
        <w:t>thermal</w:t>
      </w:r>
      <w:r w:rsidR="0023671D" w:rsidRPr="00506C77">
        <w:rPr>
          <w:color w:val="000000" w:themeColor="text1"/>
        </w:rPr>
        <w:t xml:space="preserve"> </w:t>
      </w:r>
      <w:r w:rsidRPr="00506C77">
        <w:rPr>
          <w:color w:val="000000" w:themeColor="text1"/>
        </w:rPr>
        <w:t xml:space="preserve">bleaching (Morris </w:t>
      </w:r>
      <w:r w:rsidRPr="00506C77">
        <w:rPr>
          <w:i/>
          <w:iCs/>
          <w:color w:val="000000" w:themeColor="text1"/>
        </w:rPr>
        <w:t>et al</w:t>
      </w:r>
      <w:r w:rsidRPr="00506C77">
        <w:rPr>
          <w:color w:val="000000" w:themeColor="text1"/>
        </w:rPr>
        <w:t xml:space="preserve">. 2019) </w:t>
      </w:r>
      <w:r w:rsidRPr="00506C77">
        <w:rPr>
          <w:color w:val="000000" w:themeColor="text1"/>
        </w:rPr>
        <w:lastRenderedPageBreak/>
        <w:t>in the previous year although potentially exacerbated by above median discharge for the first time since 2013.</w:t>
      </w:r>
    </w:p>
    <w:p w14:paraId="53C1412E" w14:textId="77777777" w:rsidR="00A84742" w:rsidRPr="00506C77" w:rsidRDefault="005F2B5B" w:rsidP="00727D87">
      <w:pPr>
        <w:pStyle w:val="Heading3"/>
      </w:pPr>
      <w:bookmarkStart w:id="545" w:name="_Toc35947144"/>
      <w:r w:rsidRPr="00506C77">
        <w:t>Mackay-Whitsunday</w:t>
      </w:r>
      <w:bookmarkEnd w:id="545"/>
    </w:p>
    <w:p w14:paraId="53C1412F" w14:textId="77777777" w:rsidR="00D606C4" w:rsidRPr="00506C77" w:rsidRDefault="00003F6F" w:rsidP="00A84742">
      <w:r w:rsidRPr="00506C77">
        <w:t>The cor</w:t>
      </w:r>
      <w:r w:rsidR="005C469B" w:rsidRPr="00506C77">
        <w:t>al</w:t>
      </w:r>
      <w:r w:rsidRPr="00506C77">
        <w:t xml:space="preserve"> index</w:t>
      </w:r>
      <w:r w:rsidR="00A84742" w:rsidRPr="00506C77">
        <w:t xml:space="preserve"> </w:t>
      </w:r>
      <w:r w:rsidR="00D606C4" w:rsidRPr="00506C77">
        <w:t xml:space="preserve">in the </w:t>
      </w:r>
      <w:r w:rsidR="005F2B5B" w:rsidRPr="00506C77">
        <w:t>Mackay-Whitsunday</w:t>
      </w:r>
      <w:r w:rsidR="00D606C4" w:rsidRPr="00506C77">
        <w:t xml:space="preserve"> Region </w:t>
      </w:r>
      <w:r w:rsidR="00211B40" w:rsidRPr="00506C77">
        <w:t>has</w:t>
      </w:r>
      <w:r w:rsidR="00D606C4" w:rsidRPr="00506C77">
        <w:t xml:space="preserve"> </w:t>
      </w:r>
      <w:r w:rsidR="00211B40" w:rsidRPr="00506C77">
        <w:t xml:space="preserve">sharply </w:t>
      </w:r>
      <w:r w:rsidR="00D606C4" w:rsidRPr="00506C77">
        <w:t>decline</w:t>
      </w:r>
      <w:r w:rsidR="00211B40" w:rsidRPr="00506C77">
        <w:t>d</w:t>
      </w:r>
      <w:r w:rsidR="00D606C4" w:rsidRPr="00506C77">
        <w:t xml:space="preserve"> to</w:t>
      </w:r>
      <w:r w:rsidR="00211B40" w:rsidRPr="00506C77">
        <w:t xml:space="preserve"> a ‘</w:t>
      </w:r>
      <w:r w:rsidR="00D606C4" w:rsidRPr="00506C77">
        <w:t>poor</w:t>
      </w:r>
      <w:r w:rsidR="00211B40" w:rsidRPr="00506C77">
        <w:t xml:space="preserve">’ rating </w:t>
      </w:r>
      <w:r w:rsidR="00D606C4" w:rsidRPr="00506C77">
        <w:t xml:space="preserve">as the full extent of </w:t>
      </w:r>
      <w:r w:rsidR="00FC3E13" w:rsidRPr="00506C77">
        <w:t>cyclone Debbie</w:t>
      </w:r>
      <w:r w:rsidR="00211B40" w:rsidRPr="00506C77">
        <w:t>’s impact</w:t>
      </w:r>
      <w:r w:rsidR="00FC3E13" w:rsidRPr="00506C77">
        <w:t xml:space="preserve"> </w:t>
      </w:r>
      <w:r w:rsidR="00211B40" w:rsidRPr="00506C77">
        <w:t xml:space="preserve">was </w:t>
      </w:r>
      <w:r w:rsidR="00D606C4" w:rsidRPr="00506C77">
        <w:t>realised.</w:t>
      </w:r>
      <w:r w:rsidR="00E61037" w:rsidRPr="00506C77">
        <w:t xml:space="preserve"> Three reefs in the region</w:t>
      </w:r>
      <w:r w:rsidR="00D2308C" w:rsidRPr="00506C77">
        <w:t xml:space="preserve"> monitored by the LTMP</w:t>
      </w:r>
      <w:r w:rsidR="00E61037" w:rsidRPr="00506C77">
        <w:t xml:space="preserve"> have been surveyed for the first time since </w:t>
      </w:r>
      <w:r w:rsidR="00FC3E13" w:rsidRPr="00506C77">
        <w:t>the passage of cyclone Debbie</w:t>
      </w:r>
      <w:r w:rsidR="00D2308C" w:rsidRPr="00506C77">
        <w:t>.</w:t>
      </w:r>
      <w:r w:rsidR="000E5369" w:rsidRPr="00506C77">
        <w:t xml:space="preserve"> </w:t>
      </w:r>
      <w:r w:rsidR="00D2308C" w:rsidRPr="00506C77">
        <w:t>A</w:t>
      </w:r>
      <w:r w:rsidR="000E5369" w:rsidRPr="00506C77">
        <w:t xml:space="preserve">ll </w:t>
      </w:r>
      <w:r w:rsidR="00D2308C" w:rsidRPr="00506C77">
        <w:t>three reefs</w:t>
      </w:r>
      <w:r w:rsidR="000E5369" w:rsidRPr="00506C77">
        <w:t xml:space="preserve"> were heavily impacted with substantial losses in coral cover and </w:t>
      </w:r>
      <w:r w:rsidR="00FC3E13" w:rsidRPr="00506C77">
        <w:t xml:space="preserve">reduced </w:t>
      </w:r>
      <w:r w:rsidR="000E5369" w:rsidRPr="00506C77">
        <w:t>juvenile densities</w:t>
      </w:r>
      <w:r w:rsidR="006F5C80" w:rsidRPr="00506C77">
        <w:t>,</w:t>
      </w:r>
      <w:r w:rsidR="00FC3E13" w:rsidRPr="00506C77">
        <w:t xml:space="preserve"> driving the </w:t>
      </w:r>
      <w:r w:rsidR="000E5369" w:rsidRPr="00506C77">
        <w:t>decline in scores for the</w:t>
      </w:r>
      <w:r w:rsidR="00211B40" w:rsidRPr="00506C77">
        <w:t xml:space="preserve"> associated</w:t>
      </w:r>
      <w:r w:rsidR="000E5369" w:rsidRPr="00506C77">
        <w:t xml:space="preserve"> </w:t>
      </w:r>
      <w:r w:rsidR="00FC3E13" w:rsidRPr="00506C77">
        <w:t>i</w:t>
      </w:r>
      <w:r w:rsidR="001C4BED" w:rsidRPr="00506C77">
        <w:t>ndicators</w:t>
      </w:r>
      <w:r w:rsidR="00FC3E13" w:rsidRPr="00506C77">
        <w:t xml:space="preserve"> in 2019</w:t>
      </w:r>
      <w:r w:rsidR="00211B40" w:rsidRPr="00506C77">
        <w:t>.</w:t>
      </w:r>
      <w:r w:rsidR="008F4DF5" w:rsidRPr="00506C77">
        <w:t xml:space="preserve"> Reduced scores in 2019 also capture the ongoing loss of cover at Dent Island, Pine Island</w:t>
      </w:r>
      <w:r w:rsidR="006F5C80" w:rsidRPr="00506C77">
        <w:t>,</w:t>
      </w:r>
      <w:r w:rsidR="008F4DF5" w:rsidRPr="00506C77">
        <w:t xml:space="preserve"> and two metre depth at Seaforth Island.</w:t>
      </w:r>
    </w:p>
    <w:p w14:paraId="53C14130" w14:textId="77777777" w:rsidR="00D728AE" w:rsidRPr="00506C77" w:rsidRDefault="00706CF6" w:rsidP="00A84742">
      <w:r w:rsidRPr="00506C77">
        <w:t>T</w:t>
      </w:r>
      <w:r w:rsidR="00BA6F58" w:rsidRPr="00506C77">
        <w:t xml:space="preserve">he </w:t>
      </w:r>
      <w:r w:rsidR="000E5369" w:rsidRPr="00506C77">
        <w:t xml:space="preserve">only indicator to remain in moderate condition </w:t>
      </w:r>
      <w:r w:rsidR="00EE56DD" w:rsidRPr="00506C77">
        <w:t xml:space="preserve">in 2019 </w:t>
      </w:r>
      <w:r w:rsidR="000E5369" w:rsidRPr="00506C77">
        <w:t>was macroalgae</w:t>
      </w:r>
      <w:r w:rsidR="00CB431B" w:rsidRPr="00506C77">
        <w:t>. Prior to cyclone Debbie most reefs in the region had low cover of macroalgae</w:t>
      </w:r>
      <w:r w:rsidR="00AC4E9A" w:rsidRPr="00506C77">
        <w:t>;</w:t>
      </w:r>
      <w:r w:rsidR="00CB431B" w:rsidRPr="00506C77">
        <w:t xml:space="preserve"> it was only Seaforth and Pine islands where macroalgae were present at levels sufficient to reduce indicator scores below the </w:t>
      </w:r>
      <w:r w:rsidR="002D7012" w:rsidRPr="00506C77">
        <w:t xml:space="preserve">‘very good’ range. At these reefs macroalgae was removed by cyclone Debbie resulting in an improvement in the macroalgae score in 2017. </w:t>
      </w:r>
      <w:r w:rsidR="005C6286" w:rsidRPr="00506C77">
        <w:t>At both reefs</w:t>
      </w:r>
      <w:r w:rsidR="002D7012" w:rsidRPr="00506C77">
        <w:t xml:space="preserve"> macroalgae</w:t>
      </w:r>
      <w:r w:rsidR="005C6286" w:rsidRPr="00506C77">
        <w:t xml:space="preserve"> cover</w:t>
      </w:r>
      <w:r w:rsidR="002D7012" w:rsidRPr="00506C77">
        <w:t xml:space="preserve"> had returned to pre-cyclone levels in 2019. Driving the macroalgae indicator lower has been the colonisation of macroalgae at Da</w:t>
      </w:r>
      <w:r w:rsidR="004A54C7" w:rsidRPr="00506C77">
        <w:t>ydream and Double Cone islands.</w:t>
      </w:r>
    </w:p>
    <w:p w14:paraId="53C14131" w14:textId="77777777" w:rsidR="00153FBA" w:rsidRPr="00506C77" w:rsidRDefault="002D7012" w:rsidP="00A84742">
      <w:r w:rsidRPr="00506C77">
        <w:t>Initial increase in macroalgae cover following disturbances is not uncommon as</w:t>
      </w:r>
      <w:r w:rsidR="00BA6F58" w:rsidRPr="00506C77">
        <w:t xml:space="preserve"> </w:t>
      </w:r>
      <w:r w:rsidRPr="00506C77">
        <w:t xml:space="preserve">algae quickly establishes on the available space following the loss of coral (McManus &amp; Plosenberg 2004). </w:t>
      </w:r>
      <w:r w:rsidR="0013252E" w:rsidRPr="00506C77">
        <w:t>The post cyclone algal community at Double Cone was dominated by</w:t>
      </w:r>
      <w:r w:rsidR="005C6286" w:rsidRPr="00506C77">
        <w:t xml:space="preserve"> a</w:t>
      </w:r>
      <w:r w:rsidR="0013252E" w:rsidRPr="00506C77">
        <w:t xml:space="preserve"> mix of small red algae</w:t>
      </w:r>
      <w:r w:rsidR="005C6286" w:rsidRPr="00506C77">
        <w:t xml:space="preserve"> species that</w:t>
      </w:r>
      <w:r w:rsidR="0013252E" w:rsidRPr="00506C77">
        <w:t xml:space="preserve"> formed a thick mat over the substrate, especially at two metre depth. Although cover of macroalgae had declined in 2019 the algal community had shifted to include a higher proportion </w:t>
      </w:r>
      <w:r w:rsidR="00751CE1" w:rsidRPr="00506C77">
        <w:t>of</w:t>
      </w:r>
      <w:r w:rsidR="0013252E" w:rsidRPr="00506C77">
        <w:t xml:space="preserve"> brown algal species including </w:t>
      </w:r>
      <w:r w:rsidR="00BA6F58" w:rsidRPr="00506C77">
        <w:rPr>
          <w:i/>
        </w:rPr>
        <w:t>Sargassum</w:t>
      </w:r>
      <w:r w:rsidR="00BA6F58" w:rsidRPr="00506C77">
        <w:t xml:space="preserve"> and </w:t>
      </w:r>
      <w:r w:rsidR="00BA6F58" w:rsidRPr="00506C77">
        <w:rPr>
          <w:i/>
        </w:rPr>
        <w:t>Lobophora</w:t>
      </w:r>
      <w:r w:rsidR="00CB38F1" w:rsidRPr="00506C77">
        <w:t xml:space="preserve"> </w:t>
      </w:r>
      <w:r w:rsidR="0013252E" w:rsidRPr="00506C77">
        <w:t>that, once established, have proven persistent at other reefs monitored by the MMP. Although still in relatively low abundance in 2019</w:t>
      </w:r>
      <w:r w:rsidR="0003784C" w:rsidRPr="00506C77">
        <w:t>,</w:t>
      </w:r>
      <w:r w:rsidR="0013252E" w:rsidRPr="00506C77">
        <w:t xml:space="preserve"> the appearance of these large brown macroalgae species is concerning. </w:t>
      </w:r>
      <w:r w:rsidR="00153FBA" w:rsidRPr="00506C77">
        <w:t xml:space="preserve">Once established, high </w:t>
      </w:r>
      <w:r w:rsidR="00153FBA" w:rsidRPr="00506C77">
        <w:lastRenderedPageBreak/>
        <w:t xml:space="preserve">macroalgal cover can lead to feedback loops </w:t>
      </w:r>
      <w:r w:rsidR="00DF24E9" w:rsidRPr="00506C77">
        <w:t xml:space="preserve">that </w:t>
      </w:r>
      <w:r w:rsidR="00BD46A3" w:rsidRPr="00506C77">
        <w:t>constrain coral recovery</w:t>
      </w:r>
      <w:r w:rsidR="00B6336B" w:rsidRPr="00506C77">
        <w:t>,</w:t>
      </w:r>
      <w:r w:rsidR="00BD46A3" w:rsidRPr="00506C77">
        <w:t xml:space="preserve"> potentially </w:t>
      </w:r>
      <w:r w:rsidR="005C6286" w:rsidRPr="00506C77">
        <w:t>trapping benthic communities in a macroalgal dominated state</w:t>
      </w:r>
      <w:r w:rsidR="00BD46A3" w:rsidRPr="00506C77">
        <w:t xml:space="preserve"> (Mumby </w:t>
      </w:r>
      <w:r w:rsidR="00BD46A3" w:rsidRPr="00506C77">
        <w:rPr>
          <w:i/>
        </w:rPr>
        <w:t>et al.</w:t>
      </w:r>
      <w:r w:rsidR="00BD46A3" w:rsidRPr="00506C77">
        <w:t xml:space="preserve"> 2013</w:t>
      </w:r>
      <w:r w:rsidR="0013252E" w:rsidRPr="00506C77">
        <w:t xml:space="preserve">, Johns </w:t>
      </w:r>
      <w:r w:rsidR="0013252E" w:rsidRPr="00506C77">
        <w:rPr>
          <w:i/>
        </w:rPr>
        <w:t>et al</w:t>
      </w:r>
      <w:r w:rsidR="0013252E" w:rsidRPr="00506C77">
        <w:t>. 2018</w:t>
      </w:r>
      <w:r w:rsidR="00BD46A3" w:rsidRPr="00506C77">
        <w:t>).</w:t>
      </w:r>
      <w:r w:rsidR="00CD1314" w:rsidRPr="00506C77">
        <w:t xml:space="preserve"> </w:t>
      </w:r>
    </w:p>
    <w:p w14:paraId="53C14132" w14:textId="77777777" w:rsidR="00A84742" w:rsidRPr="00506C77" w:rsidRDefault="00A84742" w:rsidP="00A84742">
      <w:r w:rsidRPr="00506C77">
        <w:t xml:space="preserve">Environmental conditions </w:t>
      </w:r>
      <w:r w:rsidR="00690593" w:rsidRPr="00506C77">
        <w:t>will</w:t>
      </w:r>
      <w:r w:rsidR="00BD46A3" w:rsidRPr="00506C77">
        <w:t xml:space="preserve"> </w:t>
      </w:r>
      <w:r w:rsidR="00690593" w:rsidRPr="00506C77">
        <w:t>play a large role in determining the future of these coral communities. Conditions</w:t>
      </w:r>
      <w:r w:rsidRPr="00506C77">
        <w:t xml:space="preserve"> </w:t>
      </w:r>
      <w:r w:rsidR="00690593" w:rsidRPr="00506C77">
        <w:t xml:space="preserve">at monitoring sites in this Region </w:t>
      </w:r>
      <w:r w:rsidRPr="00506C77">
        <w:t>are generally characterised by high turbidity and high rates of sedimentation. In combination, these conditions have imposed strong sele</w:t>
      </w:r>
      <w:r w:rsidR="00A2232D" w:rsidRPr="00506C77">
        <w:t>ctive pressures on corals that i</w:t>
      </w:r>
      <w:r w:rsidRPr="00506C77">
        <w:t xml:space="preserve">s clearly illustrated by the marked differences in coral community composition between </w:t>
      </w:r>
      <w:r w:rsidR="006F1464" w:rsidRPr="00506C77">
        <w:t>two metre</w:t>
      </w:r>
      <w:r w:rsidRPr="00506C77">
        <w:t xml:space="preserve"> and </w:t>
      </w:r>
      <w:r w:rsidR="006F1464" w:rsidRPr="00506C77">
        <w:t>five</w:t>
      </w:r>
      <w:r w:rsidRPr="00506C77">
        <w:t xml:space="preserve"> </w:t>
      </w:r>
      <w:r w:rsidR="00A2232D" w:rsidRPr="00506C77">
        <w:t>metre</w:t>
      </w:r>
      <w:r w:rsidRPr="00506C77">
        <w:t xml:space="preserve"> depth</w:t>
      </w:r>
      <w:r w:rsidR="00A2232D" w:rsidRPr="00506C77">
        <w:t>s at most reefs</w:t>
      </w:r>
      <w:r w:rsidRPr="00506C77">
        <w:t xml:space="preserve">. </w:t>
      </w:r>
      <w:r w:rsidR="00A2232D" w:rsidRPr="00506C77">
        <w:t>Although, these species are tolerant of the highly turbid conditions</w:t>
      </w:r>
      <w:r w:rsidR="00AF7726" w:rsidRPr="00506C77">
        <w:t>,</w:t>
      </w:r>
      <w:r w:rsidR="00A2232D" w:rsidRPr="00506C77">
        <w:t xml:space="preserve"> they tend to be slow growing. Despite the cover change indicator score being </w:t>
      </w:r>
      <w:r w:rsidR="005C6286" w:rsidRPr="00506C77">
        <w:t>ca</w:t>
      </w:r>
      <w:r w:rsidR="00A2232D" w:rsidRPr="00506C77">
        <w:t>l</w:t>
      </w:r>
      <w:r w:rsidR="005C6286" w:rsidRPr="00506C77">
        <w:t>i</w:t>
      </w:r>
      <w:r w:rsidR="00A2232D" w:rsidRPr="00506C77">
        <w:t xml:space="preserve">brated to account for the slower growth of these species, a feature of coral community dynamics in this region has been consistently low scores for cover change. The combination of low rates of cover increase for slow growing species implies recovery will be slow, especially at the five metre depths. </w:t>
      </w:r>
    </w:p>
    <w:p w14:paraId="53C14133" w14:textId="77777777" w:rsidR="00A84742" w:rsidRPr="00506C77" w:rsidRDefault="00A84742" w:rsidP="00A84742">
      <w:r w:rsidRPr="00506C77">
        <w:t>Despite the clear pressures imposed by the environmental conditions, consistent improvement in the coral index from 2012 to 2016 was observed</w:t>
      </w:r>
      <w:r w:rsidR="00500F89" w:rsidRPr="00506C77">
        <w:t>,</w:t>
      </w:r>
      <w:r w:rsidRPr="00506C77">
        <w:t xml:space="preserve"> reflecting both the tolerance of coral communities to their environmental settings and the ability of these reefs to recover from disturbance events. Prior to 2017, the only other major disturbance event to impact this region</w:t>
      </w:r>
      <w:r w:rsidR="00AC4E9A" w:rsidRPr="00506C77">
        <w:t>,</w:t>
      </w:r>
      <w:r w:rsidRPr="00506C77">
        <w:t xml:space="preserve"> since LTMP monitoring commenced in 1992</w:t>
      </w:r>
      <w:r w:rsidR="00CD1314" w:rsidRPr="00506C77">
        <w:t>,</w:t>
      </w:r>
      <w:r w:rsidRPr="00506C77">
        <w:t xml:space="preserve"> was cyclone Ului in 2010 which contributed to the decline in the index through to 2012. Improvement in the coral index post-2012 was largely due to rapid recovery of communities at </w:t>
      </w:r>
      <w:r w:rsidR="006F1464" w:rsidRPr="00506C77">
        <w:t xml:space="preserve">two </w:t>
      </w:r>
      <w:r w:rsidRPr="00506C77">
        <w:t>metre depths where cover of the family Acroporidae rapidly increased. Whilst impacts of cyclone Ului were widespread they were substantially less severe than those incurred during cyclone Debbie.</w:t>
      </w:r>
    </w:p>
    <w:p w14:paraId="53C14134" w14:textId="77777777" w:rsidR="00D728AE" w:rsidRPr="00506C77" w:rsidRDefault="00A84742" w:rsidP="00A84742">
      <w:pPr>
        <w:rPr>
          <w:color w:val="000000" w:themeColor="text1"/>
        </w:rPr>
      </w:pPr>
      <w:r w:rsidRPr="00506C77">
        <w:rPr>
          <w:color w:val="000000" w:themeColor="text1"/>
        </w:rPr>
        <w:t xml:space="preserve">The decline in the </w:t>
      </w:r>
      <w:r w:rsidR="00CD1314" w:rsidRPr="00506C77">
        <w:rPr>
          <w:color w:val="000000" w:themeColor="text1"/>
        </w:rPr>
        <w:t xml:space="preserve">short-term </w:t>
      </w:r>
      <w:r w:rsidRPr="00506C77">
        <w:rPr>
          <w:color w:val="000000" w:themeColor="text1"/>
        </w:rPr>
        <w:t xml:space="preserve">water quality index (Gruber </w:t>
      </w:r>
      <w:r w:rsidRPr="00506C77">
        <w:rPr>
          <w:i/>
          <w:color w:val="000000" w:themeColor="text1"/>
        </w:rPr>
        <w:t>et al</w:t>
      </w:r>
      <w:r w:rsidRPr="00506C77">
        <w:rPr>
          <w:color w:val="000000" w:themeColor="text1"/>
        </w:rPr>
        <w:t xml:space="preserve">. </w:t>
      </w:r>
      <w:r w:rsidR="00CD1314" w:rsidRPr="00506C77">
        <w:rPr>
          <w:color w:val="000000" w:themeColor="text1"/>
        </w:rPr>
        <w:t>2020</w:t>
      </w:r>
      <w:r w:rsidRPr="00506C77">
        <w:rPr>
          <w:color w:val="000000" w:themeColor="text1"/>
        </w:rPr>
        <w:t>) captures anecdotal observations from commercial users</w:t>
      </w:r>
      <w:r w:rsidR="007944A4" w:rsidRPr="00506C77">
        <w:rPr>
          <w:color w:val="000000" w:themeColor="text1"/>
        </w:rPr>
        <w:t>,</w:t>
      </w:r>
      <w:r w:rsidRPr="00506C77">
        <w:rPr>
          <w:color w:val="000000" w:themeColor="text1"/>
        </w:rPr>
        <w:t xml:space="preserve"> suggesting high turbidity persisted for several months in the aftermath of cyclone Debbie. At the time of coral surveys in July 2017 turbidity was noticeably high and sedimentation to the substrate </w:t>
      </w:r>
      <w:r w:rsidR="00A5534C" w:rsidRPr="00506C77">
        <w:rPr>
          <w:color w:val="000000" w:themeColor="text1"/>
        </w:rPr>
        <w:t xml:space="preserve">was </w:t>
      </w:r>
      <w:r w:rsidRPr="00506C77">
        <w:rPr>
          <w:color w:val="000000" w:themeColor="text1"/>
        </w:rPr>
        <w:t>ongoing</w:t>
      </w:r>
      <w:r w:rsidR="009F5BFE" w:rsidRPr="00506C77">
        <w:rPr>
          <w:color w:val="000000" w:themeColor="text1"/>
        </w:rPr>
        <w:t>. I</w:t>
      </w:r>
      <w:r w:rsidRPr="00506C77">
        <w:rPr>
          <w:color w:val="000000" w:themeColor="text1"/>
        </w:rPr>
        <w:t xml:space="preserve">t is highly likely that these conditions precipitated the further loss of coral cover observed at reefs resurveyed in 2018. </w:t>
      </w:r>
      <w:r w:rsidR="00CD1314" w:rsidRPr="00506C77">
        <w:rPr>
          <w:color w:val="000000" w:themeColor="text1"/>
        </w:rPr>
        <w:t>Both the long-</w:t>
      </w:r>
      <w:r w:rsidR="00CD1314" w:rsidRPr="00506C77">
        <w:rPr>
          <w:color w:val="000000" w:themeColor="text1"/>
        </w:rPr>
        <w:lastRenderedPageBreak/>
        <w:t>term a</w:t>
      </w:r>
      <w:r w:rsidR="008F4DF5" w:rsidRPr="00506C77">
        <w:rPr>
          <w:color w:val="000000" w:themeColor="text1"/>
        </w:rPr>
        <w:t>nd short-term water quality indices demonstrate ongoing poor w</w:t>
      </w:r>
      <w:r w:rsidR="00C4530B" w:rsidRPr="00506C77">
        <w:rPr>
          <w:color w:val="000000" w:themeColor="text1"/>
        </w:rPr>
        <w:t>ater-quality across the region.</w:t>
      </w:r>
    </w:p>
    <w:p w14:paraId="53C14135" w14:textId="77777777" w:rsidR="00A84742" w:rsidRPr="00506C77" w:rsidRDefault="00A84742" w:rsidP="00A84742">
      <w:pPr>
        <w:rPr>
          <w:color w:val="000000" w:themeColor="text1"/>
        </w:rPr>
      </w:pPr>
      <w:r w:rsidRPr="00506C77">
        <w:rPr>
          <w:color w:val="000000" w:themeColor="text1"/>
        </w:rPr>
        <w:t xml:space="preserve">Given past observations of low scores for the cover change indicator, the unsuitable nature of the substrate for coral settlement (Ricardo </w:t>
      </w:r>
      <w:r w:rsidRPr="00506C77">
        <w:rPr>
          <w:i/>
          <w:color w:val="000000" w:themeColor="text1"/>
        </w:rPr>
        <w:t>et al.</w:t>
      </w:r>
      <w:r w:rsidRPr="00506C77">
        <w:rPr>
          <w:color w:val="000000" w:themeColor="text1"/>
        </w:rPr>
        <w:t xml:space="preserve"> 2017)</w:t>
      </w:r>
      <w:r w:rsidR="0081533C" w:rsidRPr="00506C77">
        <w:rPr>
          <w:color w:val="000000" w:themeColor="text1"/>
        </w:rPr>
        <w:t>,</w:t>
      </w:r>
      <w:r w:rsidRPr="00506C77">
        <w:rPr>
          <w:color w:val="000000" w:themeColor="text1"/>
        </w:rPr>
        <w:t xml:space="preserve"> and the regionally reduced brood-stock, a slow recovery of coral communities at the worst impacted reefs appears likely.</w:t>
      </w:r>
    </w:p>
    <w:p w14:paraId="53C14136" w14:textId="77777777" w:rsidR="00A84742" w:rsidRPr="00506C77" w:rsidRDefault="00A84742" w:rsidP="00727D87">
      <w:pPr>
        <w:pStyle w:val="Heading3"/>
      </w:pPr>
      <w:bookmarkStart w:id="546" w:name="_Toc526246935"/>
      <w:bookmarkStart w:id="547" w:name="_Toc530654988"/>
      <w:bookmarkStart w:id="548" w:name="_Toc35947145"/>
      <w:r w:rsidRPr="00506C77">
        <w:t>Fitzroy</w:t>
      </w:r>
      <w:bookmarkEnd w:id="546"/>
      <w:bookmarkEnd w:id="547"/>
      <w:bookmarkEnd w:id="548"/>
    </w:p>
    <w:p w14:paraId="53C14137" w14:textId="77777777" w:rsidR="00A84742" w:rsidRPr="00506C77" w:rsidRDefault="00A84742" w:rsidP="00A84742">
      <w:r w:rsidRPr="00506C77">
        <w:t>The coral index continued to improve in 201</w:t>
      </w:r>
      <w:r w:rsidR="001A4FE1" w:rsidRPr="00506C77">
        <w:t>9</w:t>
      </w:r>
      <w:r w:rsidRPr="00506C77">
        <w:t>, although coral condition remains poor. The current condition of reefs in the region is still influenced by the cumulative impacts of</w:t>
      </w:r>
      <w:r w:rsidR="00BB603D" w:rsidRPr="00506C77">
        <w:t>;</w:t>
      </w:r>
      <w:r w:rsidRPr="00506C77">
        <w:t xml:space="preserve"> thermal stress in 2006, a series of cyclones and storms, and flooding of the Fitzroy River that exposed corals to lethally low levels of salinity (Jones &amp; Berkelmans 2014) and introduced high loads of nutrients and suspended sediments into Keppel Bay. These pressures substantially reduced coral cover across the region through to 2014. The recovery from these pressures was limited by high water temperatures in 2016 and 2017. While not resulting in substantial loss of cover, high temperatures did result in coral bleaching (Kennedy 2018) and are likely to have reduced the rate of coral cover increase.</w:t>
      </w:r>
    </w:p>
    <w:p w14:paraId="53C14138" w14:textId="77777777" w:rsidR="00A84742" w:rsidRPr="00506C77" w:rsidRDefault="00A84742" w:rsidP="00A84742">
      <w:r w:rsidRPr="00506C77">
        <w:t xml:space="preserve">Flooding of the Fitzroy River impacts coral communities in two primary ways. Corals in shallow waters, particularly those to the south of Great Keppel Island, have been repeatedly exposed to the low salinity plumes that kill the corals (van Woesik 1991, data herein, Jones &amp; Berkelmans 2014). In addition, the negative relationship between the rate of change in index scores and discharge from the Fitzroy River demonstrates the wider impact of major flood events on coral community condition within Keppel Bay. Of note were elevated levels of disease following major flood events supporting hypotheses that either reduced salinity (Haapkylä </w:t>
      </w:r>
      <w:r w:rsidRPr="00506C77">
        <w:rPr>
          <w:i/>
        </w:rPr>
        <w:t>et al.</w:t>
      </w:r>
      <w:r w:rsidRPr="00506C77">
        <w:t xml:space="preserve"> 2011</w:t>
      </w:r>
      <w:r w:rsidR="001C4BED" w:rsidRPr="00506C77">
        <w:t>) or</w:t>
      </w:r>
      <w:r w:rsidRPr="00506C77">
        <w:t xml:space="preserve"> increased nutrient enrichment (Vega Thurber </w:t>
      </w:r>
      <w:r w:rsidRPr="00506C77">
        <w:rPr>
          <w:i/>
        </w:rPr>
        <w:t>et al.</w:t>
      </w:r>
      <w:r w:rsidRPr="00506C77">
        <w:t xml:space="preserve"> 2013) were sufficiently stressful to facilitate coral disease. Reduction in light levels over extended periods of time </w:t>
      </w:r>
      <w:r w:rsidR="00BB539F" w:rsidRPr="00506C77">
        <w:t>due to</w:t>
      </w:r>
      <w:r w:rsidRPr="00506C77">
        <w:t xml:space="preserve"> increased concentrations of suspended sediments delivered by the floods</w:t>
      </w:r>
      <w:r w:rsidR="00546BC2" w:rsidRPr="00506C77">
        <w:t>,</w:t>
      </w:r>
      <w:r w:rsidRPr="00506C77">
        <w:t xml:space="preserve"> as well as dense plankton blooms </w:t>
      </w:r>
      <w:r w:rsidRPr="00506C77">
        <w:lastRenderedPageBreak/>
        <w:t xml:space="preserve">following </w:t>
      </w:r>
      <w:r w:rsidR="00546BC2" w:rsidRPr="00506C77">
        <w:t xml:space="preserve">the </w:t>
      </w:r>
      <w:r w:rsidRPr="00506C77">
        <w:t xml:space="preserve">floods, is another plausible explanation for reduced fitness of corals (Cooper </w:t>
      </w:r>
      <w:r w:rsidRPr="00506C77">
        <w:rPr>
          <w:i/>
        </w:rPr>
        <w:t>et al</w:t>
      </w:r>
      <w:r w:rsidRPr="00506C77">
        <w:t>. 2007) that may have supressed the recovery of coral cover.</w:t>
      </w:r>
    </w:p>
    <w:p w14:paraId="53C14139" w14:textId="77777777" w:rsidR="00D728AE" w:rsidRPr="00506C77" w:rsidRDefault="00A84742" w:rsidP="00A84742">
      <w:r w:rsidRPr="00506C77">
        <w:t xml:space="preserve">Variation among reefs in the recovery of coral communities further illustrates the role of water quality in supressing coral community resilience. Following </w:t>
      </w:r>
      <w:r w:rsidR="0023671D">
        <w:t>thermal</w:t>
      </w:r>
      <w:r w:rsidR="0023671D" w:rsidRPr="00506C77">
        <w:t xml:space="preserve"> </w:t>
      </w:r>
      <w:r w:rsidRPr="00506C77">
        <w:t xml:space="preserve">bleaching in 2006, recovery of coral cover was inversely related to the persistence of macroalgae. At the three </w:t>
      </w:r>
      <w:r w:rsidRPr="00506C77">
        <w:rPr>
          <w:i/>
        </w:rPr>
        <w:t xml:space="preserve">Acropora </w:t>
      </w:r>
      <w:r w:rsidRPr="00506C77">
        <w:t xml:space="preserve">dominated communities on reefs surrounded by waters with </w:t>
      </w:r>
      <w:r w:rsidR="006902D1" w:rsidRPr="00506C77">
        <w:t xml:space="preserve">Chl </w:t>
      </w:r>
      <w:r w:rsidRPr="00506C77">
        <w:rPr>
          <w:i/>
        </w:rPr>
        <w:t>a</w:t>
      </w:r>
      <w:r w:rsidRPr="00506C77">
        <w:t xml:space="preserve"> concentration consistently above the wet season guideline level (</w:t>
      </w:r>
      <w:r w:rsidR="001C4BED" w:rsidRPr="00506C77">
        <w:t>Keppels</w:t>
      </w:r>
      <w:r w:rsidRPr="00506C77">
        <w:t xml:space="preserve"> South, Middle and North Keppel) macroalgae cover (predominantly </w:t>
      </w:r>
      <w:r w:rsidRPr="00506C77">
        <w:rPr>
          <w:i/>
        </w:rPr>
        <w:t>Lobophora spp.</w:t>
      </w:r>
      <w:r w:rsidRPr="00506C77">
        <w:t>) rapidly increased and persisted at high densities</w:t>
      </w:r>
      <w:r w:rsidR="0077775A" w:rsidRPr="00506C77">
        <w:t>;</w:t>
      </w:r>
      <w:r w:rsidRPr="00506C77">
        <w:t xml:space="preserve"> at the same time the rate of change in coral cover remained low or coral cover continued to decline. In contrast, at Barren, where </w:t>
      </w:r>
      <w:r w:rsidR="006902D1" w:rsidRPr="00506C77">
        <w:t xml:space="preserve">Chl </w:t>
      </w:r>
      <w:r w:rsidRPr="00506C77">
        <w:rPr>
          <w:i/>
        </w:rPr>
        <w:t>a</w:t>
      </w:r>
      <w:r w:rsidRPr="00506C77">
        <w:t xml:space="preserve"> concentration is lower, the </w:t>
      </w:r>
      <w:r w:rsidRPr="00506C77">
        <w:rPr>
          <w:i/>
        </w:rPr>
        <w:t>Lobophora</w:t>
      </w:r>
      <w:r w:rsidRPr="00506C77">
        <w:t xml:space="preserve"> bloom was less pronounced and recovery of the coral community clearly progr</w:t>
      </w:r>
      <w:r w:rsidR="00C4530B" w:rsidRPr="00506C77">
        <w:t>essed.</w:t>
      </w:r>
    </w:p>
    <w:p w14:paraId="53C1413A" w14:textId="77777777" w:rsidR="00A84742" w:rsidRPr="00506C77" w:rsidRDefault="00A84742" w:rsidP="00A84742">
      <w:r w:rsidRPr="00506C77">
        <w:t xml:space="preserve">There is clear evidence that the abundance of macroalgae on the Reef is higher where mean </w:t>
      </w:r>
      <w:r w:rsidR="006902D1" w:rsidRPr="00506C77">
        <w:t xml:space="preserve">Chl </w:t>
      </w:r>
      <w:r w:rsidRPr="00506C77">
        <w:rPr>
          <w:i/>
        </w:rPr>
        <w:t>a</w:t>
      </w:r>
      <w:r w:rsidRPr="00506C77">
        <w:t xml:space="preserve"> concentration (as a proxy for nutrients) is above the annual guideline values for coastal and mid-shelf waters of 0.45µgL</w:t>
      </w:r>
      <w:r w:rsidRPr="00506C77">
        <w:rPr>
          <w:vertAlign w:val="superscript"/>
        </w:rPr>
        <w:t>-1</w:t>
      </w:r>
      <w:r w:rsidRPr="00506C77">
        <w:t xml:space="preserve"> (De’ath &amp; Fabricius 2008, Thompson </w:t>
      </w:r>
      <w:r w:rsidRPr="00506C77">
        <w:rPr>
          <w:i/>
        </w:rPr>
        <w:t>et al.</w:t>
      </w:r>
      <w:r w:rsidRPr="00506C77">
        <w:t xml:space="preserve"> 2017). In 201</w:t>
      </w:r>
      <w:r w:rsidR="001A4FE1" w:rsidRPr="00506C77">
        <w:t>9</w:t>
      </w:r>
      <w:r w:rsidRPr="00506C77">
        <w:t xml:space="preserve"> scores for the macroalgae indicator did improve</w:t>
      </w:r>
      <w:r w:rsidR="001A4FE1" w:rsidRPr="00506C77">
        <w:t xml:space="preserve"> at some reefs where proportional cover declined, however,</w:t>
      </w:r>
      <w:r w:rsidR="00287B54" w:rsidRPr="00506C77">
        <w:t xml:space="preserve"> </w:t>
      </w:r>
      <w:r w:rsidRPr="00506C77">
        <w:t xml:space="preserve">regionally the scores for this indicator remain very poor, </w:t>
      </w:r>
      <w:r w:rsidR="0077775A" w:rsidRPr="00506C77">
        <w:t xml:space="preserve">and </w:t>
      </w:r>
      <w:r w:rsidRPr="00506C77">
        <w:t>macroalgae continue to limit th</w:t>
      </w:r>
      <w:r w:rsidR="0077775A" w:rsidRPr="00506C77">
        <w:t>e recovery of coral communities</w:t>
      </w:r>
      <w:r w:rsidRPr="00506C77">
        <w:t>.</w:t>
      </w:r>
    </w:p>
    <w:p w14:paraId="53C1413B" w14:textId="77777777" w:rsidR="00124C8F" w:rsidRPr="00506C77" w:rsidRDefault="00A84742" w:rsidP="00A84742">
      <w:r w:rsidRPr="00506C77">
        <w:t xml:space="preserve">A bottleneck for recovery of coral communities is the low density of juvenile corals. Although the juvenile density indicator scores </w:t>
      </w:r>
      <w:r w:rsidR="001C4BED" w:rsidRPr="00506C77">
        <w:t>continue</w:t>
      </w:r>
      <w:r w:rsidRPr="00506C77">
        <w:t xml:space="preserve"> to improve</w:t>
      </w:r>
      <w:r w:rsidR="00287B54" w:rsidRPr="00506C77">
        <w:t xml:space="preserve"> relative to the low scores of 2014</w:t>
      </w:r>
      <w:r w:rsidRPr="00506C77">
        <w:t>, scores in 201</w:t>
      </w:r>
      <w:r w:rsidR="00287B54" w:rsidRPr="00506C77">
        <w:t xml:space="preserve">9 </w:t>
      </w:r>
      <w:r w:rsidRPr="00506C77">
        <w:t xml:space="preserve">remain poor. </w:t>
      </w:r>
      <w:r w:rsidR="0077775A" w:rsidRPr="00506C77">
        <w:t xml:space="preserve">Recruitment of corals is likely limited by a combination </w:t>
      </w:r>
      <w:r w:rsidR="00D728AE" w:rsidRPr="00506C77">
        <w:t xml:space="preserve">of </w:t>
      </w:r>
      <w:r w:rsidR="0077775A" w:rsidRPr="00506C77">
        <w:t>larval supply and the negative influence of high macroalgae cover</w:t>
      </w:r>
      <w:r w:rsidRPr="00506C77">
        <w:t>. The prevalence of macroalgae is highly likely to be supressing recruitment processes</w:t>
      </w:r>
      <w:r w:rsidR="0077775A" w:rsidRPr="00506C77">
        <w:t xml:space="preserve"> (Johns </w:t>
      </w:r>
      <w:r w:rsidR="0077775A" w:rsidRPr="00506C77">
        <w:rPr>
          <w:i/>
        </w:rPr>
        <w:t>et al</w:t>
      </w:r>
      <w:r w:rsidR="0077775A" w:rsidRPr="00506C77">
        <w:t>. 2018)</w:t>
      </w:r>
      <w:r w:rsidRPr="00506C77">
        <w:t>. Following loss of corals in 2011 the</w:t>
      </w:r>
      <w:r w:rsidR="0077775A" w:rsidRPr="00506C77">
        <w:t xml:space="preserve">re was </w:t>
      </w:r>
      <w:r w:rsidRPr="00506C77">
        <w:t>a substantial decline in the settlement of coral larvae</w:t>
      </w:r>
      <w:r w:rsidR="0077775A" w:rsidRPr="00506C77">
        <w:t>,</w:t>
      </w:r>
      <w:r w:rsidRPr="00506C77">
        <w:t xml:space="preserve"> especially at Pelican Island where the cover of potential brood-stock was effectively eradicated</w:t>
      </w:r>
      <w:r w:rsidR="0077775A" w:rsidRPr="00506C77">
        <w:t xml:space="preserve"> (Davidson </w:t>
      </w:r>
      <w:r w:rsidR="0077775A" w:rsidRPr="00506C77">
        <w:rPr>
          <w:i/>
        </w:rPr>
        <w:t>et al</w:t>
      </w:r>
      <w:r w:rsidR="0077775A" w:rsidRPr="00506C77">
        <w:t>. 2019)</w:t>
      </w:r>
      <w:r w:rsidRPr="00506C77">
        <w:t>. From these results we cannot distinguish between the relative roles of reduced local brood</w:t>
      </w:r>
      <w:r w:rsidR="009E66C3" w:rsidRPr="00506C77">
        <w:t>-</w:t>
      </w:r>
      <w:r w:rsidRPr="00506C77">
        <w:t>stock and high cover of mac</w:t>
      </w:r>
      <w:r w:rsidR="00D93CCD" w:rsidRPr="00506C77">
        <w:t>roalgae</w:t>
      </w:r>
      <w:r w:rsidRPr="00506C77">
        <w:t>. What is evident, is th</w:t>
      </w:r>
      <w:r w:rsidR="00D93CCD" w:rsidRPr="00506C77">
        <w:t>at</w:t>
      </w:r>
      <w:r w:rsidRPr="00506C77">
        <w:t xml:space="preserve"> </w:t>
      </w:r>
      <w:r w:rsidR="00D93CCD" w:rsidRPr="00506C77">
        <w:t xml:space="preserve">benthic </w:t>
      </w:r>
      <w:r w:rsidRPr="00506C77">
        <w:t>communities at several reefs appear locked in a</w:t>
      </w:r>
      <w:r w:rsidR="00D93CCD" w:rsidRPr="00506C77">
        <w:t xml:space="preserve"> high macroalgae-low coral</w:t>
      </w:r>
      <w:r w:rsidRPr="00506C77">
        <w:t xml:space="preserve"> state.</w:t>
      </w:r>
    </w:p>
    <w:p w14:paraId="53C1413C" w14:textId="77777777" w:rsidR="00DC5DE0" w:rsidRPr="00506C77" w:rsidRDefault="00DC5DE0" w:rsidP="006F1D4F">
      <w:pPr>
        <w:pStyle w:val="Heading2"/>
      </w:pPr>
      <w:bookmarkStart w:id="549" w:name="_Toc35947146"/>
      <w:r w:rsidRPr="00506C77">
        <w:lastRenderedPageBreak/>
        <w:t>Management response</w:t>
      </w:r>
      <w:bookmarkEnd w:id="549"/>
      <w:r w:rsidRPr="00506C77">
        <w:t xml:space="preserve"> </w:t>
      </w:r>
    </w:p>
    <w:p w14:paraId="53C1413D" w14:textId="77777777" w:rsidR="00484CE6" w:rsidRDefault="00CF1A09" w:rsidP="00DC5DE0">
      <w:r>
        <w:t>Coral reefs in general are subjected to cumulative impacts of acute disturbances and environmental pressures.</w:t>
      </w:r>
      <w:r w:rsidR="00484CE6">
        <w:t xml:space="preserve"> Simplistically, successful management should promote a balance between the coral losses and subsequent recovery. The breakdown of causes of coral loss and relationships between recovery and environmental conditions provide emerging from the MMP provide guidance for management.</w:t>
      </w:r>
    </w:p>
    <w:p w14:paraId="53C1413E" w14:textId="77777777" w:rsidR="00484CE6" w:rsidRDefault="00484CE6" w:rsidP="00DC5DE0">
      <w:r>
        <w:t xml:space="preserve">In terms of limiting of coral loss the Authority’s crown-of-thorns control program has helped to mitigate the impact of </w:t>
      </w:r>
      <w:r w:rsidRPr="00134A71">
        <w:t>crown-of-thorns starfish</w:t>
      </w:r>
      <w:r>
        <w:t xml:space="preserve"> in the Wet Tropics Region. The small size and isolation of many inshore reefs may make such controls particularly feasible</w:t>
      </w:r>
      <w:r w:rsidR="00BA04CF">
        <w:t>. MMP surveys in 2019 again noted low densities of crown-of-thorns starfish across a range of size classes demonstrating an ongoing pressure warranting management consideration.</w:t>
      </w:r>
    </w:p>
    <w:p w14:paraId="53C1413F" w14:textId="77777777" w:rsidR="00BA04CF" w:rsidRPr="00BA04CF" w:rsidRDefault="00BA04CF" w:rsidP="00DC5DE0">
      <w:r>
        <w:t>Within each region there are reefs w</w:t>
      </w:r>
      <w:r w:rsidR="00440430">
        <w:t>h</w:t>
      </w:r>
      <w:r>
        <w:t xml:space="preserve">ere macroalgae cover is persistently high and coral communities fail to recover. That this occurs predominantly in areas with higher Chl </w:t>
      </w:r>
      <w:r w:rsidRPr="00BA04CF">
        <w:rPr>
          <w:i/>
        </w:rPr>
        <w:t>a</w:t>
      </w:r>
      <w:r>
        <w:rPr>
          <w:i/>
        </w:rPr>
        <w:t xml:space="preserve"> </w:t>
      </w:r>
      <w:r>
        <w:t>suggest that ongoing efforts to reduce nutrient loads entering the reef are warranted so</w:t>
      </w:r>
      <w:r w:rsidR="00440430">
        <w:t xml:space="preserve"> </w:t>
      </w:r>
      <w:r>
        <w:t xml:space="preserve">as to reduce the potential for </w:t>
      </w:r>
      <w:r w:rsidR="00440430">
        <w:t xml:space="preserve">the initial establishment of these algae. It must be noted however, that the environment occupied by many macroalgae is still suitable for corals and it is potentially density dependant feed backs that maintain these high covers of macroalgae. As such removal of algae such as </w:t>
      </w:r>
      <w:r w:rsidR="00440430" w:rsidRPr="00440430">
        <w:rPr>
          <w:i/>
        </w:rPr>
        <w:t>Lobophora</w:t>
      </w:r>
      <w:r w:rsidR="00440430">
        <w:t xml:space="preserve"> and </w:t>
      </w:r>
      <w:r w:rsidR="00440430" w:rsidRPr="00440430">
        <w:rPr>
          <w:i/>
        </w:rPr>
        <w:t>Sargassum</w:t>
      </w:r>
      <w:r w:rsidR="00440430">
        <w:t xml:space="preserve"> in the early stages of post disturbance succession may prove a viable and efficient action to avert long-term phase shifts. </w:t>
      </w:r>
    </w:p>
    <w:p w14:paraId="53C14140" w14:textId="402C9ABA" w:rsidR="00DC5DE0" w:rsidRDefault="00440430" w:rsidP="00DC5DE0">
      <w:r>
        <w:t xml:space="preserve">That </w:t>
      </w:r>
      <w:r w:rsidR="0062794C">
        <w:t>time-series of coral recovery are negatively related to the loads of nutrients and or sediment entering the Reef in most regions</w:t>
      </w:r>
      <w:r w:rsidR="00FD788B">
        <w:t xml:space="preserve">, </w:t>
      </w:r>
      <w:r w:rsidR="00B766D2">
        <w:t>which supports</w:t>
      </w:r>
      <w:r w:rsidR="0062794C">
        <w:t xml:space="preserve"> the m</w:t>
      </w:r>
      <w:r w:rsidR="00DC5DE0" w:rsidRPr="0018456E">
        <w:t>anagement of regional activities associated with catchment development (including agriculture</w:t>
      </w:r>
      <w:r w:rsidR="00DA3B84">
        <w:t xml:space="preserve"> through the Reef 2050 Water Quality Improvement Plan</w:t>
      </w:r>
      <w:r w:rsidR="00DC5DE0" w:rsidRPr="0018456E">
        <w:t>)</w:t>
      </w:r>
      <w:r w:rsidR="0062794C">
        <w:t xml:space="preserve">. </w:t>
      </w:r>
      <w:r w:rsidR="00E3516B">
        <w:t>To maintain the balance between disturbance and recovery of the inshore Reef it is essential that management actions provide corals with</w:t>
      </w:r>
      <w:r w:rsidR="00DC5DE0" w:rsidRPr="0018456E">
        <w:t xml:space="preserve"> optimum conditions to cope with global stressors such as climate change (Bellwood </w:t>
      </w:r>
      <w:r w:rsidR="00DC5DE0" w:rsidRPr="0018456E">
        <w:rPr>
          <w:i/>
        </w:rPr>
        <w:t>et al.</w:t>
      </w:r>
      <w:r w:rsidR="00DC5DE0" w:rsidRPr="0018456E">
        <w:t xml:space="preserve"> 2004, Marshall &amp; Johnson 2007, Carpenter </w:t>
      </w:r>
      <w:r w:rsidR="00DC5DE0" w:rsidRPr="0018456E">
        <w:rPr>
          <w:i/>
        </w:rPr>
        <w:t>et al.</w:t>
      </w:r>
      <w:r w:rsidR="00DC5DE0" w:rsidRPr="0018456E">
        <w:t xml:space="preserve"> 2008, Mora 2008, Hughes </w:t>
      </w:r>
      <w:r w:rsidR="00DC5DE0" w:rsidRPr="0018456E">
        <w:rPr>
          <w:i/>
        </w:rPr>
        <w:t>et al</w:t>
      </w:r>
      <w:r w:rsidR="00DC5DE0" w:rsidRPr="0018456E">
        <w:t xml:space="preserve">. 2010). </w:t>
      </w:r>
    </w:p>
    <w:p w14:paraId="53C14141" w14:textId="77777777" w:rsidR="00DC5DE0" w:rsidRPr="0018456E" w:rsidRDefault="00DA3B84" w:rsidP="00DC5DE0">
      <w:r>
        <w:rPr>
          <w:color w:val="000000" w:themeColor="text1"/>
        </w:rPr>
        <w:lastRenderedPageBreak/>
        <w:t>B</w:t>
      </w:r>
      <w:r w:rsidR="0018456E" w:rsidRPr="0018456E">
        <w:rPr>
          <w:color w:val="000000" w:themeColor="text1"/>
        </w:rPr>
        <w:t xml:space="preserve">enthic communities in inshore areas of the Reef show clear responses to gradients in water quality (van Woesik </w:t>
      </w:r>
      <w:r w:rsidR="0018456E" w:rsidRPr="0018456E">
        <w:rPr>
          <w:i/>
          <w:color w:val="000000" w:themeColor="text1"/>
        </w:rPr>
        <w:t>et al.</w:t>
      </w:r>
      <w:r w:rsidR="0018456E" w:rsidRPr="0018456E">
        <w:rPr>
          <w:color w:val="000000" w:themeColor="text1"/>
        </w:rPr>
        <w:t xml:space="preserve"> 1999, Fabricius &amp; De’ath 2001, Fabricius </w:t>
      </w:r>
      <w:r w:rsidR="0018456E" w:rsidRPr="0018456E">
        <w:rPr>
          <w:i/>
          <w:color w:val="000000" w:themeColor="text1"/>
        </w:rPr>
        <w:t>et al.</w:t>
      </w:r>
      <w:r w:rsidR="0018456E" w:rsidRPr="0018456E">
        <w:rPr>
          <w:color w:val="000000" w:themeColor="text1"/>
        </w:rPr>
        <w:t xml:space="preserve"> 2005, Wismer </w:t>
      </w:r>
      <w:r w:rsidR="0018456E" w:rsidRPr="0018456E">
        <w:rPr>
          <w:i/>
          <w:color w:val="000000" w:themeColor="text1"/>
        </w:rPr>
        <w:t>et al.</w:t>
      </w:r>
      <w:r w:rsidR="0018456E" w:rsidRPr="0018456E">
        <w:rPr>
          <w:color w:val="000000" w:themeColor="text1"/>
        </w:rPr>
        <w:t xml:space="preserve"> 2009, Uthicke </w:t>
      </w:r>
      <w:r w:rsidR="0018456E" w:rsidRPr="0018456E">
        <w:rPr>
          <w:i/>
          <w:color w:val="000000" w:themeColor="text1"/>
        </w:rPr>
        <w:t>et al.</w:t>
      </w:r>
      <w:r w:rsidR="0018456E" w:rsidRPr="0018456E">
        <w:rPr>
          <w:color w:val="000000" w:themeColor="text1"/>
        </w:rPr>
        <w:t xml:space="preserve"> 2010, Fabricius </w:t>
      </w:r>
      <w:r w:rsidR="0018456E" w:rsidRPr="0018456E">
        <w:rPr>
          <w:i/>
          <w:color w:val="000000" w:themeColor="text1"/>
        </w:rPr>
        <w:t>et al.</w:t>
      </w:r>
      <w:r>
        <w:rPr>
          <w:color w:val="000000" w:themeColor="text1"/>
        </w:rPr>
        <w:t xml:space="preserve"> 2012).</w:t>
      </w:r>
      <w:r w:rsidR="0018456E" w:rsidRPr="0018456E">
        <w:rPr>
          <w:color w:val="000000" w:themeColor="text1"/>
        </w:rPr>
        <w:t xml:space="preserve"> </w:t>
      </w:r>
      <w:r>
        <w:rPr>
          <w:color w:val="000000" w:themeColor="text1"/>
        </w:rPr>
        <w:t>C</w:t>
      </w:r>
      <w:r w:rsidR="0018456E" w:rsidRPr="0018456E">
        <w:rPr>
          <w:color w:val="000000" w:themeColor="text1"/>
        </w:rPr>
        <w:t xml:space="preserve">hanges to land management practices </w:t>
      </w:r>
      <w:r w:rsidR="00DC5DE0" w:rsidRPr="0018456E">
        <w:rPr>
          <w:color w:val="000000" w:themeColor="text1"/>
        </w:rPr>
        <w:t xml:space="preserve">should, with time, lead to improved coastal and inshore water quality that in turn supports the health and resilience of the Reef (see Brodie </w:t>
      </w:r>
      <w:r w:rsidR="00DC5DE0" w:rsidRPr="0018456E">
        <w:rPr>
          <w:i/>
          <w:color w:val="000000" w:themeColor="text1"/>
        </w:rPr>
        <w:t>et al.</w:t>
      </w:r>
      <w:r w:rsidR="00DC5DE0" w:rsidRPr="0018456E">
        <w:rPr>
          <w:color w:val="000000" w:themeColor="text1"/>
        </w:rPr>
        <w:t xml:space="preserve"> 2012a for a discussion of expected time lags in the ecosystem response).</w:t>
      </w:r>
      <w:bookmarkStart w:id="550" w:name="_Hlk1116213"/>
      <w:bookmarkStart w:id="551" w:name="_Hlk1116108"/>
      <w:r w:rsidR="00DC5DE0" w:rsidRPr="0018456E">
        <w:t xml:space="preserve"> It is recognised, however, that the management of local</w:t>
      </w:r>
      <w:r w:rsidR="000734EA">
        <w:t xml:space="preserve">ly </w:t>
      </w:r>
      <w:r w:rsidR="00FD2163">
        <w:t>produced</w:t>
      </w:r>
      <w:r w:rsidR="00DC5DE0" w:rsidRPr="0018456E">
        <w:t xml:space="preserve"> pressures, such as </w:t>
      </w:r>
      <w:r w:rsidR="00FD2163">
        <w:t xml:space="preserve">poor </w:t>
      </w:r>
      <w:r w:rsidR="00DC5DE0" w:rsidRPr="0018456E">
        <w:t xml:space="preserve">water quality, are secondary to the urgent </w:t>
      </w:r>
      <w:r w:rsidR="00FD2163">
        <w:t xml:space="preserve">need to </w:t>
      </w:r>
      <w:r w:rsidR="00DC5DE0" w:rsidRPr="0018456E">
        <w:t>reduc</w:t>
      </w:r>
      <w:r w:rsidR="00FD2163">
        <w:t xml:space="preserve">e </w:t>
      </w:r>
      <w:r w:rsidR="00DC5DE0" w:rsidRPr="0018456E">
        <w:t xml:space="preserve">global carbon emissions </w:t>
      </w:r>
      <w:r w:rsidR="00FD2163">
        <w:t xml:space="preserve">to avoid irreversible loss of </w:t>
      </w:r>
      <w:r w:rsidR="00DC5DE0" w:rsidRPr="0018456E">
        <w:t>coral reef ecosystems (Van Oppen &amp; Lough 2018, GBRMPA 2019).</w:t>
      </w:r>
      <w:bookmarkEnd w:id="550"/>
      <w:bookmarkEnd w:id="551"/>
    </w:p>
    <w:p w14:paraId="53C14142" w14:textId="77777777" w:rsidR="00DC5DE0" w:rsidRPr="0053606F" w:rsidRDefault="00DC5DE0" w:rsidP="00DC5DE0"/>
    <w:p w14:paraId="53C14143" w14:textId="77777777" w:rsidR="00124C8F" w:rsidRDefault="00124C8F">
      <w:pPr>
        <w:jc w:val="left"/>
      </w:pPr>
      <w:r>
        <w:br w:type="page"/>
      </w:r>
    </w:p>
    <w:p w14:paraId="53C14144" w14:textId="77777777" w:rsidR="00A84742" w:rsidRPr="00CE4E0F" w:rsidRDefault="00A84742" w:rsidP="00D217FF">
      <w:pPr>
        <w:pStyle w:val="Heading1"/>
      </w:pPr>
      <w:bookmarkStart w:id="552" w:name="_Toc526246936"/>
      <w:bookmarkStart w:id="553" w:name="_Toc530654989"/>
      <w:bookmarkStart w:id="554" w:name="_Toc35947147"/>
      <w:bookmarkStart w:id="555" w:name="_Toc374701391"/>
      <w:bookmarkEnd w:id="76"/>
      <w:bookmarkEnd w:id="77"/>
      <w:bookmarkEnd w:id="78"/>
      <w:bookmarkEnd w:id="79"/>
      <w:bookmarkEnd w:id="80"/>
      <w:bookmarkEnd w:id="81"/>
      <w:bookmarkEnd w:id="82"/>
      <w:bookmarkEnd w:id="83"/>
      <w:bookmarkEnd w:id="84"/>
      <w:r w:rsidRPr="00CE4E0F">
        <w:lastRenderedPageBreak/>
        <w:t>Conclusion</w:t>
      </w:r>
      <w:bookmarkEnd w:id="552"/>
      <w:bookmarkEnd w:id="553"/>
      <w:bookmarkEnd w:id="554"/>
    </w:p>
    <w:p w14:paraId="53C14145" w14:textId="77777777" w:rsidR="00A84742" w:rsidRPr="00DC4E4B" w:rsidRDefault="00A84742" w:rsidP="00A84742">
      <w:pPr>
        <w:rPr>
          <w:color w:val="000000" w:themeColor="text1"/>
        </w:rPr>
      </w:pPr>
      <w:r w:rsidRPr="00104CE6">
        <w:rPr>
          <w:color w:val="000000" w:themeColor="text1"/>
        </w:rPr>
        <w:t xml:space="preserve">The cumulative impacts of tropical cyclones and storms, predation by crown-of-thorns starfish, thermal stress and exposure to low salinity flood plumes has clearly impacted the condition of inshore reefs (Lam </w:t>
      </w:r>
      <w:r w:rsidRPr="00104CE6">
        <w:rPr>
          <w:i/>
          <w:color w:val="000000" w:themeColor="text1"/>
        </w:rPr>
        <w:t>et al.</w:t>
      </w:r>
      <w:r w:rsidRPr="00104CE6">
        <w:rPr>
          <w:color w:val="000000" w:themeColor="text1"/>
        </w:rPr>
        <w:t xml:space="preserve"> 2018). Compounding the impact of these acute events are the chronic pressures of water quality that operate both spatially along gradients in water quality and temporally in response to variability in the loads of sediments and nutrients delivered by rivers. The</w:t>
      </w:r>
      <w:r w:rsidR="00104CE6">
        <w:rPr>
          <w:color w:val="000000" w:themeColor="text1"/>
        </w:rPr>
        <w:t>se</w:t>
      </w:r>
      <w:r w:rsidRPr="00104CE6">
        <w:rPr>
          <w:color w:val="000000" w:themeColor="text1"/>
        </w:rPr>
        <w:t xml:space="preserve"> chronic pressures supress the recovery of coral communities following acute events.</w:t>
      </w:r>
    </w:p>
    <w:p w14:paraId="53C14146" w14:textId="77777777" w:rsidR="00A84742" w:rsidRPr="00104CE6" w:rsidRDefault="00A84742" w:rsidP="00A84742">
      <w:pPr>
        <w:rPr>
          <w:color w:val="000000" w:themeColor="text1"/>
        </w:rPr>
      </w:pPr>
      <w:r w:rsidRPr="00104CE6">
        <w:rPr>
          <w:color w:val="000000" w:themeColor="text1"/>
        </w:rPr>
        <w:t xml:space="preserve">The persistence of inshore coral communities will depend on the long-term balance between frequency and severity of acute pressures and the ability of corals to recover. Central to this balance will be management actions or other changes to reduce the influence of chronic pressures that either interact with acute events to exacerbate community declines or suppress the recovery process. Given projections for increased severity </w:t>
      </w:r>
      <w:r w:rsidR="00AC4E9A" w:rsidRPr="000F363E">
        <w:rPr>
          <w:color w:val="000000" w:themeColor="text1"/>
          <w:lang w:eastAsia="en-GB"/>
        </w:rPr>
        <w:t>and</w:t>
      </w:r>
      <w:r w:rsidR="00913C49">
        <w:rPr>
          <w:color w:val="000000" w:themeColor="text1"/>
          <w:lang w:eastAsia="en-GB"/>
        </w:rPr>
        <w:t>/</w:t>
      </w:r>
      <w:r w:rsidR="00AC4E9A" w:rsidRPr="000F363E">
        <w:rPr>
          <w:color w:val="000000" w:themeColor="text1"/>
          <w:lang w:eastAsia="en-GB"/>
        </w:rPr>
        <w:t xml:space="preserve">or </w:t>
      </w:r>
      <w:r w:rsidRPr="00104CE6">
        <w:rPr>
          <w:color w:val="000000" w:themeColor="text1"/>
        </w:rPr>
        <w:t xml:space="preserve">frequency of pressures due of climate change and other human activities (Steffen </w:t>
      </w:r>
      <w:r w:rsidRPr="00104CE6">
        <w:rPr>
          <w:i/>
          <w:color w:val="000000" w:themeColor="text1"/>
        </w:rPr>
        <w:t>et al</w:t>
      </w:r>
      <w:r w:rsidRPr="00104CE6">
        <w:rPr>
          <w:color w:val="000000" w:themeColor="text1"/>
        </w:rPr>
        <w:t xml:space="preserve">. 2013, Halpern </w:t>
      </w:r>
      <w:r w:rsidRPr="00104CE6">
        <w:rPr>
          <w:i/>
          <w:color w:val="000000" w:themeColor="text1"/>
        </w:rPr>
        <w:t>et al.</w:t>
      </w:r>
      <w:r w:rsidRPr="00104CE6">
        <w:rPr>
          <w:color w:val="000000" w:themeColor="text1"/>
        </w:rPr>
        <w:t xml:space="preserve"> 2015, Hughes </w:t>
      </w:r>
      <w:r w:rsidRPr="00104CE6">
        <w:rPr>
          <w:i/>
          <w:color w:val="000000" w:themeColor="text1"/>
        </w:rPr>
        <w:t>et al.</w:t>
      </w:r>
      <w:r w:rsidRPr="00104CE6">
        <w:rPr>
          <w:color w:val="000000" w:themeColor="text1"/>
        </w:rPr>
        <w:t xml:space="preserve"> 2018), the focus on supporting recovery in a climate of increasing disturbance is ever-sharpening</w:t>
      </w:r>
      <w:r w:rsidR="00104CE6" w:rsidRPr="00104CE6">
        <w:rPr>
          <w:color w:val="000000" w:themeColor="text1"/>
        </w:rPr>
        <w:t xml:space="preserve"> (GBRMPA 2019)</w:t>
      </w:r>
      <w:r w:rsidRPr="00104CE6">
        <w:rPr>
          <w:color w:val="000000" w:themeColor="text1"/>
        </w:rPr>
        <w:t>.</w:t>
      </w:r>
    </w:p>
    <w:p w14:paraId="53C14147" w14:textId="77777777" w:rsidR="00A84742" w:rsidRPr="00104CE6" w:rsidRDefault="00A84742" w:rsidP="00A84742">
      <w:pPr>
        <w:rPr>
          <w:color w:val="000000" w:themeColor="text1"/>
        </w:rPr>
      </w:pPr>
      <w:r w:rsidRPr="00104CE6">
        <w:rPr>
          <w:color w:val="000000" w:themeColor="text1"/>
        </w:rPr>
        <w:t>Disentangling the influence of run-off in the observed declines in coral condition, or the ability of communities to recover, remains difficult for several reasons. Firstly, coral</w:t>
      </w:r>
      <w:r w:rsidR="00CA70D7">
        <w:rPr>
          <w:color w:val="000000" w:themeColor="text1"/>
        </w:rPr>
        <w:t xml:space="preserve"> response-</w:t>
      </w:r>
      <w:r w:rsidRPr="00104CE6">
        <w:rPr>
          <w:color w:val="000000" w:themeColor="text1"/>
        </w:rPr>
        <w:t>thresholds to the cumulative pressures associated with water quality are likely to be spatially variable because of the selection and acclimati</w:t>
      </w:r>
      <w:r w:rsidR="00AF031D">
        <w:rPr>
          <w:color w:val="000000" w:themeColor="text1"/>
        </w:rPr>
        <w:t xml:space="preserve">sation </w:t>
      </w:r>
      <w:r w:rsidRPr="00104CE6">
        <w:rPr>
          <w:color w:val="000000" w:themeColor="text1"/>
        </w:rPr>
        <w:t xml:space="preserve">of corals in response to location-specific conditions. Secondly, extrinsic variability, along with low concentrations of many constituents of water quality, limits the ability to quantify additional pressures resulting from run-off at scales relevant to the communities monitored. Finally, effects of interactions between water quality stressors have only been quantified for a limited combination of pressures and few coral species (e.g. Uthicke </w:t>
      </w:r>
      <w:r w:rsidRPr="00104CE6">
        <w:rPr>
          <w:i/>
          <w:color w:val="000000" w:themeColor="text1"/>
        </w:rPr>
        <w:t>et al.</w:t>
      </w:r>
      <w:r w:rsidRPr="00104CE6">
        <w:rPr>
          <w:color w:val="000000" w:themeColor="text1"/>
        </w:rPr>
        <w:t xml:space="preserve"> 2016). The response of coral reef communities to the cumulative impacts of the range of sediment, nutrient and pesticide contaminants carried by rivers</w:t>
      </w:r>
      <w:r w:rsidR="007F4AAF">
        <w:rPr>
          <w:color w:val="000000" w:themeColor="text1"/>
        </w:rPr>
        <w:t>,</w:t>
      </w:r>
      <w:r w:rsidRPr="00104CE6">
        <w:rPr>
          <w:color w:val="000000" w:themeColor="text1"/>
        </w:rPr>
        <w:t xml:space="preserve"> along with climate change</w:t>
      </w:r>
      <w:r w:rsidR="007F4AAF">
        <w:rPr>
          <w:color w:val="000000" w:themeColor="text1"/>
        </w:rPr>
        <w:t>,</w:t>
      </w:r>
      <w:r w:rsidRPr="00104CE6">
        <w:rPr>
          <w:color w:val="000000" w:themeColor="text1"/>
        </w:rPr>
        <w:t xml:space="preserve"> is still only semi-quantitatively understood</w:t>
      </w:r>
      <w:r w:rsidR="005B19FC">
        <w:rPr>
          <w:color w:val="000000" w:themeColor="text1"/>
        </w:rPr>
        <w:t xml:space="preserve"> (although it is unlikely that pesticides are reaching our monitored coral sites at concentrations that are known to cause </w:t>
      </w:r>
      <w:r w:rsidR="005B19FC">
        <w:rPr>
          <w:color w:val="000000" w:themeColor="text1"/>
        </w:rPr>
        <w:lastRenderedPageBreak/>
        <w:t>any impact)</w:t>
      </w:r>
      <w:r w:rsidRPr="00104CE6">
        <w:rPr>
          <w:color w:val="000000" w:themeColor="text1"/>
        </w:rPr>
        <w:t>. In combination, these knowledge gaps limit the ability to quantify thresholds for water quality that are appropriate to the diversity of coral communities found on inshore reefs. However, focusing on the response of the coral communities (as measured by differences in index scores) does identify both spatial and temporal responses of coral communities to variation in water quality.</w:t>
      </w:r>
    </w:p>
    <w:p w14:paraId="53C14148" w14:textId="77777777" w:rsidR="00A84742" w:rsidRPr="000F363E" w:rsidRDefault="00A84742" w:rsidP="00A84742">
      <w:pPr>
        <w:rPr>
          <w:color w:val="000000" w:themeColor="text1"/>
        </w:rPr>
      </w:pPr>
      <w:bookmarkStart w:id="556" w:name="_Hlk35944405"/>
      <w:r w:rsidRPr="000F363E">
        <w:rPr>
          <w:color w:val="000000" w:themeColor="text1"/>
        </w:rPr>
        <w:t xml:space="preserve">Spatially, results from this project </w:t>
      </w:r>
      <w:r w:rsidR="005B4318" w:rsidRPr="000F363E">
        <w:rPr>
          <w:color w:val="000000" w:themeColor="text1"/>
        </w:rPr>
        <w:t xml:space="preserve">reiterate </w:t>
      </w:r>
      <w:r w:rsidRPr="000F363E">
        <w:rPr>
          <w:color w:val="000000" w:themeColor="text1"/>
        </w:rPr>
        <w:t xml:space="preserve">that macroalgae abundance is enhanced, to the detriment of corals, in areas </w:t>
      </w:r>
      <w:r w:rsidR="00B8782F">
        <w:rPr>
          <w:color w:val="000000" w:themeColor="text1"/>
        </w:rPr>
        <w:t xml:space="preserve">exposed to the chronic pressure </w:t>
      </w:r>
      <w:r w:rsidRPr="000F363E">
        <w:rPr>
          <w:color w:val="000000" w:themeColor="text1"/>
        </w:rPr>
        <w:t>of high nutrient availability</w:t>
      </w:r>
      <w:r w:rsidR="002851D7" w:rsidRPr="000F363E">
        <w:rPr>
          <w:color w:val="000000" w:themeColor="text1"/>
        </w:rPr>
        <w:t xml:space="preserve"> (Fabricius </w:t>
      </w:r>
      <w:r w:rsidR="002851D7" w:rsidRPr="000F363E">
        <w:rPr>
          <w:i/>
          <w:color w:val="000000" w:themeColor="text1"/>
        </w:rPr>
        <w:t>et al.</w:t>
      </w:r>
      <w:r w:rsidR="002851D7" w:rsidRPr="000F363E">
        <w:rPr>
          <w:color w:val="000000" w:themeColor="text1"/>
        </w:rPr>
        <w:t xml:space="preserve"> 2005)</w:t>
      </w:r>
      <w:r w:rsidRPr="000F363E">
        <w:rPr>
          <w:color w:val="000000" w:themeColor="text1"/>
        </w:rPr>
        <w:t>. Temporally, the recovery of coral communities, assessed as rate of increase in index scores, also shows a negative relationship to river discharge and the corresponding loads of sediments and nutrients carried therein.</w:t>
      </w:r>
      <w:r w:rsidR="00B8782F">
        <w:rPr>
          <w:color w:val="000000" w:themeColor="text1"/>
        </w:rPr>
        <w:t xml:space="preserve"> In combination these results highlight the detrimental influence that the chronic pressure of water quality has on recover of coral communities following inevitable exposure to acute pressures.</w:t>
      </w:r>
    </w:p>
    <w:bookmarkEnd w:id="556"/>
    <w:p w14:paraId="53C14149" w14:textId="77777777" w:rsidR="00A84742" w:rsidRPr="000F363E" w:rsidRDefault="00A84742" w:rsidP="00A84742">
      <w:pPr>
        <w:rPr>
          <w:color w:val="000000" w:themeColor="text1"/>
        </w:rPr>
      </w:pPr>
      <w:r w:rsidRPr="000F363E">
        <w:rPr>
          <w:color w:val="000000" w:themeColor="text1"/>
        </w:rPr>
        <w:t>As the time series for the MMP increases some pertinent observations relating to the balance between disturbance regimes and recovery of coral communities can be made</w:t>
      </w:r>
      <w:r w:rsidR="00BE7281">
        <w:rPr>
          <w:color w:val="000000" w:themeColor="text1"/>
        </w:rPr>
        <w:t>:</w:t>
      </w:r>
    </w:p>
    <w:p w14:paraId="53C1414A" w14:textId="77777777" w:rsidR="00A84742" w:rsidRPr="000F363E" w:rsidRDefault="00A84742" w:rsidP="00124C8F">
      <w:pPr>
        <w:numPr>
          <w:ilvl w:val="0"/>
          <w:numId w:val="32"/>
        </w:numPr>
        <w:ind w:left="641" w:hanging="357"/>
        <w:rPr>
          <w:color w:val="000000" w:themeColor="text1"/>
          <w:lang w:eastAsia="en-GB"/>
        </w:rPr>
      </w:pPr>
      <w:r w:rsidRPr="000F363E">
        <w:rPr>
          <w:color w:val="000000" w:themeColor="text1"/>
          <w:lang w:eastAsia="en-GB"/>
        </w:rPr>
        <w:t>In the Wet Tropics</w:t>
      </w:r>
      <w:r w:rsidR="005B19FC">
        <w:rPr>
          <w:color w:val="000000" w:themeColor="text1"/>
          <w:lang w:eastAsia="en-GB"/>
        </w:rPr>
        <w:t>,</w:t>
      </w:r>
      <w:r w:rsidRPr="000F363E">
        <w:rPr>
          <w:color w:val="000000" w:themeColor="text1"/>
          <w:lang w:eastAsia="en-GB"/>
        </w:rPr>
        <w:t xml:space="preserve"> Burdekin and Fitzroy regions coral communities have demonstrated the capacity to recover following severe loss of coral due to acute disturbances. The rate of this recovery has, however, been supressed during periods of high run-off. This indicates the pressures imposed on community recovery by increased loads of sediments and</w:t>
      </w:r>
      <w:r w:rsidR="00913C49">
        <w:rPr>
          <w:color w:val="000000" w:themeColor="text1"/>
          <w:lang w:eastAsia="en-GB"/>
        </w:rPr>
        <w:t>/</w:t>
      </w:r>
      <w:r w:rsidRPr="000F363E">
        <w:rPr>
          <w:color w:val="000000" w:themeColor="text1"/>
          <w:lang w:eastAsia="en-GB"/>
        </w:rPr>
        <w:t>or nutrients from the adjacent catchments. On balance, condition index scores have returned to those observed at the beginning of the project. However, in 2005 the condition of some reefs in these regions was poor and as such the 2005 condition may not be an appropriate aspirational baseline.</w:t>
      </w:r>
    </w:p>
    <w:p w14:paraId="53C1414B" w14:textId="77777777" w:rsidR="00A84742" w:rsidRPr="000F363E" w:rsidRDefault="00A84742" w:rsidP="00124C8F">
      <w:pPr>
        <w:numPr>
          <w:ilvl w:val="0"/>
          <w:numId w:val="32"/>
        </w:numPr>
        <w:ind w:left="641" w:hanging="357"/>
        <w:rPr>
          <w:color w:val="000000" w:themeColor="text1"/>
          <w:lang w:eastAsia="en-GB"/>
        </w:rPr>
      </w:pPr>
      <w:r w:rsidRPr="000F363E">
        <w:rPr>
          <w:color w:val="000000" w:themeColor="text1"/>
          <w:lang w:eastAsia="en-GB"/>
        </w:rPr>
        <w:t xml:space="preserve">At reefs where high levels of macroalgae become established the recovery of coral communities can be stalled. There is potential that the density-dependant feedbacks that promote the ongoing persistence of macroalgae have resulted in phase shifts at these reefs. The effect of these phase shifts is that although high nutrient levels may have promoted the initial bloom of macroalgae, the persistence of macroalgae will reduce the sensitivity of </w:t>
      </w:r>
      <w:r w:rsidRPr="000F363E">
        <w:rPr>
          <w:color w:val="000000" w:themeColor="text1"/>
          <w:lang w:eastAsia="en-GB"/>
        </w:rPr>
        <w:lastRenderedPageBreak/>
        <w:t>measures of recovery to variations in water quality. As a result, the strength of relationship between changes in index scores and environmental variability may be underestimated.</w:t>
      </w:r>
    </w:p>
    <w:p w14:paraId="53C1414C" w14:textId="77777777" w:rsidR="00124C8F" w:rsidRPr="00124C8F" w:rsidRDefault="00A84742" w:rsidP="00124C8F">
      <w:pPr>
        <w:numPr>
          <w:ilvl w:val="0"/>
          <w:numId w:val="32"/>
        </w:numPr>
        <w:ind w:left="641" w:hanging="357"/>
        <w:rPr>
          <w:color w:val="000000" w:themeColor="text1"/>
          <w:lang w:eastAsia="en-GB"/>
        </w:rPr>
      </w:pPr>
      <w:r w:rsidRPr="00124C8F">
        <w:rPr>
          <w:color w:val="000000" w:themeColor="text1"/>
          <w:lang w:eastAsia="en-GB"/>
        </w:rPr>
        <w:t xml:space="preserve">In the </w:t>
      </w:r>
      <w:r w:rsidR="005F2B5B">
        <w:rPr>
          <w:color w:val="000000" w:themeColor="text1"/>
          <w:lang w:eastAsia="en-GB"/>
        </w:rPr>
        <w:t>Mackay-Whitsunday</w:t>
      </w:r>
      <w:r w:rsidRPr="00124C8F">
        <w:rPr>
          <w:color w:val="000000" w:themeColor="text1"/>
          <w:lang w:eastAsia="en-GB"/>
        </w:rPr>
        <w:t xml:space="preserve"> Region high turbidity coupled with the sheltered nature of many reefs promote challenging conditions for most corals at deeper sites. Despite these conditions large colonies of tolerant species are found. The magnitude of impact from cyclone Debbie is unprecedented in the monitoring time-series from this region. It will be informative to observe how these communities recover. Data to date suggest that low juvenile densities and low rates of cover increase will result in slow recovery of these communities.</w:t>
      </w:r>
      <w:r w:rsidR="000F363E" w:rsidRPr="00124C8F">
        <w:rPr>
          <w:color w:val="000000" w:themeColor="text1"/>
          <w:lang w:eastAsia="en-GB"/>
        </w:rPr>
        <w:t xml:space="preserve"> Of concern </w:t>
      </w:r>
      <w:r w:rsidR="00124C8F" w:rsidRPr="00124C8F">
        <w:rPr>
          <w:color w:val="000000" w:themeColor="text1"/>
          <w:lang w:eastAsia="en-GB"/>
        </w:rPr>
        <w:t>is the colonisation by</w:t>
      </w:r>
      <w:r w:rsidR="000F363E" w:rsidRPr="00124C8F">
        <w:rPr>
          <w:color w:val="000000" w:themeColor="text1"/>
          <w:lang w:eastAsia="en-GB"/>
        </w:rPr>
        <w:t xml:space="preserve"> macroalgae </w:t>
      </w:r>
      <w:r w:rsidR="00124C8F" w:rsidRPr="00124C8F">
        <w:rPr>
          <w:color w:val="000000" w:themeColor="text1"/>
          <w:lang w:eastAsia="en-GB"/>
        </w:rPr>
        <w:t>at some reefs and the persistence of these algae should be a focus of monitoring in the medium term.</w:t>
      </w:r>
    </w:p>
    <w:p w14:paraId="53C1414D" w14:textId="77777777" w:rsidR="00A84742" w:rsidRPr="000F363E" w:rsidRDefault="00A84742" w:rsidP="00A84742">
      <w:pPr>
        <w:rPr>
          <w:color w:val="000000" w:themeColor="text1"/>
        </w:rPr>
      </w:pPr>
      <w:r w:rsidRPr="000F363E">
        <w:rPr>
          <w:color w:val="000000" w:themeColor="text1"/>
        </w:rPr>
        <w:t xml:space="preserve">While the results presented here do not provide clear guidance in terms of load reductions required to improve coral condition in the inshore </w:t>
      </w:r>
      <w:r w:rsidR="001C4BED" w:rsidRPr="000F363E">
        <w:rPr>
          <w:color w:val="000000" w:themeColor="text1"/>
        </w:rPr>
        <w:t>Reef,</w:t>
      </w:r>
      <w:r w:rsidRPr="000F363E">
        <w:rPr>
          <w:color w:val="000000" w:themeColor="text1"/>
        </w:rPr>
        <w:t xml:space="preserve"> they do support the premise of the Reef 2050 WQIP that the loads entering the reef during high rainfall periods are reducing the resilience of these communities.</w:t>
      </w:r>
      <w:r w:rsidRPr="00CE4E0F">
        <w:rPr>
          <w:color w:val="548DD4" w:themeColor="text2" w:themeTint="99"/>
        </w:rPr>
        <w:t xml:space="preserve"> </w:t>
      </w:r>
      <w:r w:rsidRPr="000F363E">
        <w:rPr>
          <w:color w:val="000000" w:themeColor="text1"/>
        </w:rPr>
        <w:t xml:space="preserve">The potential for phase shifts </w:t>
      </w:r>
      <w:r w:rsidR="000F363E" w:rsidRPr="000F363E">
        <w:rPr>
          <w:color w:val="000000" w:themeColor="text1"/>
        </w:rPr>
        <w:t>to algae dominated states</w:t>
      </w:r>
      <w:r w:rsidR="009514B5">
        <w:rPr>
          <w:color w:val="000000" w:themeColor="text1"/>
        </w:rPr>
        <w:t>,</w:t>
      </w:r>
      <w:r w:rsidR="000F363E" w:rsidRPr="000F363E">
        <w:rPr>
          <w:color w:val="000000" w:themeColor="text1"/>
        </w:rPr>
        <w:t xml:space="preserve"> </w:t>
      </w:r>
      <w:r w:rsidRPr="000F363E">
        <w:rPr>
          <w:color w:val="000000" w:themeColor="text1"/>
        </w:rPr>
        <w:t xml:space="preserve">or delayed recovery </w:t>
      </w:r>
      <w:r w:rsidR="000F363E" w:rsidRPr="000F363E">
        <w:rPr>
          <w:color w:val="000000" w:themeColor="text1"/>
        </w:rPr>
        <w:t xml:space="preserve">because of poor water quality, </w:t>
      </w:r>
      <w:r w:rsidRPr="000F363E">
        <w:rPr>
          <w:color w:val="000000" w:themeColor="text1"/>
        </w:rPr>
        <w:t>in combination with expected increase in disturbance frequency</w:t>
      </w:r>
      <w:r w:rsidR="000F363E" w:rsidRPr="000F363E">
        <w:rPr>
          <w:color w:val="000000" w:themeColor="text1"/>
        </w:rPr>
        <w:t>,</w:t>
      </w:r>
      <w:r w:rsidRPr="000F363E">
        <w:rPr>
          <w:color w:val="000000" w:themeColor="text1"/>
        </w:rPr>
        <w:t xml:space="preserve"> reinforces the importance of reducing local pressures to support the long-term maintenance of these communities.</w:t>
      </w:r>
    </w:p>
    <w:p w14:paraId="53C1414E" w14:textId="77777777" w:rsidR="000F363E" w:rsidRPr="00DC4E4B" w:rsidRDefault="000F363E">
      <w:pPr>
        <w:jc w:val="left"/>
        <w:rPr>
          <w:color w:val="000000" w:themeColor="text1"/>
        </w:rPr>
      </w:pPr>
      <w:r>
        <w:rPr>
          <w:color w:val="548DD4" w:themeColor="text2" w:themeTint="99"/>
        </w:rPr>
        <w:br w:type="page"/>
      </w:r>
    </w:p>
    <w:p w14:paraId="53C1414F" w14:textId="77777777" w:rsidR="00A84742" w:rsidRPr="00CE4E0F" w:rsidRDefault="00A84742" w:rsidP="00D217FF">
      <w:pPr>
        <w:pStyle w:val="Heading1"/>
      </w:pPr>
      <w:bookmarkStart w:id="557" w:name="_Toc526246938"/>
      <w:bookmarkStart w:id="558" w:name="_Toc530654991"/>
      <w:bookmarkStart w:id="559" w:name="_Toc35947148"/>
      <w:bookmarkStart w:id="560" w:name="_Toc229069174"/>
      <w:bookmarkStart w:id="561" w:name="_Toc334990242"/>
      <w:r w:rsidRPr="00CE4E0F">
        <w:lastRenderedPageBreak/>
        <w:t>References</w:t>
      </w:r>
      <w:bookmarkEnd w:id="557"/>
      <w:bookmarkEnd w:id="558"/>
      <w:bookmarkEnd w:id="559"/>
    </w:p>
    <w:p w14:paraId="53C14150" w14:textId="77777777" w:rsidR="00A84742" w:rsidRPr="00A01E20" w:rsidRDefault="00A84742" w:rsidP="00A84742">
      <w:pPr>
        <w:ind w:hanging="284"/>
        <w:rPr>
          <w:rFonts w:eastAsia="SimSun"/>
        </w:rPr>
      </w:pPr>
      <w:r w:rsidRPr="00A01E20">
        <w:rPr>
          <w:lang w:val="en-US"/>
        </w:rPr>
        <w:t xml:space="preserve">Anderson MJ, Willis TJ (2003) </w:t>
      </w:r>
      <w:r w:rsidRPr="00A01E20">
        <w:rPr>
          <w:rFonts w:eastAsia="SimSun"/>
        </w:rPr>
        <w:t>Canonical analysis of principal coordinates: a useful method of constrained ordination for ecology.</w:t>
      </w:r>
      <w:r w:rsidRPr="00A01E20">
        <w:t> Ecology</w:t>
      </w:r>
      <w:r w:rsidRPr="00A01E20">
        <w:rPr>
          <w:i/>
        </w:rPr>
        <w:t> </w:t>
      </w:r>
      <w:r w:rsidRPr="00A01E20">
        <w:rPr>
          <w:rFonts w:eastAsia="SimSun"/>
        </w:rPr>
        <w:t>84:511–525</w:t>
      </w:r>
    </w:p>
    <w:p w14:paraId="53C14151" w14:textId="77777777" w:rsidR="00DD0BBB" w:rsidRDefault="00DD0BBB" w:rsidP="00A84742">
      <w:pPr>
        <w:ind w:hanging="284"/>
        <w:rPr>
          <w:lang w:eastAsia="en-GB"/>
        </w:rPr>
      </w:pPr>
      <w:r w:rsidRPr="00175009">
        <w:rPr>
          <w:lang w:eastAsia="en-GB"/>
        </w:rPr>
        <w:t>Anon. (2017)</w:t>
      </w:r>
      <w:r w:rsidR="00175009">
        <w:rPr>
          <w:lang w:eastAsia="en-GB"/>
        </w:rPr>
        <w:t xml:space="preserve"> Reef 2050 Water Quality Improvement Plan 2017-2022. The State of Queensland. 56pp</w:t>
      </w:r>
      <w:r w:rsidR="00867E14">
        <w:rPr>
          <w:lang w:eastAsia="en-GB"/>
        </w:rPr>
        <w:t>.</w:t>
      </w:r>
    </w:p>
    <w:p w14:paraId="53C14152" w14:textId="77777777" w:rsidR="00175009" w:rsidRPr="00175009" w:rsidRDefault="00867E14" w:rsidP="00867E14">
      <w:pPr>
        <w:rPr>
          <w:lang w:eastAsia="en-GB"/>
        </w:rPr>
      </w:pPr>
      <w:r>
        <w:rPr>
          <w:lang w:eastAsia="en-GB"/>
        </w:rPr>
        <w:t>a</w:t>
      </w:r>
      <w:r w:rsidR="00175009">
        <w:rPr>
          <w:lang w:eastAsia="en-GB"/>
        </w:rPr>
        <w:t xml:space="preserve">vailable at </w:t>
      </w:r>
      <w:hyperlink r:id="rId70" w:history="1">
        <w:r w:rsidR="00175009" w:rsidRPr="00175009">
          <w:rPr>
            <w:u w:val="single"/>
          </w:rPr>
          <w:t>Reef 2050 Water Quality Improvement Plan 2017–2022</w:t>
        </w:r>
        <w:r w:rsidR="00175009" w:rsidRPr="00175009">
          <w:t xml:space="preserve"> </w:t>
        </w:r>
      </w:hyperlink>
    </w:p>
    <w:p w14:paraId="53C14153" w14:textId="77777777" w:rsidR="00A84742" w:rsidRPr="00A01E20" w:rsidRDefault="00A84742" w:rsidP="00A84742">
      <w:pPr>
        <w:ind w:hanging="284"/>
      </w:pPr>
      <w:r w:rsidRPr="00A01E20">
        <w:t>Anthony KRN (1999) Coral suspension feeding on fine particulate matter. Journal of Experimental Marine Biology and Ecology 232:85-106</w:t>
      </w:r>
    </w:p>
    <w:p w14:paraId="53C14154" w14:textId="77777777" w:rsidR="00A84742" w:rsidRPr="00A01E20" w:rsidRDefault="00A84742" w:rsidP="00A84742">
      <w:pPr>
        <w:ind w:hanging="284"/>
      </w:pPr>
      <w:r w:rsidRPr="00A01E20">
        <w:t>Anthony KRN, Fabricius KE (2000) Shifting roles of heterotrophy and autotrophy in coral energetics under varying turbidity. Journal of Experimental Marine Biology and Ecology 252:221-253</w:t>
      </w:r>
    </w:p>
    <w:p w14:paraId="53C14155" w14:textId="77777777" w:rsidR="00A84742" w:rsidRPr="00A01E20" w:rsidRDefault="00A84742" w:rsidP="00A84742">
      <w:pPr>
        <w:ind w:hanging="284"/>
      </w:pPr>
      <w:r w:rsidRPr="00A01E20">
        <w:t>Ayling A (1997) The biological status of fringing reefs in the Great Barrier Reef world heritage area. Proceedings of the State of the Great Barrier Reef World Heritage Area Workshop pp. 109-113</w:t>
      </w:r>
    </w:p>
    <w:p w14:paraId="53C14156" w14:textId="77777777" w:rsidR="00A84742" w:rsidRPr="00A01E20" w:rsidRDefault="00A84742" w:rsidP="00A84742">
      <w:pPr>
        <w:ind w:hanging="284"/>
      </w:pPr>
      <w:r w:rsidRPr="00A01E20">
        <w:t>Babcock RC, Smith L (2002) Effects of sedimentation on coral settlement and survivorship. In: Proceedings of the 9th International Coral Reef Symposium, Bali, Indonesia, 245–248</w:t>
      </w:r>
    </w:p>
    <w:p w14:paraId="53C14157" w14:textId="77777777" w:rsidR="00A84742" w:rsidRPr="00A01E20" w:rsidRDefault="00A84742" w:rsidP="00A84742">
      <w:pPr>
        <w:ind w:hanging="284"/>
        <w:rPr>
          <w:lang w:eastAsia="en-AU"/>
        </w:rPr>
      </w:pPr>
      <w:r w:rsidRPr="00A01E20">
        <w:rPr>
          <w:lang w:eastAsia="en-AU"/>
        </w:rPr>
        <w:t>Baird AH, Babcock RC, Mundy CP (2003) Habitat selection by larvae influences the depth distribution of six common coral species. Marine Ecology Progress Series 252:289-293</w:t>
      </w:r>
    </w:p>
    <w:p w14:paraId="53C14158" w14:textId="77777777" w:rsidR="00A84742" w:rsidRPr="00A01E20" w:rsidRDefault="00A84742" w:rsidP="00A84742">
      <w:pPr>
        <w:ind w:hanging="284"/>
        <w:rPr>
          <w:lang w:eastAsia="en-AU"/>
        </w:rPr>
      </w:pPr>
      <w:r w:rsidRPr="00A01E20">
        <w:rPr>
          <w:sz w:val="23"/>
          <w:szCs w:val="23"/>
        </w:rPr>
        <w:t xml:space="preserve">Bartley R, Waters D, Turner R, Kroon F, Wilkinson S, Garzon-Garcia A, Kuhnert P, Lewis S, Smith R, Bainbridge Z, Olley J, Brooks A, Burton J &amp; Brodie JW (2017) Sources of sediment, nutrients, pesticides and other pollutants to the Great Barrier Reef. In: </w:t>
      </w:r>
      <w:r w:rsidRPr="00A01E20">
        <w:rPr>
          <w:i/>
          <w:iCs/>
          <w:sz w:val="23"/>
          <w:szCs w:val="23"/>
        </w:rPr>
        <w:t>Scientific Consensus Statement 2017: A synthesis of the science of land-based water quality impacts on the Great Barrier Reef</w:t>
      </w:r>
      <w:r w:rsidRPr="00A01E20">
        <w:rPr>
          <w:sz w:val="23"/>
          <w:szCs w:val="23"/>
        </w:rPr>
        <w:t>. State of Queensland.</w:t>
      </w:r>
    </w:p>
    <w:p w14:paraId="53C14159" w14:textId="77777777" w:rsidR="00A84742" w:rsidRPr="00A01E20" w:rsidRDefault="00A84742" w:rsidP="00A84742">
      <w:pPr>
        <w:ind w:hanging="284"/>
        <w:rPr>
          <w:lang w:val="en-US"/>
        </w:rPr>
      </w:pPr>
      <w:r w:rsidRPr="00A01E20">
        <w:rPr>
          <w:lang w:eastAsia="en-AU"/>
        </w:rPr>
        <w:t xml:space="preserve">Belperio AP, Searle DE (1988) Terrigenous and carbonate sedimentation in the Great Barrier Reef province. In: J, D.L., H, R.H. (Eds.), Carbonate to Clastic </w:t>
      </w:r>
      <w:r w:rsidRPr="00A01E20">
        <w:rPr>
          <w:lang w:eastAsia="en-AU"/>
        </w:rPr>
        <w:lastRenderedPageBreak/>
        <w:t>Facies Changes. Developments in Sedimentology. Elsevier Science Publishers, Amsterdam, pp. 143–174</w:t>
      </w:r>
    </w:p>
    <w:p w14:paraId="53C1415A" w14:textId="77777777" w:rsidR="00A84742" w:rsidRPr="00A01E20" w:rsidRDefault="00A84742" w:rsidP="00A84742">
      <w:pPr>
        <w:ind w:hanging="284"/>
        <w:rPr>
          <w:lang w:val="en-US"/>
        </w:rPr>
      </w:pPr>
      <w:r w:rsidRPr="00A01E20">
        <w:rPr>
          <w:lang w:val="en-US"/>
        </w:rPr>
        <w:t xml:space="preserve">Bellwood DR, Hughes TP, Folke C, Nyströmm (2004) Confronting the coral reef crisis. Nature 429:827-833 </w:t>
      </w:r>
    </w:p>
    <w:p w14:paraId="53C1415B" w14:textId="77777777" w:rsidR="00A84742" w:rsidRPr="00A01E20" w:rsidRDefault="00A84742" w:rsidP="00A84742">
      <w:pPr>
        <w:ind w:hanging="284"/>
        <w:rPr>
          <w:lang w:eastAsia="en-AU"/>
        </w:rPr>
      </w:pPr>
      <w:r w:rsidRPr="00A01E20">
        <w:rPr>
          <w:lang w:eastAsia="en-AU"/>
        </w:rPr>
        <w:t>Berkelmans R, Jones A, Schaffelke B (2012) Salinity thresholds of Acropora spp. On the Great Barrier Reef. Coral Reefs 31:1103-1110</w:t>
      </w:r>
    </w:p>
    <w:p w14:paraId="53C1415C" w14:textId="77777777" w:rsidR="00A84742" w:rsidRPr="00A01E20" w:rsidRDefault="00A84742" w:rsidP="00A84742">
      <w:pPr>
        <w:ind w:hanging="284"/>
        <w:rPr>
          <w:lang w:eastAsia="en-AU"/>
        </w:rPr>
      </w:pPr>
      <w:r w:rsidRPr="00A01E20">
        <w:rPr>
          <w:lang w:eastAsia="en-AU"/>
        </w:rPr>
        <w:t>Bessell-Browne P, Negri AP, Fisher R, Clode PL, Jones R (2017a) </w:t>
      </w:r>
      <w:hyperlink r:id="rId71" w:tgtFrame="_blank" w:history="1">
        <w:r w:rsidRPr="00A01E20">
          <w:rPr>
            <w:lang w:eastAsia="en-AU"/>
          </w:rPr>
          <w:t>I</w:t>
        </w:r>
      </w:hyperlink>
      <w:hyperlink r:id="rId72" w:tgtFrame="_blank" w:history="1">
        <w:r w:rsidRPr="00A01E20">
          <w:rPr>
            <w:lang w:eastAsia="en-AU"/>
          </w:rPr>
          <w:t>mpacts of light limitation on corals and crustose coralline algae</w:t>
        </w:r>
      </w:hyperlink>
      <w:r w:rsidRPr="00A01E20">
        <w:rPr>
          <w:lang w:eastAsia="en-AU"/>
        </w:rPr>
        <w:t>. </w:t>
      </w:r>
      <w:r w:rsidRPr="00A01E20">
        <w:rPr>
          <w:i/>
          <w:lang w:eastAsia="en-AU"/>
        </w:rPr>
        <w:t>Scientific Reports.</w:t>
      </w:r>
      <w:r w:rsidRPr="00A01E20">
        <w:rPr>
          <w:lang w:eastAsia="en-AU"/>
        </w:rPr>
        <w:t> </w:t>
      </w:r>
      <w:hyperlink r:id="rId73" w:tgtFrame="_blank" w:history="1">
        <w:r w:rsidRPr="00A01E20">
          <w:rPr>
            <w:lang w:eastAsia="en-AU"/>
          </w:rPr>
          <w:t>doi:10.1038/s41598-017-11783-z</w:t>
        </w:r>
      </w:hyperlink>
    </w:p>
    <w:p w14:paraId="53C1415D" w14:textId="77777777" w:rsidR="00A84742" w:rsidRPr="00A01E20" w:rsidRDefault="00A84742" w:rsidP="00A84742">
      <w:pPr>
        <w:ind w:hanging="284"/>
        <w:rPr>
          <w:rFonts w:eastAsia="SimSun"/>
          <w:u w:val="single"/>
          <w:lang w:eastAsia="en-AU"/>
        </w:rPr>
      </w:pPr>
      <w:r w:rsidRPr="00A01E20">
        <w:rPr>
          <w:lang w:eastAsia="en-AU"/>
        </w:rPr>
        <w:t xml:space="preserve">Bessell-Browne P, Negri AP, Fisher R, Clode PL, Jones R (2017b) </w:t>
      </w:r>
      <w:hyperlink r:id="rId74" w:tgtFrame="_blank" w:history="1">
        <w:r w:rsidRPr="00A01E20">
          <w:rPr>
            <w:rFonts w:eastAsia="SimSun"/>
            <w:lang w:eastAsia="en-AU"/>
          </w:rPr>
          <w:t>Cumulative impacts: thermally bleached corals have reduced capacity to clear deposited sediment</w:t>
        </w:r>
      </w:hyperlink>
      <w:r w:rsidRPr="00A01E20">
        <w:rPr>
          <w:rFonts w:eastAsia="SimSun"/>
          <w:lang w:eastAsia="en-AU"/>
        </w:rPr>
        <w:t>.</w:t>
      </w:r>
      <w:r w:rsidRPr="00A01E20">
        <w:rPr>
          <w:rFonts w:ascii="Tahoma" w:hAnsi="Tahoma" w:cs="Tahoma"/>
          <w:sz w:val="18"/>
          <w:szCs w:val="18"/>
          <w:lang w:eastAsia="en-AU"/>
        </w:rPr>
        <w:t xml:space="preserve"> </w:t>
      </w:r>
      <w:r w:rsidRPr="00A01E20">
        <w:rPr>
          <w:i/>
          <w:lang w:eastAsia="en-AU"/>
        </w:rPr>
        <w:t>Scientific Reports</w:t>
      </w:r>
      <w:r w:rsidRPr="00A01E20">
        <w:rPr>
          <w:lang w:eastAsia="en-AU"/>
        </w:rPr>
        <w:t xml:space="preserve">. </w:t>
      </w:r>
      <w:hyperlink r:id="rId75" w:tgtFrame="_blank" w:history="1">
        <w:r w:rsidRPr="00A01E20">
          <w:rPr>
            <w:rFonts w:eastAsia="SimSun"/>
            <w:u w:val="single"/>
            <w:lang w:eastAsia="en-AU"/>
          </w:rPr>
          <w:t>doi:10.1038/s41598-017-02810-0</w:t>
        </w:r>
      </w:hyperlink>
    </w:p>
    <w:p w14:paraId="53C1415E" w14:textId="77777777" w:rsidR="00A84742" w:rsidRPr="00A01E20" w:rsidRDefault="00A84742" w:rsidP="00A84742">
      <w:pPr>
        <w:ind w:hanging="284"/>
      </w:pPr>
      <w:r w:rsidRPr="00A01E20">
        <w:t>Birrell CL, McCook LJ, Willis BL (2005) Effects of algal turfs and sediment on coral settlement. Marine Pollution Bulletin 51:408-414</w:t>
      </w:r>
    </w:p>
    <w:p w14:paraId="53C1415F" w14:textId="77777777" w:rsidR="00A84742" w:rsidRPr="00A01E20" w:rsidRDefault="00A84742" w:rsidP="00A84742">
      <w:pPr>
        <w:ind w:hanging="284"/>
        <w:rPr>
          <w:lang w:eastAsia="en-AU"/>
        </w:rPr>
      </w:pPr>
      <w:r w:rsidRPr="00A01E20">
        <w:rPr>
          <w:lang w:eastAsia="en-AU"/>
        </w:rPr>
        <w:t>Birrell CL, McCook LJ, Willis BL, Diaz-Pulido GA (2008a) Effects of benthic algae on the replenishments of corals and the implications for the resilience of coral reefs. Oceanography and Marine Biology: An Annual Review 46:25-64</w:t>
      </w:r>
    </w:p>
    <w:p w14:paraId="53C14160" w14:textId="77777777" w:rsidR="00A84742" w:rsidRPr="00A01E20" w:rsidRDefault="00A84742" w:rsidP="00A84742">
      <w:pPr>
        <w:ind w:hanging="284"/>
        <w:rPr>
          <w:lang w:eastAsia="en-AU"/>
        </w:rPr>
      </w:pPr>
      <w:r w:rsidRPr="00A01E20">
        <w:rPr>
          <w:lang w:eastAsia="en-AU"/>
        </w:rPr>
        <w:t xml:space="preserve">Birrell CL, McCook LJ, Willis BL, Harrington L (2008b) Chemical effects of macroalgae on larval settlement of the broadcast spawning coral </w:t>
      </w:r>
      <w:r w:rsidRPr="00A01E20">
        <w:rPr>
          <w:i/>
          <w:lang w:eastAsia="en-AU"/>
        </w:rPr>
        <w:t>Acropora millepora</w:t>
      </w:r>
      <w:r w:rsidRPr="00A01E20">
        <w:rPr>
          <w:lang w:eastAsia="en-AU"/>
        </w:rPr>
        <w:t>. Marine Ecology Progress Series 362:129-137</w:t>
      </w:r>
    </w:p>
    <w:p w14:paraId="53C14161" w14:textId="77777777" w:rsidR="00A84742" w:rsidRPr="00A01E20" w:rsidRDefault="00A84742" w:rsidP="00A84742">
      <w:pPr>
        <w:ind w:hanging="284"/>
        <w:rPr>
          <w:lang w:val="en-US"/>
        </w:rPr>
      </w:pPr>
      <w:r w:rsidRPr="00A01E20">
        <w:rPr>
          <w:lang w:val="en-US"/>
        </w:rPr>
        <w:t>Brinkman R, Herzfeld M, Andrewartha J, Rizwi F, Steinberg C, Spagnol S (2011) Hydrodynamics at the whole of GBR scale. AIMS Final Project Report MTSRF Project 2.5i.1, June 2011. Report to Reef and Rainforest Research Centre. Australian Institute of Marine Science, Townsville. 42pp</w:t>
      </w:r>
    </w:p>
    <w:p w14:paraId="53C14162" w14:textId="77777777" w:rsidR="00A84742" w:rsidRPr="00A01E20" w:rsidRDefault="00A84742" w:rsidP="00A84742">
      <w:pPr>
        <w:ind w:hanging="284"/>
        <w:rPr>
          <w:lang w:eastAsia="en-AU"/>
        </w:rPr>
      </w:pPr>
      <w:r w:rsidRPr="00A01E20">
        <w:rPr>
          <w:lang w:eastAsia="en-AU"/>
        </w:rPr>
        <w:t>Brodie J, Fabricius K, De’ath G, Okaji K (2005) Are increased nutrient inputs responsible for more outbreaks of crown-of-thorns starfish? An appraisal of the evidence. Marine Pollution Bulletin, 51(1):266-278</w:t>
      </w:r>
    </w:p>
    <w:p w14:paraId="53C14163" w14:textId="77777777" w:rsidR="00A84742" w:rsidRPr="00A01E20" w:rsidRDefault="00A84742" w:rsidP="00A84742">
      <w:pPr>
        <w:ind w:hanging="284"/>
      </w:pPr>
      <w:r w:rsidRPr="00A01E20">
        <w:t xml:space="preserve">Brodie J, Wolanski E, Lewis S, Bainbridge Z (2012a) An assessment of residence times of land-sourced contaminants in the Great Barrier Reef lagoon and the </w:t>
      </w:r>
      <w:r w:rsidRPr="00A01E20">
        <w:lastRenderedPageBreak/>
        <w:t>implications for management and reef recovery. Marine Pollution Bulletin 65:267-279</w:t>
      </w:r>
    </w:p>
    <w:p w14:paraId="53C14164" w14:textId="77777777" w:rsidR="00A84742" w:rsidRPr="00A01E20" w:rsidRDefault="00A84742" w:rsidP="00A84742">
      <w:pPr>
        <w:ind w:hanging="284"/>
      </w:pPr>
      <w:r w:rsidRPr="00A01E20">
        <w:t>Brodie JE, Kroon FJ, Schaffelke B, Wolanski EC, Lewis SE, Devlin MJ, Bohnet IC, Bainbridge ZT, Waterhouse J, Davis AM (2012b) Terrestrial pollutant runoff to the Great Barrier Reef: An update of issues, priorities and management responses. Marine Pollution Bulletin 65:81-100</w:t>
      </w:r>
    </w:p>
    <w:p w14:paraId="53C14165" w14:textId="77777777" w:rsidR="0022341F" w:rsidRPr="00A01E20" w:rsidRDefault="0022341F" w:rsidP="00A84742">
      <w:pPr>
        <w:ind w:hanging="284"/>
      </w:pPr>
      <w:r w:rsidRPr="00A01E20">
        <w:t>Brodie JE, Devlin MJ, Lewis S (2017) Potential enhanced survivorship of crown-of-thorns starfish larvae due to near-annual nutrient enrichment during secondary outbreaks on the central mid-shelf of the Great Barrier Reef, Australia. Diversity 9,17</w:t>
      </w:r>
    </w:p>
    <w:p w14:paraId="53C14166" w14:textId="77777777" w:rsidR="00A84742" w:rsidRPr="00A01E20" w:rsidRDefault="00A84742" w:rsidP="00A84742">
      <w:pPr>
        <w:ind w:hanging="284"/>
        <w:rPr>
          <w:lang w:bidi="en-US"/>
        </w:rPr>
      </w:pPr>
      <w:r w:rsidRPr="00A01E20">
        <w:rPr>
          <w:lang w:bidi="en-US"/>
        </w:rPr>
        <w:t>Browne NK, Smithers SG, Perry CT (2010) Geomorphology and community structure of Middle Reef, central Great Barrier Reef, Australia: an inner-shelf turbid zone reef subject to episodic mortality events. Coral Reefs 29: 683-689</w:t>
      </w:r>
    </w:p>
    <w:p w14:paraId="53C14167" w14:textId="77777777" w:rsidR="00A84742" w:rsidRPr="00A01E20" w:rsidRDefault="00A84742" w:rsidP="00A84742">
      <w:pPr>
        <w:ind w:hanging="284"/>
      </w:pPr>
      <w:r w:rsidRPr="00A01E20">
        <w:t>Bruno JF, Petes LE, Harvell CD, Hettinger A (2003) Nutrient enrichment can increase the severity of coral diseases. Ecology Letters 6:1056-1061</w:t>
      </w:r>
    </w:p>
    <w:p w14:paraId="53C14168" w14:textId="77777777" w:rsidR="00A84742" w:rsidRPr="00A01E20" w:rsidRDefault="00A84742" w:rsidP="00A84742">
      <w:pPr>
        <w:ind w:hanging="284"/>
      </w:pPr>
      <w:r w:rsidRPr="00A01E20">
        <w:t>Bruno JF, Sweatman H, Precht WF, Selig ER, Schutte VGW (2009) Assessing evidence of phase shifts from coral to macroalgal dominance on coral reefs. Ecology 90:1478-1484</w:t>
      </w:r>
    </w:p>
    <w:p w14:paraId="53C14169" w14:textId="77777777" w:rsidR="00A84742" w:rsidRPr="00A01E20" w:rsidRDefault="00A84742" w:rsidP="00A84742">
      <w:pPr>
        <w:ind w:hanging="284"/>
        <w:rPr>
          <w:lang w:val="en-US"/>
        </w:rPr>
      </w:pPr>
      <w:r w:rsidRPr="00A01E20">
        <w:rPr>
          <w:lang w:val="en-US"/>
        </w:rPr>
        <w:t>Carpenter KE, Abrar M, Aeby G, Aronson RB, Banks S, Bruckner A, Chiriboga A, Cortes J, Delbeek JC, DeVantier L, Edgar GJ, Edwards AJ, Fenner D, Guzman HM, Hoeksema BW, Hodgson G, Johan O, Licuanan WY, Livingstone SR, Lovell ER, Moore JA, Obura DO, Ochavillo D, Polidoro BA, Precht WF, Quibilan MC, Reboton C, Richards ZT, Rogers AD, Sanciangco J, Sheppard A, Sheppard C, Smith J, Stuart S, Turak E, Veron JEN, Wallace C, Weil E, Wood E (2008) One-Third of Reef-Building Corals Face Elevated Extinction Risk from Climate Change and Local Impacts. Science 321:560-563</w:t>
      </w:r>
    </w:p>
    <w:p w14:paraId="53C1416A" w14:textId="77777777" w:rsidR="00A84742" w:rsidRPr="00A01E20" w:rsidRDefault="00A84742" w:rsidP="00A84742">
      <w:pPr>
        <w:ind w:hanging="284"/>
      </w:pPr>
      <w:r w:rsidRPr="00A01E20">
        <w:t>Cheal AJ, Emslie M, MacNeil MA, Miller I, Sweatman H (2013) Spatial variation in the functional characteristics of herbivorous fish communities and the resilience of coral reefs. Ecological Applications 23:174-188</w:t>
      </w:r>
    </w:p>
    <w:p w14:paraId="53C1416B" w14:textId="77777777" w:rsidR="00A84742" w:rsidRPr="00A01E20" w:rsidRDefault="00A84742" w:rsidP="00A84742">
      <w:pPr>
        <w:ind w:hanging="284"/>
        <w:rPr>
          <w:lang w:eastAsia="en-AU"/>
        </w:rPr>
      </w:pPr>
      <w:r w:rsidRPr="00A01E20">
        <w:t xml:space="preserve">Cheal AJ, MacNeil MA, Cripps E, Emslie M, Jonker M, Schaffelke B, Sweatman H (2010) Coral-macroalgal phase shifts or reef resilience: links with diversity </w:t>
      </w:r>
      <w:r w:rsidRPr="00A01E20">
        <w:lastRenderedPageBreak/>
        <w:t>and functional roles of herbivorous fishes on the Great Barrier Reef. Coral Reefs</w:t>
      </w:r>
      <w:r w:rsidRPr="00A01E20">
        <w:rPr>
          <w:lang w:eastAsia="en-AU"/>
        </w:rPr>
        <w:t xml:space="preserve"> 29:1005-1015</w:t>
      </w:r>
    </w:p>
    <w:p w14:paraId="53C1416C" w14:textId="77777777" w:rsidR="00A84742" w:rsidRPr="00A01E20" w:rsidRDefault="00A84742" w:rsidP="00A84742">
      <w:pPr>
        <w:ind w:hanging="284"/>
        <w:rPr>
          <w:lang w:eastAsia="en-AU"/>
        </w:rPr>
      </w:pPr>
      <w:r w:rsidRPr="00A01E20">
        <w:rPr>
          <w:lang w:eastAsia="en-AU"/>
        </w:rPr>
        <w:t>Clark, T. R., Roff, G., Zhao, J. X., Feng, Y. X., Done, T. J., McCook, L. J., &amp; Pandolfi, J. M. (2017). U-Th dating reveals regional-scale decline of branching Acropora corals on the Great Barrier Reef over the past century. Proceedings of the National Academy of Sciences, 114(39), 10350-10355.</w:t>
      </w:r>
    </w:p>
    <w:p w14:paraId="53C1416D" w14:textId="77777777" w:rsidR="00A84742" w:rsidRPr="00A01E20" w:rsidRDefault="00A84742" w:rsidP="00A84742">
      <w:pPr>
        <w:ind w:hanging="284"/>
        <w:rPr>
          <w:lang w:eastAsia="en-AU"/>
        </w:rPr>
      </w:pPr>
      <w:r w:rsidRPr="00A01E20">
        <w:rPr>
          <w:lang w:eastAsia="en-AU"/>
        </w:rPr>
        <w:t>Cooper TF, Uthicke S, Humphrey C, Fabricius KE (2007) Gradients in water column nutrients, sediment parameters, irradiance and coral reef development in the Whitsunday Region, central Great Barrier Reef. Estuarine, Coastal and Shelf Science 74:458-470Darnell R, Henderson B, Kroon FJ, Kuhnert P (2012) Statistical power of detecting trends in total suspended sediment loads to the Great Barrier Reef. Marine Pollution Bulletin 65:203-209</w:t>
      </w:r>
    </w:p>
    <w:p w14:paraId="53C1416E" w14:textId="77777777" w:rsidR="00A84742" w:rsidRDefault="00A84742" w:rsidP="00A84742">
      <w:pPr>
        <w:ind w:hanging="284"/>
        <w:rPr>
          <w:lang w:eastAsia="en-AU"/>
        </w:rPr>
      </w:pPr>
      <w:r w:rsidRPr="00A01E20">
        <w:rPr>
          <w:lang w:eastAsia="en-AU"/>
        </w:rPr>
        <w:t>Crain CM, Kroeker K, Halpern BS (2008) Interactive and cumulative effects of multiple human stressors in marine systems. Ecology letters, 11(12), pp.1304-1315.</w:t>
      </w:r>
    </w:p>
    <w:p w14:paraId="53C1416F" w14:textId="77777777" w:rsidR="0010434C" w:rsidRPr="002C4AB1" w:rsidRDefault="0010434C" w:rsidP="0010434C">
      <w:pPr>
        <w:autoSpaceDE w:val="0"/>
        <w:autoSpaceDN w:val="0"/>
        <w:adjustRightInd w:val="0"/>
        <w:ind w:hanging="284"/>
        <w:jc w:val="left"/>
        <w:rPr>
          <w:u w:val="single"/>
        </w:rPr>
      </w:pPr>
      <w:r w:rsidRPr="00527CAF">
        <w:rPr>
          <w:color w:val="000000"/>
        </w:rPr>
        <w:t xml:space="preserve">Davidson J, Thompson A, Logan M, Schaffelke B (2019) High spatio-temporal variability in Acroporidae settlement to inshore reefs of the Great Barrier Reef. PLoS ONE 14(1):e0209771. </w:t>
      </w:r>
      <w:hyperlink r:id="rId76" w:history="1">
        <w:r w:rsidRPr="000C32B7">
          <w:rPr>
            <w:rStyle w:val="Hyperlink"/>
            <w:rFonts w:cs="Arial"/>
          </w:rPr>
          <w:t>https://doi.org/10.1371/journal.pone.0209771</w:t>
        </w:r>
      </w:hyperlink>
    </w:p>
    <w:p w14:paraId="53C14170" w14:textId="77777777" w:rsidR="00A84742" w:rsidRPr="00A01E20" w:rsidRDefault="00A84742" w:rsidP="00A84742">
      <w:pPr>
        <w:ind w:hanging="284"/>
        <w:rPr>
          <w:lang w:val="en-US"/>
        </w:rPr>
      </w:pPr>
      <w:r w:rsidRPr="00A01E20">
        <w:rPr>
          <w:lang w:val="en-US"/>
        </w:rPr>
        <w:t>De'ath G, Fabricius KE (2008) Water Quality of the Great Barrier Reef: Distributions, Effects on Reef Biota and Trigger Values for the Protection of Ecosystem Health. Research Publication No. 89. Great Barrier Marine Park Authority, Townsville, p. 104p</w:t>
      </w:r>
    </w:p>
    <w:p w14:paraId="53C14171" w14:textId="77777777" w:rsidR="00A84742" w:rsidRPr="00A01E20" w:rsidRDefault="00A84742" w:rsidP="00A84742">
      <w:pPr>
        <w:ind w:hanging="284"/>
        <w:rPr>
          <w:lang w:val="en-US"/>
        </w:rPr>
      </w:pPr>
      <w:r w:rsidRPr="00A01E20">
        <w:rPr>
          <w:lang w:val="en-US"/>
        </w:rPr>
        <w:t>De'ath G, Fabricius KE (2010) Water quality as a regional driver of coral biodiversity and macroalgae on the Great Barrier Reef. Ecological Applications 20:840–850</w:t>
      </w:r>
    </w:p>
    <w:p w14:paraId="53C14172" w14:textId="77777777" w:rsidR="00A84742" w:rsidRPr="00A01E20" w:rsidRDefault="00A84742" w:rsidP="00A84742">
      <w:pPr>
        <w:ind w:hanging="284"/>
        <w:rPr>
          <w:rFonts w:eastAsia="MS Mincho"/>
          <w:lang w:eastAsia="ja-JP"/>
        </w:rPr>
      </w:pPr>
      <w:r w:rsidRPr="00A01E20">
        <w:rPr>
          <w:rFonts w:eastAsia="MS Mincho"/>
          <w:lang w:eastAsia="ja-JP"/>
        </w:rPr>
        <w:t xml:space="preserve">De’ath G, Fabricius KE, Sweatman H, Puotinen M (2012) The 27-year decline of coral cover on the Great Barrier Reef and its causes. Proceedings of the National Academy of Sciences 190(44):17995-17999 </w:t>
      </w:r>
    </w:p>
    <w:p w14:paraId="53C14173" w14:textId="77777777" w:rsidR="00A84742" w:rsidRPr="00A01E20" w:rsidRDefault="00A84742" w:rsidP="00A84742">
      <w:pPr>
        <w:ind w:hanging="284"/>
      </w:pPr>
      <w:r w:rsidRPr="00A01E20">
        <w:t>DeVantier L, De’ath G, Turak E, Done TJ, Fabricius KE (2006) Species richness and community structure of reef-building corals on the nearshore Great Barrier Reef. Coral Reef 25:329-340</w:t>
      </w:r>
    </w:p>
    <w:p w14:paraId="53C14174" w14:textId="77777777" w:rsidR="00A84742" w:rsidRPr="00A01E20" w:rsidRDefault="00A84742" w:rsidP="00A84742">
      <w:pPr>
        <w:ind w:hanging="284"/>
        <w:rPr>
          <w:rFonts w:eastAsia="MS Mincho"/>
          <w:lang w:eastAsia="ja-JP"/>
        </w:rPr>
      </w:pPr>
      <w:r w:rsidRPr="00A01E20">
        <w:rPr>
          <w:rFonts w:eastAsia="MS Mincho"/>
          <w:lang w:eastAsia="ja-JP"/>
        </w:rPr>
        <w:lastRenderedPageBreak/>
        <w:t>Diaz-Pulido G, Harii S, McCook LJ, Hoegh-Guldberg O (2010) The impact of benthic algae on the settlement of a reef-building coral. Coral Reefs 29:203-208</w:t>
      </w:r>
    </w:p>
    <w:p w14:paraId="53C14175" w14:textId="77777777" w:rsidR="00A84742" w:rsidRPr="00A01E20" w:rsidRDefault="00A84742" w:rsidP="00A84742">
      <w:pPr>
        <w:ind w:hanging="284"/>
      </w:pPr>
      <w:r w:rsidRPr="00A01E20">
        <w:t>Diaz-Pulido G, McCook LJ (2003) Relative roles of herbivory and nutrients in the recruitment of coral-reef seaweeds. Ecology 84:2026-2033</w:t>
      </w:r>
    </w:p>
    <w:p w14:paraId="53C14176" w14:textId="77777777" w:rsidR="00A84742" w:rsidRPr="00A01E20" w:rsidRDefault="00A84742" w:rsidP="00A84742">
      <w:pPr>
        <w:ind w:hanging="284"/>
        <w:rPr>
          <w:rFonts w:eastAsia="MS Mincho"/>
          <w:lang w:eastAsia="ja-JP"/>
        </w:rPr>
      </w:pPr>
      <w:r w:rsidRPr="00A01E20">
        <w:rPr>
          <w:rFonts w:eastAsia="MS Mincho"/>
          <w:lang w:eastAsia="ja-JP"/>
        </w:rPr>
        <w:t xml:space="preserve">Diaz-Pulido G, McCook LJ, Dove S, Berkelmans R, Roff G, Kline DI, Weeks S, Evans RD, Williamson DH, Hoegh-Guldberg O (2009) Doom and Boom on a Resilient Reef: Climate Change, Algal Overgrowth and Coral Recovery. PLoS ONE 4(4): e5239 </w:t>
      </w:r>
    </w:p>
    <w:p w14:paraId="53C14177" w14:textId="77777777" w:rsidR="00A84742" w:rsidRPr="00A01E20" w:rsidRDefault="00A84742" w:rsidP="00A84742">
      <w:pPr>
        <w:ind w:hanging="284"/>
        <w:rPr>
          <w:rFonts w:eastAsia="MS Mincho"/>
          <w:lang w:eastAsia="ja-JP"/>
        </w:rPr>
      </w:pPr>
      <w:r w:rsidRPr="00A01E20">
        <w:rPr>
          <w:rFonts w:eastAsia="MS Mincho"/>
          <w:lang w:eastAsia="ja-JP"/>
        </w:rPr>
        <w:t>Done TJ (1982) Patterns in the distribution of coral communities across the central Great Barrier Reef. Coral Reefs 1:95-107</w:t>
      </w:r>
    </w:p>
    <w:p w14:paraId="53C14178" w14:textId="77777777" w:rsidR="00A84742" w:rsidRPr="00A01E20" w:rsidRDefault="00A84742" w:rsidP="00A84742">
      <w:pPr>
        <w:ind w:hanging="284"/>
        <w:rPr>
          <w:lang w:eastAsia="en-AU"/>
        </w:rPr>
      </w:pPr>
      <w:r w:rsidRPr="00A01E20">
        <w:rPr>
          <w:lang w:eastAsia="en-AU"/>
        </w:rPr>
        <w:t xml:space="preserve">Duckworth A, Giofre N, Jones R (2017) </w:t>
      </w:r>
      <w:hyperlink r:id="rId77" w:tgtFrame="_blank" w:history="1">
        <w:r w:rsidRPr="00A01E20">
          <w:rPr>
            <w:lang w:eastAsia="en-AU"/>
          </w:rPr>
          <w:t>Coral morphology and sedimentation</w:t>
        </w:r>
      </w:hyperlink>
      <w:r w:rsidRPr="00A01E20">
        <w:rPr>
          <w:lang w:eastAsia="en-AU"/>
        </w:rPr>
        <w:t xml:space="preserve">. </w:t>
      </w:r>
      <w:r w:rsidRPr="00A01E20">
        <w:rPr>
          <w:i/>
          <w:lang w:eastAsia="en-AU"/>
        </w:rPr>
        <w:t>Marine Pollution Bulletin</w:t>
      </w:r>
      <w:r w:rsidRPr="00A01E20">
        <w:rPr>
          <w:lang w:eastAsia="en-AU"/>
        </w:rPr>
        <w:t xml:space="preserve"> </w:t>
      </w:r>
      <w:hyperlink r:id="rId78" w:tgtFrame="_blank" w:history="1">
        <w:r w:rsidRPr="00A01E20">
          <w:rPr>
            <w:lang w:eastAsia="en-AU"/>
          </w:rPr>
          <w:t>doi.org/10.1016/j.marpolbul.2017.08.036</w:t>
        </w:r>
      </w:hyperlink>
    </w:p>
    <w:p w14:paraId="53C14179" w14:textId="77777777" w:rsidR="00A84742" w:rsidRPr="00A01E20" w:rsidRDefault="00A84742" w:rsidP="00A84742">
      <w:pPr>
        <w:ind w:hanging="284"/>
        <w:rPr>
          <w:lang w:eastAsia="en-AU"/>
        </w:rPr>
      </w:pPr>
      <w:r w:rsidRPr="00A01E20">
        <w:rPr>
          <w:lang w:eastAsia="en-AU"/>
        </w:rPr>
        <w:t>Erftemeijer PLA, Reigl B, Hoeksema BW, Todd PA (2012) Environmental impacts of dredging and other sediment disturbances on corals: A review. Marine Pollution Bulletin 64:1737-1765</w:t>
      </w:r>
    </w:p>
    <w:p w14:paraId="53C1417A" w14:textId="77777777" w:rsidR="00A84742" w:rsidRPr="00A01E20" w:rsidRDefault="0082643D" w:rsidP="00A84742">
      <w:pPr>
        <w:ind w:hanging="284"/>
        <w:rPr>
          <w:lang w:val="en-US"/>
        </w:rPr>
      </w:pPr>
      <w:r w:rsidRPr="00A01E20">
        <w:rPr>
          <w:lang w:val="en-US"/>
        </w:rPr>
        <w:t>Fabricius</w:t>
      </w:r>
      <w:r w:rsidR="00A84742" w:rsidRPr="00A01E20">
        <w:rPr>
          <w:lang w:val="en-US"/>
        </w:rPr>
        <w:t xml:space="preserve"> KE (2005) Effects of terrestrial runoff on the ecology of corals and coral reefs: Review and synthesis. Marine Pollution Bulletin 50:125-146</w:t>
      </w:r>
    </w:p>
    <w:p w14:paraId="53C1417B" w14:textId="77777777" w:rsidR="00A84742" w:rsidRPr="00A01E20" w:rsidRDefault="00A84742" w:rsidP="00A84742">
      <w:pPr>
        <w:ind w:hanging="284"/>
      </w:pPr>
      <w:r w:rsidRPr="00A01E20">
        <w:t>Fabricius KE (2011) Factors determining the resilience of coral reefs to eutrophication: a review and conceptual model. In: Dubinsky Z, Stambler N (Eds) Coral Reefs: An Ecosystem in Transition, Springer Press, pp.493-506</w:t>
      </w:r>
    </w:p>
    <w:p w14:paraId="53C1417C" w14:textId="77777777" w:rsidR="00A84742" w:rsidRPr="00A01E20" w:rsidRDefault="00A84742" w:rsidP="00A84742">
      <w:pPr>
        <w:ind w:hanging="284"/>
        <w:rPr>
          <w:lang w:eastAsia="en-AU"/>
        </w:rPr>
      </w:pPr>
      <w:r w:rsidRPr="00A01E20">
        <w:rPr>
          <w:rFonts w:eastAsia="MS Mincho"/>
          <w:lang w:eastAsia="ja-JP"/>
        </w:rPr>
        <w:t xml:space="preserve">Fabricius KE, Cooper TF, Humphrey C, Uthicke S, De’ath G, Davidson J, LeGrand H, Thompson A, Schaffelke B (2012) A bioindicator system for water quality on inshore coral reefs of the Great Barrier Reef. Marine Pollution Bulletin </w:t>
      </w:r>
      <w:r w:rsidRPr="00A01E20">
        <w:rPr>
          <w:lang w:eastAsia="en-AU"/>
        </w:rPr>
        <w:t>65:320-332</w:t>
      </w:r>
    </w:p>
    <w:p w14:paraId="53C1417D" w14:textId="77777777" w:rsidR="00A84742" w:rsidRPr="00A01E20" w:rsidRDefault="00A84742" w:rsidP="00A84742">
      <w:pPr>
        <w:ind w:hanging="284"/>
      </w:pPr>
      <w:r w:rsidRPr="00A01E20">
        <w:t>Fabricius KE, De’ath G, Humphrey C, Zagorskis I, Schaffelke B (2013a) Intra-annual variation in turbidity in response to terrestrial runoff on near-shore coral reefs of the Great Barrier Reef, Estuarine Coastal and Shelf Science 116:57-65</w:t>
      </w:r>
    </w:p>
    <w:p w14:paraId="53C1417E" w14:textId="77777777" w:rsidR="00A84742" w:rsidRPr="00A01E20" w:rsidRDefault="00A84742" w:rsidP="00A84742">
      <w:pPr>
        <w:ind w:hanging="284"/>
      </w:pPr>
      <w:r w:rsidRPr="00A01E20">
        <w:t>Fabricius KE, Cseke S, Humphrey CA, De’ath G (2013b) Does trophic status enhance or reduce the thermal tolerance of scleractinian corals? A review, experiment and conceptual framework. PLoS ONE 8 e54399</w:t>
      </w:r>
    </w:p>
    <w:p w14:paraId="53C1417F" w14:textId="77777777" w:rsidR="00A84742" w:rsidRPr="00A01E20" w:rsidRDefault="00A84742" w:rsidP="00A84742">
      <w:pPr>
        <w:ind w:hanging="284"/>
        <w:rPr>
          <w:rFonts w:eastAsia="MS Mincho"/>
          <w:lang w:eastAsia="ja-JP"/>
        </w:rPr>
      </w:pPr>
      <w:r w:rsidRPr="00A01E20">
        <w:rPr>
          <w:rFonts w:eastAsia="MS Mincho"/>
          <w:lang w:eastAsia="ja-JP"/>
        </w:rPr>
        <w:lastRenderedPageBreak/>
        <w:t>Fabricius KE, De’ath G (2001) Biodiversity on the Great Barrier Reef: Large-scale patterns and turbidity-related local loss of soft coral taxa. In Wolanski E (Ed) Biological-Physical Links: Oceanographic processes on the Great Barrier Reef. CRC Press, Boca Raton</w:t>
      </w:r>
    </w:p>
    <w:p w14:paraId="53C14180" w14:textId="77777777" w:rsidR="00A84742" w:rsidRPr="00A01E20" w:rsidRDefault="00A84742" w:rsidP="00A84742">
      <w:pPr>
        <w:ind w:hanging="284"/>
        <w:rPr>
          <w:rFonts w:eastAsia="MS Mincho"/>
          <w:lang w:eastAsia="ja-JP"/>
        </w:rPr>
      </w:pPr>
      <w:r w:rsidRPr="00A01E20">
        <w:rPr>
          <w:rFonts w:eastAsia="MS Mincho"/>
          <w:lang w:eastAsia="ja-JP"/>
        </w:rPr>
        <w:t>Fabricius KE, De’ath G, McCook L, Turak E, Williams DMcB (2005) Changes in algal, coral and fish assemblages along water quality gradients on the inshore Great Barrier Reef. Marine Pollution Bulletin 51:384-396</w:t>
      </w:r>
    </w:p>
    <w:p w14:paraId="53C14181" w14:textId="77777777" w:rsidR="00A84742" w:rsidRPr="00A01E20" w:rsidRDefault="00A84742" w:rsidP="00A84742">
      <w:pPr>
        <w:ind w:hanging="284"/>
        <w:rPr>
          <w:rFonts w:eastAsia="MS Mincho"/>
          <w:lang w:eastAsia="ja-JP"/>
        </w:rPr>
      </w:pPr>
      <w:r w:rsidRPr="00A01E20">
        <w:t>Fabricius KE, De’ath G, Puotinen MJ, Done T, Cooper TF, Burgess SC (2008) Disturbance gradients on inshore and offshore coral reefs caused by a severe tropical cyclone. Limnology and Oceanography 53(2): 690-704</w:t>
      </w:r>
    </w:p>
    <w:p w14:paraId="53C14182" w14:textId="77777777" w:rsidR="00A84742" w:rsidRPr="00A01E20" w:rsidRDefault="00A84742" w:rsidP="00A84742">
      <w:pPr>
        <w:ind w:hanging="284"/>
      </w:pPr>
      <w:r w:rsidRPr="00A01E20">
        <w:t>Fabricius KE, Logan M, Weeks S, Brodie J (2014) Assessing inter- and intra-annual changes in water clarity in response to river run-off on the central Great Barrier Reef from 10 years of MODIS-Aqua data. Marine Pollution Bulletin 84:191-200</w:t>
      </w:r>
    </w:p>
    <w:p w14:paraId="53C14183" w14:textId="77777777" w:rsidR="00A84742" w:rsidRPr="00A01E20" w:rsidRDefault="00A84742" w:rsidP="00A84742">
      <w:pPr>
        <w:ind w:hanging="284"/>
        <w:rPr>
          <w:lang w:val="en-US"/>
        </w:rPr>
      </w:pPr>
      <w:r w:rsidRPr="00A01E20">
        <w:t>Fabricius KE, Logan M, Weeks SJ, Lewis SE, Brodie J (2016) Changes in water clarity in response to river discharges on the Great Barrier Reef continental shelf: 2002-2013. Estuarine Coastal and Shelf Science 173:A1-A15</w:t>
      </w:r>
    </w:p>
    <w:p w14:paraId="53C14184" w14:textId="77777777" w:rsidR="00A84742" w:rsidRPr="00A01E20" w:rsidRDefault="00A84742" w:rsidP="00A84742">
      <w:pPr>
        <w:ind w:hanging="284"/>
        <w:rPr>
          <w:rFonts w:eastAsia="MS Mincho"/>
          <w:lang w:eastAsia="ja-JP"/>
        </w:rPr>
      </w:pPr>
      <w:r w:rsidRPr="00A01E20">
        <w:rPr>
          <w:rFonts w:eastAsia="MS Mincho"/>
          <w:lang w:eastAsia="ja-JP"/>
        </w:rPr>
        <w:t xml:space="preserve">Fabricius KE, Okaji K, De’ath G (2010) Three lines of evidence to link outbreaks of the crown-of-thorns seastar </w:t>
      </w:r>
      <w:r w:rsidRPr="00A01E20">
        <w:rPr>
          <w:rFonts w:eastAsia="MS Mincho"/>
          <w:i/>
          <w:lang w:eastAsia="ja-JP"/>
        </w:rPr>
        <w:t xml:space="preserve">Acanthaster planci </w:t>
      </w:r>
      <w:r w:rsidRPr="00A01E20">
        <w:rPr>
          <w:rFonts w:eastAsia="MS Mincho"/>
          <w:lang w:eastAsia="ja-JP"/>
        </w:rPr>
        <w:t>to the release of larval food limitation. Coral Reefs 29:593-605</w:t>
      </w:r>
    </w:p>
    <w:p w14:paraId="53C14185" w14:textId="77777777" w:rsidR="00A84742" w:rsidRPr="00A01E20" w:rsidRDefault="00A84742" w:rsidP="00A84742">
      <w:pPr>
        <w:ind w:hanging="284"/>
        <w:rPr>
          <w:rFonts w:eastAsia="MS Mincho"/>
          <w:lang w:eastAsia="ja-JP"/>
        </w:rPr>
      </w:pPr>
      <w:r w:rsidRPr="00A01E20">
        <w:rPr>
          <w:rFonts w:eastAsia="MS Mincho"/>
          <w:lang w:eastAsia="ja-JP"/>
        </w:rPr>
        <w:t>Fabricius KE, Wild C, Wolanski E, Abele D (2003) Effects of transparent exopolymer particles and muddy terrigenous sediments on survival of hard coral recruits. Estuarine, Costal and Shelf Science 57:613-621</w:t>
      </w:r>
    </w:p>
    <w:p w14:paraId="53C14186" w14:textId="77777777" w:rsidR="00A84742" w:rsidRPr="00A01E20" w:rsidRDefault="00A84742" w:rsidP="00A84742">
      <w:pPr>
        <w:ind w:hanging="284"/>
        <w:rPr>
          <w:rFonts w:eastAsia="MS Mincho"/>
          <w:lang w:eastAsia="ja-JP"/>
        </w:rPr>
      </w:pPr>
      <w:r w:rsidRPr="00A01E20">
        <w:rPr>
          <w:rFonts w:eastAsia="MS Mincho"/>
          <w:lang w:eastAsia="ja-JP"/>
        </w:rPr>
        <w:t>Fabricius KE, Wolanski E (2000) Rapid smothering of coral reef organisms by muddy marine snow. Estuarine, Costal and Shelf Science 50:115-120</w:t>
      </w:r>
    </w:p>
    <w:p w14:paraId="53C14187" w14:textId="77777777" w:rsidR="00A84742" w:rsidRPr="00A01E20" w:rsidRDefault="00A84742" w:rsidP="00A84742">
      <w:pPr>
        <w:ind w:hanging="284"/>
        <w:rPr>
          <w:rFonts w:eastAsia="MS Mincho"/>
        </w:rPr>
      </w:pPr>
      <w:r w:rsidRPr="00A01E20">
        <w:rPr>
          <w:rFonts w:eastAsia="MS Mincho"/>
        </w:rPr>
        <w:t xml:space="preserve">Foster NL, Box SJ, Mumby PJ (2008) Competitive effects of macroalgae on the fecundity of the reef-building coral </w:t>
      </w:r>
      <w:r w:rsidRPr="00A01E20">
        <w:rPr>
          <w:rFonts w:eastAsia="MS Mincho"/>
          <w:i/>
        </w:rPr>
        <w:t>Montastrea annularis</w:t>
      </w:r>
      <w:r w:rsidRPr="00A01E20">
        <w:rPr>
          <w:rFonts w:eastAsia="MS Mincho"/>
        </w:rPr>
        <w:t>. Marine Ecology Progress Series 367:143-152</w:t>
      </w:r>
    </w:p>
    <w:p w14:paraId="53C14188" w14:textId="77777777" w:rsidR="00A84742" w:rsidRPr="00C229C1" w:rsidRDefault="00A84742" w:rsidP="00A84742">
      <w:pPr>
        <w:ind w:hanging="284"/>
        <w:rPr>
          <w:lang w:val="en-US"/>
        </w:rPr>
      </w:pPr>
      <w:r w:rsidRPr="00C229C1">
        <w:rPr>
          <w:lang w:val="en-US"/>
        </w:rPr>
        <w:lastRenderedPageBreak/>
        <w:t xml:space="preserve">Furnas M, Alongi D, McKinnon AD, Trott L, Skuzam (2011) Regional-scale nitrogen and phosphorus budgets for the northern (14°S) and central (17°S) Great Barrier Reef shelf ecosystem. Continental Shelf Research </w:t>
      </w:r>
      <w:r w:rsidRPr="00C229C1">
        <w:t>31:1967-1990</w:t>
      </w:r>
    </w:p>
    <w:p w14:paraId="53C14189" w14:textId="77777777" w:rsidR="00A84742" w:rsidRPr="00C229C1" w:rsidRDefault="00A84742" w:rsidP="00A84742">
      <w:pPr>
        <w:ind w:hanging="284"/>
        <w:rPr>
          <w:rFonts w:eastAsia="MS Mincho"/>
          <w:lang w:eastAsia="ja-JP"/>
        </w:rPr>
      </w:pPr>
      <w:r w:rsidRPr="00C229C1">
        <w:rPr>
          <w:rFonts w:eastAsia="MS Mincho"/>
          <w:lang w:eastAsia="ja-JP"/>
        </w:rPr>
        <w:t>Furnas M</w:t>
      </w:r>
      <w:r w:rsidRPr="00C229C1">
        <w:t xml:space="preserve">, Brinkman R, Fabricius K, Tonin H, Schaffelke B (2013) Linkages between river runoff, phytoplankton blooms and primary outbreaks of crown-of-thorns seastars in the Northern GBR. Chapter 3 in </w:t>
      </w:r>
      <w:r w:rsidRPr="00C229C1">
        <w:rPr>
          <w:lang w:val="en-US"/>
        </w:rPr>
        <w:t xml:space="preserve">Waterhouse </w:t>
      </w:r>
      <w:r w:rsidRPr="00C229C1">
        <w:rPr>
          <w:i/>
          <w:lang w:val="en-US"/>
        </w:rPr>
        <w:t>et al.</w:t>
      </w:r>
      <w:r w:rsidRPr="00C229C1">
        <w:rPr>
          <w:lang w:val="en-US"/>
        </w:rPr>
        <w:t xml:space="preserve"> </w:t>
      </w:r>
      <w:r w:rsidRPr="00C229C1">
        <w:rPr>
          <w:i/>
          <w:lang w:val="en-US"/>
        </w:rPr>
        <w:t>Assessment of the relative risk of water quality to ecosystems of the Great Barrier Reef</w:t>
      </w:r>
      <w:r w:rsidRPr="00C229C1">
        <w:rPr>
          <w:lang w:val="en-US"/>
        </w:rPr>
        <w:t>. Department of the Environment and Heritage Protection, Queensland Government, Brisbane</w:t>
      </w:r>
    </w:p>
    <w:p w14:paraId="53C1418A" w14:textId="77777777" w:rsidR="00A84742" w:rsidRPr="00C229C1" w:rsidRDefault="00A84742" w:rsidP="00A84742">
      <w:pPr>
        <w:ind w:hanging="284"/>
        <w:rPr>
          <w:lang w:val="en-US"/>
        </w:rPr>
      </w:pPr>
      <w:r w:rsidRPr="00C229C1">
        <w:rPr>
          <w:lang w:val="en-US"/>
        </w:rPr>
        <w:t xml:space="preserve">Furnas MJ, Mitchell AW, Skuza M, Brodie J (2005) In the other 90%: Phytoplankton responses to enhanced nutrient availability in the Great Barrier Reef lagoon. Marine Pollution Bulletin 51: 253-256 </w:t>
      </w:r>
    </w:p>
    <w:p w14:paraId="53C1418B" w14:textId="77777777" w:rsidR="00A84742" w:rsidRPr="00C229C1" w:rsidRDefault="00A84742" w:rsidP="00A84742">
      <w:pPr>
        <w:ind w:hanging="284"/>
      </w:pPr>
      <w:r w:rsidRPr="00C229C1">
        <w:t xml:space="preserve">Garde LA, Spillman CM, Heron S, Beeden R (2014) </w:t>
      </w:r>
      <w:hyperlink r:id="rId79" w:history="1">
        <w:r w:rsidRPr="00C229C1">
          <w:t>ReefTemp Next Generation: A New Operational System for Monitoring Reef Thermal Stress, Journal of Operational Oceanography, 7:21-33</w:t>
        </w:r>
      </w:hyperlink>
      <w:r w:rsidRPr="00C229C1">
        <w:t xml:space="preserve"> </w:t>
      </w:r>
    </w:p>
    <w:p w14:paraId="53C1418C" w14:textId="77777777" w:rsidR="00C43D2B" w:rsidRPr="00C229C1" w:rsidRDefault="00C43D2B" w:rsidP="00A84742">
      <w:pPr>
        <w:ind w:hanging="284"/>
      </w:pPr>
      <w:r w:rsidRPr="00C229C1">
        <w:t>Gilmour JP, Smith LD, Heyward AJ, Baird AH, Pratchett MS (2013) Recovery of an isolated coral reef system following severe disturbance. Science 340(6128):69-71</w:t>
      </w:r>
    </w:p>
    <w:p w14:paraId="53C1418D" w14:textId="77777777" w:rsidR="00A84742" w:rsidRPr="00C229C1" w:rsidRDefault="00A84742" w:rsidP="00A84742">
      <w:pPr>
        <w:ind w:hanging="284"/>
      </w:pPr>
      <w:r w:rsidRPr="00C229C1">
        <w:t>Graham NAJ, Jennings S, MacNeil MA, Mouillot D, Wilson SK (2015) Predicting climate-driven regime shifts versus rebound potential in coral reefs. Nature 518(7537):94-97</w:t>
      </w:r>
      <w:r w:rsidRPr="00C229C1">
        <w:rPr>
          <w:highlight w:val="yellow"/>
        </w:rPr>
        <w:t xml:space="preserve"> </w:t>
      </w:r>
    </w:p>
    <w:p w14:paraId="53C1418E" w14:textId="77777777" w:rsidR="00A84742" w:rsidRPr="00C229C1" w:rsidRDefault="00A84742" w:rsidP="00A84742">
      <w:pPr>
        <w:ind w:hanging="284"/>
        <w:rPr>
          <w:lang w:val="en-US"/>
        </w:rPr>
      </w:pPr>
      <w:r w:rsidRPr="00C229C1">
        <w:rPr>
          <w:lang w:val="en-US"/>
        </w:rPr>
        <w:t xml:space="preserve">Great Barrier Reef Marine Park Authority (2010) Water Quality Guidelines for the Great Barrier Reef Marine Park. </w:t>
      </w:r>
      <w:r w:rsidRPr="00C229C1">
        <w:t xml:space="preserve">Revised Edition 2010. </w:t>
      </w:r>
      <w:r w:rsidRPr="00C229C1">
        <w:rPr>
          <w:lang w:val="en-US"/>
        </w:rPr>
        <w:t>Great Barrier Reef Marine Park Authority, Townsville. 100p</w:t>
      </w:r>
    </w:p>
    <w:p w14:paraId="53C1418F" w14:textId="77777777" w:rsidR="00A84742" w:rsidRPr="00C229C1" w:rsidRDefault="00A84742" w:rsidP="00A84742">
      <w:pPr>
        <w:ind w:hanging="284"/>
      </w:pPr>
      <w:r w:rsidRPr="00C229C1">
        <w:t xml:space="preserve">Great Barrier Reef Marine Park Authority (2014) </w:t>
      </w:r>
      <w:r w:rsidRPr="00C229C1">
        <w:rPr>
          <w:lang w:bidi="en-US"/>
        </w:rPr>
        <w:t>Great Barrier Reef Region</w:t>
      </w:r>
      <w:r w:rsidRPr="00C229C1">
        <w:t xml:space="preserve"> </w:t>
      </w:r>
      <w:r w:rsidRPr="00C229C1">
        <w:rPr>
          <w:lang w:bidi="en-US"/>
        </w:rPr>
        <w:t>Strategic Assessment</w:t>
      </w:r>
      <w:r w:rsidRPr="00C229C1">
        <w:t>. Great Barrier Reef Marine Park Authority, Townsville</w:t>
      </w:r>
    </w:p>
    <w:p w14:paraId="53C14190" w14:textId="77777777" w:rsidR="00A84742" w:rsidRDefault="00A84742" w:rsidP="00A84742">
      <w:pPr>
        <w:ind w:hanging="284"/>
        <w:rPr>
          <w:lang w:eastAsia="en-AU"/>
        </w:rPr>
      </w:pPr>
      <w:r w:rsidRPr="00C229C1">
        <w:rPr>
          <w:lang w:eastAsia="en-AU"/>
        </w:rPr>
        <w:t>Great Barrier Reef Marine Park Authority (201</w:t>
      </w:r>
      <w:r w:rsidR="00DC0B12" w:rsidRPr="00C229C1">
        <w:rPr>
          <w:lang w:eastAsia="en-AU"/>
        </w:rPr>
        <w:t>9</w:t>
      </w:r>
      <w:r w:rsidRPr="00C229C1">
        <w:rPr>
          <w:lang w:eastAsia="en-AU"/>
        </w:rPr>
        <w:t>) Great Barrier Reef Outlook Report 201</w:t>
      </w:r>
      <w:r w:rsidR="00DC0B12" w:rsidRPr="00C229C1">
        <w:rPr>
          <w:lang w:eastAsia="en-AU"/>
        </w:rPr>
        <w:t>9</w:t>
      </w:r>
      <w:r w:rsidRPr="00C229C1">
        <w:rPr>
          <w:lang w:eastAsia="en-AU"/>
        </w:rPr>
        <w:t xml:space="preserve">, </w:t>
      </w:r>
      <w:r w:rsidRPr="00C229C1">
        <w:t>Great Barrier Reef Marine Park Authority</w:t>
      </w:r>
      <w:r w:rsidRPr="00C229C1">
        <w:rPr>
          <w:lang w:eastAsia="en-AU"/>
        </w:rPr>
        <w:t>, Townsville.</w:t>
      </w:r>
    </w:p>
    <w:p w14:paraId="53C14191" w14:textId="77777777" w:rsidR="000F41CB" w:rsidRPr="00C229C1" w:rsidRDefault="000F41CB" w:rsidP="001632D5">
      <w:pPr>
        <w:ind w:hanging="284"/>
      </w:pPr>
      <w:r w:rsidRPr="00104CE6">
        <w:rPr>
          <w:color w:val="000000" w:themeColor="text1"/>
        </w:rPr>
        <w:lastRenderedPageBreak/>
        <w:t>Gruber R, Waterhouse J, Logan M, Petus C, Howley C, Lewis S, Tracey D, Langlois L, Tonin H, Skuza M, Costello P, Davidson J, Gunn K, Wright M, Zagorskis I, Kroon F, Neilen A, Lefevre C, Shanahan M (20</w:t>
      </w:r>
      <w:r w:rsidR="001632D5" w:rsidRPr="00104CE6">
        <w:rPr>
          <w:color w:val="000000" w:themeColor="text1"/>
        </w:rPr>
        <w:t>20</w:t>
      </w:r>
      <w:r w:rsidRPr="00104CE6">
        <w:rPr>
          <w:color w:val="000000" w:themeColor="text1"/>
        </w:rPr>
        <w:t xml:space="preserve">) Marine </w:t>
      </w:r>
      <w:r w:rsidRPr="00527CAF">
        <w:t>Monitoring Program: Annual Report for inshore water quality monitoring 201</w:t>
      </w:r>
      <w:r>
        <w:t>8</w:t>
      </w:r>
      <w:r w:rsidRPr="00527CAF">
        <w:t>-201</w:t>
      </w:r>
      <w:r>
        <w:t>9</w:t>
      </w:r>
      <w:r w:rsidRPr="00527CAF">
        <w:t>. Report for the Great Bar</w:t>
      </w:r>
      <w:r>
        <w:t>rier Reef Marine Park Authority</w:t>
      </w:r>
      <w:r w:rsidRPr="00527CAF">
        <w:t>, Townsville</w:t>
      </w:r>
    </w:p>
    <w:p w14:paraId="53C14192" w14:textId="77777777" w:rsidR="00A84742" w:rsidRPr="00C229C1" w:rsidRDefault="00A84742" w:rsidP="00A84742">
      <w:pPr>
        <w:ind w:hanging="284"/>
        <w:rPr>
          <w:lang w:eastAsia="en-AU"/>
        </w:rPr>
      </w:pPr>
      <w:r w:rsidRPr="00C229C1">
        <w:rPr>
          <w:lang w:eastAsia="en-AU"/>
        </w:rPr>
        <w:t>Haapkylä J, Melbourne-Thomas J, Flavell M, Willis B (2013) Disease outbreaks, bleaching and a cyclone drive changes in coral assemblages on an inshore reef of the Great Barrier Reef. Coral Reefs 32:815-824</w:t>
      </w:r>
    </w:p>
    <w:p w14:paraId="53C14193" w14:textId="77777777" w:rsidR="00A84742" w:rsidRPr="00C229C1" w:rsidRDefault="00A84742" w:rsidP="00A84742">
      <w:pPr>
        <w:ind w:hanging="284"/>
        <w:rPr>
          <w:lang w:eastAsia="en-AU"/>
        </w:rPr>
      </w:pPr>
      <w:r w:rsidRPr="00C229C1">
        <w:rPr>
          <w:lang w:eastAsia="en-AU"/>
        </w:rPr>
        <w:t xml:space="preserve">Haapkylä J, Unsworth R, Flavell M, Bourne D, Schaffelke B, Willis BL (2011) Seasonal rainfall and runoff promote coral disease on an inshore reef of the Great Barrier Reef, Australia. PLoS One. 6(2): e16893 </w:t>
      </w:r>
    </w:p>
    <w:p w14:paraId="53C14194" w14:textId="77777777" w:rsidR="00A84742" w:rsidRPr="00C229C1" w:rsidRDefault="00A84742" w:rsidP="00A84742">
      <w:pPr>
        <w:ind w:hanging="284"/>
        <w:rPr>
          <w:lang w:eastAsia="en-AU"/>
        </w:rPr>
      </w:pPr>
      <w:r w:rsidRPr="00C229C1">
        <w:rPr>
          <w:lang w:eastAsia="en-AU"/>
        </w:rPr>
        <w:t>Halpern BS, Frazier M, Potapenko J, Casey KS, Koenig K, Longo C, Stewart Lowndes J, Rockwood C, Selig ER, Selkoe KA, Walbridge S (2015) Spatial and temporal changes in cumulative human impacts on the world’s oceans. Nature Communications 6:7615 DOI:10.1038/ncomms8615</w:t>
      </w:r>
    </w:p>
    <w:p w14:paraId="53C14195" w14:textId="77777777" w:rsidR="00A84742" w:rsidRPr="00C229C1" w:rsidRDefault="00A84742" w:rsidP="00A84742">
      <w:pPr>
        <w:ind w:hanging="284"/>
        <w:rPr>
          <w:rFonts w:eastAsia="MS Mincho"/>
        </w:rPr>
      </w:pPr>
      <w:r w:rsidRPr="00C229C1">
        <w:rPr>
          <w:rFonts w:eastAsia="MS Mincho"/>
        </w:rPr>
        <w:t>Harrison PL, Wallace CC (1990) Reproduction, dispersal and recruitment of Scleractinian corals. In Dubinsky Z (Ed) Ecosystems of the world 25: Coral Reefs. Elsevier, New York, pp 133-202</w:t>
      </w:r>
    </w:p>
    <w:p w14:paraId="53C14196" w14:textId="77777777" w:rsidR="00A84742" w:rsidRPr="00C229C1" w:rsidRDefault="00A84742" w:rsidP="00A84742">
      <w:pPr>
        <w:ind w:hanging="284"/>
        <w:rPr>
          <w:lang w:eastAsia="en-AU"/>
        </w:rPr>
      </w:pPr>
      <w:r w:rsidRPr="00C229C1">
        <w:rPr>
          <w:lang w:eastAsia="en-AU"/>
        </w:rPr>
        <w:t xml:space="preserve">Hauri C, Fabricius K, Schaffelke B, Humphrey C (2010) Chemical and physical environmental conditions underneath mat- and canopy-forming macroalgae, and the effects on understory corals. PLoS ONE 5(9): e12685 </w:t>
      </w:r>
    </w:p>
    <w:p w14:paraId="53C14197" w14:textId="77777777" w:rsidR="00A84742" w:rsidRPr="00C229C1" w:rsidRDefault="00A84742" w:rsidP="00A84742">
      <w:pPr>
        <w:ind w:hanging="284"/>
        <w:rPr>
          <w:lang w:val="en-US"/>
        </w:rPr>
      </w:pPr>
      <w:r w:rsidRPr="00C229C1">
        <w:rPr>
          <w:lang w:val="en-US"/>
        </w:rPr>
        <w:t>Hoegh-Guldberg O (1999) Climate change, coral bleaching and the future of the world’s coral reefs. Marine and Freshwater Research 50:839-866</w:t>
      </w:r>
    </w:p>
    <w:p w14:paraId="53C14198" w14:textId="77777777" w:rsidR="00A84742" w:rsidRPr="00C229C1" w:rsidRDefault="00A84742" w:rsidP="00A84742">
      <w:pPr>
        <w:ind w:hanging="284"/>
      </w:pPr>
      <w:r w:rsidRPr="00C229C1">
        <w:t>Hughes TP, Rodrigues MJ, Bellwood DR, Ceccarelli D, Hoegh-Guldberg O, McCook L, Moltschaniwskyj N, Pratchett MS, Steneck RS, Willis B (2007) Phase Shifts, Herbivory, and the Resilience of Coral Reefs to Climate Change. Current Biology 17:360-365</w:t>
      </w:r>
    </w:p>
    <w:p w14:paraId="53C14199" w14:textId="77777777" w:rsidR="00A84742" w:rsidRPr="00C229C1" w:rsidRDefault="00A84742" w:rsidP="00A84742">
      <w:pPr>
        <w:ind w:hanging="284"/>
      </w:pPr>
      <w:r w:rsidRPr="00C229C1">
        <w:t xml:space="preserve">Hughes TP, Graham NAJ, Jackson JBC, Mumby PJ, Steneck RS (2010) Rising to the challenge of sustaining coral reef resilience. Trends in Ecology and Evolution 25(11):633-642 </w:t>
      </w:r>
    </w:p>
    <w:p w14:paraId="53C1419A" w14:textId="77777777" w:rsidR="00A84742" w:rsidRPr="00C229C1" w:rsidRDefault="00A84742" w:rsidP="00A84742">
      <w:pPr>
        <w:ind w:hanging="284"/>
      </w:pPr>
      <w:r w:rsidRPr="00C229C1">
        <w:lastRenderedPageBreak/>
        <w:t xml:space="preserve">Hughes TP, Kerry JT, Alvarez-Noriega M, Alvarez-Romero JG, Anderson KD, Baird AH </w:t>
      </w:r>
      <w:r w:rsidRPr="00C229C1">
        <w:rPr>
          <w:i/>
        </w:rPr>
        <w:t>et al</w:t>
      </w:r>
      <w:r w:rsidRPr="00C229C1">
        <w:t>. (2017) Global warming and recurrent mass bleaching of corals. Nature 543 373:377 doi: 10.1038/nature21707</w:t>
      </w:r>
    </w:p>
    <w:p w14:paraId="53C1419B" w14:textId="77777777" w:rsidR="00A84742" w:rsidRDefault="00A84742" w:rsidP="00A84742">
      <w:pPr>
        <w:ind w:hanging="284"/>
        <w:rPr>
          <w:lang w:eastAsia="en-AU"/>
        </w:rPr>
      </w:pPr>
      <w:r w:rsidRPr="00C229C1">
        <w:rPr>
          <w:lang w:eastAsia="en-AU"/>
        </w:rPr>
        <w:t>Hughes TP, Anderson KD, Connolly SR, Heron SF, Kerry JT, Lough JM, Baird AH, Baum JK, Berumen ML, Bridge TC, Claar DC, Eakin CM, Gilmour JP, Graham NAJ, Harrison H, Hobbs J-PA, Hoey AS, Hoogenboom M, Lowe RJ, McCulloch MT, Pandolfi JM, Pratchett M, Schoepf V, Torda G, Wilson SK (2018) Spatial and temporal patterns of mass bleaching of corals in the Anthropocene. Science 369 (6371): 80-83. DOI: 10.1126/science.aan8048</w:t>
      </w:r>
    </w:p>
    <w:p w14:paraId="53C1419C" w14:textId="77777777" w:rsidR="00C85312" w:rsidRPr="00C229C1" w:rsidRDefault="00C85312" w:rsidP="00A84742">
      <w:pPr>
        <w:ind w:hanging="284"/>
      </w:pPr>
      <w:r>
        <w:rPr>
          <w:lang w:eastAsia="en-AU"/>
        </w:rPr>
        <w:t>Johns KA, Emslie MJ, Hoey AS, Osborne K, Jonker MJ, Cheal AJ (2018) Macroalgae feedbacks and substrate properties maintain a coral reef regime shift. Ecosphere 9(7):e02349</w:t>
      </w:r>
    </w:p>
    <w:p w14:paraId="53C1419D" w14:textId="77777777" w:rsidR="00A84742" w:rsidRPr="00C229C1" w:rsidRDefault="00A84742" w:rsidP="00A84742">
      <w:pPr>
        <w:ind w:hanging="284"/>
      </w:pPr>
      <w:r w:rsidRPr="00C229C1">
        <w:t>Jones AM, Berkelmans R (2014) Flood impacts in Keppel Bay, Southern Great Barrier Reef in the aftermath of cyclonic rainfall. PLOS one doi:10.1371/journal.pone.0084739</w:t>
      </w:r>
    </w:p>
    <w:p w14:paraId="53C1419E" w14:textId="77777777" w:rsidR="00A84742" w:rsidRDefault="00A84742" w:rsidP="00A84742">
      <w:pPr>
        <w:ind w:hanging="284"/>
      </w:pPr>
      <w:r w:rsidRPr="00C229C1">
        <w:t>Jonker M, Johns K, Osborne K (2008) Surveys of benthic reef communities using underwater digital photography and counts of juvenile corals. Long-term Monitoring of the Great Barrier Reef, Standard Operational Procedure Number 10, Australian Institute of Marine Science, Townsville</w:t>
      </w:r>
      <w:r w:rsidR="00226AE9">
        <w:t>.</w:t>
      </w:r>
    </w:p>
    <w:p w14:paraId="53C1419F" w14:textId="77777777" w:rsidR="00A84742" w:rsidRPr="00C229C1" w:rsidRDefault="00A84742" w:rsidP="00A84742">
      <w:pPr>
        <w:ind w:hanging="284"/>
      </w:pPr>
      <w:r w:rsidRPr="00C229C1">
        <w:t>Joo M, Raymond MA, McNeil VH, Huggins R, Turner RD, Choy S (2012) Estimates of sediment and nutrient loads in 10 major catchments draining to the Great Barrier Reef during 2006–2009. Marine pollution bulletin, 65(4):150-166</w:t>
      </w:r>
    </w:p>
    <w:p w14:paraId="53C141A0" w14:textId="77777777" w:rsidR="00A84742" w:rsidRPr="00C229C1" w:rsidRDefault="00A84742" w:rsidP="00A84742">
      <w:pPr>
        <w:ind w:hanging="284"/>
      </w:pPr>
      <w:r w:rsidRPr="00C229C1">
        <w:t xml:space="preserve"> Kaczmarsky L, Richardson LL (2010) Do elevated nutrients and organic carbon on Philippine reefs increase the prevalence of coral disease? Coral Reefs 30:253-257</w:t>
      </w:r>
    </w:p>
    <w:p w14:paraId="53C141A1" w14:textId="77777777" w:rsidR="00A84742" w:rsidRPr="00F17496" w:rsidRDefault="00A84742" w:rsidP="00A84742">
      <w:pPr>
        <w:ind w:hanging="284"/>
      </w:pPr>
      <w:r w:rsidRPr="00C229C1">
        <w:t xml:space="preserve">Karr JR (2006) Seven foundations of biological monitoring and </w:t>
      </w:r>
      <w:r w:rsidRPr="00F17496">
        <w:t>assessment. Biologia Ambientale 20(2):7-18</w:t>
      </w:r>
    </w:p>
    <w:p w14:paraId="53C141A2" w14:textId="77777777" w:rsidR="00A84742" w:rsidRPr="00F17496" w:rsidRDefault="00A84742" w:rsidP="00A84742">
      <w:pPr>
        <w:ind w:hanging="284"/>
      </w:pPr>
      <w:r w:rsidRPr="00F17496">
        <w:t>Kennedy EV, Ordonez A, Diaz-Pulido G (2018) Coral bleaching in the southern inshore Great Barrier Reef: a case study from the Keppel Islands. Marine and Freshwater Research 69:191-197</w:t>
      </w:r>
    </w:p>
    <w:p w14:paraId="53C141A3" w14:textId="77777777" w:rsidR="00A84742" w:rsidRPr="00F17496" w:rsidRDefault="00A84742" w:rsidP="00A84742">
      <w:pPr>
        <w:ind w:hanging="284"/>
      </w:pPr>
      <w:r w:rsidRPr="00F17496">
        <w:lastRenderedPageBreak/>
        <w:t>Kline DL, Kuntz NM, Breitbart M, Knowlton N, Rohwer F (2006) Role of elevated organic carbon levels and microbial activity in coral mortality. Marine Ecology Progress Series 314:119–125</w:t>
      </w:r>
    </w:p>
    <w:p w14:paraId="53C141A4" w14:textId="77777777" w:rsidR="00A84742" w:rsidRPr="00F17496" w:rsidRDefault="00A84742" w:rsidP="00A84742">
      <w:pPr>
        <w:ind w:hanging="284"/>
      </w:pPr>
      <w:r w:rsidRPr="00F17496">
        <w:t xml:space="preserve">Kroon FJ, Kuhnert PM, Henderson BL, Wilkinson SN, Kinsey-Henderson A, Abbott B, Brodie JE, Turner RDR (2012) River loads of suspended solids, nitrogen, phosphorus and herbicides delivered to the Great Barrier Reef lagoon. Marine Pollution Bulletin 65:167–181 </w:t>
      </w:r>
    </w:p>
    <w:p w14:paraId="53C141A5" w14:textId="77777777" w:rsidR="00A84742" w:rsidRPr="00F17496" w:rsidRDefault="00A84742" w:rsidP="00A84742">
      <w:pPr>
        <w:ind w:hanging="284"/>
        <w:rPr>
          <w:lang w:eastAsia="en-AU"/>
        </w:rPr>
      </w:pPr>
      <w:r w:rsidRPr="00853333">
        <w:rPr>
          <w:lang w:eastAsia="en-AU"/>
        </w:rPr>
        <w:t>Kroon FJ, Schaffelke B, Bartley R (2014) Informing policy to protect coastal coral reefs: Insight from a global review of reducing agricultural pollution to coastal ecosystems. Marine Pollution Bulletin 85:33-41</w:t>
      </w:r>
    </w:p>
    <w:p w14:paraId="53C141A6" w14:textId="77777777" w:rsidR="00A84742" w:rsidRPr="00F17496" w:rsidRDefault="00A84742" w:rsidP="00A84742">
      <w:pPr>
        <w:ind w:hanging="284"/>
        <w:rPr>
          <w:lang w:eastAsia="en-AU"/>
        </w:rPr>
      </w:pPr>
      <w:r w:rsidRPr="00F17496">
        <w:rPr>
          <w:lang w:eastAsia="en-AU"/>
        </w:rPr>
        <w:t xml:space="preserve">Kuntz N, Kline D, Sandin S, Rohwer F (2005) Pathologies and mortality rates caused by organic carbon and nutrient stressors in three Caribbean coral species. </w:t>
      </w:r>
      <w:r w:rsidRPr="00F17496">
        <w:t xml:space="preserve">Marine Ecology Progress Series </w:t>
      </w:r>
      <w:r w:rsidRPr="00F17496">
        <w:rPr>
          <w:lang w:eastAsia="en-AU"/>
        </w:rPr>
        <w:t>294:173–180</w:t>
      </w:r>
    </w:p>
    <w:p w14:paraId="53C141A7" w14:textId="77777777" w:rsidR="00A84742" w:rsidRPr="00F17496" w:rsidRDefault="00A84742" w:rsidP="00A84742">
      <w:pPr>
        <w:ind w:hanging="284"/>
        <w:rPr>
          <w:lang w:eastAsia="en-AU"/>
        </w:rPr>
      </w:pPr>
      <w:r w:rsidRPr="00F17496">
        <w:rPr>
          <w:lang w:eastAsia="en-AU"/>
        </w:rPr>
        <w:t xml:space="preserve">Lam V, Chaloupka M, Thompson A, Doropoulos C, Mumby P (2018) Acute drivers influence recent inshore Great Barrier Reef dynamics. Proceedings of the Royal Society B, </w:t>
      </w:r>
      <w:r w:rsidRPr="00F17496">
        <w:rPr>
          <w:sz w:val="20"/>
          <w:lang w:val="en"/>
        </w:rPr>
        <w:t>DOI: 10.1098/rspb.</w:t>
      </w:r>
      <w:r w:rsidRPr="00F17496">
        <w:rPr>
          <w:b/>
          <w:bCs/>
          <w:sz w:val="20"/>
          <w:lang w:val="en"/>
        </w:rPr>
        <w:t>2018</w:t>
      </w:r>
      <w:r w:rsidRPr="00F17496">
        <w:rPr>
          <w:sz w:val="20"/>
          <w:lang w:val="en"/>
        </w:rPr>
        <w:t>.2063</w:t>
      </w:r>
    </w:p>
    <w:p w14:paraId="53C141A8" w14:textId="77777777" w:rsidR="00A84742" w:rsidRPr="00F17496" w:rsidRDefault="00A84742" w:rsidP="00A84742">
      <w:pPr>
        <w:ind w:hanging="284"/>
        <w:rPr>
          <w:lang w:val="en-US"/>
        </w:rPr>
      </w:pPr>
      <w:r w:rsidRPr="00F17496">
        <w:rPr>
          <w:lang w:val="en-US"/>
        </w:rPr>
        <w:t>Lambrechts J, Humphrey C, McKinna L, Gourge O, Fabricius KE, Mehta AJ, Lewis S, Wolanski E (2010) Importance of wave-induced bed liquefaction in the fine sediment budget of Cleveland Bay, Great Barrier Reef. Estuarine, Coastal and Shelf Science 89:154-162</w:t>
      </w:r>
    </w:p>
    <w:p w14:paraId="53C141A9" w14:textId="77777777" w:rsidR="00A84742" w:rsidRPr="00F17496" w:rsidRDefault="00A84742" w:rsidP="00A84742">
      <w:pPr>
        <w:ind w:hanging="284"/>
        <w:rPr>
          <w:lang w:val="en-US"/>
        </w:rPr>
      </w:pPr>
      <w:r w:rsidRPr="00F17496">
        <w:rPr>
          <w:lang w:val="en-US"/>
        </w:rPr>
        <w:t>Larcombe P, Ridd PV, Prytz A, Wilson B (1995) Factors controlling suspended sediment on inner-shelf coral reefs. Townsville, Australia. Coral Reefs 14:163-171</w:t>
      </w:r>
    </w:p>
    <w:p w14:paraId="53C141AA" w14:textId="77777777" w:rsidR="00A84742" w:rsidRPr="00F17496" w:rsidRDefault="00A84742" w:rsidP="00A84742">
      <w:pPr>
        <w:ind w:hanging="284"/>
        <w:rPr>
          <w:lang w:val="en-US"/>
        </w:rPr>
      </w:pPr>
      <w:r w:rsidRPr="00F17496">
        <w:t>Legendre P, Gallagher ED (2001) Ecologically meaningful transformations for ordination of species data.</w:t>
      </w:r>
      <w:r w:rsidRPr="00F17496">
        <w:rPr>
          <w:i/>
          <w:iCs/>
        </w:rPr>
        <w:t>Oecologia</w:t>
      </w:r>
      <w:r w:rsidRPr="00F17496">
        <w:t> </w:t>
      </w:r>
      <w:r w:rsidRPr="00F17496">
        <w:rPr>
          <w:bCs/>
        </w:rPr>
        <w:t>129</w:t>
      </w:r>
      <w:r w:rsidRPr="00F17496">
        <w:t>:271</w:t>
      </w:r>
      <w:r w:rsidRPr="00F17496">
        <w:rPr>
          <w:lang w:val="en-US"/>
        </w:rPr>
        <w:t>-</w:t>
      </w:r>
      <w:r w:rsidRPr="00F17496">
        <w:t>280.</w:t>
      </w:r>
    </w:p>
    <w:p w14:paraId="53C141AB" w14:textId="77777777" w:rsidR="00A84742" w:rsidRPr="00F17496" w:rsidRDefault="00A84742" w:rsidP="00A84742">
      <w:pPr>
        <w:ind w:hanging="284"/>
      </w:pPr>
      <w:r w:rsidRPr="00F17496">
        <w:rPr>
          <w:lang w:val="pt-PT"/>
        </w:rPr>
        <w:t xml:space="preserve">Lønborg C, Álvarez-Salgado XA, Martínez-Garcia S, Teira E (2011) </w:t>
      </w:r>
      <w:r w:rsidRPr="00F17496">
        <w:t>Carbon cycling and bacterial growth efficiency in a coastal upwelling system (NW Iberian Peninsula). Aquatic Microbial Ecology</w:t>
      </w:r>
      <w:r w:rsidRPr="00F17496">
        <w:rPr>
          <w:b/>
        </w:rPr>
        <w:t xml:space="preserve"> </w:t>
      </w:r>
      <w:r w:rsidRPr="00F17496">
        <w:t>63:183-191</w:t>
      </w:r>
    </w:p>
    <w:p w14:paraId="53C141AC" w14:textId="77777777" w:rsidR="00A84742" w:rsidRPr="00F17496" w:rsidRDefault="00A84742" w:rsidP="00A84742">
      <w:pPr>
        <w:ind w:hanging="284"/>
      </w:pPr>
      <w:r w:rsidRPr="00F17496">
        <w:t xml:space="preserve">Lønborg C, Devlin M, Brinkman R, Costello P, da Silva E, Davidson J, Gunn K, Logan M, Petus C, Schaffelke B, Skuza M, Tonin H, Tracey D, Wrightm and </w:t>
      </w:r>
      <w:r w:rsidRPr="00F17496">
        <w:lastRenderedPageBreak/>
        <w:t xml:space="preserve">Zagorskis I (2015) Reef Rescue Marine Monitoring Program. Annual Report of AIMS and JCU Activities 2014 to 2015– Inshore water quality monitoring. Report for the Great Barrier Reef Marine Park Authority. Australian Institute of Marine Science and JCU </w:t>
      </w:r>
      <w:r w:rsidRPr="00F17496">
        <w:rPr>
          <w:lang w:eastAsia="en-GB"/>
        </w:rPr>
        <w:t>TropWATER</w:t>
      </w:r>
      <w:r w:rsidRPr="00F17496">
        <w:t>, Townsville.168p</w:t>
      </w:r>
    </w:p>
    <w:p w14:paraId="53C141AD" w14:textId="77777777" w:rsidR="00A84742" w:rsidRPr="00F17496" w:rsidRDefault="00A84742" w:rsidP="00A84742">
      <w:pPr>
        <w:ind w:hanging="284"/>
      </w:pPr>
      <w:r w:rsidRPr="00F17496">
        <w:t xml:space="preserve">Luick JL, Mason L, Hardy T, Furnas MJ (2007) Circulation in the Great Barrier Reef Lagoon using numerical tracers and </w:t>
      </w:r>
      <w:r w:rsidRPr="00F17496">
        <w:rPr>
          <w:i/>
        </w:rPr>
        <w:t xml:space="preserve">in situ </w:t>
      </w:r>
      <w:r w:rsidRPr="00F17496">
        <w:t>data. Continental Shelf Research 27:757-778</w:t>
      </w:r>
    </w:p>
    <w:p w14:paraId="53C141AE" w14:textId="77777777" w:rsidR="00A84742" w:rsidRPr="00F17496" w:rsidRDefault="00A84742" w:rsidP="00A84742">
      <w:pPr>
        <w:ind w:hanging="284"/>
      </w:pPr>
      <w:r w:rsidRPr="00F17496">
        <w:rPr>
          <w:rFonts w:eastAsia="MS Mincho"/>
        </w:rPr>
        <w:t>McCook LJ, Jompa J, Diaz-Pulido G (2001) Competition between corals and algae on coral reefs: a review of evidence and mechanisms. Coral Reefs 19:400-417</w:t>
      </w:r>
      <w:r w:rsidRPr="00F17496">
        <w:t xml:space="preserve"> </w:t>
      </w:r>
    </w:p>
    <w:p w14:paraId="53C141AF" w14:textId="77777777" w:rsidR="00825F24" w:rsidRDefault="00A84742" w:rsidP="00A84742">
      <w:pPr>
        <w:ind w:hanging="284"/>
      </w:pPr>
      <w:r w:rsidRPr="00F17496">
        <w:t xml:space="preserve">Mackenzie JB, Munday PL, Willis BL, Miller DJ, Van Oppen MJH (2004) Unexpected patterns of genetic structuring among locations but not colour morphs in </w:t>
      </w:r>
      <w:r w:rsidRPr="00F17496">
        <w:rPr>
          <w:i/>
        </w:rPr>
        <w:t>Acropora nasuta</w:t>
      </w:r>
      <w:r w:rsidRPr="00F17496">
        <w:t xml:space="preserve"> (Cnidaria; Scleractinia). Molecular Ecology 13(1):9-20</w:t>
      </w:r>
    </w:p>
    <w:p w14:paraId="53C141B0" w14:textId="77777777" w:rsidR="00A84742" w:rsidRPr="00825F24" w:rsidRDefault="00825F24" w:rsidP="00825F24">
      <w:pPr>
        <w:pStyle w:val="NormalWeb"/>
        <w:spacing w:before="0" w:beforeAutospacing="0" w:after="120" w:afterAutospacing="0"/>
        <w:ind w:hanging="284"/>
        <w:rPr>
          <w:color w:val="000000"/>
          <w:sz w:val="22"/>
        </w:rPr>
      </w:pPr>
      <w:r w:rsidRPr="00825F24">
        <w:rPr>
          <w:rFonts w:ascii="Arial" w:hAnsi="Arial"/>
          <w:color w:val="222222"/>
          <w:sz w:val="22"/>
          <w:shd w:val="clear" w:color="auto" w:fill="FFFFFF"/>
        </w:rPr>
        <w:t>Magno-Canto</w:t>
      </w:r>
      <w:r>
        <w:rPr>
          <w:rFonts w:ascii="Arial" w:hAnsi="Arial"/>
          <w:color w:val="222222"/>
          <w:sz w:val="22"/>
          <w:shd w:val="clear" w:color="auto" w:fill="FFFFFF"/>
        </w:rPr>
        <w:t xml:space="preserve"> MM</w:t>
      </w:r>
      <w:r w:rsidRPr="00825F24">
        <w:rPr>
          <w:rFonts w:ascii="Arial" w:hAnsi="Arial"/>
          <w:color w:val="222222"/>
          <w:sz w:val="22"/>
          <w:shd w:val="clear" w:color="auto" w:fill="FFFFFF"/>
        </w:rPr>
        <w:t>, McKinna</w:t>
      </w:r>
      <w:r>
        <w:rPr>
          <w:rFonts w:ascii="Arial" w:hAnsi="Arial"/>
          <w:color w:val="222222"/>
          <w:sz w:val="22"/>
          <w:shd w:val="clear" w:color="auto" w:fill="FFFFFF"/>
        </w:rPr>
        <w:t xml:space="preserve"> LIW</w:t>
      </w:r>
      <w:r w:rsidRPr="00825F24">
        <w:rPr>
          <w:rFonts w:ascii="Arial" w:hAnsi="Arial"/>
          <w:color w:val="222222"/>
          <w:sz w:val="22"/>
          <w:shd w:val="clear" w:color="auto" w:fill="FFFFFF"/>
        </w:rPr>
        <w:t>, Robson</w:t>
      </w:r>
      <w:r>
        <w:rPr>
          <w:rFonts w:ascii="Arial" w:hAnsi="Arial"/>
          <w:color w:val="222222"/>
          <w:sz w:val="22"/>
          <w:shd w:val="clear" w:color="auto" w:fill="FFFFFF"/>
        </w:rPr>
        <w:t xml:space="preserve"> BJ</w:t>
      </w:r>
      <w:r w:rsidRPr="00825F24">
        <w:rPr>
          <w:rFonts w:ascii="Arial" w:hAnsi="Arial"/>
          <w:color w:val="222222"/>
          <w:sz w:val="22"/>
          <w:shd w:val="clear" w:color="auto" w:fill="FFFFFF"/>
        </w:rPr>
        <w:t>, Fabricius</w:t>
      </w:r>
      <w:r>
        <w:rPr>
          <w:rFonts w:ascii="Arial" w:hAnsi="Arial"/>
          <w:color w:val="222222"/>
          <w:sz w:val="22"/>
          <w:shd w:val="clear" w:color="auto" w:fill="FFFFFF"/>
        </w:rPr>
        <w:t xml:space="preserve"> KE (2019) </w:t>
      </w:r>
      <w:r w:rsidRPr="00825F24">
        <w:rPr>
          <w:rFonts w:ascii="Arial" w:hAnsi="Arial"/>
          <w:color w:val="222222"/>
          <w:sz w:val="22"/>
          <w:shd w:val="clear" w:color="auto" w:fill="FFFFFF"/>
        </w:rPr>
        <w:t>Model for deriving benthic irradiance in the Great Barrier Reef from MODIS satellite imagery</w:t>
      </w:r>
      <w:r>
        <w:rPr>
          <w:rFonts w:ascii="Arial" w:hAnsi="Arial"/>
          <w:color w:val="222222"/>
          <w:sz w:val="22"/>
          <w:shd w:val="clear" w:color="auto" w:fill="FFFFFF"/>
        </w:rPr>
        <w:t>.</w:t>
      </w:r>
      <w:r w:rsidRPr="00825F24">
        <w:rPr>
          <w:rFonts w:ascii="Arial" w:hAnsi="Arial"/>
          <w:color w:val="222222"/>
          <w:sz w:val="22"/>
          <w:shd w:val="clear" w:color="auto" w:fill="FFFFFF"/>
        </w:rPr>
        <w:t xml:space="preserve"> Opt. Express 27</w:t>
      </w:r>
      <w:r>
        <w:rPr>
          <w:rFonts w:ascii="Arial" w:hAnsi="Arial"/>
          <w:color w:val="222222"/>
          <w:sz w:val="22"/>
          <w:shd w:val="clear" w:color="auto" w:fill="FFFFFF"/>
        </w:rPr>
        <w:t>: A1350-A1371</w:t>
      </w:r>
    </w:p>
    <w:p w14:paraId="53C141B1" w14:textId="77777777" w:rsidR="008A486A" w:rsidRPr="00F17496" w:rsidRDefault="008A486A" w:rsidP="00A84742">
      <w:pPr>
        <w:ind w:hanging="284"/>
      </w:pPr>
      <w:r w:rsidRPr="00F17496">
        <w:t>Marshall PA, Baird AH (2000) Bleaching of corals on the Great Barrier Reef: differential susceptibilities among taxa. Coral Reefs 19(2):155-163</w:t>
      </w:r>
    </w:p>
    <w:p w14:paraId="53C141B2" w14:textId="77777777" w:rsidR="00A84742" w:rsidRPr="00F17496" w:rsidRDefault="00A84742" w:rsidP="00A84742">
      <w:pPr>
        <w:ind w:hanging="284"/>
        <w:rPr>
          <w:lang w:val="en-US"/>
        </w:rPr>
      </w:pPr>
      <w:r w:rsidRPr="00F17496">
        <w:rPr>
          <w:lang w:val="en-US"/>
        </w:rPr>
        <w:t>Marshall PA, Johnson JE (2007) The Great Barrier Reef and climate change: vulnerability and management implications. In: Johnson JE, Marshall PA (Eds) Climate change and the Great Barrier Reef. Great Barrier Reef Marine Park Authority and the Australian Greenhouse Office, Australia, pp 774-801</w:t>
      </w:r>
    </w:p>
    <w:p w14:paraId="53C141B3" w14:textId="77777777" w:rsidR="00763ED2" w:rsidRPr="00F17496" w:rsidRDefault="00A84742" w:rsidP="00B2645A">
      <w:pPr>
        <w:ind w:hanging="284"/>
        <w:rPr>
          <w:rFonts w:eastAsia="Times New Roman" w:cs="Times New Roman"/>
          <w:szCs w:val="20"/>
          <w:lang w:val="en-GB"/>
        </w:rPr>
      </w:pPr>
      <w:r w:rsidRPr="00F17496">
        <w:rPr>
          <w:rFonts w:eastAsia="MS Mincho"/>
        </w:rPr>
        <w:t>Maxim L, Spangenberg JH, O’Connerm (2009) An analysis of risks for biodiversity under the DPSIR framework. Ecological Economics 69:12-23</w:t>
      </w:r>
      <w:r w:rsidR="00B2645A" w:rsidRPr="00F17496">
        <w:rPr>
          <w:rFonts w:eastAsia="Times New Roman" w:cs="Times New Roman"/>
          <w:szCs w:val="20"/>
          <w:lang w:val="en-GB"/>
        </w:rPr>
        <w:t xml:space="preserve"> </w:t>
      </w:r>
    </w:p>
    <w:p w14:paraId="53C141B4" w14:textId="77777777" w:rsidR="00B2645A" w:rsidRPr="00F17496" w:rsidRDefault="00B2645A" w:rsidP="00763ED2">
      <w:pPr>
        <w:ind w:hanging="284"/>
        <w:rPr>
          <w:rFonts w:eastAsia="MS Mincho"/>
          <w:lang w:val="en-GB"/>
        </w:rPr>
      </w:pPr>
      <w:r w:rsidRPr="00F17496">
        <w:rPr>
          <w:rFonts w:eastAsia="MS Mincho"/>
          <w:lang w:val="en-GB"/>
        </w:rPr>
        <w:t xml:space="preserve">McManus JW, Polsenberg JF (2004) Coral–algal phase shifts on coral reefs: Ecological and environmental aspects. </w:t>
      </w:r>
      <w:r w:rsidRPr="00825F24">
        <w:rPr>
          <w:rFonts w:eastAsia="MS Mincho"/>
          <w:iCs/>
          <w:lang w:val="en-GB"/>
        </w:rPr>
        <w:t>Prog. Oceanogr</w:t>
      </w:r>
      <w:r w:rsidRPr="00F17496">
        <w:rPr>
          <w:rFonts w:eastAsia="MS Mincho"/>
          <w:i/>
          <w:iCs/>
          <w:lang w:val="en-GB"/>
        </w:rPr>
        <w:t>.</w:t>
      </w:r>
      <w:r w:rsidRPr="00F17496">
        <w:rPr>
          <w:rFonts w:eastAsia="MS Mincho"/>
          <w:lang w:val="en-GB"/>
        </w:rPr>
        <w:t xml:space="preserve"> </w:t>
      </w:r>
      <w:r w:rsidRPr="00F17496">
        <w:rPr>
          <w:rFonts w:eastAsia="MS Mincho"/>
          <w:b/>
          <w:bCs/>
          <w:lang w:val="en-GB"/>
        </w:rPr>
        <w:t>60,</w:t>
      </w:r>
      <w:r w:rsidRPr="00F17496">
        <w:rPr>
          <w:rFonts w:eastAsia="MS Mincho"/>
          <w:lang w:val="en-GB"/>
        </w:rPr>
        <w:t xml:space="preserve"> 263–279</w:t>
      </w:r>
    </w:p>
    <w:p w14:paraId="53C141B5" w14:textId="77777777" w:rsidR="00A84742" w:rsidRPr="00F17496" w:rsidRDefault="00A84742" w:rsidP="00A84742">
      <w:pPr>
        <w:ind w:hanging="284"/>
        <w:rPr>
          <w:rFonts w:eastAsia="MS Mincho"/>
        </w:rPr>
      </w:pPr>
      <w:r w:rsidRPr="00F17496">
        <w:t>Miller IR, Jonker M, Coleman G (2009) Crown-of-thorns seastars and coral surveys using the manta tow and SCUBA Search techniques. Long-term Monitoring of the Great Barrier Reef Standard Operational Procedure Number 9, Edition 3. Australian Institute of Marine Science, Townsville</w:t>
      </w:r>
    </w:p>
    <w:p w14:paraId="53C141B6" w14:textId="77777777" w:rsidR="00A84742" w:rsidRPr="00F17496" w:rsidRDefault="00A84742" w:rsidP="00A84742">
      <w:pPr>
        <w:ind w:hanging="284"/>
        <w:rPr>
          <w:lang w:val="en-US"/>
        </w:rPr>
      </w:pPr>
      <w:r w:rsidRPr="00F17496">
        <w:rPr>
          <w:lang w:val="en-US"/>
        </w:rPr>
        <w:lastRenderedPageBreak/>
        <w:t>Mora C (2008) A clear human footprint in the coral reefs of the Caribbean. Proceedings of the Royal Society B 275:767-773</w:t>
      </w:r>
    </w:p>
    <w:p w14:paraId="53C141B7" w14:textId="77777777" w:rsidR="00A84742" w:rsidRDefault="00A84742" w:rsidP="00A84742">
      <w:pPr>
        <w:ind w:hanging="284"/>
      </w:pPr>
      <w:r w:rsidRPr="00F17496">
        <w:rPr>
          <w:lang w:eastAsia="en-AU"/>
        </w:rPr>
        <w:t xml:space="preserve">Morgan KM, Perry CT, Smithers SG, Johnson JA, Daniell JJ (2016) Evidence of extensive reef development and high coral cover in nearshore environments: implications for understanding coral adaptation in turbid settings. Scientific Reports. 6:29616, </w:t>
      </w:r>
      <w:r w:rsidRPr="00F17496">
        <w:t>DOI: 10.1038/srep29616</w:t>
      </w:r>
    </w:p>
    <w:p w14:paraId="53C141B8" w14:textId="77777777" w:rsidR="00EE5717" w:rsidRPr="00F17496" w:rsidRDefault="00EE5717" w:rsidP="00A84742">
      <w:pPr>
        <w:ind w:hanging="284"/>
        <w:rPr>
          <w:lang w:eastAsia="en-AU"/>
        </w:rPr>
      </w:pPr>
      <w:r>
        <w:t>Morris LA, Voolstra CR, Quigley KM, Bourne DG, Bay LK (2019) Nutrient availability and metabolism affect the stability of Coral-Symbiodiniaceae symbioses. Trends in Microbiology</w:t>
      </w:r>
      <w:r w:rsidR="000F355C">
        <w:t xml:space="preserve"> 27(8):678-689</w:t>
      </w:r>
    </w:p>
    <w:p w14:paraId="53C141B9" w14:textId="77777777" w:rsidR="00A84742" w:rsidRDefault="00A84742" w:rsidP="00A84742">
      <w:pPr>
        <w:ind w:hanging="284"/>
        <w:rPr>
          <w:rFonts w:eastAsia="MS Mincho"/>
          <w:lang w:eastAsia="ja-JP"/>
        </w:rPr>
      </w:pPr>
      <w:r w:rsidRPr="00F17496">
        <w:rPr>
          <w:rFonts w:eastAsia="MS Mincho"/>
          <w:lang w:eastAsia="ja-JP"/>
        </w:rPr>
        <w:t>Morrow KM, Ritson-Williams R, Ross C, Liles MR, Paul VJ (2012) Macroalgal extracts induce bacterial assemblage shifts and sub lethal tissue stress in Caribbean corals. PLoS ONE 7(9):e44859</w:t>
      </w:r>
    </w:p>
    <w:p w14:paraId="53C141BA" w14:textId="77777777" w:rsidR="008E7CE1" w:rsidRPr="00F17496" w:rsidRDefault="008E7CE1" w:rsidP="00A84742">
      <w:pPr>
        <w:ind w:hanging="284"/>
        <w:rPr>
          <w:rFonts w:eastAsia="MS Mincho"/>
          <w:lang w:eastAsia="ja-JP"/>
        </w:rPr>
      </w:pPr>
      <w:r>
        <w:rPr>
          <w:rFonts w:eastAsia="MS Mincho"/>
          <w:lang w:eastAsia="ja-JP"/>
        </w:rPr>
        <w:t>Morse DE, Iwao K, Baba M, Shimoike K, Hayashibara T, Omori M (1996) An ancient chemosensory mechanisum brings new life to coral reefs. Biological Bulletin 191:149-154</w:t>
      </w:r>
    </w:p>
    <w:p w14:paraId="53C141BB" w14:textId="77777777" w:rsidR="00A84742" w:rsidRPr="00F17496" w:rsidRDefault="00A84742" w:rsidP="00A84742">
      <w:pPr>
        <w:ind w:hanging="284"/>
        <w:rPr>
          <w:rFonts w:eastAsia="MS Mincho"/>
          <w:lang w:eastAsia="ja-JP"/>
        </w:rPr>
      </w:pPr>
      <w:r w:rsidRPr="00F17496">
        <w:rPr>
          <w:rFonts w:eastAsia="MS Mincho"/>
          <w:lang w:eastAsia="ja-JP"/>
        </w:rPr>
        <w:t>Muir PR, Wallace CC, Done T, Aguirre DJ (2015) Limited scope for latitudinal extension of reef corals. Science 348:1135-1138</w:t>
      </w:r>
    </w:p>
    <w:p w14:paraId="53C141BC" w14:textId="77777777" w:rsidR="00763ED2" w:rsidRPr="00F17496" w:rsidRDefault="00763ED2" w:rsidP="00763ED2">
      <w:pPr>
        <w:ind w:hanging="284"/>
        <w:rPr>
          <w:lang w:eastAsia="en-AU"/>
        </w:rPr>
      </w:pPr>
      <w:r w:rsidRPr="00F17496">
        <w:rPr>
          <w:lang w:eastAsia="en-AU"/>
        </w:rPr>
        <w:t xml:space="preserve">Mumby PJ, Steneck RS, Hastings A (2013). Evidence for and against the Existence of Alternate Attractors on Coral Reefs. </w:t>
      </w:r>
      <w:r w:rsidRPr="00825F24">
        <w:rPr>
          <w:iCs/>
          <w:lang w:eastAsia="en-AU"/>
        </w:rPr>
        <w:t>Oikos</w:t>
      </w:r>
      <w:r w:rsidRPr="00F17496">
        <w:rPr>
          <w:lang w:eastAsia="en-AU"/>
        </w:rPr>
        <w:t xml:space="preserve"> 122</w:t>
      </w:r>
      <w:r w:rsidR="00825F24">
        <w:rPr>
          <w:lang w:eastAsia="en-AU"/>
        </w:rPr>
        <w:t xml:space="preserve">. </w:t>
      </w:r>
      <w:r w:rsidRPr="00F17496">
        <w:rPr>
          <w:lang w:eastAsia="en-AU"/>
        </w:rPr>
        <w:t>doi:10.1111/j.1 600-0706.2012.00262.x.</w:t>
      </w:r>
    </w:p>
    <w:p w14:paraId="53C141BD" w14:textId="77777777" w:rsidR="00A84742" w:rsidRPr="00F17496" w:rsidRDefault="00A84742" w:rsidP="00A84742">
      <w:pPr>
        <w:ind w:hanging="284"/>
        <w:rPr>
          <w:lang w:eastAsia="en-GB"/>
        </w:rPr>
      </w:pPr>
      <w:r w:rsidRPr="00F17496">
        <w:rPr>
          <w:lang w:eastAsia="en-GB"/>
        </w:rPr>
        <w:t>Negri AP, Flores F, Röthig T, Uthicke S (2011) Herbicides increase the vulnerability of corals to rising sea surface temperature. Limnology and Oceanography 56:471-485</w:t>
      </w:r>
    </w:p>
    <w:p w14:paraId="53C141BE" w14:textId="77777777" w:rsidR="00A84742" w:rsidRPr="00F17496" w:rsidRDefault="00A84742" w:rsidP="00A84742">
      <w:pPr>
        <w:ind w:hanging="284"/>
      </w:pPr>
      <w:r w:rsidRPr="00F17496">
        <w:t>Osborne K, Dolman AM, Burgess SC, Johns KA (2011) Disturbance and the Dynamics of Coral Cover on the Great Barrier Reef (1995–2009). PLoS ONE 6:e17516</w:t>
      </w:r>
    </w:p>
    <w:p w14:paraId="53C141BF" w14:textId="77777777" w:rsidR="00A84742" w:rsidRPr="00F17496" w:rsidRDefault="00A84742" w:rsidP="00A84742">
      <w:pPr>
        <w:ind w:hanging="284"/>
        <w:rPr>
          <w:lang w:eastAsia="en-AU"/>
        </w:rPr>
      </w:pPr>
      <w:r w:rsidRPr="00F17496">
        <w:rPr>
          <w:lang w:eastAsia="en-AU"/>
        </w:rPr>
        <w:t xml:space="preserve">Petus C, Devlin M, Thompson A, McKenzie L, Teixeira da Silva E, Collier C, Tracey D, Martin K (2016) Estimating the Exposure of Coral Reefs and Seagrass Meadows to Land-Sourced Contaminants in River Flood Plumes of </w:t>
      </w:r>
      <w:r w:rsidRPr="00F17496">
        <w:rPr>
          <w:lang w:eastAsia="en-AU"/>
        </w:rPr>
        <w:lastRenderedPageBreak/>
        <w:t>the Great Barrier Reef: Validating a Simple Satellite Risk Framework with Environmental Data. Remote Sensing 8(3):210</w:t>
      </w:r>
    </w:p>
    <w:p w14:paraId="53C141C0" w14:textId="77777777" w:rsidR="00A84742" w:rsidRDefault="00A84742" w:rsidP="00A84742">
      <w:pPr>
        <w:ind w:hanging="284"/>
        <w:rPr>
          <w:lang w:eastAsia="en-AU"/>
        </w:rPr>
      </w:pPr>
      <w:r w:rsidRPr="00F17496">
        <w:rPr>
          <w:lang w:eastAsia="en-AU"/>
        </w:rPr>
        <w:t>Plummer M (2003). JAGS: A Program for Analysis of Bayesian Graphical Models Using Gibbs Sampling, Proceedings of the 3rd International Workshop on Distributed Statistical Computing (DSC 2003), March 20–22, Vienna, Austria. ISSN 1609-395X.</w:t>
      </w:r>
    </w:p>
    <w:p w14:paraId="53C141C1" w14:textId="77777777" w:rsidR="00EE5717" w:rsidRPr="004863F2" w:rsidRDefault="000D5B52" w:rsidP="00EE5717">
      <w:pPr>
        <w:ind w:hanging="284"/>
        <w:rPr>
          <w:color w:val="000000" w:themeColor="text1"/>
          <w:lang w:eastAsia="en-AU"/>
        </w:rPr>
      </w:pPr>
      <w:r w:rsidRPr="004863F2">
        <w:rPr>
          <w:color w:val="000000" w:themeColor="text1"/>
          <w:lang w:eastAsia="en-AU"/>
        </w:rPr>
        <w:t xml:space="preserve">Pogoreutz C, </w:t>
      </w:r>
      <w:r w:rsidR="004863F2" w:rsidRPr="004863F2">
        <w:rPr>
          <w:color w:val="000000" w:themeColor="text1"/>
          <w:lang w:eastAsia="en-AU"/>
        </w:rPr>
        <w:t>Rȁdecker N, Cardenas A, Gȁrdes A Voolstra CR, Wild C</w:t>
      </w:r>
      <w:r w:rsidR="00EE5717" w:rsidRPr="004863F2">
        <w:rPr>
          <w:color w:val="000000" w:themeColor="text1"/>
        </w:rPr>
        <w:t xml:space="preserve"> (2017) Sugar enrichment provides evidence</w:t>
      </w:r>
      <w:r w:rsidR="004863F2" w:rsidRPr="004863F2">
        <w:rPr>
          <w:color w:val="000000" w:themeColor="text1"/>
        </w:rPr>
        <w:t xml:space="preserve"> </w:t>
      </w:r>
      <w:r w:rsidR="00EE5717" w:rsidRPr="004863F2">
        <w:rPr>
          <w:color w:val="000000" w:themeColor="text1"/>
        </w:rPr>
        <w:t>for a role of nitrogen fixation in coral bleaching. Glob</w:t>
      </w:r>
      <w:r w:rsidR="004863F2" w:rsidRPr="004863F2">
        <w:rPr>
          <w:color w:val="000000" w:themeColor="text1"/>
        </w:rPr>
        <w:t>al Change Biology 23(9):</w:t>
      </w:r>
      <w:r w:rsidR="00EE5717" w:rsidRPr="004863F2">
        <w:rPr>
          <w:color w:val="000000" w:themeColor="text1"/>
        </w:rPr>
        <w:t>3838</w:t>
      </w:r>
      <w:r w:rsidR="004863F2" w:rsidRPr="004863F2">
        <w:rPr>
          <w:color w:val="000000" w:themeColor="text1"/>
        </w:rPr>
        <w:t>-</w:t>
      </w:r>
      <w:r w:rsidR="00EE5717" w:rsidRPr="004863F2">
        <w:rPr>
          <w:color w:val="000000" w:themeColor="text1"/>
        </w:rPr>
        <w:t>3848</w:t>
      </w:r>
    </w:p>
    <w:p w14:paraId="53C141C2" w14:textId="77777777" w:rsidR="00A84742" w:rsidRPr="00F17496" w:rsidRDefault="00A84742" w:rsidP="00A84742">
      <w:pPr>
        <w:ind w:hanging="284"/>
        <w:rPr>
          <w:lang w:eastAsia="en-AU"/>
        </w:rPr>
      </w:pPr>
      <w:r w:rsidRPr="00F17496">
        <w:rPr>
          <w:lang w:eastAsia="en-AU"/>
        </w:rPr>
        <w:t xml:space="preserve">Pratchett MS (2007) Feeding preferences of </w:t>
      </w:r>
      <w:r w:rsidRPr="00F17496">
        <w:rPr>
          <w:i/>
          <w:lang w:eastAsia="en-AU"/>
        </w:rPr>
        <w:t>Acanthastrea planci</w:t>
      </w:r>
      <w:r w:rsidRPr="00F17496">
        <w:rPr>
          <w:lang w:eastAsia="en-AU"/>
        </w:rPr>
        <w:t xml:space="preserve"> (Echinodermata: Asteroidea) under controlled conditions of food availability 1. Pacific Science 61(1): 113-120</w:t>
      </w:r>
    </w:p>
    <w:p w14:paraId="53C141C3" w14:textId="77777777" w:rsidR="00A84742" w:rsidRPr="00F17496" w:rsidRDefault="00A84742" w:rsidP="00A84742">
      <w:pPr>
        <w:ind w:hanging="284"/>
        <w:rPr>
          <w:lang w:eastAsia="en-AU"/>
        </w:rPr>
      </w:pPr>
      <w:r w:rsidRPr="00F17496">
        <w:rPr>
          <w:lang w:eastAsia="en-AU"/>
        </w:rPr>
        <w:t>Pratchett MS, Caballes CF, Rivera-Posada Ja, Sweatman HPA (2014) Limits to understanding and managing outbreaks of crown-of-thorns starfish (</w:t>
      </w:r>
      <w:r w:rsidRPr="00F17496">
        <w:rPr>
          <w:i/>
          <w:lang w:eastAsia="en-AU"/>
        </w:rPr>
        <w:t>Acanthaster</w:t>
      </w:r>
      <w:r w:rsidRPr="00F17496">
        <w:rPr>
          <w:lang w:eastAsia="en-AU"/>
        </w:rPr>
        <w:t xml:space="preserve"> spp.) Oceanography and Marine Biology: An Annual Review 52:133-200 </w:t>
      </w:r>
    </w:p>
    <w:p w14:paraId="53C141C4" w14:textId="77777777" w:rsidR="00F01A15" w:rsidRPr="00F17496" w:rsidRDefault="00F01A15" w:rsidP="00A84742">
      <w:pPr>
        <w:ind w:hanging="284"/>
        <w:rPr>
          <w:lang w:eastAsia="en-AU"/>
        </w:rPr>
      </w:pPr>
      <w:r w:rsidRPr="00F17496">
        <w:rPr>
          <w:lang w:eastAsia="en-AU"/>
        </w:rPr>
        <w:t>Pratchett MS, Caballes CF, Wilmes JC, Matthews S, Mellin C, Sweatman HPA, Nadler LE, Brodie J, Thompson CA, Hoey J, Bos AR, Byrne M, Messmer V, Fortunato SA, Chen CC, Buck ACE, Babcock RC, Uthicke S (2017). Thirty years of research on crown-of-thorns starfish (1986-2016): Scientific advances and emerging opportunities. Diversity, 9,41; doi:10.3390/d9040041</w:t>
      </w:r>
    </w:p>
    <w:p w14:paraId="53C141C5" w14:textId="77777777" w:rsidR="00A84742" w:rsidRPr="00F17496" w:rsidRDefault="00A84742" w:rsidP="00A84742">
      <w:pPr>
        <w:ind w:hanging="284"/>
      </w:pPr>
      <w:r w:rsidRPr="00F17496">
        <w:t>Rehr AP, Small MJ, Bradley P, Fisher WS, Vega A, Black K, Stockton T (2012) A decision support framework for science-based multi-stakeholder deliberation: A coral reef example. Environmental Assessment 50:1204-1218</w:t>
      </w:r>
    </w:p>
    <w:p w14:paraId="53C141C6" w14:textId="77777777" w:rsidR="00A84742" w:rsidRPr="00F17496" w:rsidRDefault="00A84742" w:rsidP="00A84742">
      <w:pPr>
        <w:ind w:hanging="284"/>
        <w:jc w:val="left"/>
      </w:pPr>
      <w:r w:rsidRPr="00F17496">
        <w:t>Ricardo G, Jones</w:t>
      </w:r>
      <w:r w:rsidR="00D107FF">
        <w:t xml:space="preserve"> R</w:t>
      </w:r>
      <w:r w:rsidRPr="00F17496">
        <w:t xml:space="preserve">, Negri A, Stocker R (2016) </w:t>
      </w:r>
      <w:hyperlink r:id="rId80" w:tgtFrame="_blank" w:history="1">
        <w:r w:rsidRPr="00F17496">
          <w:rPr>
            <w:rFonts w:eastAsia="SimSun"/>
          </w:rPr>
          <w:t>That sinking feeling: Suspended sediments can prevent the ascent of coral egg bundles.</w:t>
        </w:r>
      </w:hyperlink>
      <w:r w:rsidRPr="00F17496">
        <w:t xml:space="preserve"> </w:t>
      </w:r>
      <w:r w:rsidRPr="00F17496">
        <w:rPr>
          <w:i/>
        </w:rPr>
        <w:t>Scientific Reports.</w:t>
      </w:r>
      <w:r w:rsidRPr="00F17496">
        <w:t xml:space="preserve"> doi:10.1038/srep21567</w:t>
      </w:r>
    </w:p>
    <w:p w14:paraId="53C141C7" w14:textId="77777777" w:rsidR="00A84742" w:rsidRPr="00F17496" w:rsidRDefault="00A84742" w:rsidP="00A84742">
      <w:pPr>
        <w:ind w:hanging="284"/>
        <w:rPr>
          <w:lang w:eastAsia="en-AU"/>
        </w:rPr>
      </w:pPr>
      <w:r w:rsidRPr="00F17496">
        <w:rPr>
          <w:lang w:eastAsia="en-AU"/>
        </w:rPr>
        <w:t xml:space="preserve">Ricardo GF, Jones RJ, Nordborg M, Negri AP (2017) </w:t>
      </w:r>
      <w:hyperlink r:id="rId81" w:tgtFrame="_blank" w:history="1">
        <w:r w:rsidRPr="00F17496">
          <w:rPr>
            <w:lang w:eastAsia="en-AU"/>
          </w:rPr>
          <w:t xml:space="preserve">Settlement patterns of the coral </w:t>
        </w:r>
        <w:r w:rsidRPr="00F17496">
          <w:rPr>
            <w:i/>
            <w:lang w:eastAsia="en-AU"/>
          </w:rPr>
          <w:t>Acropora millepora</w:t>
        </w:r>
        <w:r w:rsidRPr="00F17496">
          <w:rPr>
            <w:lang w:eastAsia="en-AU"/>
          </w:rPr>
          <w:t xml:space="preserve"> on sediment-laden surfaces</w:t>
        </w:r>
      </w:hyperlink>
      <w:r w:rsidRPr="00F17496">
        <w:rPr>
          <w:lang w:eastAsia="en-AU"/>
        </w:rPr>
        <w:t xml:space="preserve">. </w:t>
      </w:r>
      <w:r w:rsidRPr="00825F24">
        <w:rPr>
          <w:lang w:eastAsia="en-AU"/>
        </w:rPr>
        <w:t>Science of The Total Environment</w:t>
      </w:r>
      <w:r w:rsidRPr="00F17496">
        <w:rPr>
          <w:lang w:eastAsia="en-AU"/>
        </w:rPr>
        <w:t xml:space="preserve"> </w:t>
      </w:r>
      <w:hyperlink r:id="rId82" w:tgtFrame="_blank" w:history="1">
        <w:r w:rsidRPr="00F17496">
          <w:rPr>
            <w:lang w:eastAsia="en-AU"/>
          </w:rPr>
          <w:t>doi.org/10.1016/j.scitotenv.2017.07.153</w:t>
        </w:r>
      </w:hyperlink>
    </w:p>
    <w:p w14:paraId="53C141C8" w14:textId="77777777" w:rsidR="00A84742" w:rsidRPr="00F17496" w:rsidRDefault="00A84742" w:rsidP="00A84742">
      <w:pPr>
        <w:ind w:hanging="284"/>
        <w:rPr>
          <w:u w:val="single"/>
        </w:rPr>
      </w:pPr>
      <w:r w:rsidRPr="00F17496">
        <w:lastRenderedPageBreak/>
        <w:t xml:space="preserve">Ridgeway G (2007) Generalized boosted models: a guide to the gbm package, </w:t>
      </w:r>
      <w:hyperlink r:id="rId83" w:history="1">
        <w:r w:rsidRPr="00F17496">
          <w:rPr>
            <w:u w:val="single"/>
          </w:rPr>
          <w:t>http://www.saedsayad.com/docs/gbm2.pdf</w:t>
        </w:r>
      </w:hyperlink>
    </w:p>
    <w:p w14:paraId="53C141C9" w14:textId="77777777" w:rsidR="00F17496" w:rsidRPr="00F17496" w:rsidRDefault="00F17496" w:rsidP="00F17496">
      <w:pPr>
        <w:ind w:hanging="284"/>
      </w:pPr>
      <w:r w:rsidRPr="00F17496">
        <w:t>Roff G, Clark TR, Reymond CE, Zhao J, Feng Y, McCook LJ., Done TJ, Pandolfi JM (2013) Palaeoecological evidence of a historical collapse of corals at Pelorus Island, inshore Great Barrier Reef, following European settlement.280.</w:t>
      </w:r>
      <w:r w:rsidR="00825F24">
        <w:t xml:space="preserve"> </w:t>
      </w:r>
      <w:r w:rsidRPr="00F17496">
        <w:t xml:space="preserve">Proc. R. Soc. B. </w:t>
      </w:r>
      <w:r w:rsidRPr="00F17496">
        <w:rPr>
          <w:u w:val="single"/>
        </w:rPr>
        <w:t>http://doi.org/10.1098/rspb.2012.2100</w:t>
      </w:r>
    </w:p>
    <w:p w14:paraId="53C141CA" w14:textId="77777777" w:rsidR="00A84742" w:rsidRPr="00F17496" w:rsidRDefault="00A84742" w:rsidP="00A84742">
      <w:pPr>
        <w:ind w:hanging="284"/>
        <w:rPr>
          <w:u w:val="single"/>
        </w:rPr>
      </w:pPr>
      <w:r w:rsidRPr="00F17496">
        <w:t xml:space="preserve">Roff G, Doropoulos C, Zupan M, Rogers A, Steneck RS, Golbuu Y, Mumby PJ (2015) Phase shift facilitation following cyclone disturbance on coral reefs. </w:t>
      </w:r>
      <w:r w:rsidRPr="00F17496">
        <w:rPr>
          <w:iCs/>
        </w:rPr>
        <w:t>Oecologia</w:t>
      </w:r>
      <w:r w:rsidRPr="00F17496">
        <w:t xml:space="preserve"> </w:t>
      </w:r>
      <w:r w:rsidRPr="00F17496">
        <w:rPr>
          <w:iCs/>
        </w:rPr>
        <w:t>178</w:t>
      </w:r>
      <w:r w:rsidRPr="00F17496">
        <w:t>(4):1193-1203</w:t>
      </w:r>
    </w:p>
    <w:p w14:paraId="53C141CB" w14:textId="77777777" w:rsidR="00A84742" w:rsidRPr="00F17496" w:rsidRDefault="00A84742" w:rsidP="00A84742">
      <w:pPr>
        <w:ind w:hanging="284"/>
      </w:pPr>
      <w:r w:rsidRPr="00F17496">
        <w:t>Rogers CS (1990) Responses of coral reefs and reef organisms to sedimentation. Marine Ecology Progress Series 62:185-202</w:t>
      </w:r>
    </w:p>
    <w:p w14:paraId="53C141CC" w14:textId="77777777" w:rsidR="00A84742" w:rsidRPr="00F17496" w:rsidRDefault="00A84742" w:rsidP="00A84742">
      <w:pPr>
        <w:ind w:hanging="284"/>
        <w:rPr>
          <w:rFonts w:eastAsia="MS Mincho" w:cs="HelveticaNeue-Bold"/>
          <w:szCs w:val="30"/>
          <w:lang w:eastAsia="en-AU"/>
        </w:rPr>
      </w:pPr>
      <w:r w:rsidRPr="00F17496">
        <w:t>Schaffelke B, Anthony K, Blake J, Brodie J, Collier C, Devlin M, Fabricius K, Martin K, McKenzie L, Negri A, Ronan M, Thompson A, Warnem (</w:t>
      </w:r>
      <w:r w:rsidRPr="00F17496">
        <w:rPr>
          <w:i/>
        </w:rPr>
        <w:t xml:space="preserve">2013) </w:t>
      </w:r>
      <w:r w:rsidRPr="00F17496">
        <w:t>Supporting evidence to</w:t>
      </w:r>
      <w:r w:rsidRPr="00F17496">
        <w:rPr>
          <w:i/>
        </w:rPr>
        <w:t xml:space="preserve"> Scientific consensus statement: Land use impacts on Great Barrier Reef water quality and ecosystem condition.</w:t>
      </w:r>
      <w:r w:rsidRPr="00F17496">
        <w:t xml:space="preserve"> </w:t>
      </w:r>
      <w:r w:rsidRPr="00F17496">
        <w:rPr>
          <w:i/>
        </w:rPr>
        <w:t>Chapter 1, Marine and Coastal ecosystem impacts</w:t>
      </w:r>
      <w:r w:rsidRPr="00F17496">
        <w:t>, Reef Water Quality Protection Plan Secretariat, Brisbane.</w:t>
      </w:r>
      <w:r w:rsidRPr="00F17496">
        <w:rPr>
          <w:u w:val="single"/>
        </w:rPr>
        <w:t xml:space="preserve"> </w:t>
      </w:r>
      <w:r w:rsidRPr="00F17496">
        <w:t xml:space="preserve">Available at: </w:t>
      </w:r>
      <w:hyperlink r:id="rId84" w:history="1">
        <w:r w:rsidRPr="00F17496">
          <w:rPr>
            <w:rFonts w:eastAsia="MS Mincho" w:cs="HelveticaNeue-Bold"/>
            <w:szCs w:val="30"/>
            <w:u w:val="single"/>
            <w:lang w:eastAsia="en-AU"/>
          </w:rPr>
          <w:t>www.reefplan.qld.gov.au</w:t>
        </w:r>
      </w:hyperlink>
    </w:p>
    <w:p w14:paraId="53C141CD" w14:textId="77777777" w:rsidR="00A84742" w:rsidRPr="00F17496" w:rsidRDefault="00A84742" w:rsidP="00A84742">
      <w:pPr>
        <w:ind w:hanging="284"/>
      </w:pPr>
      <w:r w:rsidRPr="00F17496">
        <w:t>Schaffelke B, Mellors J, Duke NC (2005) Water quality in the Great Barrier Reef region: responses of mangrove, seagrass and macroalgal communities. Marine Pollution Bulletin 51:279-296</w:t>
      </w:r>
    </w:p>
    <w:p w14:paraId="53C141CE" w14:textId="77777777" w:rsidR="00A84742" w:rsidRPr="00527CAF" w:rsidRDefault="00A84742" w:rsidP="00A84742">
      <w:pPr>
        <w:ind w:hanging="284"/>
        <w:rPr>
          <w:lang w:eastAsia="en-AU"/>
        </w:rPr>
      </w:pPr>
      <w:r w:rsidRPr="00527CAF">
        <w:t xml:space="preserve">Smith LD (2008) </w:t>
      </w:r>
      <w:r w:rsidRPr="00527CAF">
        <w:rPr>
          <w:lang w:eastAsia="en-AU"/>
        </w:rPr>
        <w:t>Resilience of coral communities on an isolated system of reefs following catastrophic mass-bleaching. Coral Reefs 27:197-205</w:t>
      </w:r>
    </w:p>
    <w:p w14:paraId="53C141CF" w14:textId="77777777" w:rsidR="00A84742" w:rsidRPr="00527CAF" w:rsidRDefault="00A84742" w:rsidP="00A84742">
      <w:pPr>
        <w:ind w:hanging="284"/>
        <w:rPr>
          <w:lang w:eastAsia="en-AU"/>
        </w:rPr>
      </w:pPr>
      <w:r w:rsidRPr="00527CAF">
        <w:rPr>
          <w:rFonts w:eastAsia="Calibri"/>
        </w:rPr>
        <w:t xml:space="preserve">Sofonia JJ, Anthony KRN (2008) High-sediment tolerance in the reef coral Turbinaria mesenterina from the inner Great Barrier Reef lagoon (Australia). </w:t>
      </w:r>
      <w:r w:rsidRPr="00527CAF">
        <w:rPr>
          <w:rFonts w:eastAsia="Calibri"/>
          <w:lang w:eastAsia="en-AU"/>
        </w:rPr>
        <w:t>Estuarine &amp; Coastal Shelf Science 78: 748–752</w:t>
      </w:r>
    </w:p>
    <w:p w14:paraId="53C141D0" w14:textId="77777777" w:rsidR="00A84742" w:rsidRPr="00527CAF" w:rsidRDefault="00A84742" w:rsidP="00A84742">
      <w:pPr>
        <w:ind w:hanging="284"/>
      </w:pPr>
      <w:r w:rsidRPr="00527CAF">
        <w:t xml:space="preserve">Stafford-Smith MG, Ormond RFG (1992) Sediment-rejection Mechanisms of 42 Species of Australian Scleractinian Corals. Australian Journal of Marine and Freshwater Research 43:683-705 </w:t>
      </w:r>
    </w:p>
    <w:p w14:paraId="53C141D1" w14:textId="77777777" w:rsidR="00A84742" w:rsidRPr="00527CAF" w:rsidRDefault="00A84742" w:rsidP="00A84742">
      <w:pPr>
        <w:ind w:hanging="284"/>
      </w:pPr>
      <w:r w:rsidRPr="00527CAF">
        <w:t xml:space="preserve">Steffen W, Hughes L, Karoly, D (2013) The Critical Decade: Extreme Weather. Climate Commission Secretariat, Department of Industry, Innovation, Climate </w:t>
      </w:r>
      <w:r w:rsidRPr="00527CAF">
        <w:lastRenderedPageBreak/>
        <w:t>Change, Science, Research and Tertiary Education, Commonwealth of Australia, 63p</w:t>
      </w:r>
    </w:p>
    <w:p w14:paraId="53C141D2" w14:textId="77777777" w:rsidR="00A84742" w:rsidRPr="00527CAF" w:rsidRDefault="00A84742" w:rsidP="00A84742">
      <w:pPr>
        <w:ind w:hanging="284"/>
      </w:pPr>
      <w:r w:rsidRPr="00527CAF">
        <w:t>Sweatman H, Thompson A, Delean S, Davidson J, Neale S (2007) Status of inshore reefs of the Great Barrier Reef 2004. Australian Institute of Marine Science, Townsville</w:t>
      </w:r>
    </w:p>
    <w:p w14:paraId="53C141D3" w14:textId="77777777" w:rsidR="00A84742" w:rsidRPr="00527CAF" w:rsidRDefault="00A84742" w:rsidP="00A84742">
      <w:pPr>
        <w:ind w:hanging="284"/>
        <w:rPr>
          <w:rFonts w:eastAsia="MS Mincho"/>
          <w:lang w:eastAsia="ja-JP"/>
        </w:rPr>
      </w:pPr>
      <w:r w:rsidRPr="00527CAF">
        <w:rPr>
          <w:lang w:eastAsia="en-AU"/>
        </w:rPr>
        <w:t>Tanner, J. E. (1995) Competition between scleractinian corals and macroalgae: an experimental investigation of coral growth, survival and reproduction. Journal of Experimental Marine Biology and Ecology 190(2): 151-168</w:t>
      </w:r>
    </w:p>
    <w:p w14:paraId="53C141D4" w14:textId="77777777" w:rsidR="00A84742" w:rsidRPr="00527CAF" w:rsidRDefault="00A84742" w:rsidP="00A84742">
      <w:pPr>
        <w:ind w:hanging="284"/>
        <w:rPr>
          <w:rFonts w:eastAsia="MS Mincho"/>
          <w:sz w:val="20"/>
          <w:lang w:eastAsia="ja-JP"/>
        </w:rPr>
      </w:pPr>
      <w:r w:rsidRPr="00527CAF">
        <w:rPr>
          <w:rFonts w:eastAsia="MS Mincho"/>
          <w:lang w:eastAsia="ja-JP"/>
        </w:rPr>
        <w:t xml:space="preserve">Thompson A, Brando VE, Schaffelke B, Schroeder T (2014a) </w:t>
      </w:r>
      <w:r w:rsidRPr="00527CAF">
        <w:t xml:space="preserve">Coral community responses to declining water quality: Whitsunday Islands, Great Barrier Reef, Australia. Coral Reefs 33:923-938 </w:t>
      </w:r>
    </w:p>
    <w:p w14:paraId="53C141D5" w14:textId="77777777" w:rsidR="00A84742" w:rsidRPr="00527CAF" w:rsidRDefault="00A84742" w:rsidP="00A84742">
      <w:pPr>
        <w:ind w:hanging="284"/>
        <w:rPr>
          <w:lang w:val="en-US"/>
        </w:rPr>
      </w:pPr>
      <w:r w:rsidRPr="00527CAF">
        <w:rPr>
          <w:lang w:val="en-US"/>
        </w:rPr>
        <w:t>Thompson A, Schaffelke B, De’ath G, Cripps E, Sweatman H (2010) Water Quality and Ecosystem Monitoring Program-Reef Water Quality Protection Plan. Synthesis and spatial analysis of inshore monitoring data 2005-08. Report to the Great Barrier Reef Marine Park Authority. Australian Institute of Marine Science, Townsville. 81p</w:t>
      </w:r>
    </w:p>
    <w:p w14:paraId="53C141D6" w14:textId="77777777" w:rsidR="00A84742" w:rsidRPr="00527CAF" w:rsidRDefault="00A84742" w:rsidP="00A84742">
      <w:pPr>
        <w:ind w:hanging="284"/>
      </w:pPr>
      <w:r w:rsidRPr="00527CAF">
        <w:t>Thompson A, Lønborg C, Costello P, Davidson J, Logan M, Furnas M, Gunn K, Liddy M, Skuza M, Uthicke S, Wright M and Zagorskis I, Schaffelke B (2014b) Marine Monitoring Program: Annual Report of AIMS Activities 2013 to 2014– Inshore water quality and coral reef monitoring. Report for the Great Barrier Reef Marine Park Authority. Australian Institute of Marine Science 146p</w:t>
      </w:r>
    </w:p>
    <w:p w14:paraId="53C141D7" w14:textId="77777777" w:rsidR="00A84742" w:rsidRPr="00527CAF" w:rsidRDefault="00A84742" w:rsidP="00A84742">
      <w:pPr>
        <w:ind w:hanging="284"/>
      </w:pPr>
      <w:r w:rsidRPr="00527CAF">
        <w:t>Thompson A, Costello P, Davidson J, Logan M, Gunn K, Schaffelke B (2016) Marine Monitoring Program: Annual report for inshore coral reef monitoring. Report for the Great Barrier Reef Marine Park Authority. Australian Institute of Marine Science 133p</w:t>
      </w:r>
    </w:p>
    <w:p w14:paraId="53C141D8" w14:textId="77777777" w:rsidR="00A84742" w:rsidRPr="00527CAF" w:rsidRDefault="00A84742" w:rsidP="00A84742">
      <w:pPr>
        <w:ind w:hanging="284"/>
      </w:pPr>
      <w:r w:rsidRPr="00527CAF">
        <w:t>Thompson A, Costello P, Davidson J, Logan M, Coleman G, Gunn K, Schaffelke B (2017) Marine Monitoring Program: Annual Report for inshore coral reef monitoring: 2015 to 2016. Report for the Great Barrier Reef Marine Park Authority, Great Barrier Reef Marine Park Authority, Townsville. 133 pp</w:t>
      </w:r>
    </w:p>
    <w:p w14:paraId="53C141D9" w14:textId="77777777" w:rsidR="00A84742" w:rsidRPr="00527CAF" w:rsidRDefault="00A84742" w:rsidP="00A84742">
      <w:pPr>
        <w:ind w:hanging="284"/>
      </w:pPr>
      <w:r w:rsidRPr="004863F2">
        <w:lastRenderedPageBreak/>
        <w:t>Thompson A, Costello P, Davidso</w:t>
      </w:r>
      <w:r w:rsidR="004863F2" w:rsidRPr="004863F2">
        <w:t>n J, Logan M, Greg Coleman (2019</w:t>
      </w:r>
      <w:r w:rsidRPr="004863F2">
        <w:t>) Marine Monitoring Program. Annual Report for coral reef monitoring: 2017 to 2018. Australian Institute of Ma</w:t>
      </w:r>
      <w:r w:rsidR="004863F2">
        <w:t>rine Science, Townsville.148 pp</w:t>
      </w:r>
    </w:p>
    <w:p w14:paraId="53C141DA" w14:textId="77777777" w:rsidR="00A84742" w:rsidRPr="00527CAF" w:rsidRDefault="00A84742" w:rsidP="00A84742">
      <w:pPr>
        <w:ind w:hanging="284"/>
      </w:pPr>
      <w:r w:rsidRPr="00527CAF">
        <w:t>Turner RDR, Huggins R, Wallace R, Smith RA, Vardy S, Warne MStJ (2012) Sediment, nutrient, and pesticide loads: Great Barrier Reef Catchment Loads Monitoring Program 2009–2010. Department of Science, Information Technology, Innovation and the Arts, Brisbane</w:t>
      </w:r>
    </w:p>
    <w:p w14:paraId="53C141DB" w14:textId="77777777" w:rsidR="00A84742" w:rsidRPr="00527CAF" w:rsidRDefault="00A84742" w:rsidP="00A84742">
      <w:pPr>
        <w:ind w:hanging="284"/>
      </w:pPr>
      <w:r w:rsidRPr="00527CAF">
        <w:t xml:space="preserve">Turner RDR, Huggins R, Wallace R, Smith RA, Vardy S, Warne MStJ (2013) Total suspended solids, nutrient and pesticide loads (2010–2011) for rivers that discharge to the Great Barrier Reef: Great Barrier Reef Catchment Loads Monitoring Program 2010–2011. Department of Science, Information Technology, Innovation and the Arts, Brisbane. </w:t>
      </w:r>
    </w:p>
    <w:p w14:paraId="53C141DC" w14:textId="77777777" w:rsidR="00A84742" w:rsidRPr="00527CAF" w:rsidRDefault="00A84742" w:rsidP="00A84742">
      <w:pPr>
        <w:ind w:hanging="284"/>
      </w:pPr>
      <w:r w:rsidRPr="00527CAF">
        <w:rPr>
          <w:rFonts w:eastAsia="MS Mincho"/>
        </w:rPr>
        <w:t xml:space="preserve">Uthicke S, Thompson A, Schaffelke B (2010) </w:t>
      </w:r>
      <w:r w:rsidRPr="00527CAF">
        <w:t>Effectiveness of benthic foraminiferal and coral assemblages as water quality indicators on inshore reefs of the Great Barrier Reef, Australia. Coral Reefs 29:209-225</w:t>
      </w:r>
    </w:p>
    <w:p w14:paraId="53C141DD" w14:textId="77777777" w:rsidR="00A84742" w:rsidRPr="00527CAF" w:rsidRDefault="00A84742" w:rsidP="00A84742">
      <w:pPr>
        <w:ind w:hanging="284"/>
      </w:pPr>
      <w:r w:rsidRPr="00527CAF">
        <w:t xml:space="preserve">van Dam JW, Negri AP, Uthicke S, Muller JF (2011) Chemical pollution on coral reefs: exposure and ecological effects. In: Sanchez-Bayo F, van den Brink PJ, Mann RM (Eds.), Ecological Impact of Toxic Chemicals. Bentham Science Publishers Ltd. </w:t>
      </w:r>
    </w:p>
    <w:p w14:paraId="53C141DE" w14:textId="77777777" w:rsidR="00CC4D51" w:rsidRPr="00527CAF" w:rsidRDefault="00CC4D51" w:rsidP="00A84742">
      <w:pPr>
        <w:ind w:hanging="284"/>
      </w:pPr>
      <w:r w:rsidRPr="00527CAF">
        <w:t xml:space="preserve">van Hooidonk R, Maynard J, Tamelander J, Gove J, Ahmadia G, Raymundo L, Willians G, Heron S, Tracey D, Parker B, Planes S (2017) </w:t>
      </w:r>
      <w:r w:rsidRPr="00527CAF">
        <w:rPr>
          <w:i/>
        </w:rPr>
        <w:t>Coral bleaching futures – Downscaled projections of bleaching conditions for the world’s coral reefs, implications of climate policy and management responses</w:t>
      </w:r>
      <w:r w:rsidRPr="00527CAF">
        <w:t>. United Nations Environment Programme, Nairobi, Kenya</w:t>
      </w:r>
    </w:p>
    <w:p w14:paraId="53C141DF" w14:textId="77777777" w:rsidR="00E72ABB" w:rsidRPr="00527CAF" w:rsidRDefault="00E72ABB" w:rsidP="00A84742">
      <w:pPr>
        <w:ind w:hanging="284"/>
      </w:pPr>
      <w:r w:rsidRPr="00527CAF">
        <w:t xml:space="preserve">van Oppen MJ, Lough JM, eds. (2018) </w:t>
      </w:r>
      <w:r w:rsidRPr="00527CAF">
        <w:rPr>
          <w:i/>
        </w:rPr>
        <w:t>Coral bleaching: patterns, processes, causes and consequences</w:t>
      </w:r>
      <w:r w:rsidRPr="00527CAF">
        <w:t>. Vol. 233. Springer</w:t>
      </w:r>
    </w:p>
    <w:p w14:paraId="53C141E0" w14:textId="77777777" w:rsidR="00A84742" w:rsidRPr="00527CAF" w:rsidRDefault="00A84742" w:rsidP="00A84742">
      <w:pPr>
        <w:ind w:hanging="284"/>
      </w:pPr>
      <w:r w:rsidRPr="00527CAF">
        <w:t>van Woesik R (1991) Immediate impact of the January 1991 floods on the coral assemblages of the Keppel Islands. Research Publication No. 23, GBRMPA</w:t>
      </w:r>
    </w:p>
    <w:p w14:paraId="53C141E1" w14:textId="77777777" w:rsidR="00A84742" w:rsidRPr="00527CAF" w:rsidRDefault="00A84742" w:rsidP="00A84742">
      <w:pPr>
        <w:ind w:hanging="284"/>
      </w:pPr>
      <w:r w:rsidRPr="00527CAF">
        <w:t>van Woesik R, Done TJ (1997) Coral communities and reef growth in the southern Great Barrier Reef. Coral Reefs 16:103-115</w:t>
      </w:r>
    </w:p>
    <w:p w14:paraId="53C141E2" w14:textId="77777777" w:rsidR="00A84742" w:rsidRPr="00527CAF" w:rsidRDefault="00A84742" w:rsidP="00A84742">
      <w:pPr>
        <w:ind w:hanging="284"/>
      </w:pPr>
      <w:r w:rsidRPr="00527CAF">
        <w:lastRenderedPageBreak/>
        <w:t>van Woesik R, Tomascik T, Blake S (1999) Coral assemblages and physico-chemical characteristics of the Whitsunday Islands: evidence of recent community changes. Marine and Freshwater Research 50:427-440</w:t>
      </w:r>
    </w:p>
    <w:p w14:paraId="53C141E3" w14:textId="77777777" w:rsidR="00A84742" w:rsidRPr="00527CAF" w:rsidRDefault="00A84742" w:rsidP="00A84742">
      <w:pPr>
        <w:ind w:hanging="284"/>
      </w:pPr>
      <w:r w:rsidRPr="00527CAF">
        <w:t>Vega Thurber RL, Burkepile DE, Fuchs C, Shantz AA, McMinds R, Zaneveld JR (2013) Chronic nutrient enrichment increases prevalence and severity of coral disease and bleaching. Global Change Biology 2014 Feb; 20(2):544-54</w:t>
      </w:r>
    </w:p>
    <w:p w14:paraId="53C141E4" w14:textId="77777777" w:rsidR="00A84742" w:rsidRDefault="00A84742" w:rsidP="00A84742">
      <w:pPr>
        <w:ind w:hanging="284"/>
      </w:pPr>
      <w:r w:rsidRPr="00527CAF">
        <w:t xml:space="preserve">Vega Thurber R, Burkepile DE, Correa AMS, Thurber AR, Shantz AA (2012) Macroalgae decrease growth and alter microbial community structure of the reef-building coral, </w:t>
      </w:r>
      <w:r w:rsidRPr="00527CAF">
        <w:rPr>
          <w:i/>
        </w:rPr>
        <w:t>Porites astreoides</w:t>
      </w:r>
      <w:r w:rsidRPr="00527CAF">
        <w:t>. PLoS ONE 7(9): e44246</w:t>
      </w:r>
    </w:p>
    <w:p w14:paraId="53C141E5" w14:textId="77777777" w:rsidR="002C5A1E" w:rsidRDefault="002C5A1E" w:rsidP="00A84742">
      <w:pPr>
        <w:ind w:hanging="284"/>
      </w:pPr>
      <w:r>
        <w:t xml:space="preserve">Vega Thurber RV, Wilner-Hall D, Rodriguez-Muller B, Desnues C, Edwards RA, Angly F, Dinsdale E, Kelly L, Rohwer F (2009) Metagenomic analysis of stressed coral holobionts. Environmental Microbiology. 11(8)2148-2163 </w:t>
      </w:r>
    </w:p>
    <w:p w14:paraId="53C141E6" w14:textId="77777777" w:rsidR="00A84742" w:rsidRPr="00527CAF" w:rsidRDefault="00A84742" w:rsidP="00A84742">
      <w:pPr>
        <w:ind w:hanging="284"/>
      </w:pPr>
      <w:r w:rsidRPr="00527CAF">
        <w:t>Voss JD, Richardson LL (2006) Nutrient enrichment enhances black band disease progression in corals. Coral Reefs 25:569-576</w:t>
      </w:r>
    </w:p>
    <w:p w14:paraId="53C141E7" w14:textId="77777777" w:rsidR="00A84742" w:rsidRPr="00527CAF" w:rsidRDefault="00A84742" w:rsidP="00A84742">
      <w:pPr>
        <w:ind w:hanging="284"/>
      </w:pPr>
      <w:r w:rsidRPr="00527CAF">
        <w:t>Wallace R, Huggins R, Smith R, Turner R, Vardy S and Warne MStJ (2014) Total suspended solids, nutrient and pesticide loads (2011–2012) for rivers that discharge to the Great Barrier Reef – Great Barrier Reef Catchment Loads Monitoring Program 2011–2012. Department of Science, Information Technology, Innovation and the Arts. Brisbane</w:t>
      </w:r>
    </w:p>
    <w:p w14:paraId="53C141E8" w14:textId="77777777" w:rsidR="00A84742" w:rsidRPr="00527CAF" w:rsidRDefault="00A84742" w:rsidP="00A84742">
      <w:pPr>
        <w:ind w:hanging="284"/>
      </w:pPr>
      <w:r w:rsidRPr="00527CAF">
        <w:t>Wallace R, Huggins R, Smith RA, Turner RDR, Garzon-Garcia A and Warne MS J (2015) Total suspended solids, nutrient and pesticide loads (2012–2013) for rivers that discharge to the Great Barrier Reef – Great Barrier Reef Catchment Loads Monitoring Program 2012–2013. Department of Science, Information Technology and Innovation. Brisbane</w:t>
      </w:r>
    </w:p>
    <w:p w14:paraId="53C141E9" w14:textId="77777777" w:rsidR="00A84742" w:rsidRPr="00527CAF" w:rsidRDefault="00A84742" w:rsidP="00A84742">
      <w:pPr>
        <w:ind w:hanging="284"/>
      </w:pPr>
      <w:r w:rsidRPr="00527CAF">
        <w:t xml:space="preserve">Waterhouse J, Lønborg C, Brinkman R, Costello P, da Silva E, Davidson J, Gunn K, Lewis S, Logan M, Petus C, Schaffelke B, Skuza M, Tonin H, Tracey D, Wright M and Zagorskis I (2017) Marine Monitoring Program: Annual Report for inshore water quality monitoring, 2016-2017. Report for the Great Barrier Reef Marine Park Authority. Australian Institute of Marine Science and JCU </w:t>
      </w:r>
      <w:r w:rsidRPr="00527CAF">
        <w:rPr>
          <w:rFonts w:cs="Tahoma"/>
          <w:lang w:eastAsia="en-GB"/>
        </w:rPr>
        <w:t>TropWATER</w:t>
      </w:r>
      <w:r w:rsidRPr="00527CAF">
        <w:t>, Townsville</w:t>
      </w:r>
    </w:p>
    <w:p w14:paraId="53C141EA" w14:textId="77777777" w:rsidR="00A84742" w:rsidRPr="00527CAF" w:rsidRDefault="00A84742" w:rsidP="00A84742">
      <w:pPr>
        <w:ind w:hanging="284"/>
      </w:pPr>
      <w:r w:rsidRPr="00527CAF">
        <w:lastRenderedPageBreak/>
        <w:t xml:space="preserve">Waters DK, Carroll C, Ellis R, Hateley L, McCloskey GL, Packett R, Dougall C, Fentie B (2014) </w:t>
      </w:r>
      <w:r w:rsidRPr="00527CAF">
        <w:rPr>
          <w:i/>
        </w:rPr>
        <w:t>Modelling reductions of pollutant loads due to improved management practices in the Great Barrier Reef catchments – Whole of GBR, Technical Report, Volume 1</w:t>
      </w:r>
      <w:r w:rsidRPr="00527CAF">
        <w:t xml:space="preserve">, Queensland Department of Natural Resources and Mines, Toowoomba, Queensland (ISBN: 978-1-7423-0999) </w:t>
      </w:r>
    </w:p>
    <w:p w14:paraId="53C141EB" w14:textId="77777777" w:rsidR="00A84742" w:rsidRPr="00527CAF" w:rsidRDefault="00A84742" w:rsidP="00A84742">
      <w:pPr>
        <w:ind w:hanging="284"/>
      </w:pPr>
      <w:r w:rsidRPr="00527CAF">
        <w:t>Weber M, de Beer D, Lott C, Polerecky L, Kohls K, Abed RMM, Ferdelman TG, Fabricius KE (2012) Mechanisms of damage to corals exposed to sedimentation. Proceedings of the National Academy of Sciences 109(24):E1558-E1567</w:t>
      </w:r>
    </w:p>
    <w:p w14:paraId="53C141EC" w14:textId="77777777" w:rsidR="00A84742" w:rsidRPr="00527CAF" w:rsidRDefault="00A84742" w:rsidP="00A84742">
      <w:pPr>
        <w:ind w:hanging="284"/>
      </w:pPr>
      <w:r w:rsidRPr="00527CAF">
        <w:t>Wiedenmann J, D'Angelo C, Smith EG, Hunt AN, Legiret FE, Postle AD, Achterberg EP (2013) Nutrient enrichment can increase the susceptibility of reef corals to bleaching. Nature Climate. Change 3:160-164</w:t>
      </w:r>
    </w:p>
    <w:p w14:paraId="53C141ED" w14:textId="77777777" w:rsidR="00A84742" w:rsidRPr="00527CAF" w:rsidRDefault="00A84742" w:rsidP="00A84742">
      <w:pPr>
        <w:ind w:hanging="284"/>
      </w:pPr>
      <w:r w:rsidRPr="00527CAF">
        <w:t>Wismer S, Hoey AS, Bellwood DR (2009) Cross-shelf benthic community structure on the Great Barrier Reef: relationships between macroalgal cover and herbivore biomass. Marine Ecology Progress Series 376:45-54</w:t>
      </w:r>
    </w:p>
    <w:p w14:paraId="53C141EE" w14:textId="77777777" w:rsidR="00A84742" w:rsidRPr="00527CAF" w:rsidRDefault="00A84742" w:rsidP="00A84742">
      <w:pPr>
        <w:ind w:hanging="284"/>
        <w:rPr>
          <w:lang w:val="en-US"/>
        </w:rPr>
      </w:pPr>
      <w:r w:rsidRPr="00527CAF">
        <w:rPr>
          <w:lang w:val="en-US"/>
        </w:rPr>
        <w:t>Wolanski E, Fabricius KE, Cooper TF, Humphrey C (2008) Wet season fine sediment dynamics on the inner shelf of the Great Barrier Reef. Estuarine, Coastal and Shelf Science 77:755-762</w:t>
      </w:r>
    </w:p>
    <w:p w14:paraId="53C141EF" w14:textId="77777777" w:rsidR="0030324D" w:rsidRPr="00527CAF" w:rsidRDefault="0030324D" w:rsidP="00A84742">
      <w:pPr>
        <w:ind w:hanging="284"/>
      </w:pPr>
      <w:r w:rsidRPr="00527CAF">
        <w:t>Wood SN (201</w:t>
      </w:r>
      <w:r>
        <w:t>9</w:t>
      </w:r>
      <w:r w:rsidRPr="00527CAF">
        <w:t xml:space="preserve">) </w:t>
      </w:r>
      <w:r>
        <w:t>Package ‘mgcv’.</w:t>
      </w:r>
      <w:r w:rsidRPr="00527CAF">
        <w:t xml:space="preserve"> </w:t>
      </w:r>
      <w:r w:rsidRPr="0030324D">
        <w:t>https://cran.r-project.org/web/packages/mgcv/mgcv.pdf</w:t>
      </w:r>
    </w:p>
    <w:p w14:paraId="53C141F0" w14:textId="77777777" w:rsidR="00A84742" w:rsidRPr="00527CAF" w:rsidRDefault="00A84742" w:rsidP="00A84742">
      <w:pPr>
        <w:ind w:hanging="284"/>
        <w:rPr>
          <w:lang w:eastAsia="en-AU"/>
        </w:rPr>
      </w:pPr>
      <w:r w:rsidRPr="00527CAF">
        <w:rPr>
          <w:lang w:eastAsia="en-AU"/>
        </w:rPr>
        <w:t xml:space="preserve">Wooldridge SA (2016) Excess seawater nutrients, enlarged algal symbiont densities and bleaching sensitive reef locations: 1. Identifying thresholds of concern for the Great Barrier Reef, Australia. Marine Pollution Bulletin </w:t>
      </w:r>
      <w:hyperlink r:id="rId85" w:history="1">
        <w:r w:rsidRPr="00527CAF">
          <w:rPr>
            <w:u w:val="single"/>
            <w:lang w:eastAsia="en-AU"/>
          </w:rPr>
          <w:t>http://dx.doi.org/10.1016/j.marpolbul.2016.04.054</w:t>
        </w:r>
      </w:hyperlink>
    </w:p>
    <w:p w14:paraId="53C141F1" w14:textId="77777777" w:rsidR="00A84742" w:rsidRPr="00527CAF" w:rsidRDefault="00A84742" w:rsidP="00A84742">
      <w:pPr>
        <w:ind w:hanging="284"/>
        <w:rPr>
          <w:lang w:eastAsia="en-AU"/>
        </w:rPr>
      </w:pPr>
      <w:r w:rsidRPr="00527CAF">
        <w:rPr>
          <w:lang w:eastAsia="en-AU"/>
        </w:rPr>
        <w:t xml:space="preserve">Wooldridge S, Done T (2004) Learning to predict large-scale coral bleaching from past events: A Bayesian approach using remotely sensed data, </w:t>
      </w:r>
      <w:r w:rsidRPr="00527CAF">
        <w:rPr>
          <w:i/>
          <w:lang w:eastAsia="en-AU"/>
        </w:rPr>
        <w:t xml:space="preserve">in situ </w:t>
      </w:r>
      <w:r w:rsidRPr="00527CAF">
        <w:rPr>
          <w:lang w:eastAsia="en-AU"/>
        </w:rPr>
        <w:t>data, and environmental proxies. Coral Reefs 23:96–108</w:t>
      </w:r>
    </w:p>
    <w:p w14:paraId="53C141F2" w14:textId="77777777" w:rsidR="00A84742" w:rsidRPr="00527CAF" w:rsidRDefault="00A84742" w:rsidP="00A84742">
      <w:pPr>
        <w:ind w:hanging="284"/>
        <w:rPr>
          <w:lang w:eastAsia="en-AU"/>
        </w:rPr>
      </w:pPr>
      <w:r w:rsidRPr="00527CAF">
        <w:rPr>
          <w:lang w:eastAsia="en-AU"/>
        </w:rPr>
        <w:t>Wooldridge S, Brodie JE (2015) Environmental triggers for primary outbreaks of crown-of-thorns starfish on the Great Barrier Reef, Australia. Marine Pollution Bulletin. http://dx.doi.org/10.1016/j.marpollbul.2015.08.049</w:t>
      </w:r>
    </w:p>
    <w:p w14:paraId="53C141F3" w14:textId="77777777" w:rsidR="00A84742" w:rsidRPr="00527CAF" w:rsidRDefault="00A84742" w:rsidP="008B21D7">
      <w:pPr>
        <w:ind w:hanging="284"/>
      </w:pPr>
      <w:r w:rsidRPr="00527CAF">
        <w:lastRenderedPageBreak/>
        <w:t>Su Y-S, Yajima M, (2015). R2jags: Using R to Run 'JAGS'. R package version 0.5-7.</w:t>
      </w:r>
      <w:r w:rsidR="008B21D7">
        <w:t xml:space="preserve"> </w:t>
      </w:r>
      <w:r w:rsidRPr="00527CAF">
        <w:t>https://CRAN.R-project.org/package=R2jags</w:t>
      </w:r>
    </w:p>
    <w:p w14:paraId="53C141F4" w14:textId="77777777" w:rsidR="00A84742" w:rsidRPr="00CE4E0F" w:rsidRDefault="00A84742" w:rsidP="00A84742">
      <w:pPr>
        <w:ind w:hanging="284"/>
        <w:rPr>
          <w:color w:val="548DD4" w:themeColor="text2" w:themeTint="99"/>
        </w:rPr>
      </w:pPr>
      <w:r w:rsidRPr="00CE4E0F">
        <w:rPr>
          <w:color w:val="548DD4" w:themeColor="text2" w:themeTint="99"/>
        </w:rPr>
        <w:br w:type="page"/>
      </w:r>
    </w:p>
    <w:p w14:paraId="53C141F5" w14:textId="3D4070F0" w:rsidR="00A84742" w:rsidRPr="00CE4E0F" w:rsidRDefault="00A84742" w:rsidP="00D217FF">
      <w:pPr>
        <w:pStyle w:val="Heading1"/>
      </w:pPr>
      <w:bookmarkStart w:id="562" w:name="_Toc374701392"/>
      <w:bookmarkStart w:id="563" w:name="_Toc437424461"/>
      <w:bookmarkStart w:id="564" w:name="_Toc437424585"/>
      <w:bookmarkStart w:id="565" w:name="_Toc437432514"/>
      <w:bookmarkStart w:id="566" w:name="_Toc437432587"/>
      <w:bookmarkStart w:id="567" w:name="_Ref503361256"/>
      <w:bookmarkStart w:id="568" w:name="_Toc526246939"/>
      <w:bookmarkStart w:id="569" w:name="_Toc530654992"/>
      <w:bookmarkStart w:id="570" w:name="_Toc35947149"/>
      <w:bookmarkEnd w:id="555"/>
      <w:bookmarkEnd w:id="560"/>
      <w:bookmarkEnd w:id="561"/>
      <w:r w:rsidRPr="00CE4E0F">
        <w:lastRenderedPageBreak/>
        <w:t>Appendix 1: Additional Informatio</w:t>
      </w:r>
      <w:bookmarkEnd w:id="562"/>
      <w:bookmarkEnd w:id="563"/>
      <w:bookmarkEnd w:id="564"/>
      <w:bookmarkEnd w:id="565"/>
      <w:bookmarkEnd w:id="566"/>
      <w:r w:rsidRPr="00CE4E0F">
        <w:t>n</w:t>
      </w:r>
      <w:bookmarkEnd w:id="567"/>
      <w:bookmarkEnd w:id="568"/>
      <w:bookmarkEnd w:id="569"/>
      <w:bookmarkEnd w:id="570"/>
    </w:p>
    <w:p w14:paraId="53C141F6" w14:textId="77777777" w:rsidR="00A84742" w:rsidRPr="00CE4E0F" w:rsidRDefault="00A84742" w:rsidP="00A84742">
      <w:pPr>
        <w:jc w:val="left"/>
        <w:rPr>
          <w:color w:val="548DD4" w:themeColor="text2" w:themeTint="99"/>
        </w:rPr>
      </w:pPr>
      <w:r w:rsidRPr="00CE4E0F">
        <w:rPr>
          <w:color w:val="548DD4" w:themeColor="text2" w:themeTint="99"/>
        </w:rPr>
        <w:br w:type="page"/>
      </w:r>
    </w:p>
    <w:p w14:paraId="53C141F7" w14:textId="2B79EC70" w:rsidR="001F7525" w:rsidRDefault="001F7525" w:rsidP="002B5296">
      <w:pPr>
        <w:pStyle w:val="Caption"/>
      </w:pPr>
      <w:bookmarkStart w:id="571" w:name="_Ref501104907"/>
      <w:bookmarkStart w:id="572" w:name="_Ref30596520"/>
      <w:bookmarkStart w:id="573" w:name="_Toc35519349"/>
      <w:bookmarkStart w:id="574" w:name="_Ref528596718"/>
      <w:bookmarkStart w:id="575" w:name="_Ref498591822"/>
      <w:bookmarkStart w:id="576" w:name="_Toc530654878"/>
      <w:bookmarkStart w:id="577" w:name="_Ref469727648"/>
      <w:bookmarkStart w:id="578" w:name="_Toc437424423"/>
      <w:bookmarkStart w:id="579" w:name="_Toc437424547"/>
      <w:bookmarkStart w:id="580" w:name="_Toc437432478"/>
      <w:bookmarkStart w:id="581" w:name="_Toc437432551"/>
      <w:bookmarkStart w:id="582" w:name="_Toc437598175"/>
      <w:bookmarkStart w:id="583" w:name="_Toc471373377"/>
      <w:bookmarkEnd w:id="571"/>
      <w:r>
        <w:lastRenderedPageBreak/>
        <w:t xml:space="preserve">Table A </w:t>
      </w:r>
      <w:r>
        <w:fldChar w:fldCharType="begin"/>
      </w:r>
      <w:r>
        <w:instrText xml:space="preserve"> SEQ Table_A \* ARABIC </w:instrText>
      </w:r>
      <w:r>
        <w:fldChar w:fldCharType="separate"/>
      </w:r>
      <w:r w:rsidR="003053D1">
        <w:rPr>
          <w:noProof/>
        </w:rPr>
        <w:t>1</w:t>
      </w:r>
      <w:r>
        <w:fldChar w:fldCharType="end"/>
      </w:r>
      <w:bookmarkEnd w:id="572"/>
      <w:r>
        <w:t xml:space="preserve"> Source of river discharge data used for daily discharge estimates</w:t>
      </w:r>
      <w:bookmarkEnd w:id="573"/>
    </w:p>
    <w:tbl>
      <w:tblPr>
        <w:tblStyle w:val="TableGrid"/>
        <w:tblW w:w="0" w:type="auto"/>
        <w:tblLook w:val="04A0" w:firstRow="1" w:lastRow="0" w:firstColumn="1" w:lastColumn="0" w:noHBand="0" w:noVBand="1"/>
        <w:tblCaption w:val="sources for river data"/>
        <w:tblDescription w:val="lists gauging stations"/>
      </w:tblPr>
      <w:tblGrid>
        <w:gridCol w:w="1838"/>
        <w:gridCol w:w="7791"/>
      </w:tblGrid>
      <w:tr w:rsidR="001F7525" w14:paraId="53C141FA" w14:textId="77777777" w:rsidTr="00E10F7E">
        <w:trPr>
          <w:trHeight w:hRule="exact" w:val="340"/>
          <w:tblHeader/>
        </w:trPr>
        <w:tc>
          <w:tcPr>
            <w:tcW w:w="1838" w:type="dxa"/>
            <w:shd w:val="clear" w:color="auto" w:fill="F2F2F2" w:themeFill="background1" w:themeFillShade="F2"/>
          </w:tcPr>
          <w:p w14:paraId="53C141F8" w14:textId="77777777" w:rsidR="001F7525" w:rsidRPr="00EE76B9" w:rsidRDefault="001F7525" w:rsidP="001F7525">
            <w:pPr>
              <w:rPr>
                <w:rStyle w:val="IntenseReference"/>
              </w:rPr>
            </w:pPr>
            <w:r w:rsidRPr="00EE76B9">
              <w:rPr>
                <w:rStyle w:val="IntenseReference"/>
              </w:rPr>
              <w:t>(sub-)region</w:t>
            </w:r>
          </w:p>
        </w:tc>
        <w:tc>
          <w:tcPr>
            <w:tcW w:w="7791" w:type="dxa"/>
            <w:shd w:val="clear" w:color="auto" w:fill="F2F2F2" w:themeFill="background1" w:themeFillShade="F2"/>
          </w:tcPr>
          <w:p w14:paraId="53C141F9" w14:textId="77777777" w:rsidR="001F7525" w:rsidRPr="00EE76B9" w:rsidRDefault="001F7525" w:rsidP="001F7525">
            <w:pPr>
              <w:rPr>
                <w:rStyle w:val="IntenseReference"/>
              </w:rPr>
            </w:pPr>
            <w:r w:rsidRPr="00EE76B9">
              <w:rPr>
                <w:rStyle w:val="IntenseReference"/>
              </w:rPr>
              <w:t xml:space="preserve">Rivers – Gauging station </w:t>
            </w:r>
          </w:p>
        </w:tc>
      </w:tr>
      <w:tr w:rsidR="001F7525" w14:paraId="53C141FD" w14:textId="77777777" w:rsidTr="001F7525">
        <w:tc>
          <w:tcPr>
            <w:tcW w:w="1838" w:type="dxa"/>
          </w:tcPr>
          <w:p w14:paraId="53C141FB" w14:textId="77777777" w:rsidR="001F7525" w:rsidRPr="00EE76B9" w:rsidRDefault="001F7525" w:rsidP="001F7525">
            <w:pPr>
              <w:jc w:val="left"/>
              <w:rPr>
                <w:rStyle w:val="IntenseReference"/>
              </w:rPr>
            </w:pPr>
            <w:r w:rsidRPr="00EE76B9">
              <w:rPr>
                <w:rStyle w:val="IntenseReference"/>
              </w:rPr>
              <w:t>Barron Daintree</w:t>
            </w:r>
          </w:p>
        </w:tc>
        <w:tc>
          <w:tcPr>
            <w:tcW w:w="7791" w:type="dxa"/>
          </w:tcPr>
          <w:p w14:paraId="53C141FC" w14:textId="77777777" w:rsidR="001F7525" w:rsidRPr="00EE76B9" w:rsidRDefault="001F7525" w:rsidP="001F7525">
            <w:pPr>
              <w:jc w:val="left"/>
              <w:rPr>
                <w:rStyle w:val="IntenseReference"/>
              </w:rPr>
            </w:pPr>
            <w:r w:rsidRPr="00EE76B9">
              <w:rPr>
                <w:rStyle w:val="IntenseReference"/>
              </w:rPr>
              <w:t>Broomfield-108003A, Daintree-108002A, Mossman-109001A, Barron-110001D</w:t>
            </w:r>
          </w:p>
        </w:tc>
      </w:tr>
      <w:tr w:rsidR="001F7525" w14:paraId="53C14200" w14:textId="77777777" w:rsidTr="001F7525">
        <w:tc>
          <w:tcPr>
            <w:tcW w:w="1838" w:type="dxa"/>
          </w:tcPr>
          <w:p w14:paraId="53C141FE" w14:textId="77777777" w:rsidR="001F7525" w:rsidRPr="00EE76B9" w:rsidRDefault="001F7525" w:rsidP="001F7525">
            <w:pPr>
              <w:jc w:val="left"/>
              <w:rPr>
                <w:rStyle w:val="IntenseReference"/>
              </w:rPr>
            </w:pPr>
            <w:r w:rsidRPr="00EE76B9">
              <w:rPr>
                <w:rStyle w:val="IntenseReference"/>
              </w:rPr>
              <w:t>Johnstone Russell-Mulgrave</w:t>
            </w:r>
          </w:p>
        </w:tc>
        <w:tc>
          <w:tcPr>
            <w:tcW w:w="7791" w:type="dxa"/>
          </w:tcPr>
          <w:p w14:paraId="53C141FF" w14:textId="77777777" w:rsidR="001F7525" w:rsidRPr="00EE76B9" w:rsidRDefault="001F7525" w:rsidP="001F7525">
            <w:pPr>
              <w:jc w:val="left"/>
              <w:rPr>
                <w:rStyle w:val="IntenseReference"/>
              </w:rPr>
            </w:pPr>
            <w:r w:rsidRPr="00EE76B9">
              <w:rPr>
                <w:rStyle w:val="IntenseReference"/>
              </w:rPr>
              <w:t>Mulgrave River-111007A, Russell River-111101D, North Johnstone-112004A, South Johnstone-112101B</w:t>
            </w:r>
          </w:p>
        </w:tc>
      </w:tr>
      <w:tr w:rsidR="001F7525" w14:paraId="53C14203" w14:textId="77777777" w:rsidTr="001F7525">
        <w:tc>
          <w:tcPr>
            <w:tcW w:w="1838" w:type="dxa"/>
          </w:tcPr>
          <w:p w14:paraId="53C14201" w14:textId="77777777" w:rsidR="001F7525" w:rsidRPr="00EE76B9" w:rsidRDefault="001F7525" w:rsidP="001F7525">
            <w:pPr>
              <w:jc w:val="left"/>
              <w:rPr>
                <w:rStyle w:val="IntenseReference"/>
              </w:rPr>
            </w:pPr>
            <w:r w:rsidRPr="00EE76B9">
              <w:rPr>
                <w:rStyle w:val="IntenseReference"/>
              </w:rPr>
              <w:t>Herbert Tully</w:t>
            </w:r>
          </w:p>
        </w:tc>
        <w:tc>
          <w:tcPr>
            <w:tcW w:w="7791" w:type="dxa"/>
          </w:tcPr>
          <w:p w14:paraId="53C14202" w14:textId="77777777" w:rsidR="001F7525" w:rsidRPr="00EE76B9" w:rsidRDefault="001F7525" w:rsidP="001F7525">
            <w:pPr>
              <w:jc w:val="left"/>
              <w:rPr>
                <w:rStyle w:val="IntenseReference"/>
              </w:rPr>
            </w:pPr>
            <w:r w:rsidRPr="00EE76B9">
              <w:rPr>
                <w:rStyle w:val="IntenseReference"/>
              </w:rPr>
              <w:t>Tully River - 113006A, Murray River - 114001A,  Herbert River – 116001E then 116001F</w:t>
            </w:r>
          </w:p>
        </w:tc>
      </w:tr>
      <w:tr w:rsidR="001F7525" w14:paraId="53C14206" w14:textId="77777777" w:rsidTr="001F7525">
        <w:tc>
          <w:tcPr>
            <w:tcW w:w="1838" w:type="dxa"/>
          </w:tcPr>
          <w:p w14:paraId="53C14204" w14:textId="77777777" w:rsidR="001F7525" w:rsidRPr="00EE76B9" w:rsidRDefault="001F7525" w:rsidP="001F7525">
            <w:pPr>
              <w:jc w:val="left"/>
              <w:rPr>
                <w:rStyle w:val="IntenseReference"/>
              </w:rPr>
            </w:pPr>
            <w:r w:rsidRPr="00EE76B9">
              <w:rPr>
                <w:rStyle w:val="IntenseReference"/>
              </w:rPr>
              <w:t>Burdekin</w:t>
            </w:r>
          </w:p>
        </w:tc>
        <w:tc>
          <w:tcPr>
            <w:tcW w:w="7791" w:type="dxa"/>
          </w:tcPr>
          <w:p w14:paraId="53C14205" w14:textId="77777777" w:rsidR="001F7525" w:rsidRPr="00EE76B9" w:rsidRDefault="001F7525" w:rsidP="001F7525">
            <w:pPr>
              <w:jc w:val="left"/>
              <w:rPr>
                <w:rStyle w:val="IntenseReference"/>
              </w:rPr>
            </w:pPr>
            <w:r w:rsidRPr="00EE76B9">
              <w:rPr>
                <w:rStyle w:val="IntenseReference"/>
              </w:rPr>
              <w:t>Bluewater Creek-117003A, Black River-117002A, Haughton River-119003A, Barratta Creek-119101A, Burdekin River-120006B, Don River-121003A, Elliot River-121002A, Euri Creek-121004A</w:t>
            </w:r>
          </w:p>
        </w:tc>
      </w:tr>
      <w:tr w:rsidR="001F7525" w14:paraId="53C14209" w14:textId="77777777" w:rsidTr="001F7525">
        <w:tc>
          <w:tcPr>
            <w:tcW w:w="1838" w:type="dxa"/>
          </w:tcPr>
          <w:p w14:paraId="53C14207" w14:textId="77777777" w:rsidR="001F7525" w:rsidRPr="00EE76B9" w:rsidRDefault="001F7525" w:rsidP="001F7525">
            <w:pPr>
              <w:jc w:val="left"/>
              <w:rPr>
                <w:rStyle w:val="IntenseReference"/>
              </w:rPr>
            </w:pPr>
            <w:r w:rsidRPr="00EE76B9">
              <w:rPr>
                <w:rStyle w:val="IntenseReference"/>
              </w:rPr>
              <w:t>Mackay-Whitsunday</w:t>
            </w:r>
          </w:p>
        </w:tc>
        <w:tc>
          <w:tcPr>
            <w:tcW w:w="7791" w:type="dxa"/>
          </w:tcPr>
          <w:p w14:paraId="53C14208" w14:textId="77777777" w:rsidR="001F7525" w:rsidRPr="00EE76B9" w:rsidRDefault="001F7525" w:rsidP="001F7525">
            <w:pPr>
              <w:jc w:val="left"/>
              <w:rPr>
                <w:rStyle w:val="IntenseReference"/>
              </w:rPr>
            </w:pPr>
            <w:r w:rsidRPr="00EE76B9">
              <w:rPr>
                <w:rStyle w:val="IntenseReference"/>
              </w:rPr>
              <w:t>O'Connell River-124001B, Andromache River-124003A, St Helens Creek-124002A, Pioneer River-125016A, Sandy Creek-126001A, Carmila Creek-126003A</w:t>
            </w:r>
          </w:p>
        </w:tc>
      </w:tr>
      <w:tr w:rsidR="001F7525" w14:paraId="53C1420C" w14:textId="77777777" w:rsidTr="001F7525">
        <w:tc>
          <w:tcPr>
            <w:tcW w:w="1838" w:type="dxa"/>
          </w:tcPr>
          <w:p w14:paraId="53C1420A" w14:textId="77777777" w:rsidR="001F7525" w:rsidRPr="00EE76B9" w:rsidRDefault="001F7525" w:rsidP="001F7525">
            <w:pPr>
              <w:jc w:val="left"/>
              <w:rPr>
                <w:rStyle w:val="IntenseReference"/>
              </w:rPr>
            </w:pPr>
            <w:r w:rsidRPr="00EE76B9">
              <w:rPr>
                <w:rStyle w:val="IntenseReference"/>
              </w:rPr>
              <w:t>Fitzroy</w:t>
            </w:r>
          </w:p>
        </w:tc>
        <w:tc>
          <w:tcPr>
            <w:tcW w:w="7791" w:type="dxa"/>
          </w:tcPr>
          <w:p w14:paraId="53C1420B" w14:textId="77777777" w:rsidR="001F7525" w:rsidRPr="00EE76B9" w:rsidRDefault="001F7525" w:rsidP="001F7525">
            <w:pPr>
              <w:jc w:val="left"/>
              <w:rPr>
                <w:rStyle w:val="IntenseReference"/>
              </w:rPr>
            </w:pPr>
            <w:r w:rsidRPr="00EE76B9">
              <w:rPr>
                <w:rStyle w:val="IntenseReference"/>
              </w:rPr>
              <w:t>Waterpark Creek - 129001A, Fitzroy River - 130005A</w:t>
            </w:r>
          </w:p>
        </w:tc>
      </w:tr>
    </w:tbl>
    <w:p w14:paraId="53C1420D" w14:textId="77777777" w:rsidR="00EE76B9" w:rsidRDefault="00EE76B9" w:rsidP="00EE76B9">
      <w:bookmarkStart w:id="584" w:name="_Ref30596519"/>
    </w:p>
    <w:p w14:paraId="53C1420E" w14:textId="16EF05EC" w:rsidR="001F7525" w:rsidRDefault="001F7525" w:rsidP="002B5296">
      <w:pPr>
        <w:pStyle w:val="Caption"/>
      </w:pPr>
      <w:bookmarkStart w:id="585" w:name="_Ref35854605"/>
      <w:bookmarkStart w:id="586" w:name="_Toc35519350"/>
      <w:r>
        <w:t xml:space="preserve">Table A </w:t>
      </w:r>
      <w:r>
        <w:fldChar w:fldCharType="begin"/>
      </w:r>
      <w:r>
        <w:instrText xml:space="preserve"> SEQ Table_A \* ARABIC </w:instrText>
      </w:r>
      <w:r>
        <w:fldChar w:fldCharType="separate"/>
      </w:r>
      <w:r w:rsidR="003053D1">
        <w:rPr>
          <w:noProof/>
        </w:rPr>
        <w:t>2</w:t>
      </w:r>
      <w:r>
        <w:fldChar w:fldCharType="end"/>
      </w:r>
      <w:bookmarkEnd w:id="584"/>
      <w:bookmarkEnd w:id="585"/>
      <w:r>
        <w:t xml:space="preserve"> Source of river loads time series used for analysis</w:t>
      </w:r>
      <w:bookmarkEnd w:id="586"/>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20" w:firstRow="1" w:lastRow="0" w:firstColumn="0" w:lastColumn="0" w:noHBand="1" w:noVBand="1"/>
        <w:tblCaption w:val="Table 2 Temperature loggers used"/>
        <w:tblDescription w:val="Model and settings of temperature loggers used over the duration of the program"/>
      </w:tblPr>
      <w:tblGrid>
        <w:gridCol w:w="1413"/>
        <w:gridCol w:w="1559"/>
        <w:gridCol w:w="3827"/>
        <w:gridCol w:w="2835"/>
      </w:tblGrid>
      <w:tr w:rsidR="001F7525" w:rsidRPr="00CE4E0F" w14:paraId="53C14213" w14:textId="77777777" w:rsidTr="00D85D4E">
        <w:trPr>
          <w:trHeight w:hRule="exact" w:val="340"/>
        </w:trPr>
        <w:tc>
          <w:tcPr>
            <w:tcW w:w="1413" w:type="dxa"/>
            <w:shd w:val="clear" w:color="auto" w:fill="F2F2F2" w:themeFill="background1" w:themeFillShade="F2"/>
            <w:vAlign w:val="center"/>
          </w:tcPr>
          <w:p w14:paraId="53C1420F" w14:textId="77777777" w:rsidR="001F7525" w:rsidRPr="00EE76B9" w:rsidRDefault="001F7525" w:rsidP="001F7525">
            <w:pPr>
              <w:jc w:val="center"/>
              <w:rPr>
                <w:rStyle w:val="IntenseReference"/>
              </w:rPr>
            </w:pPr>
            <w:r w:rsidRPr="00EE76B9">
              <w:rPr>
                <w:rStyle w:val="IntenseReference"/>
              </w:rPr>
              <w:t>Basin</w:t>
            </w:r>
          </w:p>
        </w:tc>
        <w:tc>
          <w:tcPr>
            <w:tcW w:w="1559" w:type="dxa"/>
            <w:shd w:val="clear" w:color="auto" w:fill="F2F2F2" w:themeFill="background1" w:themeFillShade="F2"/>
            <w:vAlign w:val="center"/>
          </w:tcPr>
          <w:p w14:paraId="53C14210" w14:textId="77777777" w:rsidR="001F7525" w:rsidRPr="00EE76B9" w:rsidRDefault="001F7525" w:rsidP="001F7525">
            <w:pPr>
              <w:jc w:val="center"/>
              <w:rPr>
                <w:rStyle w:val="IntenseReference"/>
              </w:rPr>
            </w:pPr>
            <w:r w:rsidRPr="00EE76B9">
              <w:rPr>
                <w:rStyle w:val="IntenseReference"/>
              </w:rPr>
              <w:t>Gauging station</w:t>
            </w:r>
          </w:p>
        </w:tc>
        <w:tc>
          <w:tcPr>
            <w:tcW w:w="3827" w:type="dxa"/>
            <w:shd w:val="clear" w:color="auto" w:fill="F2F2F2" w:themeFill="background1" w:themeFillShade="F2"/>
            <w:vAlign w:val="center"/>
          </w:tcPr>
          <w:p w14:paraId="53C14211" w14:textId="77777777" w:rsidR="001F7525" w:rsidRPr="00EE76B9" w:rsidRDefault="001F7525" w:rsidP="001F7525">
            <w:pPr>
              <w:jc w:val="center"/>
              <w:rPr>
                <w:rStyle w:val="IntenseReference"/>
              </w:rPr>
            </w:pPr>
            <w:r w:rsidRPr="00EE76B9">
              <w:rPr>
                <w:rStyle w:val="IntenseReference"/>
              </w:rPr>
              <w:t>Site name</w:t>
            </w:r>
          </w:p>
        </w:tc>
        <w:tc>
          <w:tcPr>
            <w:tcW w:w="2835" w:type="dxa"/>
            <w:shd w:val="clear" w:color="auto" w:fill="F2F2F2" w:themeFill="background1" w:themeFillShade="F2"/>
          </w:tcPr>
          <w:p w14:paraId="53C14212" w14:textId="77777777" w:rsidR="001F7525" w:rsidRPr="00EE76B9" w:rsidRDefault="001F7525" w:rsidP="001F7525">
            <w:pPr>
              <w:jc w:val="center"/>
              <w:rPr>
                <w:rStyle w:val="IntenseReference"/>
              </w:rPr>
            </w:pPr>
            <w:r w:rsidRPr="00EE76B9">
              <w:rPr>
                <w:rStyle w:val="IntenseReference"/>
              </w:rPr>
              <w:t>Years available</w:t>
            </w:r>
          </w:p>
        </w:tc>
      </w:tr>
      <w:tr w:rsidR="001F7525" w:rsidRPr="00CE4E0F" w14:paraId="53C14218" w14:textId="77777777" w:rsidTr="00D85D4E">
        <w:trPr>
          <w:trHeight w:hRule="exact" w:val="340"/>
        </w:trPr>
        <w:tc>
          <w:tcPr>
            <w:tcW w:w="1413" w:type="dxa"/>
            <w:vAlign w:val="center"/>
          </w:tcPr>
          <w:p w14:paraId="53C14214" w14:textId="77777777" w:rsidR="001F7525" w:rsidRPr="00EE76B9" w:rsidRDefault="001F7525" w:rsidP="001F7525">
            <w:pPr>
              <w:jc w:val="center"/>
              <w:rPr>
                <w:rStyle w:val="IntenseReference"/>
              </w:rPr>
            </w:pPr>
            <w:r w:rsidRPr="00EE76B9">
              <w:rPr>
                <w:rStyle w:val="IntenseReference"/>
              </w:rPr>
              <w:t>Barron</w:t>
            </w:r>
          </w:p>
        </w:tc>
        <w:tc>
          <w:tcPr>
            <w:tcW w:w="1559" w:type="dxa"/>
            <w:vAlign w:val="center"/>
          </w:tcPr>
          <w:p w14:paraId="53C14215" w14:textId="77777777" w:rsidR="001F7525" w:rsidRPr="00EE76B9" w:rsidRDefault="001F7525" w:rsidP="001F7525">
            <w:pPr>
              <w:jc w:val="center"/>
              <w:rPr>
                <w:rStyle w:val="IntenseReference"/>
              </w:rPr>
            </w:pPr>
            <w:r w:rsidRPr="00EE76B9">
              <w:rPr>
                <w:rStyle w:val="IntenseReference"/>
              </w:rPr>
              <w:t>110001D</w:t>
            </w:r>
          </w:p>
        </w:tc>
        <w:tc>
          <w:tcPr>
            <w:tcW w:w="3827" w:type="dxa"/>
            <w:vAlign w:val="center"/>
          </w:tcPr>
          <w:p w14:paraId="53C14216" w14:textId="77777777" w:rsidR="001F7525" w:rsidRPr="00EE76B9" w:rsidRDefault="001F7525" w:rsidP="001F7525">
            <w:pPr>
              <w:jc w:val="center"/>
              <w:rPr>
                <w:rStyle w:val="IntenseReference"/>
              </w:rPr>
            </w:pPr>
            <w:r w:rsidRPr="00EE76B9">
              <w:rPr>
                <w:rStyle w:val="IntenseReference"/>
              </w:rPr>
              <w:t>Barron River at Myola</w:t>
            </w:r>
          </w:p>
        </w:tc>
        <w:tc>
          <w:tcPr>
            <w:tcW w:w="2835" w:type="dxa"/>
            <w:vAlign w:val="center"/>
          </w:tcPr>
          <w:p w14:paraId="53C14217" w14:textId="77777777" w:rsidR="001F7525" w:rsidRPr="00EE76B9" w:rsidRDefault="001F7525" w:rsidP="001F7525">
            <w:pPr>
              <w:jc w:val="center"/>
              <w:rPr>
                <w:rStyle w:val="IntenseReference"/>
              </w:rPr>
            </w:pPr>
            <w:r w:rsidRPr="00EE76B9">
              <w:rPr>
                <w:rStyle w:val="IntenseReference"/>
              </w:rPr>
              <w:t>2008-2018</w:t>
            </w:r>
          </w:p>
        </w:tc>
      </w:tr>
      <w:tr w:rsidR="001F7525" w:rsidRPr="00CE4E0F" w14:paraId="53C1421D" w14:textId="77777777" w:rsidTr="00D85D4E">
        <w:trPr>
          <w:trHeight w:hRule="exact" w:val="340"/>
        </w:trPr>
        <w:tc>
          <w:tcPr>
            <w:tcW w:w="1413" w:type="dxa"/>
            <w:vAlign w:val="center"/>
          </w:tcPr>
          <w:p w14:paraId="53C14219" w14:textId="77777777" w:rsidR="001F7525" w:rsidRPr="00EE76B9" w:rsidRDefault="001F7525" w:rsidP="001F7525">
            <w:pPr>
              <w:jc w:val="center"/>
              <w:rPr>
                <w:rStyle w:val="IntenseReference"/>
              </w:rPr>
            </w:pPr>
            <w:r w:rsidRPr="00EE76B9">
              <w:rPr>
                <w:rStyle w:val="IntenseReference"/>
              </w:rPr>
              <w:t>Johnstone</w:t>
            </w:r>
          </w:p>
        </w:tc>
        <w:tc>
          <w:tcPr>
            <w:tcW w:w="1559" w:type="dxa"/>
            <w:vAlign w:val="center"/>
          </w:tcPr>
          <w:p w14:paraId="53C1421A" w14:textId="77777777" w:rsidR="001F7525" w:rsidRPr="00EE76B9" w:rsidRDefault="001F7525" w:rsidP="001F7525">
            <w:pPr>
              <w:jc w:val="center"/>
              <w:rPr>
                <w:rStyle w:val="IntenseReference"/>
              </w:rPr>
            </w:pPr>
            <w:r w:rsidRPr="00EE76B9">
              <w:rPr>
                <w:rStyle w:val="IntenseReference"/>
              </w:rPr>
              <w:t>112101B</w:t>
            </w:r>
          </w:p>
        </w:tc>
        <w:tc>
          <w:tcPr>
            <w:tcW w:w="3827" w:type="dxa"/>
            <w:vAlign w:val="center"/>
          </w:tcPr>
          <w:p w14:paraId="53C1421B" w14:textId="77777777" w:rsidR="001F7525" w:rsidRPr="00EE76B9" w:rsidRDefault="001F7525" w:rsidP="001F7525">
            <w:pPr>
              <w:jc w:val="center"/>
              <w:rPr>
                <w:rStyle w:val="IntenseReference"/>
              </w:rPr>
            </w:pPr>
            <w:r w:rsidRPr="00EE76B9">
              <w:rPr>
                <w:rStyle w:val="IntenseReference"/>
              </w:rPr>
              <w:t>South Johnstone River at Upstream Central Mill</w:t>
            </w:r>
          </w:p>
        </w:tc>
        <w:tc>
          <w:tcPr>
            <w:tcW w:w="2835" w:type="dxa"/>
            <w:vAlign w:val="center"/>
          </w:tcPr>
          <w:p w14:paraId="53C1421C" w14:textId="77777777" w:rsidR="001F7525" w:rsidRPr="00EE76B9" w:rsidRDefault="001F7525" w:rsidP="001F7525">
            <w:pPr>
              <w:jc w:val="center"/>
              <w:rPr>
                <w:rStyle w:val="IntenseReference"/>
              </w:rPr>
            </w:pPr>
            <w:r w:rsidRPr="00EE76B9">
              <w:rPr>
                <w:rStyle w:val="IntenseReference"/>
              </w:rPr>
              <w:t>2007-2018</w:t>
            </w:r>
          </w:p>
        </w:tc>
      </w:tr>
      <w:tr w:rsidR="001F7525" w:rsidRPr="00CE4E0F" w14:paraId="53C14222" w14:textId="77777777" w:rsidTr="00D85D4E">
        <w:trPr>
          <w:trHeight w:hRule="exact" w:val="340"/>
        </w:trPr>
        <w:tc>
          <w:tcPr>
            <w:tcW w:w="1413" w:type="dxa"/>
            <w:vAlign w:val="center"/>
          </w:tcPr>
          <w:p w14:paraId="53C1421E" w14:textId="77777777" w:rsidR="001F7525" w:rsidRPr="00EE76B9" w:rsidRDefault="001F7525" w:rsidP="001F7525">
            <w:pPr>
              <w:jc w:val="center"/>
              <w:rPr>
                <w:rStyle w:val="IntenseReference"/>
              </w:rPr>
            </w:pPr>
            <w:r w:rsidRPr="00EE76B9">
              <w:rPr>
                <w:rStyle w:val="IntenseReference"/>
              </w:rPr>
              <w:t>Tully</w:t>
            </w:r>
          </w:p>
        </w:tc>
        <w:tc>
          <w:tcPr>
            <w:tcW w:w="1559" w:type="dxa"/>
            <w:vAlign w:val="center"/>
          </w:tcPr>
          <w:p w14:paraId="53C1421F" w14:textId="77777777" w:rsidR="001F7525" w:rsidRPr="00EE76B9" w:rsidRDefault="001F7525" w:rsidP="001F7525">
            <w:pPr>
              <w:jc w:val="center"/>
              <w:rPr>
                <w:rStyle w:val="IntenseReference"/>
              </w:rPr>
            </w:pPr>
            <w:r w:rsidRPr="00EE76B9">
              <w:rPr>
                <w:rStyle w:val="IntenseReference"/>
              </w:rPr>
              <w:t>113006A</w:t>
            </w:r>
          </w:p>
        </w:tc>
        <w:tc>
          <w:tcPr>
            <w:tcW w:w="3827" w:type="dxa"/>
            <w:vAlign w:val="center"/>
          </w:tcPr>
          <w:p w14:paraId="53C14220" w14:textId="77777777" w:rsidR="001F7525" w:rsidRPr="00EE76B9" w:rsidRDefault="001F7525" w:rsidP="001F7525">
            <w:pPr>
              <w:jc w:val="center"/>
              <w:rPr>
                <w:rStyle w:val="IntenseReference"/>
              </w:rPr>
            </w:pPr>
            <w:r w:rsidRPr="00EE76B9">
              <w:rPr>
                <w:rStyle w:val="IntenseReference"/>
              </w:rPr>
              <w:t>Tully River at Euramo</w:t>
            </w:r>
          </w:p>
        </w:tc>
        <w:tc>
          <w:tcPr>
            <w:tcW w:w="2835" w:type="dxa"/>
            <w:vAlign w:val="center"/>
          </w:tcPr>
          <w:p w14:paraId="53C14221" w14:textId="77777777" w:rsidR="001F7525" w:rsidRPr="00EE76B9" w:rsidRDefault="001F7525" w:rsidP="001F7525">
            <w:pPr>
              <w:jc w:val="center"/>
              <w:rPr>
                <w:rStyle w:val="IntenseReference"/>
              </w:rPr>
            </w:pPr>
            <w:r w:rsidRPr="00EE76B9">
              <w:rPr>
                <w:rStyle w:val="IntenseReference"/>
              </w:rPr>
              <w:t>2007-2018</w:t>
            </w:r>
          </w:p>
        </w:tc>
      </w:tr>
      <w:tr w:rsidR="001F7525" w:rsidRPr="00CE4E0F" w14:paraId="53C14227" w14:textId="77777777" w:rsidTr="00D85D4E">
        <w:trPr>
          <w:trHeight w:hRule="exact" w:val="340"/>
        </w:trPr>
        <w:tc>
          <w:tcPr>
            <w:tcW w:w="1413" w:type="dxa"/>
            <w:vAlign w:val="center"/>
          </w:tcPr>
          <w:p w14:paraId="53C14223" w14:textId="77777777" w:rsidR="001F7525" w:rsidRPr="00EE76B9" w:rsidRDefault="001F7525" w:rsidP="001F7525">
            <w:pPr>
              <w:jc w:val="center"/>
              <w:rPr>
                <w:rStyle w:val="IntenseReference"/>
              </w:rPr>
            </w:pPr>
            <w:r w:rsidRPr="00EE76B9">
              <w:rPr>
                <w:rStyle w:val="IntenseReference"/>
              </w:rPr>
              <w:t>Burdekin</w:t>
            </w:r>
          </w:p>
        </w:tc>
        <w:tc>
          <w:tcPr>
            <w:tcW w:w="1559" w:type="dxa"/>
            <w:vAlign w:val="center"/>
          </w:tcPr>
          <w:p w14:paraId="53C14224" w14:textId="77777777" w:rsidR="001F7525" w:rsidRPr="00EE76B9" w:rsidRDefault="001F7525" w:rsidP="001F7525">
            <w:pPr>
              <w:jc w:val="center"/>
              <w:rPr>
                <w:rStyle w:val="IntenseReference"/>
              </w:rPr>
            </w:pPr>
            <w:r w:rsidRPr="00EE76B9">
              <w:rPr>
                <w:rStyle w:val="IntenseReference"/>
              </w:rPr>
              <w:t>120001A</w:t>
            </w:r>
          </w:p>
        </w:tc>
        <w:tc>
          <w:tcPr>
            <w:tcW w:w="3827" w:type="dxa"/>
            <w:vAlign w:val="center"/>
          </w:tcPr>
          <w:p w14:paraId="53C14225" w14:textId="77777777" w:rsidR="001F7525" w:rsidRPr="00EE76B9" w:rsidRDefault="001F7525" w:rsidP="001F7525">
            <w:pPr>
              <w:jc w:val="center"/>
              <w:rPr>
                <w:rStyle w:val="IntenseReference"/>
              </w:rPr>
            </w:pPr>
            <w:r w:rsidRPr="00EE76B9">
              <w:rPr>
                <w:rStyle w:val="IntenseReference"/>
              </w:rPr>
              <w:t>Burdekin River at Home Hill</w:t>
            </w:r>
          </w:p>
        </w:tc>
        <w:tc>
          <w:tcPr>
            <w:tcW w:w="2835" w:type="dxa"/>
            <w:vAlign w:val="center"/>
          </w:tcPr>
          <w:p w14:paraId="53C14226" w14:textId="77777777" w:rsidR="001F7525" w:rsidRPr="00EE76B9" w:rsidRDefault="001F7525" w:rsidP="001F7525">
            <w:pPr>
              <w:jc w:val="center"/>
              <w:rPr>
                <w:rStyle w:val="IntenseReference"/>
              </w:rPr>
            </w:pPr>
            <w:r w:rsidRPr="00EE76B9">
              <w:rPr>
                <w:rStyle w:val="IntenseReference"/>
              </w:rPr>
              <w:t>2007-2018</w:t>
            </w:r>
          </w:p>
        </w:tc>
      </w:tr>
      <w:tr w:rsidR="001F7525" w:rsidRPr="00CE4E0F" w14:paraId="53C1422C" w14:textId="77777777" w:rsidTr="00D85D4E">
        <w:trPr>
          <w:trHeight w:hRule="exact" w:val="340"/>
        </w:trPr>
        <w:tc>
          <w:tcPr>
            <w:tcW w:w="1413" w:type="dxa"/>
            <w:vAlign w:val="center"/>
          </w:tcPr>
          <w:p w14:paraId="53C14228" w14:textId="77777777" w:rsidR="001F7525" w:rsidRPr="00EE76B9" w:rsidRDefault="001F7525" w:rsidP="001F7525">
            <w:pPr>
              <w:jc w:val="center"/>
              <w:rPr>
                <w:rStyle w:val="IntenseReference"/>
              </w:rPr>
            </w:pPr>
            <w:r w:rsidRPr="00EE76B9">
              <w:rPr>
                <w:rStyle w:val="IntenseReference"/>
              </w:rPr>
              <w:t>Pioneer</w:t>
            </w:r>
          </w:p>
        </w:tc>
        <w:tc>
          <w:tcPr>
            <w:tcW w:w="1559" w:type="dxa"/>
            <w:vAlign w:val="center"/>
          </w:tcPr>
          <w:p w14:paraId="53C14229" w14:textId="77777777" w:rsidR="001F7525" w:rsidRPr="00EE76B9" w:rsidRDefault="001F7525" w:rsidP="001F7525">
            <w:pPr>
              <w:jc w:val="center"/>
              <w:rPr>
                <w:rStyle w:val="IntenseReference"/>
              </w:rPr>
            </w:pPr>
            <w:r w:rsidRPr="00EE76B9">
              <w:rPr>
                <w:rStyle w:val="IntenseReference"/>
              </w:rPr>
              <w:t>125013A</w:t>
            </w:r>
          </w:p>
        </w:tc>
        <w:tc>
          <w:tcPr>
            <w:tcW w:w="3827" w:type="dxa"/>
            <w:vAlign w:val="center"/>
          </w:tcPr>
          <w:p w14:paraId="53C1422A" w14:textId="77777777" w:rsidR="001F7525" w:rsidRPr="00EE76B9" w:rsidRDefault="001F7525" w:rsidP="001F7525">
            <w:pPr>
              <w:jc w:val="center"/>
              <w:rPr>
                <w:rStyle w:val="IntenseReference"/>
              </w:rPr>
            </w:pPr>
            <w:r w:rsidRPr="00EE76B9">
              <w:rPr>
                <w:rStyle w:val="IntenseReference"/>
              </w:rPr>
              <w:t>Pioneer River at Dumbleton Pump Station</w:t>
            </w:r>
          </w:p>
        </w:tc>
        <w:tc>
          <w:tcPr>
            <w:tcW w:w="2835" w:type="dxa"/>
            <w:vAlign w:val="center"/>
          </w:tcPr>
          <w:p w14:paraId="53C1422B" w14:textId="77777777" w:rsidR="001F7525" w:rsidRPr="00EE76B9" w:rsidRDefault="001F7525" w:rsidP="001F7525">
            <w:pPr>
              <w:jc w:val="center"/>
              <w:rPr>
                <w:rStyle w:val="IntenseReference"/>
              </w:rPr>
            </w:pPr>
            <w:r w:rsidRPr="00EE76B9">
              <w:rPr>
                <w:rStyle w:val="IntenseReference"/>
              </w:rPr>
              <w:t>2007-2018</w:t>
            </w:r>
          </w:p>
        </w:tc>
      </w:tr>
      <w:tr w:rsidR="001F7525" w:rsidRPr="00CE4E0F" w14:paraId="53C14231" w14:textId="77777777" w:rsidTr="00D85D4E">
        <w:trPr>
          <w:trHeight w:hRule="exact" w:val="340"/>
        </w:trPr>
        <w:tc>
          <w:tcPr>
            <w:tcW w:w="1413" w:type="dxa"/>
            <w:vAlign w:val="center"/>
          </w:tcPr>
          <w:p w14:paraId="53C1422D" w14:textId="77777777" w:rsidR="001F7525" w:rsidRPr="00EE76B9" w:rsidRDefault="001F7525" w:rsidP="001F7525">
            <w:pPr>
              <w:jc w:val="center"/>
              <w:rPr>
                <w:rStyle w:val="IntenseReference"/>
              </w:rPr>
            </w:pPr>
            <w:r w:rsidRPr="00EE76B9">
              <w:rPr>
                <w:rStyle w:val="IntenseReference"/>
              </w:rPr>
              <w:t>Fitzroy</w:t>
            </w:r>
          </w:p>
        </w:tc>
        <w:tc>
          <w:tcPr>
            <w:tcW w:w="1559" w:type="dxa"/>
            <w:vAlign w:val="center"/>
          </w:tcPr>
          <w:p w14:paraId="53C1422E" w14:textId="77777777" w:rsidR="001F7525" w:rsidRPr="00EE76B9" w:rsidRDefault="001F7525" w:rsidP="001F7525">
            <w:pPr>
              <w:jc w:val="center"/>
              <w:rPr>
                <w:rStyle w:val="IntenseReference"/>
              </w:rPr>
            </w:pPr>
            <w:r w:rsidRPr="00EE76B9">
              <w:rPr>
                <w:rStyle w:val="IntenseReference"/>
              </w:rPr>
              <w:t>1300000</w:t>
            </w:r>
          </w:p>
        </w:tc>
        <w:tc>
          <w:tcPr>
            <w:tcW w:w="3827" w:type="dxa"/>
            <w:vAlign w:val="center"/>
          </w:tcPr>
          <w:p w14:paraId="53C1422F" w14:textId="77777777" w:rsidR="001F7525" w:rsidRPr="00EE76B9" w:rsidRDefault="001F7525" w:rsidP="001F7525">
            <w:pPr>
              <w:jc w:val="center"/>
              <w:rPr>
                <w:rStyle w:val="IntenseReference"/>
              </w:rPr>
            </w:pPr>
            <w:r w:rsidRPr="00EE76B9">
              <w:rPr>
                <w:rStyle w:val="IntenseReference"/>
              </w:rPr>
              <w:t>Fitzroy River at Rockhampton</w:t>
            </w:r>
          </w:p>
        </w:tc>
        <w:tc>
          <w:tcPr>
            <w:tcW w:w="2835" w:type="dxa"/>
            <w:vAlign w:val="center"/>
          </w:tcPr>
          <w:p w14:paraId="53C14230" w14:textId="77777777" w:rsidR="001F7525" w:rsidRPr="00EE76B9" w:rsidRDefault="001F7525" w:rsidP="001F7525">
            <w:pPr>
              <w:jc w:val="center"/>
              <w:rPr>
                <w:rStyle w:val="IntenseReference"/>
              </w:rPr>
            </w:pPr>
            <w:r w:rsidRPr="00EE76B9">
              <w:rPr>
                <w:rStyle w:val="IntenseReference"/>
              </w:rPr>
              <w:t>2007-2018</w:t>
            </w:r>
          </w:p>
        </w:tc>
      </w:tr>
    </w:tbl>
    <w:p w14:paraId="53C14232" w14:textId="77777777" w:rsidR="00EE76B9" w:rsidRDefault="00EE76B9" w:rsidP="00EE76B9">
      <w:bookmarkStart w:id="587" w:name="_Ref30596521"/>
    </w:p>
    <w:p w14:paraId="53C14233" w14:textId="2FB93F46" w:rsidR="001F7525" w:rsidRDefault="00D85D4E" w:rsidP="002B5296">
      <w:pPr>
        <w:pStyle w:val="Caption"/>
      </w:pPr>
      <w:bookmarkStart w:id="588" w:name="_Ref35855234"/>
      <w:bookmarkStart w:id="589" w:name="_Toc35519351"/>
      <w:r>
        <w:t xml:space="preserve">Table A </w:t>
      </w:r>
      <w:r>
        <w:fldChar w:fldCharType="begin"/>
      </w:r>
      <w:r>
        <w:instrText xml:space="preserve"> SEQ Table_A \* ARABIC </w:instrText>
      </w:r>
      <w:r>
        <w:fldChar w:fldCharType="separate"/>
      </w:r>
      <w:r w:rsidR="003053D1">
        <w:rPr>
          <w:noProof/>
        </w:rPr>
        <w:t>3</w:t>
      </w:r>
      <w:r>
        <w:fldChar w:fldCharType="end"/>
      </w:r>
      <w:bookmarkEnd w:id="587"/>
      <w:bookmarkEnd w:id="588"/>
      <w:r>
        <w:t xml:space="preserve"> </w:t>
      </w:r>
      <w:r w:rsidRPr="00CE4E0F">
        <w:t>Temperature loggers used</w:t>
      </w:r>
      <w:bookmarkEnd w:id="58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20" w:firstRow="1" w:lastRow="0" w:firstColumn="0" w:lastColumn="0" w:noHBand="1" w:noVBand="1"/>
        <w:tblCaption w:val="Table 2 Temperature loggers used"/>
        <w:tblDescription w:val="Model and settings of temperature loggers used over the duration of the program"/>
      </w:tblPr>
      <w:tblGrid>
        <w:gridCol w:w="4825"/>
        <w:gridCol w:w="2401"/>
        <w:gridCol w:w="2403"/>
      </w:tblGrid>
      <w:tr w:rsidR="00D85D4E" w:rsidRPr="00CE4E0F" w14:paraId="53C14237" w14:textId="77777777" w:rsidTr="00D85D4E">
        <w:trPr>
          <w:trHeight w:hRule="exact" w:val="340"/>
        </w:trPr>
        <w:tc>
          <w:tcPr>
            <w:tcW w:w="2505" w:type="pct"/>
            <w:shd w:val="clear" w:color="auto" w:fill="F2F2F2" w:themeFill="background1" w:themeFillShade="F2"/>
            <w:vAlign w:val="center"/>
          </w:tcPr>
          <w:p w14:paraId="53C14234" w14:textId="77777777" w:rsidR="00D85D4E" w:rsidRPr="00EE76B9" w:rsidRDefault="00D85D4E" w:rsidP="00D85D4E">
            <w:pPr>
              <w:jc w:val="center"/>
              <w:rPr>
                <w:rStyle w:val="IntenseReference"/>
              </w:rPr>
            </w:pPr>
            <w:bookmarkStart w:id="590" w:name="_Hlk30495027"/>
            <w:r w:rsidRPr="00EE76B9">
              <w:rPr>
                <w:rStyle w:val="IntenseReference"/>
              </w:rPr>
              <w:t>Temperature Logger Model (Supplier)</w:t>
            </w:r>
          </w:p>
        </w:tc>
        <w:tc>
          <w:tcPr>
            <w:tcW w:w="1247" w:type="pct"/>
            <w:shd w:val="clear" w:color="auto" w:fill="F2F2F2" w:themeFill="background1" w:themeFillShade="F2"/>
            <w:vAlign w:val="center"/>
          </w:tcPr>
          <w:p w14:paraId="53C14235" w14:textId="77777777" w:rsidR="00D85D4E" w:rsidRPr="00EE76B9" w:rsidRDefault="00D85D4E" w:rsidP="00D85D4E">
            <w:pPr>
              <w:jc w:val="center"/>
              <w:rPr>
                <w:rStyle w:val="IntenseReference"/>
              </w:rPr>
            </w:pPr>
            <w:r w:rsidRPr="00EE76B9">
              <w:rPr>
                <w:rStyle w:val="IntenseReference"/>
              </w:rPr>
              <w:t>Deployment period</w:t>
            </w:r>
          </w:p>
        </w:tc>
        <w:tc>
          <w:tcPr>
            <w:tcW w:w="1248" w:type="pct"/>
            <w:shd w:val="clear" w:color="auto" w:fill="F2F2F2" w:themeFill="background1" w:themeFillShade="F2"/>
            <w:vAlign w:val="center"/>
          </w:tcPr>
          <w:p w14:paraId="53C14236" w14:textId="77777777" w:rsidR="00D85D4E" w:rsidRPr="00EE76B9" w:rsidRDefault="00D85D4E" w:rsidP="00D85D4E">
            <w:pPr>
              <w:jc w:val="center"/>
              <w:rPr>
                <w:rStyle w:val="IntenseReference"/>
              </w:rPr>
            </w:pPr>
            <w:r w:rsidRPr="00EE76B9">
              <w:rPr>
                <w:rStyle w:val="IntenseReference"/>
              </w:rPr>
              <w:t>Recording frequency (mins)</w:t>
            </w:r>
          </w:p>
        </w:tc>
      </w:tr>
      <w:tr w:rsidR="00D85D4E" w:rsidRPr="00CE4E0F" w14:paraId="53C1423B" w14:textId="77777777" w:rsidTr="00D85D4E">
        <w:trPr>
          <w:trHeight w:hRule="exact" w:val="340"/>
        </w:trPr>
        <w:tc>
          <w:tcPr>
            <w:tcW w:w="2505" w:type="pct"/>
            <w:vAlign w:val="center"/>
          </w:tcPr>
          <w:p w14:paraId="53C14238" w14:textId="77777777" w:rsidR="00D85D4E" w:rsidRPr="00EE76B9" w:rsidRDefault="00D85D4E" w:rsidP="00D85D4E">
            <w:pPr>
              <w:jc w:val="center"/>
              <w:rPr>
                <w:rStyle w:val="IntenseReference"/>
              </w:rPr>
            </w:pPr>
            <w:r w:rsidRPr="00EE76B9">
              <w:rPr>
                <w:rStyle w:val="IntenseReference"/>
              </w:rPr>
              <w:t>‘392’ and ‘Odyssey’ (Dataflow System)</w:t>
            </w:r>
          </w:p>
        </w:tc>
        <w:tc>
          <w:tcPr>
            <w:tcW w:w="1247" w:type="pct"/>
            <w:vAlign w:val="center"/>
          </w:tcPr>
          <w:p w14:paraId="53C14239" w14:textId="77777777" w:rsidR="00D85D4E" w:rsidRPr="00EE76B9" w:rsidRDefault="00D85D4E" w:rsidP="00D85D4E">
            <w:pPr>
              <w:jc w:val="center"/>
              <w:rPr>
                <w:rStyle w:val="IntenseReference"/>
              </w:rPr>
            </w:pPr>
            <w:r w:rsidRPr="00EE76B9">
              <w:rPr>
                <w:rStyle w:val="IntenseReference"/>
              </w:rPr>
              <w:t>2005 to 2008.</w:t>
            </w:r>
          </w:p>
        </w:tc>
        <w:tc>
          <w:tcPr>
            <w:tcW w:w="1248" w:type="pct"/>
            <w:vAlign w:val="center"/>
          </w:tcPr>
          <w:p w14:paraId="53C1423A" w14:textId="77777777" w:rsidR="00D85D4E" w:rsidRPr="00EE76B9" w:rsidRDefault="00D85D4E" w:rsidP="00D85D4E">
            <w:pPr>
              <w:jc w:val="center"/>
              <w:rPr>
                <w:rStyle w:val="IntenseReference"/>
              </w:rPr>
            </w:pPr>
            <w:r w:rsidRPr="00EE76B9">
              <w:rPr>
                <w:rStyle w:val="IntenseReference"/>
              </w:rPr>
              <w:t>30</w:t>
            </w:r>
          </w:p>
        </w:tc>
      </w:tr>
      <w:tr w:rsidR="00D85D4E" w:rsidRPr="00CE4E0F" w14:paraId="53C1423F" w14:textId="77777777" w:rsidTr="00D85D4E">
        <w:trPr>
          <w:trHeight w:hRule="exact" w:val="340"/>
        </w:trPr>
        <w:tc>
          <w:tcPr>
            <w:tcW w:w="2505" w:type="pct"/>
            <w:vAlign w:val="center"/>
          </w:tcPr>
          <w:p w14:paraId="53C1423C" w14:textId="77777777" w:rsidR="00D85D4E" w:rsidRPr="00EE76B9" w:rsidRDefault="00D85D4E" w:rsidP="00D85D4E">
            <w:pPr>
              <w:jc w:val="center"/>
              <w:rPr>
                <w:rStyle w:val="IntenseReference"/>
              </w:rPr>
            </w:pPr>
            <w:r w:rsidRPr="00EE76B9">
              <w:rPr>
                <w:rStyle w:val="IntenseReference"/>
              </w:rPr>
              <w:t>‘Sensus Ultra’ (ReefNet)</w:t>
            </w:r>
          </w:p>
        </w:tc>
        <w:tc>
          <w:tcPr>
            <w:tcW w:w="1247" w:type="pct"/>
            <w:vAlign w:val="center"/>
          </w:tcPr>
          <w:p w14:paraId="53C1423D" w14:textId="77777777" w:rsidR="00D85D4E" w:rsidRPr="00EE76B9" w:rsidRDefault="00D85D4E" w:rsidP="00D85D4E">
            <w:pPr>
              <w:jc w:val="center"/>
              <w:rPr>
                <w:rStyle w:val="IntenseReference"/>
              </w:rPr>
            </w:pPr>
            <w:r w:rsidRPr="00EE76B9">
              <w:rPr>
                <w:rStyle w:val="IntenseReference"/>
              </w:rPr>
              <w:t>2008 to 2017</w:t>
            </w:r>
          </w:p>
        </w:tc>
        <w:tc>
          <w:tcPr>
            <w:tcW w:w="1248" w:type="pct"/>
            <w:vAlign w:val="center"/>
          </w:tcPr>
          <w:p w14:paraId="53C1423E" w14:textId="77777777" w:rsidR="00D85D4E" w:rsidRPr="00EE76B9" w:rsidRDefault="00D85D4E" w:rsidP="00D85D4E">
            <w:pPr>
              <w:jc w:val="center"/>
              <w:rPr>
                <w:rStyle w:val="IntenseReference"/>
              </w:rPr>
            </w:pPr>
            <w:r w:rsidRPr="00EE76B9">
              <w:rPr>
                <w:rStyle w:val="IntenseReference"/>
              </w:rPr>
              <w:t>10</w:t>
            </w:r>
          </w:p>
        </w:tc>
      </w:tr>
      <w:tr w:rsidR="00D85D4E" w:rsidRPr="00CE4E0F" w14:paraId="53C14243" w14:textId="77777777" w:rsidTr="00D85D4E">
        <w:trPr>
          <w:trHeight w:hRule="exact" w:val="340"/>
        </w:trPr>
        <w:tc>
          <w:tcPr>
            <w:tcW w:w="2505" w:type="pct"/>
            <w:vAlign w:val="center"/>
          </w:tcPr>
          <w:p w14:paraId="53C14240" w14:textId="77777777" w:rsidR="00D85D4E" w:rsidRPr="00EE76B9" w:rsidRDefault="00D85D4E" w:rsidP="00D85D4E">
            <w:pPr>
              <w:jc w:val="center"/>
              <w:rPr>
                <w:rStyle w:val="IntenseReference"/>
              </w:rPr>
            </w:pPr>
            <w:r w:rsidRPr="00EE76B9">
              <w:rPr>
                <w:rStyle w:val="IntenseReference"/>
              </w:rPr>
              <w:t>‘Vemco Minilog-II-T’ (Vemco)</w:t>
            </w:r>
          </w:p>
        </w:tc>
        <w:tc>
          <w:tcPr>
            <w:tcW w:w="1247" w:type="pct"/>
            <w:vAlign w:val="center"/>
          </w:tcPr>
          <w:p w14:paraId="53C14241" w14:textId="77777777" w:rsidR="00D85D4E" w:rsidRPr="00EE76B9" w:rsidRDefault="00D85D4E" w:rsidP="00D85D4E">
            <w:pPr>
              <w:jc w:val="center"/>
              <w:rPr>
                <w:rStyle w:val="IntenseReference"/>
              </w:rPr>
            </w:pPr>
            <w:r w:rsidRPr="00EE76B9">
              <w:rPr>
                <w:rStyle w:val="IntenseReference"/>
              </w:rPr>
              <w:t>2015 onward</w:t>
            </w:r>
          </w:p>
        </w:tc>
        <w:tc>
          <w:tcPr>
            <w:tcW w:w="1248" w:type="pct"/>
            <w:vAlign w:val="center"/>
          </w:tcPr>
          <w:p w14:paraId="53C14242" w14:textId="77777777" w:rsidR="00D85D4E" w:rsidRPr="00EE76B9" w:rsidRDefault="00D85D4E" w:rsidP="00D85D4E">
            <w:pPr>
              <w:jc w:val="center"/>
              <w:rPr>
                <w:rStyle w:val="IntenseReference"/>
              </w:rPr>
            </w:pPr>
            <w:r w:rsidRPr="00EE76B9">
              <w:rPr>
                <w:rStyle w:val="IntenseReference"/>
              </w:rPr>
              <w:t>10</w:t>
            </w:r>
          </w:p>
        </w:tc>
      </w:tr>
      <w:bookmarkEnd w:id="590"/>
    </w:tbl>
    <w:p w14:paraId="53C14244" w14:textId="77777777" w:rsidR="00EE76B9" w:rsidRDefault="00EE76B9" w:rsidP="001F7525">
      <w:pPr>
        <w:rPr>
          <w:lang w:val="en-GB"/>
        </w:rPr>
      </w:pPr>
    </w:p>
    <w:p w14:paraId="53C14245" w14:textId="77777777" w:rsidR="00EE76B9" w:rsidRDefault="00EE76B9">
      <w:pPr>
        <w:jc w:val="left"/>
        <w:rPr>
          <w:lang w:val="en-GB"/>
        </w:rPr>
      </w:pPr>
      <w:r>
        <w:rPr>
          <w:lang w:val="en-GB"/>
        </w:rPr>
        <w:br w:type="page"/>
      </w:r>
    </w:p>
    <w:p w14:paraId="53C14246" w14:textId="3D460DE2" w:rsidR="00A84742" w:rsidRPr="00681C29" w:rsidRDefault="00A84742" w:rsidP="002B5296">
      <w:pPr>
        <w:pStyle w:val="Caption"/>
      </w:pPr>
      <w:bookmarkStart w:id="591" w:name="_Ref30600116"/>
      <w:bookmarkStart w:id="592" w:name="_Toc35519352"/>
      <w:r w:rsidRPr="00681C29">
        <w:lastRenderedPageBreak/>
        <w:t xml:space="preserve">Table A </w:t>
      </w:r>
      <w:r w:rsidR="005D7AC6" w:rsidRPr="00681C29">
        <w:rPr>
          <w:noProof/>
        </w:rPr>
        <w:fldChar w:fldCharType="begin"/>
      </w:r>
      <w:r w:rsidR="005D7AC6" w:rsidRPr="00681C29">
        <w:rPr>
          <w:noProof/>
        </w:rPr>
        <w:instrText xml:space="preserve"> SEQ Table_A \* ARABIC </w:instrText>
      </w:r>
      <w:r w:rsidR="005D7AC6" w:rsidRPr="00681C29">
        <w:rPr>
          <w:noProof/>
        </w:rPr>
        <w:fldChar w:fldCharType="separate"/>
      </w:r>
      <w:r w:rsidR="003053D1">
        <w:rPr>
          <w:noProof/>
        </w:rPr>
        <w:t>4</w:t>
      </w:r>
      <w:r w:rsidR="005D7AC6" w:rsidRPr="00681C29">
        <w:rPr>
          <w:noProof/>
        </w:rPr>
        <w:fldChar w:fldCharType="end"/>
      </w:r>
      <w:bookmarkEnd w:id="574"/>
      <w:bookmarkEnd w:id="591"/>
      <w:r w:rsidRPr="00681C29">
        <w:t xml:space="preserve"> Thresholds for proportion of macroalgae in the algae communities</w:t>
      </w:r>
      <w:bookmarkEnd w:id="575"/>
      <w:bookmarkEnd w:id="576"/>
      <w:r w:rsidRPr="00681C29">
        <w:t>.</w:t>
      </w:r>
      <w:bookmarkEnd w:id="592"/>
    </w:p>
    <w:tbl>
      <w:tblPr>
        <w:tblStyle w:val="TableGrid"/>
        <w:tblW w:w="0" w:type="auto"/>
        <w:tblInd w:w="108" w:type="dxa"/>
        <w:tblLook w:val="04A0" w:firstRow="1" w:lastRow="0" w:firstColumn="1" w:lastColumn="0" w:noHBand="0" w:noVBand="1"/>
        <w:tblCaption w:val="Table A 1 Thresholds for proportion of macroalgae in the algae communities"/>
        <w:tblDescription w:val="a table of the upper and lower thresholds used for scoring the macroalgae metric at each reef and depth."/>
      </w:tblPr>
      <w:tblGrid>
        <w:gridCol w:w="1486"/>
        <w:gridCol w:w="694"/>
        <w:gridCol w:w="694"/>
        <w:gridCol w:w="694"/>
        <w:gridCol w:w="701"/>
        <w:gridCol w:w="267"/>
        <w:gridCol w:w="1560"/>
        <w:gridCol w:w="708"/>
        <w:gridCol w:w="709"/>
        <w:gridCol w:w="709"/>
        <w:gridCol w:w="709"/>
      </w:tblGrid>
      <w:tr w:rsidR="00CE4E0F" w:rsidRPr="00681C29" w14:paraId="53C1424E" w14:textId="77777777" w:rsidTr="00D85D4E">
        <w:trPr>
          <w:cantSplit/>
          <w:trHeight w:hRule="exact" w:val="284"/>
          <w:tblHeader/>
        </w:trPr>
        <w:tc>
          <w:tcPr>
            <w:tcW w:w="1486"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bookmarkEnd w:id="577"/>
          <w:bookmarkEnd w:id="578"/>
          <w:bookmarkEnd w:id="579"/>
          <w:bookmarkEnd w:id="580"/>
          <w:bookmarkEnd w:id="581"/>
          <w:bookmarkEnd w:id="582"/>
          <w:bookmarkEnd w:id="583"/>
          <w:p w14:paraId="53C14247" w14:textId="77777777" w:rsidR="00A84742" w:rsidRPr="00681C29" w:rsidRDefault="00A84742" w:rsidP="00A84742">
            <w:pPr>
              <w:jc w:val="center"/>
              <w:rPr>
                <w:rFonts w:ascii="Arial Narrow" w:hAnsi="Arial Narrow"/>
                <w:lang w:eastAsia="zh-CN"/>
              </w:rPr>
            </w:pPr>
            <w:r w:rsidRPr="00681C29">
              <w:rPr>
                <w:rFonts w:ascii="Arial Narrow" w:hAnsi="Arial Narrow"/>
              </w:rPr>
              <w:t>Reef</w:t>
            </w:r>
          </w:p>
        </w:tc>
        <w:tc>
          <w:tcPr>
            <w:tcW w:w="138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53C14248" w14:textId="77777777" w:rsidR="00A84742" w:rsidRPr="00681C29" w:rsidRDefault="00A84742" w:rsidP="00A84742">
            <w:pPr>
              <w:jc w:val="center"/>
              <w:rPr>
                <w:rFonts w:ascii="Arial Narrow" w:hAnsi="Arial Narrow"/>
                <w:lang w:eastAsia="zh-CN"/>
              </w:rPr>
            </w:pPr>
            <w:r w:rsidRPr="00681C29">
              <w:rPr>
                <w:rFonts w:ascii="Arial Narrow" w:hAnsi="Arial Narrow"/>
              </w:rPr>
              <w:t>2 m Depth</w:t>
            </w:r>
          </w:p>
        </w:tc>
        <w:tc>
          <w:tcPr>
            <w:tcW w:w="139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53C14249" w14:textId="77777777" w:rsidR="00A84742" w:rsidRPr="00681C29" w:rsidRDefault="00A84742" w:rsidP="00A84742">
            <w:pPr>
              <w:jc w:val="center"/>
              <w:rPr>
                <w:rFonts w:ascii="Arial Narrow" w:hAnsi="Arial Narrow"/>
                <w:lang w:eastAsia="zh-CN"/>
              </w:rPr>
            </w:pPr>
            <w:r w:rsidRPr="00681C29">
              <w:rPr>
                <w:rFonts w:ascii="Arial Narrow" w:hAnsi="Arial Narrow"/>
              </w:rPr>
              <w:t>5 m Depth</w:t>
            </w:r>
          </w:p>
        </w:tc>
        <w:tc>
          <w:tcPr>
            <w:tcW w:w="267" w:type="dxa"/>
            <w:tcBorders>
              <w:top w:val="single" w:sz="4" w:space="0" w:color="auto"/>
              <w:left w:val="single" w:sz="4" w:space="0" w:color="auto"/>
              <w:bottom w:val="nil"/>
              <w:right w:val="single" w:sz="4" w:space="0" w:color="auto"/>
            </w:tcBorders>
            <w:noWrap/>
            <w:vAlign w:val="center"/>
          </w:tcPr>
          <w:p w14:paraId="53C1424A" w14:textId="77777777" w:rsidR="00A84742" w:rsidRPr="00681C29" w:rsidRDefault="00A84742" w:rsidP="00A84742">
            <w:pPr>
              <w:jc w:val="center"/>
              <w:rPr>
                <w:rFonts w:ascii="Arial Narrow" w:hAnsi="Arial Narrow"/>
                <w:lang w:eastAsia="zh-CN"/>
              </w:rPr>
            </w:pPr>
          </w:p>
        </w:tc>
        <w:tc>
          <w:tcPr>
            <w:tcW w:w="156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53C1424B" w14:textId="77777777" w:rsidR="00A84742" w:rsidRPr="00681C29" w:rsidRDefault="00A84742" w:rsidP="00A84742">
            <w:pPr>
              <w:jc w:val="center"/>
              <w:rPr>
                <w:rFonts w:ascii="Arial Narrow" w:hAnsi="Arial Narrow"/>
                <w:lang w:eastAsia="zh-CN"/>
              </w:rPr>
            </w:pPr>
            <w:r w:rsidRPr="00681C29">
              <w:rPr>
                <w:rFonts w:ascii="Arial Narrow" w:hAnsi="Arial Narrow"/>
              </w:rPr>
              <w:t>Reef</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53C1424C" w14:textId="77777777" w:rsidR="00A84742" w:rsidRPr="00681C29" w:rsidRDefault="00A84742" w:rsidP="00A84742">
            <w:pPr>
              <w:jc w:val="center"/>
              <w:rPr>
                <w:rFonts w:ascii="Arial Narrow" w:hAnsi="Arial Narrow"/>
                <w:lang w:eastAsia="zh-CN"/>
              </w:rPr>
            </w:pPr>
            <w:r w:rsidRPr="00681C29">
              <w:rPr>
                <w:rFonts w:ascii="Arial Narrow" w:hAnsi="Arial Narrow"/>
              </w:rPr>
              <w:t>2 m Depth</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53C1424D" w14:textId="77777777" w:rsidR="00A84742" w:rsidRPr="00681C29" w:rsidRDefault="00A84742" w:rsidP="00A84742">
            <w:pPr>
              <w:jc w:val="center"/>
              <w:rPr>
                <w:rFonts w:ascii="Arial Narrow" w:hAnsi="Arial Narrow"/>
                <w:lang w:eastAsia="zh-CN"/>
              </w:rPr>
            </w:pPr>
            <w:r w:rsidRPr="00681C29">
              <w:rPr>
                <w:rFonts w:ascii="Arial Narrow" w:hAnsi="Arial Narrow"/>
              </w:rPr>
              <w:t>5 m Depth</w:t>
            </w:r>
          </w:p>
        </w:tc>
      </w:tr>
      <w:tr w:rsidR="00CE4E0F" w:rsidRPr="00681C29" w14:paraId="53C1425A" w14:textId="77777777" w:rsidTr="00D85D4E">
        <w:trPr>
          <w:cantSplit/>
          <w:trHeight w:hRule="exact" w:val="851"/>
          <w:tblHeader/>
        </w:trPr>
        <w:tc>
          <w:tcPr>
            <w:tcW w:w="1486"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C1424F" w14:textId="77777777" w:rsidR="00A84742" w:rsidRPr="00681C29" w:rsidRDefault="00A84742" w:rsidP="00A84742">
            <w:pPr>
              <w:rPr>
                <w:rFonts w:ascii="Arial Narrow" w:eastAsia="SimSun" w:hAnsi="Arial Narrow"/>
                <w:lang w:val="en-US" w:eastAsia="zh-CN"/>
              </w:rPr>
            </w:pPr>
          </w:p>
        </w:tc>
        <w:tc>
          <w:tcPr>
            <w:tcW w:w="694"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textDirection w:val="btLr"/>
            <w:hideMark/>
          </w:tcPr>
          <w:p w14:paraId="53C14250" w14:textId="77777777" w:rsidR="00A84742" w:rsidRPr="00681C29" w:rsidRDefault="00A84742" w:rsidP="00A84742">
            <w:pPr>
              <w:ind w:left="113" w:right="113"/>
              <w:rPr>
                <w:rFonts w:ascii="Arial Narrow" w:hAnsi="Arial Narrow"/>
                <w:lang w:eastAsia="zh-CN"/>
              </w:rPr>
            </w:pPr>
            <w:r w:rsidRPr="00681C29">
              <w:rPr>
                <w:rFonts w:ascii="Arial Narrow" w:hAnsi="Arial Narrow"/>
              </w:rPr>
              <w:t>Upper</w:t>
            </w:r>
          </w:p>
        </w:tc>
        <w:tc>
          <w:tcPr>
            <w:tcW w:w="694"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textDirection w:val="btLr"/>
            <w:hideMark/>
          </w:tcPr>
          <w:p w14:paraId="53C14251" w14:textId="77777777" w:rsidR="00A84742" w:rsidRPr="00681C29" w:rsidRDefault="00A84742" w:rsidP="00A84742">
            <w:pPr>
              <w:ind w:left="113" w:right="113"/>
              <w:rPr>
                <w:rFonts w:ascii="Arial Narrow" w:hAnsi="Arial Narrow"/>
                <w:lang w:eastAsia="zh-CN"/>
              </w:rPr>
            </w:pPr>
            <w:r w:rsidRPr="00681C29">
              <w:rPr>
                <w:rFonts w:ascii="Arial Narrow" w:hAnsi="Arial Narrow"/>
              </w:rPr>
              <w:t>Lower</w:t>
            </w:r>
          </w:p>
        </w:tc>
        <w:tc>
          <w:tcPr>
            <w:tcW w:w="694"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textDirection w:val="btLr"/>
            <w:hideMark/>
          </w:tcPr>
          <w:p w14:paraId="53C14252" w14:textId="77777777" w:rsidR="00A84742" w:rsidRPr="00681C29" w:rsidRDefault="00A84742" w:rsidP="00A84742">
            <w:pPr>
              <w:ind w:left="113" w:right="113"/>
              <w:rPr>
                <w:rFonts w:ascii="Arial Narrow" w:hAnsi="Arial Narrow"/>
                <w:lang w:eastAsia="zh-CN"/>
              </w:rPr>
            </w:pPr>
            <w:r w:rsidRPr="00681C29">
              <w:rPr>
                <w:rFonts w:ascii="Arial Narrow" w:hAnsi="Arial Narrow"/>
              </w:rPr>
              <w:t>Upper</w:t>
            </w:r>
          </w:p>
        </w:tc>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textDirection w:val="btLr"/>
            <w:hideMark/>
          </w:tcPr>
          <w:p w14:paraId="53C14253" w14:textId="77777777" w:rsidR="00A84742" w:rsidRPr="00681C29" w:rsidRDefault="00A84742" w:rsidP="00A84742">
            <w:pPr>
              <w:ind w:left="113" w:right="113"/>
              <w:rPr>
                <w:rFonts w:ascii="Arial Narrow" w:hAnsi="Arial Narrow"/>
                <w:lang w:eastAsia="zh-CN"/>
              </w:rPr>
            </w:pPr>
            <w:r w:rsidRPr="00681C29">
              <w:rPr>
                <w:rFonts w:ascii="Arial Narrow" w:hAnsi="Arial Narrow"/>
              </w:rPr>
              <w:t>Lower</w:t>
            </w:r>
          </w:p>
        </w:tc>
        <w:tc>
          <w:tcPr>
            <w:tcW w:w="267" w:type="dxa"/>
            <w:tcBorders>
              <w:top w:val="nil"/>
              <w:left w:val="single" w:sz="4" w:space="0" w:color="auto"/>
              <w:bottom w:val="nil"/>
              <w:right w:val="single" w:sz="4" w:space="0" w:color="auto"/>
            </w:tcBorders>
            <w:noWrap/>
            <w:hideMark/>
          </w:tcPr>
          <w:p w14:paraId="53C14254" w14:textId="77777777" w:rsidR="00A84742" w:rsidRPr="00681C29" w:rsidRDefault="00A84742" w:rsidP="00A84742">
            <w:pPr>
              <w:rPr>
                <w:rFonts w:ascii="Arial Narrow" w:hAnsi="Arial Narrow"/>
                <w:lang w:eastAsia="zh-CN"/>
              </w:rPr>
            </w:pPr>
          </w:p>
        </w:tc>
        <w:tc>
          <w:tcPr>
            <w:tcW w:w="156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C14255" w14:textId="77777777" w:rsidR="00A84742" w:rsidRPr="00681C29" w:rsidRDefault="00A84742" w:rsidP="00A84742">
            <w:pPr>
              <w:rPr>
                <w:rFonts w:ascii="Arial Narrow" w:eastAsia="SimSun" w:hAnsi="Arial Narrow"/>
                <w:lang w:val="en-US" w:eastAsia="zh-CN"/>
              </w:rPr>
            </w:pPr>
          </w:p>
        </w:tc>
        <w:tc>
          <w:tcPr>
            <w:tcW w:w="708"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textDirection w:val="btLr"/>
            <w:hideMark/>
          </w:tcPr>
          <w:p w14:paraId="53C14256" w14:textId="77777777" w:rsidR="00A84742" w:rsidRPr="00681C29" w:rsidRDefault="00A84742" w:rsidP="00A84742">
            <w:pPr>
              <w:ind w:left="113" w:right="113"/>
              <w:rPr>
                <w:rFonts w:ascii="Arial Narrow" w:hAnsi="Arial Narrow"/>
                <w:lang w:eastAsia="zh-CN"/>
              </w:rPr>
            </w:pPr>
            <w:r w:rsidRPr="00681C29">
              <w:rPr>
                <w:rFonts w:ascii="Arial Narrow" w:hAnsi="Arial Narrow"/>
              </w:rPr>
              <w:t>Upper</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textDirection w:val="btLr"/>
            <w:hideMark/>
          </w:tcPr>
          <w:p w14:paraId="53C14257" w14:textId="77777777" w:rsidR="00A84742" w:rsidRPr="00681C29" w:rsidRDefault="00A84742" w:rsidP="00A84742">
            <w:pPr>
              <w:ind w:left="113" w:right="113"/>
              <w:rPr>
                <w:rFonts w:ascii="Arial Narrow" w:hAnsi="Arial Narrow"/>
                <w:lang w:eastAsia="zh-CN"/>
              </w:rPr>
            </w:pPr>
            <w:r w:rsidRPr="00681C29">
              <w:rPr>
                <w:rFonts w:ascii="Arial Narrow" w:hAnsi="Arial Narrow"/>
              </w:rPr>
              <w:t>Lower</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textDirection w:val="btLr"/>
            <w:hideMark/>
          </w:tcPr>
          <w:p w14:paraId="53C14258" w14:textId="77777777" w:rsidR="00A84742" w:rsidRPr="00681C29" w:rsidRDefault="00A84742" w:rsidP="00A84742">
            <w:pPr>
              <w:ind w:left="113" w:right="113"/>
              <w:rPr>
                <w:rFonts w:ascii="Arial Narrow" w:hAnsi="Arial Narrow"/>
                <w:lang w:eastAsia="zh-CN"/>
              </w:rPr>
            </w:pPr>
            <w:r w:rsidRPr="00681C29">
              <w:rPr>
                <w:rFonts w:ascii="Arial Narrow" w:hAnsi="Arial Narrow"/>
              </w:rPr>
              <w:t>Upper</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textDirection w:val="btLr"/>
            <w:hideMark/>
          </w:tcPr>
          <w:p w14:paraId="53C14259" w14:textId="77777777" w:rsidR="00A84742" w:rsidRPr="00681C29" w:rsidRDefault="00A84742" w:rsidP="00A84742">
            <w:pPr>
              <w:ind w:left="113" w:right="113"/>
              <w:rPr>
                <w:rFonts w:ascii="Arial Narrow" w:hAnsi="Arial Narrow"/>
                <w:lang w:eastAsia="zh-CN"/>
              </w:rPr>
            </w:pPr>
            <w:r w:rsidRPr="00681C29">
              <w:rPr>
                <w:rFonts w:ascii="Arial Narrow" w:hAnsi="Arial Narrow"/>
              </w:rPr>
              <w:t>Lower</w:t>
            </w:r>
          </w:p>
        </w:tc>
      </w:tr>
      <w:tr w:rsidR="00CE4E0F" w:rsidRPr="00681C29" w14:paraId="53C14266" w14:textId="77777777" w:rsidTr="004F16D3">
        <w:trPr>
          <w:trHeight w:hRule="exact" w:val="255"/>
          <w:tblHeader/>
        </w:trPr>
        <w:tc>
          <w:tcPr>
            <w:tcW w:w="1486" w:type="dxa"/>
            <w:tcBorders>
              <w:top w:val="single" w:sz="4" w:space="0" w:color="auto"/>
              <w:left w:val="single" w:sz="4" w:space="0" w:color="auto"/>
              <w:bottom w:val="single" w:sz="4" w:space="0" w:color="auto"/>
              <w:right w:val="single" w:sz="4" w:space="0" w:color="auto"/>
            </w:tcBorders>
            <w:noWrap/>
            <w:hideMark/>
          </w:tcPr>
          <w:p w14:paraId="53C1425B" w14:textId="77777777" w:rsidR="00A84742" w:rsidRPr="00681C29" w:rsidRDefault="00A84742" w:rsidP="00A84742">
            <w:pPr>
              <w:rPr>
                <w:rFonts w:ascii="Arial Narrow" w:hAnsi="Arial Narrow"/>
                <w:lang w:eastAsia="zh-CN"/>
              </w:rPr>
            </w:pPr>
            <w:r w:rsidRPr="00681C29">
              <w:rPr>
                <w:rFonts w:ascii="Arial Narrow" w:hAnsi="Arial Narrow"/>
              </w:rPr>
              <w:t>Barnards</w:t>
            </w:r>
          </w:p>
        </w:tc>
        <w:tc>
          <w:tcPr>
            <w:tcW w:w="694" w:type="dxa"/>
            <w:tcBorders>
              <w:top w:val="single" w:sz="4" w:space="0" w:color="auto"/>
              <w:left w:val="single" w:sz="4" w:space="0" w:color="auto"/>
              <w:bottom w:val="single" w:sz="4" w:space="0" w:color="auto"/>
              <w:right w:val="single" w:sz="4" w:space="0" w:color="auto"/>
            </w:tcBorders>
            <w:noWrap/>
            <w:hideMark/>
          </w:tcPr>
          <w:p w14:paraId="53C1425C" w14:textId="77777777" w:rsidR="00A84742" w:rsidRPr="00681C29" w:rsidRDefault="00A84742" w:rsidP="00A84742">
            <w:pPr>
              <w:rPr>
                <w:rFonts w:ascii="Arial Narrow" w:hAnsi="Arial Narrow"/>
                <w:lang w:eastAsia="zh-CN"/>
              </w:rPr>
            </w:pPr>
            <w:r w:rsidRPr="00681C29">
              <w:rPr>
                <w:rFonts w:ascii="Arial Narrow" w:hAnsi="Arial Narrow"/>
              </w:rPr>
              <w:t>23</w:t>
            </w:r>
          </w:p>
        </w:tc>
        <w:tc>
          <w:tcPr>
            <w:tcW w:w="694" w:type="dxa"/>
            <w:tcBorders>
              <w:top w:val="single" w:sz="4" w:space="0" w:color="auto"/>
              <w:left w:val="single" w:sz="4" w:space="0" w:color="auto"/>
              <w:bottom w:val="single" w:sz="4" w:space="0" w:color="auto"/>
              <w:right w:val="single" w:sz="4" w:space="0" w:color="auto"/>
            </w:tcBorders>
            <w:noWrap/>
            <w:hideMark/>
          </w:tcPr>
          <w:p w14:paraId="53C1425D" w14:textId="77777777" w:rsidR="00A84742" w:rsidRPr="00681C29" w:rsidRDefault="00A84742" w:rsidP="00A84742">
            <w:pPr>
              <w:rPr>
                <w:rFonts w:ascii="Arial Narrow" w:hAnsi="Arial Narrow"/>
                <w:lang w:eastAsia="zh-CN"/>
              </w:rPr>
            </w:pPr>
            <w:r w:rsidRPr="00681C29">
              <w:rPr>
                <w:rFonts w:ascii="Arial Narrow" w:hAnsi="Arial Narrow"/>
              </w:rPr>
              <w:t>4.8</w:t>
            </w:r>
          </w:p>
        </w:tc>
        <w:tc>
          <w:tcPr>
            <w:tcW w:w="694" w:type="dxa"/>
            <w:tcBorders>
              <w:top w:val="single" w:sz="4" w:space="0" w:color="auto"/>
              <w:left w:val="single" w:sz="4" w:space="0" w:color="auto"/>
              <w:bottom w:val="single" w:sz="4" w:space="0" w:color="auto"/>
              <w:right w:val="single" w:sz="4" w:space="0" w:color="auto"/>
            </w:tcBorders>
            <w:noWrap/>
            <w:hideMark/>
          </w:tcPr>
          <w:p w14:paraId="53C1425E" w14:textId="77777777" w:rsidR="00A84742" w:rsidRPr="00681C29" w:rsidRDefault="00A84742" w:rsidP="00A84742">
            <w:pPr>
              <w:rPr>
                <w:rFonts w:ascii="Arial Narrow" w:hAnsi="Arial Narrow"/>
                <w:lang w:eastAsia="zh-CN"/>
              </w:rPr>
            </w:pPr>
            <w:r w:rsidRPr="00681C29">
              <w:rPr>
                <w:rFonts w:ascii="Arial Narrow" w:hAnsi="Arial Narrow"/>
              </w:rPr>
              <w:t>20.8</w:t>
            </w:r>
          </w:p>
        </w:tc>
        <w:tc>
          <w:tcPr>
            <w:tcW w:w="701" w:type="dxa"/>
            <w:tcBorders>
              <w:top w:val="single" w:sz="4" w:space="0" w:color="auto"/>
              <w:left w:val="single" w:sz="4" w:space="0" w:color="auto"/>
              <w:bottom w:val="single" w:sz="4" w:space="0" w:color="auto"/>
              <w:right w:val="single" w:sz="4" w:space="0" w:color="auto"/>
            </w:tcBorders>
            <w:noWrap/>
            <w:hideMark/>
          </w:tcPr>
          <w:p w14:paraId="53C1425F" w14:textId="77777777" w:rsidR="00A84742" w:rsidRPr="00681C29" w:rsidRDefault="00A84742" w:rsidP="00A84742">
            <w:pPr>
              <w:rPr>
                <w:rFonts w:ascii="Arial Narrow" w:hAnsi="Arial Narrow"/>
                <w:lang w:eastAsia="zh-CN"/>
              </w:rPr>
            </w:pPr>
            <w:r w:rsidRPr="00681C29">
              <w:rPr>
                <w:rFonts w:ascii="Arial Narrow" w:hAnsi="Arial Narrow"/>
              </w:rPr>
              <w:t>1.7</w:t>
            </w:r>
          </w:p>
        </w:tc>
        <w:tc>
          <w:tcPr>
            <w:tcW w:w="267" w:type="dxa"/>
            <w:tcBorders>
              <w:top w:val="nil"/>
              <w:left w:val="single" w:sz="4" w:space="0" w:color="auto"/>
              <w:bottom w:val="nil"/>
              <w:right w:val="single" w:sz="4" w:space="0" w:color="auto"/>
            </w:tcBorders>
            <w:noWrap/>
            <w:hideMark/>
          </w:tcPr>
          <w:p w14:paraId="53C14260" w14:textId="77777777" w:rsidR="00A84742" w:rsidRPr="00681C29" w:rsidRDefault="00A84742" w:rsidP="00A84742">
            <w:pPr>
              <w:rPr>
                <w:rFonts w:ascii="Arial Narrow" w:hAnsi="Arial Narrow"/>
                <w:lang w:eastAsia="zh-CN"/>
              </w:rPr>
            </w:pPr>
          </w:p>
        </w:tc>
        <w:tc>
          <w:tcPr>
            <w:tcW w:w="1560" w:type="dxa"/>
            <w:tcBorders>
              <w:top w:val="single" w:sz="4" w:space="0" w:color="auto"/>
              <w:left w:val="single" w:sz="4" w:space="0" w:color="auto"/>
              <w:bottom w:val="single" w:sz="4" w:space="0" w:color="auto"/>
              <w:right w:val="single" w:sz="4" w:space="0" w:color="auto"/>
            </w:tcBorders>
            <w:noWrap/>
            <w:hideMark/>
          </w:tcPr>
          <w:p w14:paraId="53C14261" w14:textId="77777777" w:rsidR="00A84742" w:rsidRPr="00681C29" w:rsidRDefault="00A84742" w:rsidP="00A84742">
            <w:pPr>
              <w:rPr>
                <w:rFonts w:ascii="Arial Narrow" w:hAnsi="Arial Narrow"/>
                <w:lang w:eastAsia="zh-CN"/>
              </w:rPr>
            </w:pPr>
            <w:r w:rsidRPr="00681C29">
              <w:rPr>
                <w:rFonts w:ascii="Arial Narrow" w:hAnsi="Arial Narrow"/>
              </w:rPr>
              <w:t>Keppels South</w:t>
            </w:r>
          </w:p>
        </w:tc>
        <w:tc>
          <w:tcPr>
            <w:tcW w:w="708" w:type="dxa"/>
            <w:tcBorders>
              <w:top w:val="single" w:sz="4" w:space="0" w:color="auto"/>
              <w:left w:val="single" w:sz="4" w:space="0" w:color="auto"/>
              <w:bottom w:val="single" w:sz="4" w:space="0" w:color="auto"/>
              <w:right w:val="single" w:sz="4" w:space="0" w:color="auto"/>
            </w:tcBorders>
            <w:noWrap/>
            <w:hideMark/>
          </w:tcPr>
          <w:p w14:paraId="53C14262" w14:textId="77777777" w:rsidR="00A84742" w:rsidRPr="00681C29" w:rsidRDefault="00A84742" w:rsidP="00A84742">
            <w:pPr>
              <w:rPr>
                <w:rFonts w:ascii="Arial Narrow" w:hAnsi="Arial Narrow"/>
                <w:lang w:eastAsia="zh-CN"/>
              </w:rPr>
            </w:pPr>
            <w:r w:rsidRPr="00681C29">
              <w:rPr>
                <w:rFonts w:ascii="Arial Narrow" w:hAnsi="Arial Narrow"/>
              </w:rPr>
              <w:t>23</w:t>
            </w:r>
          </w:p>
        </w:tc>
        <w:tc>
          <w:tcPr>
            <w:tcW w:w="709" w:type="dxa"/>
            <w:tcBorders>
              <w:top w:val="single" w:sz="4" w:space="0" w:color="auto"/>
              <w:left w:val="single" w:sz="4" w:space="0" w:color="auto"/>
              <w:bottom w:val="single" w:sz="4" w:space="0" w:color="auto"/>
              <w:right w:val="single" w:sz="4" w:space="0" w:color="auto"/>
            </w:tcBorders>
            <w:noWrap/>
            <w:hideMark/>
          </w:tcPr>
          <w:p w14:paraId="53C14263" w14:textId="77777777" w:rsidR="00A84742" w:rsidRPr="00681C29" w:rsidRDefault="00A84742" w:rsidP="00A84742">
            <w:pPr>
              <w:rPr>
                <w:rFonts w:ascii="Arial Narrow" w:hAnsi="Arial Narrow"/>
                <w:lang w:eastAsia="zh-CN"/>
              </w:rPr>
            </w:pPr>
            <w:r w:rsidRPr="00681C29">
              <w:rPr>
                <w:rFonts w:ascii="Arial Narrow" w:hAnsi="Arial Narrow"/>
              </w:rPr>
              <w:t>3.9</w:t>
            </w:r>
          </w:p>
        </w:tc>
        <w:tc>
          <w:tcPr>
            <w:tcW w:w="709" w:type="dxa"/>
            <w:tcBorders>
              <w:top w:val="single" w:sz="4" w:space="0" w:color="auto"/>
              <w:left w:val="single" w:sz="4" w:space="0" w:color="auto"/>
              <w:bottom w:val="single" w:sz="4" w:space="0" w:color="auto"/>
              <w:right w:val="single" w:sz="4" w:space="0" w:color="auto"/>
            </w:tcBorders>
            <w:noWrap/>
            <w:hideMark/>
          </w:tcPr>
          <w:p w14:paraId="53C14264" w14:textId="77777777" w:rsidR="00A84742" w:rsidRPr="00681C29" w:rsidRDefault="00A84742" w:rsidP="00A84742">
            <w:pPr>
              <w:rPr>
                <w:rFonts w:ascii="Arial Narrow" w:hAnsi="Arial Narrow"/>
                <w:lang w:eastAsia="zh-CN"/>
              </w:rPr>
            </w:pPr>
            <w:r w:rsidRPr="00681C29">
              <w:rPr>
                <w:rFonts w:ascii="Arial Narrow" w:hAnsi="Arial Narrow"/>
              </w:rPr>
              <w:t>24</w:t>
            </w:r>
          </w:p>
        </w:tc>
        <w:tc>
          <w:tcPr>
            <w:tcW w:w="709" w:type="dxa"/>
            <w:tcBorders>
              <w:top w:val="single" w:sz="4" w:space="0" w:color="auto"/>
              <w:left w:val="single" w:sz="4" w:space="0" w:color="auto"/>
              <w:bottom w:val="single" w:sz="4" w:space="0" w:color="auto"/>
              <w:right w:val="single" w:sz="4" w:space="0" w:color="auto"/>
            </w:tcBorders>
            <w:noWrap/>
            <w:hideMark/>
          </w:tcPr>
          <w:p w14:paraId="53C14265" w14:textId="77777777" w:rsidR="00A84742" w:rsidRPr="00681C29" w:rsidRDefault="00A84742" w:rsidP="00A84742">
            <w:pPr>
              <w:rPr>
                <w:rFonts w:ascii="Arial Narrow" w:hAnsi="Arial Narrow"/>
                <w:lang w:eastAsia="zh-CN"/>
              </w:rPr>
            </w:pPr>
            <w:r w:rsidRPr="00681C29">
              <w:rPr>
                <w:rFonts w:ascii="Arial Narrow" w:hAnsi="Arial Narrow"/>
              </w:rPr>
              <w:t>1.7</w:t>
            </w:r>
          </w:p>
        </w:tc>
      </w:tr>
      <w:tr w:rsidR="00CE4E0F" w:rsidRPr="00681C29" w14:paraId="53C14272" w14:textId="77777777" w:rsidTr="004F16D3">
        <w:trPr>
          <w:trHeight w:hRule="exact" w:val="255"/>
          <w:tblHeader/>
        </w:trPr>
        <w:tc>
          <w:tcPr>
            <w:tcW w:w="1486" w:type="dxa"/>
            <w:tcBorders>
              <w:top w:val="single" w:sz="4" w:space="0" w:color="auto"/>
              <w:left w:val="single" w:sz="4" w:space="0" w:color="auto"/>
              <w:bottom w:val="single" w:sz="4" w:space="0" w:color="auto"/>
              <w:right w:val="single" w:sz="4" w:space="0" w:color="auto"/>
            </w:tcBorders>
            <w:noWrap/>
            <w:hideMark/>
          </w:tcPr>
          <w:p w14:paraId="53C14267" w14:textId="77777777" w:rsidR="00A84742" w:rsidRPr="00681C29" w:rsidRDefault="00A84742" w:rsidP="00A84742">
            <w:pPr>
              <w:rPr>
                <w:rFonts w:ascii="Arial Narrow" w:hAnsi="Arial Narrow"/>
                <w:lang w:eastAsia="zh-CN"/>
              </w:rPr>
            </w:pPr>
            <w:r w:rsidRPr="00681C29">
              <w:rPr>
                <w:rFonts w:ascii="Arial Narrow" w:hAnsi="Arial Narrow"/>
              </w:rPr>
              <w:t>Barren</w:t>
            </w:r>
          </w:p>
        </w:tc>
        <w:tc>
          <w:tcPr>
            <w:tcW w:w="694" w:type="dxa"/>
            <w:tcBorders>
              <w:top w:val="single" w:sz="4" w:space="0" w:color="auto"/>
              <w:left w:val="single" w:sz="4" w:space="0" w:color="auto"/>
              <w:bottom w:val="single" w:sz="4" w:space="0" w:color="auto"/>
              <w:right w:val="single" w:sz="4" w:space="0" w:color="auto"/>
            </w:tcBorders>
            <w:noWrap/>
            <w:hideMark/>
          </w:tcPr>
          <w:p w14:paraId="53C14268" w14:textId="77777777" w:rsidR="00A84742" w:rsidRPr="00681C29" w:rsidRDefault="00A84742" w:rsidP="00A84742">
            <w:pPr>
              <w:rPr>
                <w:rFonts w:ascii="Arial Narrow" w:hAnsi="Arial Narrow"/>
                <w:lang w:eastAsia="zh-CN"/>
              </w:rPr>
            </w:pPr>
            <w:r w:rsidRPr="00681C29">
              <w:rPr>
                <w:rFonts w:ascii="Arial Narrow" w:hAnsi="Arial Narrow"/>
              </w:rPr>
              <w:t>13</w:t>
            </w:r>
          </w:p>
        </w:tc>
        <w:tc>
          <w:tcPr>
            <w:tcW w:w="694" w:type="dxa"/>
            <w:tcBorders>
              <w:top w:val="single" w:sz="4" w:space="0" w:color="auto"/>
              <w:left w:val="single" w:sz="4" w:space="0" w:color="auto"/>
              <w:bottom w:val="single" w:sz="4" w:space="0" w:color="auto"/>
              <w:right w:val="single" w:sz="4" w:space="0" w:color="auto"/>
            </w:tcBorders>
            <w:noWrap/>
            <w:hideMark/>
          </w:tcPr>
          <w:p w14:paraId="53C14269" w14:textId="77777777" w:rsidR="00A84742" w:rsidRPr="00681C29" w:rsidRDefault="00A84742" w:rsidP="00A84742">
            <w:pPr>
              <w:rPr>
                <w:rFonts w:ascii="Arial Narrow" w:hAnsi="Arial Narrow"/>
                <w:lang w:eastAsia="zh-CN"/>
              </w:rPr>
            </w:pPr>
            <w:r w:rsidRPr="00681C29">
              <w:rPr>
                <w:rFonts w:ascii="Arial Narrow" w:hAnsi="Arial Narrow"/>
              </w:rPr>
              <w:t>3.7</w:t>
            </w:r>
          </w:p>
        </w:tc>
        <w:tc>
          <w:tcPr>
            <w:tcW w:w="694" w:type="dxa"/>
            <w:tcBorders>
              <w:top w:val="single" w:sz="4" w:space="0" w:color="auto"/>
              <w:left w:val="single" w:sz="4" w:space="0" w:color="auto"/>
              <w:bottom w:val="single" w:sz="4" w:space="0" w:color="auto"/>
              <w:right w:val="single" w:sz="4" w:space="0" w:color="auto"/>
            </w:tcBorders>
            <w:noWrap/>
            <w:hideMark/>
          </w:tcPr>
          <w:p w14:paraId="53C1426A" w14:textId="77777777" w:rsidR="00A84742" w:rsidRPr="00681C29" w:rsidRDefault="00A84742" w:rsidP="00A84742">
            <w:pPr>
              <w:rPr>
                <w:rFonts w:ascii="Arial Narrow" w:hAnsi="Arial Narrow"/>
                <w:lang w:eastAsia="zh-CN"/>
              </w:rPr>
            </w:pPr>
            <w:r w:rsidRPr="00681C29">
              <w:rPr>
                <w:rFonts w:ascii="Arial Narrow" w:hAnsi="Arial Narrow"/>
              </w:rPr>
              <w:t>12.6</w:t>
            </w:r>
          </w:p>
        </w:tc>
        <w:tc>
          <w:tcPr>
            <w:tcW w:w="701" w:type="dxa"/>
            <w:tcBorders>
              <w:top w:val="single" w:sz="4" w:space="0" w:color="auto"/>
              <w:left w:val="single" w:sz="4" w:space="0" w:color="auto"/>
              <w:bottom w:val="single" w:sz="4" w:space="0" w:color="auto"/>
              <w:right w:val="single" w:sz="4" w:space="0" w:color="auto"/>
            </w:tcBorders>
            <w:noWrap/>
            <w:hideMark/>
          </w:tcPr>
          <w:p w14:paraId="53C1426B" w14:textId="77777777" w:rsidR="00A84742" w:rsidRPr="00681C29" w:rsidRDefault="00A84742" w:rsidP="00A84742">
            <w:pPr>
              <w:rPr>
                <w:rFonts w:ascii="Arial Narrow" w:hAnsi="Arial Narrow"/>
                <w:lang w:eastAsia="zh-CN"/>
              </w:rPr>
            </w:pPr>
            <w:r w:rsidRPr="00681C29">
              <w:rPr>
                <w:rFonts w:ascii="Arial Narrow" w:hAnsi="Arial Narrow"/>
              </w:rPr>
              <w:t>1.6</w:t>
            </w:r>
          </w:p>
        </w:tc>
        <w:tc>
          <w:tcPr>
            <w:tcW w:w="267" w:type="dxa"/>
            <w:tcBorders>
              <w:top w:val="nil"/>
              <w:left w:val="single" w:sz="4" w:space="0" w:color="auto"/>
              <w:bottom w:val="nil"/>
              <w:right w:val="single" w:sz="4" w:space="0" w:color="auto"/>
            </w:tcBorders>
            <w:noWrap/>
            <w:hideMark/>
          </w:tcPr>
          <w:p w14:paraId="53C1426C" w14:textId="77777777" w:rsidR="00A84742" w:rsidRPr="00681C29" w:rsidRDefault="00A84742" w:rsidP="00A84742">
            <w:pPr>
              <w:rPr>
                <w:rFonts w:ascii="Arial Narrow" w:hAnsi="Arial Narrow"/>
                <w:lang w:eastAsia="zh-CN"/>
              </w:rPr>
            </w:pPr>
          </w:p>
        </w:tc>
        <w:tc>
          <w:tcPr>
            <w:tcW w:w="1560" w:type="dxa"/>
            <w:tcBorders>
              <w:top w:val="single" w:sz="4" w:space="0" w:color="auto"/>
              <w:left w:val="single" w:sz="4" w:space="0" w:color="auto"/>
              <w:bottom w:val="single" w:sz="4" w:space="0" w:color="auto"/>
              <w:right w:val="single" w:sz="4" w:space="0" w:color="auto"/>
            </w:tcBorders>
            <w:noWrap/>
            <w:hideMark/>
          </w:tcPr>
          <w:p w14:paraId="53C1426D" w14:textId="77777777" w:rsidR="00A84742" w:rsidRPr="00681C29" w:rsidRDefault="00A84742" w:rsidP="00A84742">
            <w:pPr>
              <w:rPr>
                <w:rFonts w:ascii="Arial Narrow" w:hAnsi="Arial Narrow"/>
                <w:lang w:eastAsia="zh-CN"/>
              </w:rPr>
            </w:pPr>
            <w:r w:rsidRPr="00681C29">
              <w:rPr>
                <w:rFonts w:ascii="Arial Narrow" w:hAnsi="Arial Narrow"/>
              </w:rPr>
              <w:t>King</w:t>
            </w:r>
          </w:p>
        </w:tc>
        <w:tc>
          <w:tcPr>
            <w:tcW w:w="708" w:type="dxa"/>
            <w:tcBorders>
              <w:top w:val="single" w:sz="4" w:space="0" w:color="auto"/>
              <w:left w:val="single" w:sz="4" w:space="0" w:color="auto"/>
              <w:bottom w:val="single" w:sz="4" w:space="0" w:color="auto"/>
              <w:right w:val="single" w:sz="4" w:space="0" w:color="auto"/>
            </w:tcBorders>
            <w:noWrap/>
            <w:hideMark/>
          </w:tcPr>
          <w:p w14:paraId="53C1426E" w14:textId="77777777" w:rsidR="00A84742" w:rsidRPr="00681C29" w:rsidRDefault="00A84742" w:rsidP="00A84742">
            <w:pPr>
              <w:rPr>
                <w:rFonts w:ascii="Arial Narrow" w:hAnsi="Arial Narrow"/>
                <w:lang w:eastAsia="zh-CN"/>
              </w:rPr>
            </w:pPr>
            <w:r w:rsidRPr="00681C29">
              <w:rPr>
                <w:rFonts w:ascii="Arial Narrow" w:hAnsi="Arial Narrow"/>
              </w:rPr>
              <w:t>23</w:t>
            </w:r>
          </w:p>
        </w:tc>
        <w:tc>
          <w:tcPr>
            <w:tcW w:w="709" w:type="dxa"/>
            <w:tcBorders>
              <w:top w:val="single" w:sz="4" w:space="0" w:color="auto"/>
              <w:left w:val="single" w:sz="4" w:space="0" w:color="auto"/>
              <w:bottom w:val="single" w:sz="4" w:space="0" w:color="auto"/>
              <w:right w:val="single" w:sz="4" w:space="0" w:color="auto"/>
            </w:tcBorders>
            <w:noWrap/>
            <w:hideMark/>
          </w:tcPr>
          <w:p w14:paraId="53C1426F" w14:textId="77777777" w:rsidR="00A84742" w:rsidRPr="00681C29" w:rsidRDefault="00A84742" w:rsidP="00A84742">
            <w:pPr>
              <w:rPr>
                <w:rFonts w:ascii="Arial Narrow" w:hAnsi="Arial Narrow"/>
                <w:lang w:eastAsia="zh-CN"/>
              </w:rPr>
            </w:pPr>
            <w:r w:rsidRPr="00681C29">
              <w:rPr>
                <w:rFonts w:ascii="Arial Narrow" w:hAnsi="Arial Narrow"/>
              </w:rPr>
              <w:t>6.2</w:t>
            </w:r>
          </w:p>
        </w:tc>
        <w:tc>
          <w:tcPr>
            <w:tcW w:w="709" w:type="dxa"/>
            <w:tcBorders>
              <w:top w:val="single" w:sz="4" w:space="0" w:color="auto"/>
              <w:left w:val="single" w:sz="4" w:space="0" w:color="auto"/>
              <w:bottom w:val="single" w:sz="4" w:space="0" w:color="auto"/>
              <w:right w:val="single" w:sz="4" w:space="0" w:color="auto"/>
            </w:tcBorders>
            <w:noWrap/>
            <w:hideMark/>
          </w:tcPr>
          <w:p w14:paraId="53C14270" w14:textId="77777777" w:rsidR="00A84742" w:rsidRPr="00681C29" w:rsidRDefault="00A84742" w:rsidP="00A84742">
            <w:pPr>
              <w:rPr>
                <w:rFonts w:ascii="Arial Narrow" w:hAnsi="Arial Narrow"/>
                <w:lang w:eastAsia="zh-CN"/>
              </w:rPr>
            </w:pPr>
            <w:r w:rsidRPr="00681C29">
              <w:rPr>
                <w:rFonts w:ascii="Arial Narrow" w:hAnsi="Arial Narrow"/>
              </w:rPr>
              <w:t>24.8</w:t>
            </w:r>
          </w:p>
        </w:tc>
        <w:tc>
          <w:tcPr>
            <w:tcW w:w="709" w:type="dxa"/>
            <w:tcBorders>
              <w:top w:val="single" w:sz="4" w:space="0" w:color="auto"/>
              <w:left w:val="single" w:sz="4" w:space="0" w:color="auto"/>
              <w:bottom w:val="single" w:sz="4" w:space="0" w:color="auto"/>
              <w:right w:val="single" w:sz="4" w:space="0" w:color="auto"/>
            </w:tcBorders>
            <w:noWrap/>
            <w:hideMark/>
          </w:tcPr>
          <w:p w14:paraId="53C14271" w14:textId="77777777" w:rsidR="00A84742" w:rsidRPr="00681C29" w:rsidRDefault="00A84742" w:rsidP="00A84742">
            <w:pPr>
              <w:rPr>
                <w:rFonts w:ascii="Arial Narrow" w:hAnsi="Arial Narrow"/>
                <w:lang w:eastAsia="zh-CN"/>
              </w:rPr>
            </w:pPr>
            <w:r w:rsidRPr="00681C29">
              <w:rPr>
                <w:rFonts w:ascii="Arial Narrow" w:hAnsi="Arial Narrow"/>
              </w:rPr>
              <w:t>1.8</w:t>
            </w:r>
          </w:p>
        </w:tc>
      </w:tr>
      <w:tr w:rsidR="00CE4E0F" w:rsidRPr="00681C29" w14:paraId="53C1427E" w14:textId="77777777" w:rsidTr="004F16D3">
        <w:trPr>
          <w:trHeight w:hRule="exact" w:val="255"/>
          <w:tblHeader/>
        </w:trPr>
        <w:tc>
          <w:tcPr>
            <w:tcW w:w="1486" w:type="dxa"/>
            <w:tcBorders>
              <w:top w:val="single" w:sz="4" w:space="0" w:color="auto"/>
              <w:left w:val="single" w:sz="4" w:space="0" w:color="auto"/>
              <w:bottom w:val="single" w:sz="4" w:space="0" w:color="auto"/>
              <w:right w:val="single" w:sz="4" w:space="0" w:color="auto"/>
            </w:tcBorders>
            <w:noWrap/>
          </w:tcPr>
          <w:p w14:paraId="53C14273" w14:textId="77777777" w:rsidR="00A84742" w:rsidRPr="00681C29" w:rsidRDefault="00A84742" w:rsidP="00A84742">
            <w:pPr>
              <w:rPr>
                <w:rFonts w:ascii="Arial Narrow" w:hAnsi="Arial Narrow"/>
              </w:rPr>
            </w:pPr>
            <w:r w:rsidRPr="00681C29">
              <w:rPr>
                <w:rFonts w:ascii="Arial Narrow" w:hAnsi="Arial Narrow"/>
              </w:rPr>
              <w:t>Bedarra</w:t>
            </w:r>
          </w:p>
        </w:tc>
        <w:tc>
          <w:tcPr>
            <w:tcW w:w="694" w:type="dxa"/>
            <w:tcBorders>
              <w:top w:val="single" w:sz="4" w:space="0" w:color="auto"/>
              <w:left w:val="single" w:sz="4" w:space="0" w:color="auto"/>
              <w:bottom w:val="single" w:sz="4" w:space="0" w:color="auto"/>
              <w:right w:val="single" w:sz="4" w:space="0" w:color="auto"/>
            </w:tcBorders>
            <w:noWrap/>
          </w:tcPr>
          <w:p w14:paraId="53C14274" w14:textId="77777777" w:rsidR="00A84742" w:rsidRPr="00681C29" w:rsidRDefault="00A84742" w:rsidP="00A84742">
            <w:pPr>
              <w:rPr>
                <w:rFonts w:ascii="Arial Narrow" w:hAnsi="Arial Narrow"/>
                <w:lang w:eastAsia="zh-CN"/>
              </w:rPr>
            </w:pPr>
            <w:r w:rsidRPr="00681C29">
              <w:rPr>
                <w:rFonts w:ascii="Arial Narrow" w:hAnsi="Arial Narrow"/>
              </w:rPr>
              <w:t>23</w:t>
            </w:r>
          </w:p>
        </w:tc>
        <w:tc>
          <w:tcPr>
            <w:tcW w:w="694" w:type="dxa"/>
            <w:tcBorders>
              <w:top w:val="single" w:sz="4" w:space="0" w:color="auto"/>
              <w:left w:val="single" w:sz="4" w:space="0" w:color="auto"/>
              <w:bottom w:val="single" w:sz="4" w:space="0" w:color="auto"/>
              <w:right w:val="single" w:sz="4" w:space="0" w:color="auto"/>
            </w:tcBorders>
            <w:noWrap/>
          </w:tcPr>
          <w:p w14:paraId="53C14275" w14:textId="77777777" w:rsidR="00A84742" w:rsidRPr="00681C29" w:rsidRDefault="00A84742" w:rsidP="00A84742">
            <w:pPr>
              <w:rPr>
                <w:rFonts w:ascii="Arial Narrow" w:hAnsi="Arial Narrow"/>
                <w:lang w:eastAsia="zh-CN"/>
              </w:rPr>
            </w:pPr>
            <w:r w:rsidRPr="00681C29">
              <w:rPr>
                <w:rFonts w:ascii="Arial Narrow" w:hAnsi="Arial Narrow"/>
              </w:rPr>
              <w:t>5.3</w:t>
            </w:r>
          </w:p>
        </w:tc>
        <w:tc>
          <w:tcPr>
            <w:tcW w:w="694" w:type="dxa"/>
            <w:tcBorders>
              <w:top w:val="single" w:sz="4" w:space="0" w:color="auto"/>
              <w:left w:val="single" w:sz="4" w:space="0" w:color="auto"/>
              <w:bottom w:val="single" w:sz="4" w:space="0" w:color="auto"/>
              <w:right w:val="single" w:sz="4" w:space="0" w:color="auto"/>
            </w:tcBorders>
            <w:noWrap/>
          </w:tcPr>
          <w:p w14:paraId="53C14276" w14:textId="77777777" w:rsidR="00A84742" w:rsidRPr="00681C29" w:rsidRDefault="00A84742" w:rsidP="00A84742">
            <w:pPr>
              <w:rPr>
                <w:rFonts w:ascii="Arial Narrow" w:hAnsi="Arial Narrow"/>
              </w:rPr>
            </w:pPr>
            <w:r w:rsidRPr="00681C29">
              <w:rPr>
                <w:rFonts w:ascii="Arial Narrow" w:hAnsi="Arial Narrow"/>
              </w:rPr>
              <w:t>15.6</w:t>
            </w:r>
          </w:p>
        </w:tc>
        <w:tc>
          <w:tcPr>
            <w:tcW w:w="701" w:type="dxa"/>
            <w:tcBorders>
              <w:top w:val="single" w:sz="4" w:space="0" w:color="auto"/>
              <w:left w:val="single" w:sz="4" w:space="0" w:color="auto"/>
              <w:bottom w:val="single" w:sz="4" w:space="0" w:color="auto"/>
              <w:right w:val="single" w:sz="4" w:space="0" w:color="auto"/>
            </w:tcBorders>
            <w:noWrap/>
          </w:tcPr>
          <w:p w14:paraId="53C14277" w14:textId="77777777" w:rsidR="00A84742" w:rsidRPr="00681C29" w:rsidRDefault="00A84742" w:rsidP="00A84742">
            <w:pPr>
              <w:rPr>
                <w:rFonts w:ascii="Arial Narrow" w:hAnsi="Arial Narrow"/>
              </w:rPr>
            </w:pPr>
            <w:r w:rsidRPr="00681C29">
              <w:rPr>
                <w:rFonts w:ascii="Arial Narrow" w:hAnsi="Arial Narrow"/>
              </w:rPr>
              <w:t>1.9</w:t>
            </w:r>
          </w:p>
        </w:tc>
        <w:tc>
          <w:tcPr>
            <w:tcW w:w="267" w:type="dxa"/>
            <w:tcBorders>
              <w:top w:val="nil"/>
              <w:left w:val="single" w:sz="4" w:space="0" w:color="auto"/>
              <w:bottom w:val="nil"/>
              <w:right w:val="single" w:sz="4" w:space="0" w:color="auto"/>
            </w:tcBorders>
            <w:noWrap/>
          </w:tcPr>
          <w:p w14:paraId="53C14278" w14:textId="77777777" w:rsidR="00A84742" w:rsidRPr="00681C29" w:rsidRDefault="00A84742" w:rsidP="00A84742">
            <w:pPr>
              <w:rPr>
                <w:rFonts w:ascii="Arial Narrow" w:hAnsi="Arial Narrow"/>
                <w:lang w:eastAsia="zh-CN"/>
              </w:rPr>
            </w:pPr>
          </w:p>
        </w:tc>
        <w:tc>
          <w:tcPr>
            <w:tcW w:w="1560" w:type="dxa"/>
            <w:tcBorders>
              <w:top w:val="single" w:sz="4" w:space="0" w:color="auto"/>
              <w:left w:val="single" w:sz="4" w:space="0" w:color="auto"/>
              <w:bottom w:val="single" w:sz="4" w:space="0" w:color="auto"/>
              <w:right w:val="single" w:sz="4" w:space="0" w:color="auto"/>
            </w:tcBorders>
            <w:noWrap/>
          </w:tcPr>
          <w:p w14:paraId="53C14279" w14:textId="77777777" w:rsidR="00A84742" w:rsidRPr="00681C29" w:rsidRDefault="00A84742" w:rsidP="00A84742">
            <w:pPr>
              <w:rPr>
                <w:rFonts w:ascii="Arial Narrow" w:hAnsi="Arial Narrow"/>
              </w:rPr>
            </w:pPr>
            <w:r w:rsidRPr="00681C29">
              <w:rPr>
                <w:rFonts w:ascii="Arial Narrow" w:hAnsi="Arial Narrow"/>
              </w:rPr>
              <w:t>Lady Elliot</w:t>
            </w:r>
          </w:p>
        </w:tc>
        <w:tc>
          <w:tcPr>
            <w:tcW w:w="708" w:type="dxa"/>
            <w:tcBorders>
              <w:top w:val="single" w:sz="4" w:space="0" w:color="auto"/>
              <w:left w:val="single" w:sz="4" w:space="0" w:color="auto"/>
              <w:bottom w:val="single" w:sz="4" w:space="0" w:color="auto"/>
              <w:right w:val="single" w:sz="4" w:space="0" w:color="auto"/>
            </w:tcBorders>
            <w:noWrap/>
          </w:tcPr>
          <w:p w14:paraId="53C1427A" w14:textId="77777777" w:rsidR="00A84742" w:rsidRPr="00681C29" w:rsidRDefault="00A84742" w:rsidP="00A84742">
            <w:pPr>
              <w:rPr>
                <w:rFonts w:ascii="Arial Narrow" w:hAnsi="Arial Narrow"/>
              </w:rPr>
            </w:pPr>
            <w:r w:rsidRPr="00681C29">
              <w:rPr>
                <w:rFonts w:ascii="Arial Narrow" w:hAnsi="Arial Narrow"/>
              </w:rPr>
              <w:t>23</w:t>
            </w:r>
          </w:p>
        </w:tc>
        <w:tc>
          <w:tcPr>
            <w:tcW w:w="709" w:type="dxa"/>
            <w:tcBorders>
              <w:top w:val="single" w:sz="4" w:space="0" w:color="auto"/>
              <w:left w:val="single" w:sz="4" w:space="0" w:color="auto"/>
              <w:bottom w:val="single" w:sz="4" w:space="0" w:color="auto"/>
              <w:right w:val="single" w:sz="4" w:space="0" w:color="auto"/>
            </w:tcBorders>
            <w:noWrap/>
          </w:tcPr>
          <w:p w14:paraId="53C1427B" w14:textId="77777777" w:rsidR="00A84742" w:rsidRPr="00681C29" w:rsidRDefault="00A84742" w:rsidP="00A84742">
            <w:pPr>
              <w:rPr>
                <w:rFonts w:ascii="Arial Narrow" w:hAnsi="Arial Narrow"/>
              </w:rPr>
            </w:pPr>
            <w:r w:rsidRPr="00681C29">
              <w:rPr>
                <w:rFonts w:ascii="Arial Narrow" w:hAnsi="Arial Narrow"/>
              </w:rPr>
              <w:t>6.1</w:t>
            </w:r>
          </w:p>
        </w:tc>
        <w:tc>
          <w:tcPr>
            <w:tcW w:w="709" w:type="dxa"/>
            <w:tcBorders>
              <w:top w:val="single" w:sz="4" w:space="0" w:color="auto"/>
              <w:left w:val="single" w:sz="4" w:space="0" w:color="auto"/>
              <w:bottom w:val="single" w:sz="4" w:space="0" w:color="auto"/>
              <w:right w:val="single" w:sz="4" w:space="0" w:color="auto"/>
            </w:tcBorders>
            <w:noWrap/>
          </w:tcPr>
          <w:p w14:paraId="53C1427C" w14:textId="77777777" w:rsidR="00A84742" w:rsidRPr="00681C29" w:rsidRDefault="00A84742" w:rsidP="00A84742">
            <w:pPr>
              <w:rPr>
                <w:rFonts w:ascii="Arial Narrow" w:hAnsi="Arial Narrow"/>
              </w:rPr>
            </w:pPr>
            <w:r w:rsidRPr="00681C29">
              <w:rPr>
                <w:rFonts w:ascii="Arial Narrow" w:hAnsi="Arial Narrow"/>
              </w:rPr>
              <w:t>15.3</w:t>
            </w:r>
          </w:p>
        </w:tc>
        <w:tc>
          <w:tcPr>
            <w:tcW w:w="709" w:type="dxa"/>
            <w:tcBorders>
              <w:top w:val="single" w:sz="4" w:space="0" w:color="auto"/>
              <w:left w:val="single" w:sz="4" w:space="0" w:color="auto"/>
              <w:bottom w:val="single" w:sz="4" w:space="0" w:color="auto"/>
              <w:right w:val="single" w:sz="4" w:space="0" w:color="auto"/>
            </w:tcBorders>
            <w:noWrap/>
          </w:tcPr>
          <w:p w14:paraId="53C1427D" w14:textId="77777777" w:rsidR="00A84742" w:rsidRPr="00681C29" w:rsidRDefault="00A84742" w:rsidP="00A84742">
            <w:pPr>
              <w:rPr>
                <w:rFonts w:ascii="Arial Narrow" w:hAnsi="Arial Narrow"/>
              </w:rPr>
            </w:pPr>
            <w:r w:rsidRPr="00681C29">
              <w:rPr>
                <w:rFonts w:ascii="Arial Narrow" w:hAnsi="Arial Narrow"/>
              </w:rPr>
              <w:t>1.9</w:t>
            </w:r>
          </w:p>
        </w:tc>
      </w:tr>
      <w:tr w:rsidR="00CE4E0F" w:rsidRPr="00681C29" w14:paraId="53C1428A" w14:textId="77777777" w:rsidTr="004F16D3">
        <w:trPr>
          <w:trHeight w:hRule="exact" w:val="255"/>
          <w:tblHeader/>
        </w:trPr>
        <w:tc>
          <w:tcPr>
            <w:tcW w:w="1486" w:type="dxa"/>
            <w:tcBorders>
              <w:top w:val="single" w:sz="4" w:space="0" w:color="auto"/>
              <w:left w:val="single" w:sz="4" w:space="0" w:color="auto"/>
              <w:bottom w:val="single" w:sz="4" w:space="0" w:color="auto"/>
              <w:right w:val="single" w:sz="4" w:space="0" w:color="auto"/>
            </w:tcBorders>
            <w:noWrap/>
            <w:hideMark/>
          </w:tcPr>
          <w:p w14:paraId="53C1427F" w14:textId="77777777" w:rsidR="00A84742" w:rsidRPr="00681C29" w:rsidRDefault="00A84742" w:rsidP="00A84742">
            <w:pPr>
              <w:rPr>
                <w:rFonts w:ascii="Arial Narrow" w:hAnsi="Arial Narrow"/>
                <w:lang w:eastAsia="zh-CN"/>
              </w:rPr>
            </w:pPr>
            <w:r w:rsidRPr="00681C29">
              <w:rPr>
                <w:rFonts w:ascii="Arial Narrow" w:hAnsi="Arial Narrow"/>
              </w:rPr>
              <w:t>Border</w:t>
            </w:r>
          </w:p>
        </w:tc>
        <w:tc>
          <w:tcPr>
            <w:tcW w:w="694" w:type="dxa"/>
            <w:tcBorders>
              <w:top w:val="single" w:sz="4" w:space="0" w:color="auto"/>
              <w:left w:val="single" w:sz="4" w:space="0" w:color="auto"/>
              <w:bottom w:val="single" w:sz="4" w:space="0" w:color="auto"/>
              <w:right w:val="single" w:sz="4" w:space="0" w:color="auto"/>
            </w:tcBorders>
            <w:noWrap/>
            <w:hideMark/>
          </w:tcPr>
          <w:p w14:paraId="53C14280" w14:textId="77777777" w:rsidR="00A84742" w:rsidRPr="00681C29" w:rsidRDefault="00A84742" w:rsidP="00A84742">
            <w:pPr>
              <w:rPr>
                <w:rFonts w:ascii="Arial Narrow" w:hAnsi="Arial Narrow"/>
                <w:lang w:eastAsia="zh-CN"/>
              </w:rPr>
            </w:pPr>
          </w:p>
        </w:tc>
        <w:tc>
          <w:tcPr>
            <w:tcW w:w="694" w:type="dxa"/>
            <w:tcBorders>
              <w:top w:val="single" w:sz="4" w:space="0" w:color="auto"/>
              <w:left w:val="single" w:sz="4" w:space="0" w:color="auto"/>
              <w:bottom w:val="single" w:sz="4" w:space="0" w:color="auto"/>
              <w:right w:val="single" w:sz="4" w:space="0" w:color="auto"/>
            </w:tcBorders>
            <w:noWrap/>
            <w:hideMark/>
          </w:tcPr>
          <w:p w14:paraId="53C14281" w14:textId="77777777" w:rsidR="00A84742" w:rsidRPr="00681C29" w:rsidRDefault="00A84742" w:rsidP="00A84742">
            <w:pPr>
              <w:rPr>
                <w:rFonts w:ascii="Arial Narrow" w:hAnsi="Arial Narrow"/>
                <w:lang w:eastAsia="zh-CN"/>
              </w:rPr>
            </w:pPr>
          </w:p>
        </w:tc>
        <w:tc>
          <w:tcPr>
            <w:tcW w:w="694" w:type="dxa"/>
            <w:tcBorders>
              <w:top w:val="single" w:sz="4" w:space="0" w:color="auto"/>
              <w:left w:val="single" w:sz="4" w:space="0" w:color="auto"/>
              <w:bottom w:val="single" w:sz="4" w:space="0" w:color="auto"/>
              <w:right w:val="single" w:sz="4" w:space="0" w:color="auto"/>
            </w:tcBorders>
            <w:noWrap/>
            <w:hideMark/>
          </w:tcPr>
          <w:p w14:paraId="53C14282" w14:textId="77777777" w:rsidR="00A84742" w:rsidRPr="00681C29" w:rsidRDefault="00A84742" w:rsidP="00A84742">
            <w:pPr>
              <w:rPr>
                <w:rFonts w:ascii="Arial Narrow" w:hAnsi="Arial Narrow"/>
                <w:lang w:eastAsia="zh-CN"/>
              </w:rPr>
            </w:pPr>
            <w:r w:rsidRPr="00681C29">
              <w:rPr>
                <w:rFonts w:ascii="Arial Narrow" w:hAnsi="Arial Narrow"/>
              </w:rPr>
              <w:t>8.2</w:t>
            </w:r>
          </w:p>
        </w:tc>
        <w:tc>
          <w:tcPr>
            <w:tcW w:w="701" w:type="dxa"/>
            <w:tcBorders>
              <w:top w:val="single" w:sz="4" w:space="0" w:color="auto"/>
              <w:left w:val="single" w:sz="4" w:space="0" w:color="auto"/>
              <w:bottom w:val="single" w:sz="4" w:space="0" w:color="auto"/>
              <w:right w:val="single" w:sz="4" w:space="0" w:color="auto"/>
            </w:tcBorders>
            <w:noWrap/>
            <w:hideMark/>
          </w:tcPr>
          <w:p w14:paraId="53C14283" w14:textId="77777777" w:rsidR="00A84742" w:rsidRPr="00681C29" w:rsidRDefault="00A84742" w:rsidP="00A84742">
            <w:pPr>
              <w:rPr>
                <w:rFonts w:ascii="Arial Narrow" w:hAnsi="Arial Narrow"/>
                <w:lang w:eastAsia="zh-CN"/>
              </w:rPr>
            </w:pPr>
            <w:r w:rsidRPr="00681C29">
              <w:rPr>
                <w:rFonts w:ascii="Arial Narrow" w:hAnsi="Arial Narrow"/>
              </w:rPr>
              <w:t>1.4</w:t>
            </w:r>
          </w:p>
        </w:tc>
        <w:tc>
          <w:tcPr>
            <w:tcW w:w="267" w:type="dxa"/>
            <w:tcBorders>
              <w:top w:val="nil"/>
              <w:left w:val="single" w:sz="4" w:space="0" w:color="auto"/>
              <w:bottom w:val="nil"/>
              <w:right w:val="single" w:sz="4" w:space="0" w:color="auto"/>
            </w:tcBorders>
            <w:noWrap/>
            <w:hideMark/>
          </w:tcPr>
          <w:p w14:paraId="53C14284" w14:textId="77777777" w:rsidR="00A84742" w:rsidRPr="00681C29" w:rsidRDefault="00A84742" w:rsidP="00A84742">
            <w:pPr>
              <w:rPr>
                <w:rFonts w:ascii="Arial Narrow" w:hAnsi="Arial Narrow"/>
                <w:lang w:eastAsia="zh-CN"/>
              </w:rPr>
            </w:pPr>
          </w:p>
        </w:tc>
        <w:tc>
          <w:tcPr>
            <w:tcW w:w="1560" w:type="dxa"/>
            <w:tcBorders>
              <w:top w:val="single" w:sz="4" w:space="0" w:color="auto"/>
              <w:left w:val="single" w:sz="4" w:space="0" w:color="auto"/>
              <w:bottom w:val="single" w:sz="4" w:space="0" w:color="auto"/>
              <w:right w:val="single" w:sz="4" w:space="0" w:color="auto"/>
            </w:tcBorders>
            <w:noWrap/>
          </w:tcPr>
          <w:p w14:paraId="53C14285" w14:textId="77777777" w:rsidR="00A84742" w:rsidRPr="00681C29" w:rsidRDefault="00A84742" w:rsidP="00A84742">
            <w:pPr>
              <w:rPr>
                <w:rFonts w:ascii="Arial Narrow" w:hAnsi="Arial Narrow"/>
                <w:lang w:eastAsia="zh-CN"/>
              </w:rPr>
            </w:pPr>
            <w:r w:rsidRPr="00681C29">
              <w:rPr>
                <w:rFonts w:ascii="Arial Narrow" w:hAnsi="Arial Narrow"/>
              </w:rPr>
              <w:t>Langford</w:t>
            </w:r>
          </w:p>
        </w:tc>
        <w:tc>
          <w:tcPr>
            <w:tcW w:w="708" w:type="dxa"/>
            <w:tcBorders>
              <w:top w:val="single" w:sz="4" w:space="0" w:color="auto"/>
              <w:left w:val="single" w:sz="4" w:space="0" w:color="auto"/>
              <w:bottom w:val="single" w:sz="4" w:space="0" w:color="auto"/>
              <w:right w:val="single" w:sz="4" w:space="0" w:color="auto"/>
            </w:tcBorders>
            <w:noWrap/>
          </w:tcPr>
          <w:p w14:paraId="53C14286" w14:textId="77777777" w:rsidR="00A84742" w:rsidRPr="00681C29" w:rsidRDefault="00A84742" w:rsidP="00A84742">
            <w:pPr>
              <w:rPr>
                <w:rFonts w:ascii="Arial Narrow" w:hAnsi="Arial Narrow"/>
                <w:lang w:eastAsia="zh-CN"/>
              </w:rPr>
            </w:pPr>
          </w:p>
        </w:tc>
        <w:tc>
          <w:tcPr>
            <w:tcW w:w="709" w:type="dxa"/>
            <w:tcBorders>
              <w:top w:val="single" w:sz="4" w:space="0" w:color="auto"/>
              <w:left w:val="single" w:sz="4" w:space="0" w:color="auto"/>
              <w:bottom w:val="single" w:sz="4" w:space="0" w:color="auto"/>
              <w:right w:val="single" w:sz="4" w:space="0" w:color="auto"/>
            </w:tcBorders>
            <w:noWrap/>
          </w:tcPr>
          <w:p w14:paraId="53C14287" w14:textId="77777777" w:rsidR="00A84742" w:rsidRPr="00681C29" w:rsidRDefault="00A84742" w:rsidP="00A84742">
            <w:pPr>
              <w:rPr>
                <w:rFonts w:ascii="Arial Narrow" w:hAnsi="Arial Narrow"/>
                <w:lang w:eastAsia="zh-CN"/>
              </w:rPr>
            </w:pPr>
          </w:p>
        </w:tc>
        <w:tc>
          <w:tcPr>
            <w:tcW w:w="709" w:type="dxa"/>
            <w:tcBorders>
              <w:top w:val="single" w:sz="4" w:space="0" w:color="auto"/>
              <w:left w:val="single" w:sz="4" w:space="0" w:color="auto"/>
              <w:bottom w:val="single" w:sz="4" w:space="0" w:color="auto"/>
              <w:right w:val="single" w:sz="4" w:space="0" w:color="auto"/>
            </w:tcBorders>
            <w:noWrap/>
          </w:tcPr>
          <w:p w14:paraId="53C14288" w14:textId="77777777" w:rsidR="00A84742" w:rsidRPr="00681C29" w:rsidRDefault="00A84742" w:rsidP="00A84742">
            <w:pPr>
              <w:rPr>
                <w:rFonts w:ascii="Arial Narrow" w:hAnsi="Arial Narrow"/>
                <w:lang w:eastAsia="zh-CN"/>
              </w:rPr>
            </w:pPr>
            <w:r w:rsidRPr="00681C29">
              <w:rPr>
                <w:rFonts w:ascii="Arial Narrow" w:hAnsi="Arial Narrow"/>
              </w:rPr>
              <w:t>7.9</w:t>
            </w:r>
          </w:p>
        </w:tc>
        <w:tc>
          <w:tcPr>
            <w:tcW w:w="709" w:type="dxa"/>
            <w:tcBorders>
              <w:top w:val="single" w:sz="4" w:space="0" w:color="auto"/>
              <w:left w:val="single" w:sz="4" w:space="0" w:color="auto"/>
              <w:bottom w:val="single" w:sz="4" w:space="0" w:color="auto"/>
              <w:right w:val="single" w:sz="4" w:space="0" w:color="auto"/>
            </w:tcBorders>
            <w:noWrap/>
          </w:tcPr>
          <w:p w14:paraId="53C14289" w14:textId="77777777" w:rsidR="00A84742" w:rsidRPr="00681C29" w:rsidRDefault="00A84742" w:rsidP="00A84742">
            <w:pPr>
              <w:rPr>
                <w:rFonts w:ascii="Arial Narrow" w:hAnsi="Arial Narrow"/>
                <w:lang w:eastAsia="zh-CN"/>
              </w:rPr>
            </w:pPr>
            <w:r w:rsidRPr="00681C29">
              <w:rPr>
                <w:rFonts w:ascii="Arial Narrow" w:hAnsi="Arial Narrow"/>
              </w:rPr>
              <w:t>1.4</w:t>
            </w:r>
          </w:p>
        </w:tc>
      </w:tr>
      <w:tr w:rsidR="00CE4E0F" w:rsidRPr="00681C29" w14:paraId="53C14296" w14:textId="77777777" w:rsidTr="004F16D3">
        <w:trPr>
          <w:trHeight w:hRule="exact" w:val="255"/>
          <w:tblHeader/>
        </w:trPr>
        <w:tc>
          <w:tcPr>
            <w:tcW w:w="1486" w:type="dxa"/>
            <w:tcBorders>
              <w:top w:val="single" w:sz="4" w:space="0" w:color="auto"/>
              <w:left w:val="single" w:sz="4" w:space="0" w:color="auto"/>
              <w:bottom w:val="single" w:sz="4" w:space="0" w:color="auto"/>
              <w:right w:val="single" w:sz="4" w:space="0" w:color="auto"/>
            </w:tcBorders>
            <w:noWrap/>
            <w:hideMark/>
          </w:tcPr>
          <w:p w14:paraId="53C1428B" w14:textId="77777777" w:rsidR="00A84742" w:rsidRPr="00681C29" w:rsidRDefault="00A84742" w:rsidP="00A84742">
            <w:pPr>
              <w:rPr>
                <w:rFonts w:ascii="Arial Narrow" w:hAnsi="Arial Narrow"/>
                <w:lang w:eastAsia="zh-CN"/>
              </w:rPr>
            </w:pPr>
            <w:r w:rsidRPr="00681C29">
              <w:rPr>
                <w:rFonts w:ascii="Arial Narrow" w:hAnsi="Arial Narrow"/>
              </w:rPr>
              <w:t>Daydream</w:t>
            </w:r>
          </w:p>
        </w:tc>
        <w:tc>
          <w:tcPr>
            <w:tcW w:w="694" w:type="dxa"/>
            <w:tcBorders>
              <w:top w:val="single" w:sz="4" w:space="0" w:color="auto"/>
              <w:left w:val="single" w:sz="4" w:space="0" w:color="auto"/>
              <w:bottom w:val="single" w:sz="4" w:space="0" w:color="auto"/>
              <w:right w:val="single" w:sz="4" w:space="0" w:color="auto"/>
            </w:tcBorders>
            <w:noWrap/>
            <w:hideMark/>
          </w:tcPr>
          <w:p w14:paraId="53C1428C" w14:textId="77777777" w:rsidR="00A84742" w:rsidRPr="00681C29" w:rsidRDefault="00A84742" w:rsidP="00A84742">
            <w:pPr>
              <w:rPr>
                <w:rFonts w:ascii="Arial Narrow" w:hAnsi="Arial Narrow"/>
                <w:lang w:eastAsia="zh-CN"/>
              </w:rPr>
            </w:pPr>
            <w:r w:rsidRPr="00681C29">
              <w:rPr>
                <w:rFonts w:ascii="Arial Narrow" w:hAnsi="Arial Narrow"/>
              </w:rPr>
              <w:t>13.5</w:t>
            </w:r>
          </w:p>
        </w:tc>
        <w:tc>
          <w:tcPr>
            <w:tcW w:w="694" w:type="dxa"/>
            <w:tcBorders>
              <w:top w:val="single" w:sz="4" w:space="0" w:color="auto"/>
              <w:left w:val="single" w:sz="4" w:space="0" w:color="auto"/>
              <w:bottom w:val="single" w:sz="4" w:space="0" w:color="auto"/>
              <w:right w:val="single" w:sz="4" w:space="0" w:color="auto"/>
            </w:tcBorders>
            <w:noWrap/>
            <w:hideMark/>
          </w:tcPr>
          <w:p w14:paraId="53C1428D" w14:textId="77777777" w:rsidR="00A84742" w:rsidRPr="00681C29" w:rsidRDefault="00A84742" w:rsidP="00A84742">
            <w:pPr>
              <w:rPr>
                <w:rFonts w:ascii="Arial Narrow" w:hAnsi="Arial Narrow"/>
                <w:lang w:eastAsia="zh-CN"/>
              </w:rPr>
            </w:pPr>
            <w:r w:rsidRPr="00681C29">
              <w:rPr>
                <w:rFonts w:ascii="Arial Narrow" w:hAnsi="Arial Narrow"/>
              </w:rPr>
              <w:t>3.5</w:t>
            </w:r>
          </w:p>
        </w:tc>
        <w:tc>
          <w:tcPr>
            <w:tcW w:w="694" w:type="dxa"/>
            <w:tcBorders>
              <w:top w:val="single" w:sz="4" w:space="0" w:color="auto"/>
              <w:left w:val="single" w:sz="4" w:space="0" w:color="auto"/>
              <w:bottom w:val="single" w:sz="4" w:space="0" w:color="auto"/>
              <w:right w:val="single" w:sz="4" w:space="0" w:color="auto"/>
            </w:tcBorders>
            <w:noWrap/>
            <w:hideMark/>
          </w:tcPr>
          <w:p w14:paraId="53C1428E" w14:textId="77777777" w:rsidR="00A84742" w:rsidRPr="00681C29" w:rsidRDefault="00A84742" w:rsidP="00A84742">
            <w:pPr>
              <w:rPr>
                <w:rFonts w:ascii="Arial Narrow" w:hAnsi="Arial Narrow"/>
                <w:lang w:eastAsia="zh-CN"/>
              </w:rPr>
            </w:pPr>
            <w:r w:rsidRPr="00681C29">
              <w:rPr>
                <w:rFonts w:ascii="Arial Narrow" w:hAnsi="Arial Narrow"/>
              </w:rPr>
              <w:t>10.4</w:t>
            </w:r>
          </w:p>
        </w:tc>
        <w:tc>
          <w:tcPr>
            <w:tcW w:w="701" w:type="dxa"/>
            <w:tcBorders>
              <w:top w:val="single" w:sz="4" w:space="0" w:color="auto"/>
              <w:left w:val="single" w:sz="4" w:space="0" w:color="auto"/>
              <w:bottom w:val="single" w:sz="4" w:space="0" w:color="auto"/>
              <w:right w:val="single" w:sz="4" w:space="0" w:color="auto"/>
            </w:tcBorders>
            <w:noWrap/>
            <w:hideMark/>
          </w:tcPr>
          <w:p w14:paraId="53C1428F" w14:textId="77777777" w:rsidR="00A84742" w:rsidRPr="00681C29" w:rsidRDefault="00A84742" w:rsidP="00A84742">
            <w:pPr>
              <w:rPr>
                <w:rFonts w:ascii="Arial Narrow" w:hAnsi="Arial Narrow"/>
                <w:lang w:eastAsia="zh-CN"/>
              </w:rPr>
            </w:pPr>
            <w:r w:rsidRPr="00681C29">
              <w:rPr>
                <w:rFonts w:ascii="Arial Narrow" w:hAnsi="Arial Narrow"/>
              </w:rPr>
              <w:t>1.5</w:t>
            </w:r>
          </w:p>
        </w:tc>
        <w:tc>
          <w:tcPr>
            <w:tcW w:w="267" w:type="dxa"/>
            <w:tcBorders>
              <w:top w:val="nil"/>
              <w:left w:val="single" w:sz="4" w:space="0" w:color="auto"/>
              <w:bottom w:val="nil"/>
              <w:right w:val="single" w:sz="4" w:space="0" w:color="auto"/>
            </w:tcBorders>
            <w:noWrap/>
            <w:hideMark/>
          </w:tcPr>
          <w:p w14:paraId="53C14290" w14:textId="77777777" w:rsidR="00A84742" w:rsidRPr="00681C29" w:rsidRDefault="00A84742" w:rsidP="00A84742">
            <w:pPr>
              <w:rPr>
                <w:rFonts w:ascii="Arial Narrow" w:hAnsi="Arial Narrow"/>
                <w:lang w:eastAsia="zh-CN"/>
              </w:rPr>
            </w:pPr>
          </w:p>
        </w:tc>
        <w:tc>
          <w:tcPr>
            <w:tcW w:w="1560" w:type="dxa"/>
            <w:tcBorders>
              <w:top w:val="single" w:sz="4" w:space="0" w:color="auto"/>
              <w:left w:val="single" w:sz="4" w:space="0" w:color="auto"/>
              <w:bottom w:val="single" w:sz="4" w:space="0" w:color="auto"/>
              <w:right w:val="single" w:sz="4" w:space="0" w:color="auto"/>
            </w:tcBorders>
            <w:noWrap/>
          </w:tcPr>
          <w:p w14:paraId="53C14291" w14:textId="77777777" w:rsidR="00A84742" w:rsidRPr="00681C29" w:rsidRDefault="00A84742" w:rsidP="00A84742">
            <w:pPr>
              <w:rPr>
                <w:rFonts w:ascii="Arial Narrow" w:hAnsi="Arial Narrow"/>
                <w:lang w:eastAsia="zh-CN"/>
              </w:rPr>
            </w:pPr>
            <w:r w:rsidRPr="00681C29">
              <w:rPr>
                <w:rFonts w:ascii="Arial Narrow" w:hAnsi="Arial Narrow"/>
              </w:rPr>
              <w:t>Low Isles</w:t>
            </w:r>
          </w:p>
        </w:tc>
        <w:tc>
          <w:tcPr>
            <w:tcW w:w="708" w:type="dxa"/>
            <w:tcBorders>
              <w:top w:val="single" w:sz="4" w:space="0" w:color="auto"/>
              <w:left w:val="single" w:sz="4" w:space="0" w:color="auto"/>
              <w:bottom w:val="single" w:sz="4" w:space="0" w:color="auto"/>
              <w:right w:val="single" w:sz="4" w:space="0" w:color="auto"/>
            </w:tcBorders>
            <w:noWrap/>
          </w:tcPr>
          <w:p w14:paraId="53C14292" w14:textId="77777777" w:rsidR="00A84742" w:rsidRPr="00681C29" w:rsidRDefault="00A84742" w:rsidP="00A84742">
            <w:pPr>
              <w:rPr>
                <w:rFonts w:ascii="Arial Narrow" w:hAnsi="Arial Narrow"/>
                <w:lang w:eastAsia="zh-CN"/>
              </w:rPr>
            </w:pPr>
          </w:p>
        </w:tc>
        <w:tc>
          <w:tcPr>
            <w:tcW w:w="709" w:type="dxa"/>
            <w:tcBorders>
              <w:top w:val="single" w:sz="4" w:space="0" w:color="auto"/>
              <w:left w:val="single" w:sz="4" w:space="0" w:color="auto"/>
              <w:bottom w:val="single" w:sz="4" w:space="0" w:color="auto"/>
              <w:right w:val="single" w:sz="4" w:space="0" w:color="auto"/>
            </w:tcBorders>
            <w:noWrap/>
          </w:tcPr>
          <w:p w14:paraId="53C14293" w14:textId="77777777" w:rsidR="00A84742" w:rsidRPr="00681C29" w:rsidRDefault="00A84742" w:rsidP="00A84742">
            <w:pPr>
              <w:rPr>
                <w:rFonts w:ascii="Arial Narrow" w:hAnsi="Arial Narrow"/>
                <w:lang w:eastAsia="zh-CN"/>
              </w:rPr>
            </w:pPr>
          </w:p>
        </w:tc>
        <w:tc>
          <w:tcPr>
            <w:tcW w:w="709" w:type="dxa"/>
            <w:tcBorders>
              <w:top w:val="single" w:sz="4" w:space="0" w:color="auto"/>
              <w:left w:val="single" w:sz="4" w:space="0" w:color="auto"/>
              <w:bottom w:val="single" w:sz="4" w:space="0" w:color="auto"/>
              <w:right w:val="single" w:sz="4" w:space="0" w:color="auto"/>
            </w:tcBorders>
            <w:noWrap/>
          </w:tcPr>
          <w:p w14:paraId="53C14294" w14:textId="77777777" w:rsidR="00A84742" w:rsidRPr="00681C29" w:rsidRDefault="00A84742" w:rsidP="00A84742">
            <w:pPr>
              <w:rPr>
                <w:rFonts w:ascii="Arial Narrow" w:hAnsi="Arial Narrow"/>
                <w:lang w:eastAsia="zh-CN"/>
              </w:rPr>
            </w:pPr>
            <w:r w:rsidRPr="00681C29">
              <w:rPr>
                <w:rFonts w:ascii="Arial Narrow" w:hAnsi="Arial Narrow"/>
              </w:rPr>
              <w:t>8.9</w:t>
            </w:r>
          </w:p>
        </w:tc>
        <w:tc>
          <w:tcPr>
            <w:tcW w:w="709" w:type="dxa"/>
            <w:tcBorders>
              <w:top w:val="single" w:sz="4" w:space="0" w:color="auto"/>
              <w:left w:val="single" w:sz="4" w:space="0" w:color="auto"/>
              <w:bottom w:val="single" w:sz="4" w:space="0" w:color="auto"/>
              <w:right w:val="single" w:sz="4" w:space="0" w:color="auto"/>
            </w:tcBorders>
            <w:noWrap/>
          </w:tcPr>
          <w:p w14:paraId="53C14295" w14:textId="77777777" w:rsidR="00A84742" w:rsidRPr="00681C29" w:rsidRDefault="00A84742" w:rsidP="00A84742">
            <w:pPr>
              <w:rPr>
                <w:rFonts w:ascii="Arial Narrow" w:hAnsi="Arial Narrow"/>
                <w:lang w:eastAsia="zh-CN"/>
              </w:rPr>
            </w:pPr>
            <w:r w:rsidRPr="00681C29">
              <w:rPr>
                <w:rFonts w:ascii="Arial Narrow" w:hAnsi="Arial Narrow"/>
              </w:rPr>
              <w:t>1.4</w:t>
            </w:r>
          </w:p>
        </w:tc>
      </w:tr>
      <w:tr w:rsidR="00CE4E0F" w:rsidRPr="00681C29" w14:paraId="53C142A2" w14:textId="77777777" w:rsidTr="004F16D3">
        <w:trPr>
          <w:trHeight w:hRule="exact" w:val="255"/>
          <w:tblHeader/>
        </w:trPr>
        <w:tc>
          <w:tcPr>
            <w:tcW w:w="1486" w:type="dxa"/>
            <w:tcBorders>
              <w:top w:val="single" w:sz="4" w:space="0" w:color="auto"/>
              <w:left w:val="single" w:sz="4" w:space="0" w:color="auto"/>
              <w:bottom w:val="single" w:sz="4" w:space="0" w:color="auto"/>
              <w:right w:val="single" w:sz="4" w:space="0" w:color="auto"/>
            </w:tcBorders>
            <w:noWrap/>
            <w:hideMark/>
          </w:tcPr>
          <w:p w14:paraId="53C14297" w14:textId="77777777" w:rsidR="00A84742" w:rsidRPr="00681C29" w:rsidRDefault="00A84742" w:rsidP="00A84742">
            <w:pPr>
              <w:rPr>
                <w:rFonts w:ascii="Arial Narrow" w:hAnsi="Arial Narrow"/>
                <w:lang w:eastAsia="zh-CN"/>
              </w:rPr>
            </w:pPr>
            <w:r w:rsidRPr="00681C29">
              <w:rPr>
                <w:rFonts w:ascii="Arial Narrow" w:hAnsi="Arial Narrow"/>
              </w:rPr>
              <w:t>Dent</w:t>
            </w:r>
          </w:p>
        </w:tc>
        <w:tc>
          <w:tcPr>
            <w:tcW w:w="694" w:type="dxa"/>
            <w:tcBorders>
              <w:top w:val="single" w:sz="4" w:space="0" w:color="auto"/>
              <w:left w:val="single" w:sz="4" w:space="0" w:color="auto"/>
              <w:bottom w:val="single" w:sz="4" w:space="0" w:color="auto"/>
              <w:right w:val="single" w:sz="4" w:space="0" w:color="auto"/>
            </w:tcBorders>
            <w:noWrap/>
            <w:hideMark/>
          </w:tcPr>
          <w:p w14:paraId="53C14298" w14:textId="77777777" w:rsidR="00A84742" w:rsidRPr="00681C29" w:rsidRDefault="00A84742" w:rsidP="00A84742">
            <w:pPr>
              <w:rPr>
                <w:rFonts w:ascii="Arial Narrow" w:hAnsi="Arial Narrow"/>
                <w:lang w:eastAsia="zh-CN"/>
              </w:rPr>
            </w:pPr>
            <w:r w:rsidRPr="00681C29">
              <w:rPr>
                <w:rFonts w:ascii="Arial Narrow" w:hAnsi="Arial Narrow"/>
              </w:rPr>
              <w:t>11.6</w:t>
            </w:r>
          </w:p>
        </w:tc>
        <w:tc>
          <w:tcPr>
            <w:tcW w:w="694" w:type="dxa"/>
            <w:tcBorders>
              <w:top w:val="single" w:sz="4" w:space="0" w:color="auto"/>
              <w:left w:val="single" w:sz="4" w:space="0" w:color="auto"/>
              <w:bottom w:val="single" w:sz="4" w:space="0" w:color="auto"/>
              <w:right w:val="single" w:sz="4" w:space="0" w:color="auto"/>
            </w:tcBorders>
            <w:noWrap/>
            <w:hideMark/>
          </w:tcPr>
          <w:p w14:paraId="53C14299" w14:textId="77777777" w:rsidR="00A84742" w:rsidRPr="00681C29" w:rsidRDefault="00A84742" w:rsidP="00A84742">
            <w:pPr>
              <w:rPr>
                <w:rFonts w:ascii="Arial Narrow" w:hAnsi="Arial Narrow"/>
                <w:lang w:eastAsia="zh-CN"/>
              </w:rPr>
            </w:pPr>
            <w:r w:rsidRPr="00681C29">
              <w:rPr>
                <w:rFonts w:ascii="Arial Narrow" w:hAnsi="Arial Narrow"/>
              </w:rPr>
              <w:t>3.5</w:t>
            </w:r>
          </w:p>
        </w:tc>
        <w:tc>
          <w:tcPr>
            <w:tcW w:w="694" w:type="dxa"/>
            <w:tcBorders>
              <w:top w:val="single" w:sz="4" w:space="0" w:color="auto"/>
              <w:left w:val="single" w:sz="4" w:space="0" w:color="auto"/>
              <w:bottom w:val="single" w:sz="4" w:space="0" w:color="auto"/>
              <w:right w:val="single" w:sz="4" w:space="0" w:color="auto"/>
            </w:tcBorders>
            <w:noWrap/>
            <w:hideMark/>
          </w:tcPr>
          <w:p w14:paraId="53C1429A" w14:textId="77777777" w:rsidR="00A84742" w:rsidRPr="00681C29" w:rsidRDefault="00A84742" w:rsidP="00A84742">
            <w:pPr>
              <w:rPr>
                <w:rFonts w:ascii="Arial Narrow" w:hAnsi="Arial Narrow"/>
                <w:lang w:eastAsia="zh-CN"/>
              </w:rPr>
            </w:pPr>
            <w:r w:rsidRPr="00681C29">
              <w:rPr>
                <w:rFonts w:ascii="Arial Narrow" w:hAnsi="Arial Narrow"/>
              </w:rPr>
              <w:t>10.2</w:t>
            </w:r>
          </w:p>
        </w:tc>
        <w:tc>
          <w:tcPr>
            <w:tcW w:w="701" w:type="dxa"/>
            <w:tcBorders>
              <w:top w:val="single" w:sz="4" w:space="0" w:color="auto"/>
              <w:left w:val="single" w:sz="4" w:space="0" w:color="auto"/>
              <w:bottom w:val="single" w:sz="4" w:space="0" w:color="auto"/>
              <w:right w:val="single" w:sz="4" w:space="0" w:color="auto"/>
            </w:tcBorders>
            <w:noWrap/>
            <w:hideMark/>
          </w:tcPr>
          <w:p w14:paraId="53C1429B" w14:textId="77777777" w:rsidR="00A84742" w:rsidRPr="00681C29" w:rsidRDefault="00A84742" w:rsidP="00A84742">
            <w:pPr>
              <w:rPr>
                <w:rFonts w:ascii="Arial Narrow" w:hAnsi="Arial Narrow"/>
                <w:lang w:eastAsia="zh-CN"/>
              </w:rPr>
            </w:pPr>
            <w:r w:rsidRPr="00681C29">
              <w:rPr>
                <w:rFonts w:ascii="Arial Narrow" w:hAnsi="Arial Narrow"/>
              </w:rPr>
              <w:t>1.5</w:t>
            </w:r>
          </w:p>
        </w:tc>
        <w:tc>
          <w:tcPr>
            <w:tcW w:w="267" w:type="dxa"/>
            <w:tcBorders>
              <w:top w:val="nil"/>
              <w:left w:val="single" w:sz="4" w:space="0" w:color="auto"/>
              <w:bottom w:val="nil"/>
              <w:right w:val="single" w:sz="4" w:space="0" w:color="auto"/>
            </w:tcBorders>
            <w:noWrap/>
            <w:hideMark/>
          </w:tcPr>
          <w:p w14:paraId="53C1429C" w14:textId="77777777" w:rsidR="00A84742" w:rsidRPr="00681C29" w:rsidRDefault="00A84742" w:rsidP="00A84742">
            <w:pPr>
              <w:rPr>
                <w:rFonts w:ascii="Arial Narrow" w:hAnsi="Arial Narrow"/>
                <w:lang w:eastAsia="zh-CN"/>
              </w:rPr>
            </w:pPr>
          </w:p>
        </w:tc>
        <w:tc>
          <w:tcPr>
            <w:tcW w:w="1560" w:type="dxa"/>
            <w:tcBorders>
              <w:top w:val="single" w:sz="4" w:space="0" w:color="auto"/>
              <w:left w:val="single" w:sz="4" w:space="0" w:color="auto"/>
              <w:bottom w:val="single" w:sz="4" w:space="0" w:color="auto"/>
              <w:right w:val="single" w:sz="4" w:space="0" w:color="auto"/>
            </w:tcBorders>
            <w:noWrap/>
          </w:tcPr>
          <w:p w14:paraId="53C1429D" w14:textId="77777777" w:rsidR="00A84742" w:rsidRPr="00681C29" w:rsidRDefault="00A84742" w:rsidP="00A84742">
            <w:pPr>
              <w:rPr>
                <w:rFonts w:ascii="Arial Narrow" w:hAnsi="Arial Narrow"/>
                <w:lang w:eastAsia="zh-CN"/>
              </w:rPr>
            </w:pPr>
            <w:r w:rsidRPr="00681C29">
              <w:rPr>
                <w:rFonts w:ascii="Arial Narrow" w:hAnsi="Arial Narrow"/>
              </w:rPr>
              <w:t>Magnetic</w:t>
            </w:r>
          </w:p>
        </w:tc>
        <w:tc>
          <w:tcPr>
            <w:tcW w:w="708" w:type="dxa"/>
            <w:tcBorders>
              <w:top w:val="single" w:sz="4" w:space="0" w:color="auto"/>
              <w:left w:val="single" w:sz="4" w:space="0" w:color="auto"/>
              <w:bottom w:val="single" w:sz="4" w:space="0" w:color="auto"/>
              <w:right w:val="single" w:sz="4" w:space="0" w:color="auto"/>
            </w:tcBorders>
            <w:noWrap/>
          </w:tcPr>
          <w:p w14:paraId="53C1429E" w14:textId="77777777" w:rsidR="00A84742" w:rsidRPr="00681C29" w:rsidRDefault="00A84742" w:rsidP="00A84742">
            <w:pPr>
              <w:rPr>
                <w:rFonts w:ascii="Arial Narrow" w:hAnsi="Arial Narrow"/>
                <w:lang w:eastAsia="zh-CN"/>
              </w:rPr>
            </w:pPr>
            <w:r w:rsidRPr="00681C29">
              <w:rPr>
                <w:rFonts w:ascii="Arial Narrow" w:hAnsi="Arial Narrow"/>
              </w:rPr>
              <w:t>23</w:t>
            </w:r>
          </w:p>
        </w:tc>
        <w:tc>
          <w:tcPr>
            <w:tcW w:w="709" w:type="dxa"/>
            <w:tcBorders>
              <w:top w:val="single" w:sz="4" w:space="0" w:color="auto"/>
              <w:left w:val="single" w:sz="4" w:space="0" w:color="auto"/>
              <w:bottom w:val="single" w:sz="4" w:space="0" w:color="auto"/>
              <w:right w:val="single" w:sz="4" w:space="0" w:color="auto"/>
            </w:tcBorders>
            <w:noWrap/>
          </w:tcPr>
          <w:p w14:paraId="53C1429F" w14:textId="77777777" w:rsidR="00A84742" w:rsidRPr="00681C29" w:rsidRDefault="00A84742" w:rsidP="00A84742">
            <w:pPr>
              <w:rPr>
                <w:rFonts w:ascii="Arial Narrow" w:hAnsi="Arial Narrow"/>
                <w:lang w:eastAsia="zh-CN"/>
              </w:rPr>
            </w:pPr>
            <w:r w:rsidRPr="00681C29">
              <w:rPr>
                <w:rFonts w:ascii="Arial Narrow" w:hAnsi="Arial Narrow"/>
              </w:rPr>
              <w:t>6.4</w:t>
            </w:r>
          </w:p>
        </w:tc>
        <w:tc>
          <w:tcPr>
            <w:tcW w:w="709" w:type="dxa"/>
            <w:tcBorders>
              <w:top w:val="single" w:sz="4" w:space="0" w:color="auto"/>
              <w:left w:val="single" w:sz="4" w:space="0" w:color="auto"/>
              <w:bottom w:val="single" w:sz="4" w:space="0" w:color="auto"/>
              <w:right w:val="single" w:sz="4" w:space="0" w:color="auto"/>
            </w:tcBorders>
            <w:noWrap/>
          </w:tcPr>
          <w:p w14:paraId="53C142A0" w14:textId="77777777" w:rsidR="00A84742" w:rsidRPr="00681C29" w:rsidRDefault="00A84742" w:rsidP="00A84742">
            <w:pPr>
              <w:rPr>
                <w:rFonts w:ascii="Arial Narrow" w:hAnsi="Arial Narrow"/>
                <w:lang w:eastAsia="zh-CN"/>
              </w:rPr>
            </w:pPr>
            <w:r w:rsidRPr="00681C29">
              <w:rPr>
                <w:rFonts w:ascii="Arial Narrow" w:hAnsi="Arial Narrow"/>
              </w:rPr>
              <w:t>19</w:t>
            </w:r>
          </w:p>
        </w:tc>
        <w:tc>
          <w:tcPr>
            <w:tcW w:w="709" w:type="dxa"/>
            <w:tcBorders>
              <w:top w:val="single" w:sz="4" w:space="0" w:color="auto"/>
              <w:left w:val="single" w:sz="4" w:space="0" w:color="auto"/>
              <w:bottom w:val="single" w:sz="4" w:space="0" w:color="auto"/>
              <w:right w:val="single" w:sz="4" w:space="0" w:color="auto"/>
            </w:tcBorders>
            <w:noWrap/>
          </w:tcPr>
          <w:p w14:paraId="53C142A1" w14:textId="77777777" w:rsidR="00A84742" w:rsidRPr="00681C29" w:rsidRDefault="00A84742" w:rsidP="00A84742">
            <w:pPr>
              <w:rPr>
                <w:rFonts w:ascii="Arial Narrow" w:hAnsi="Arial Narrow"/>
                <w:lang w:eastAsia="zh-CN"/>
              </w:rPr>
            </w:pPr>
            <w:r w:rsidRPr="00681C29">
              <w:rPr>
                <w:rFonts w:ascii="Arial Narrow" w:hAnsi="Arial Narrow"/>
              </w:rPr>
              <w:t>2</w:t>
            </w:r>
          </w:p>
        </w:tc>
      </w:tr>
      <w:tr w:rsidR="00CE4E0F" w:rsidRPr="00681C29" w14:paraId="53C142AE" w14:textId="77777777" w:rsidTr="004F16D3">
        <w:trPr>
          <w:trHeight w:hRule="exact" w:val="255"/>
          <w:tblHeader/>
        </w:trPr>
        <w:tc>
          <w:tcPr>
            <w:tcW w:w="1486" w:type="dxa"/>
            <w:tcBorders>
              <w:top w:val="single" w:sz="4" w:space="0" w:color="auto"/>
              <w:left w:val="single" w:sz="4" w:space="0" w:color="auto"/>
              <w:bottom w:val="single" w:sz="4" w:space="0" w:color="auto"/>
              <w:right w:val="single" w:sz="4" w:space="0" w:color="auto"/>
            </w:tcBorders>
            <w:noWrap/>
            <w:hideMark/>
          </w:tcPr>
          <w:p w14:paraId="53C142A3" w14:textId="77777777" w:rsidR="00A84742" w:rsidRPr="00681C29" w:rsidRDefault="00A84742" w:rsidP="00A84742">
            <w:pPr>
              <w:rPr>
                <w:rFonts w:ascii="Arial Narrow" w:hAnsi="Arial Narrow"/>
                <w:lang w:eastAsia="zh-CN"/>
              </w:rPr>
            </w:pPr>
            <w:r w:rsidRPr="00681C29">
              <w:rPr>
                <w:rFonts w:ascii="Arial Narrow" w:hAnsi="Arial Narrow"/>
              </w:rPr>
              <w:t>Double Cone</w:t>
            </w:r>
          </w:p>
        </w:tc>
        <w:tc>
          <w:tcPr>
            <w:tcW w:w="694" w:type="dxa"/>
            <w:tcBorders>
              <w:top w:val="single" w:sz="4" w:space="0" w:color="auto"/>
              <w:left w:val="single" w:sz="4" w:space="0" w:color="auto"/>
              <w:bottom w:val="single" w:sz="4" w:space="0" w:color="auto"/>
              <w:right w:val="single" w:sz="4" w:space="0" w:color="auto"/>
            </w:tcBorders>
            <w:noWrap/>
            <w:hideMark/>
          </w:tcPr>
          <w:p w14:paraId="53C142A4" w14:textId="77777777" w:rsidR="00A84742" w:rsidRPr="00681C29" w:rsidRDefault="00A84742" w:rsidP="00A84742">
            <w:pPr>
              <w:rPr>
                <w:rFonts w:ascii="Arial Narrow" w:hAnsi="Arial Narrow"/>
                <w:lang w:eastAsia="zh-CN"/>
              </w:rPr>
            </w:pPr>
            <w:r w:rsidRPr="00681C29">
              <w:rPr>
                <w:rFonts w:ascii="Arial Narrow" w:hAnsi="Arial Narrow"/>
              </w:rPr>
              <w:t>8.9</w:t>
            </w:r>
          </w:p>
        </w:tc>
        <w:tc>
          <w:tcPr>
            <w:tcW w:w="694" w:type="dxa"/>
            <w:tcBorders>
              <w:top w:val="single" w:sz="4" w:space="0" w:color="auto"/>
              <w:left w:val="single" w:sz="4" w:space="0" w:color="auto"/>
              <w:bottom w:val="single" w:sz="4" w:space="0" w:color="auto"/>
              <w:right w:val="single" w:sz="4" w:space="0" w:color="auto"/>
            </w:tcBorders>
            <w:noWrap/>
            <w:hideMark/>
          </w:tcPr>
          <w:p w14:paraId="53C142A5" w14:textId="77777777" w:rsidR="00A84742" w:rsidRPr="00681C29" w:rsidRDefault="00A84742" w:rsidP="00A84742">
            <w:pPr>
              <w:rPr>
                <w:rFonts w:ascii="Arial Narrow" w:hAnsi="Arial Narrow"/>
                <w:lang w:eastAsia="zh-CN"/>
              </w:rPr>
            </w:pPr>
            <w:r w:rsidRPr="00681C29">
              <w:rPr>
                <w:rFonts w:ascii="Arial Narrow" w:hAnsi="Arial Narrow"/>
              </w:rPr>
              <w:t>3.4</w:t>
            </w:r>
          </w:p>
        </w:tc>
        <w:tc>
          <w:tcPr>
            <w:tcW w:w="694" w:type="dxa"/>
            <w:tcBorders>
              <w:top w:val="single" w:sz="4" w:space="0" w:color="auto"/>
              <w:left w:val="single" w:sz="4" w:space="0" w:color="auto"/>
              <w:bottom w:val="single" w:sz="4" w:space="0" w:color="auto"/>
              <w:right w:val="single" w:sz="4" w:space="0" w:color="auto"/>
            </w:tcBorders>
            <w:noWrap/>
            <w:hideMark/>
          </w:tcPr>
          <w:p w14:paraId="53C142A6" w14:textId="77777777" w:rsidR="00A84742" w:rsidRPr="00681C29" w:rsidRDefault="00A84742" w:rsidP="00A84742">
            <w:pPr>
              <w:rPr>
                <w:rFonts w:ascii="Arial Narrow" w:hAnsi="Arial Narrow"/>
                <w:lang w:eastAsia="zh-CN"/>
              </w:rPr>
            </w:pPr>
            <w:r w:rsidRPr="00681C29">
              <w:rPr>
                <w:rFonts w:ascii="Arial Narrow" w:hAnsi="Arial Narrow"/>
              </w:rPr>
              <w:t>7.6</w:t>
            </w:r>
          </w:p>
        </w:tc>
        <w:tc>
          <w:tcPr>
            <w:tcW w:w="701" w:type="dxa"/>
            <w:tcBorders>
              <w:top w:val="single" w:sz="4" w:space="0" w:color="auto"/>
              <w:left w:val="single" w:sz="4" w:space="0" w:color="auto"/>
              <w:bottom w:val="single" w:sz="4" w:space="0" w:color="auto"/>
              <w:right w:val="single" w:sz="4" w:space="0" w:color="auto"/>
            </w:tcBorders>
            <w:noWrap/>
            <w:hideMark/>
          </w:tcPr>
          <w:p w14:paraId="53C142A7" w14:textId="77777777" w:rsidR="00A84742" w:rsidRPr="00681C29" w:rsidRDefault="00A84742" w:rsidP="00A84742">
            <w:pPr>
              <w:rPr>
                <w:rFonts w:ascii="Arial Narrow" w:hAnsi="Arial Narrow"/>
                <w:lang w:eastAsia="zh-CN"/>
              </w:rPr>
            </w:pPr>
            <w:r w:rsidRPr="00681C29">
              <w:rPr>
                <w:rFonts w:ascii="Arial Narrow" w:hAnsi="Arial Narrow"/>
              </w:rPr>
              <w:t>1.4</w:t>
            </w:r>
          </w:p>
        </w:tc>
        <w:tc>
          <w:tcPr>
            <w:tcW w:w="267" w:type="dxa"/>
            <w:tcBorders>
              <w:top w:val="nil"/>
              <w:left w:val="single" w:sz="4" w:space="0" w:color="auto"/>
              <w:bottom w:val="nil"/>
              <w:right w:val="single" w:sz="4" w:space="0" w:color="auto"/>
            </w:tcBorders>
            <w:noWrap/>
            <w:hideMark/>
          </w:tcPr>
          <w:p w14:paraId="53C142A8" w14:textId="77777777" w:rsidR="00A84742" w:rsidRPr="00681C29" w:rsidRDefault="00A84742" w:rsidP="00A84742">
            <w:pPr>
              <w:rPr>
                <w:rFonts w:ascii="Arial Narrow" w:hAnsi="Arial Narrow"/>
                <w:lang w:eastAsia="zh-CN"/>
              </w:rPr>
            </w:pPr>
          </w:p>
        </w:tc>
        <w:tc>
          <w:tcPr>
            <w:tcW w:w="1560" w:type="dxa"/>
            <w:tcBorders>
              <w:top w:val="single" w:sz="4" w:space="0" w:color="auto"/>
              <w:left w:val="single" w:sz="4" w:space="0" w:color="auto"/>
              <w:bottom w:val="single" w:sz="4" w:space="0" w:color="auto"/>
              <w:right w:val="single" w:sz="4" w:space="0" w:color="auto"/>
            </w:tcBorders>
            <w:noWrap/>
          </w:tcPr>
          <w:p w14:paraId="53C142A9" w14:textId="77777777" w:rsidR="00A84742" w:rsidRPr="00681C29" w:rsidRDefault="00A84742" w:rsidP="00A84742">
            <w:pPr>
              <w:rPr>
                <w:rFonts w:ascii="Arial Narrow" w:hAnsi="Arial Narrow"/>
                <w:lang w:eastAsia="zh-CN"/>
              </w:rPr>
            </w:pPr>
            <w:r w:rsidRPr="00681C29">
              <w:rPr>
                <w:rFonts w:ascii="Arial Narrow" w:hAnsi="Arial Narrow"/>
              </w:rPr>
              <w:t>Middle Rf</w:t>
            </w:r>
          </w:p>
        </w:tc>
        <w:tc>
          <w:tcPr>
            <w:tcW w:w="708" w:type="dxa"/>
            <w:tcBorders>
              <w:top w:val="single" w:sz="4" w:space="0" w:color="auto"/>
              <w:left w:val="single" w:sz="4" w:space="0" w:color="auto"/>
              <w:bottom w:val="single" w:sz="4" w:space="0" w:color="auto"/>
              <w:right w:val="single" w:sz="4" w:space="0" w:color="auto"/>
            </w:tcBorders>
            <w:noWrap/>
          </w:tcPr>
          <w:p w14:paraId="53C142AA" w14:textId="77777777" w:rsidR="00A84742" w:rsidRPr="00681C29" w:rsidRDefault="00A84742" w:rsidP="00A84742">
            <w:pPr>
              <w:rPr>
                <w:rFonts w:ascii="Arial Narrow" w:hAnsi="Arial Narrow"/>
                <w:lang w:eastAsia="zh-CN"/>
              </w:rPr>
            </w:pPr>
            <w:r w:rsidRPr="00681C29">
              <w:rPr>
                <w:rFonts w:ascii="Arial Narrow" w:hAnsi="Arial Narrow"/>
              </w:rPr>
              <w:t>21.9</w:t>
            </w:r>
          </w:p>
        </w:tc>
        <w:tc>
          <w:tcPr>
            <w:tcW w:w="709" w:type="dxa"/>
            <w:tcBorders>
              <w:top w:val="single" w:sz="4" w:space="0" w:color="auto"/>
              <w:left w:val="single" w:sz="4" w:space="0" w:color="auto"/>
              <w:bottom w:val="single" w:sz="4" w:space="0" w:color="auto"/>
              <w:right w:val="single" w:sz="4" w:space="0" w:color="auto"/>
            </w:tcBorders>
            <w:noWrap/>
          </w:tcPr>
          <w:p w14:paraId="53C142AB" w14:textId="77777777" w:rsidR="00A84742" w:rsidRPr="00681C29" w:rsidRDefault="00A84742" w:rsidP="00A84742">
            <w:pPr>
              <w:rPr>
                <w:rFonts w:ascii="Arial Narrow" w:hAnsi="Arial Narrow"/>
                <w:lang w:eastAsia="zh-CN"/>
              </w:rPr>
            </w:pPr>
            <w:r w:rsidRPr="00681C29">
              <w:rPr>
                <w:rFonts w:ascii="Arial Narrow" w:hAnsi="Arial Narrow"/>
              </w:rPr>
              <w:t>5.5</w:t>
            </w:r>
          </w:p>
        </w:tc>
        <w:tc>
          <w:tcPr>
            <w:tcW w:w="709" w:type="dxa"/>
            <w:tcBorders>
              <w:top w:val="single" w:sz="4" w:space="0" w:color="auto"/>
              <w:left w:val="single" w:sz="4" w:space="0" w:color="auto"/>
              <w:bottom w:val="single" w:sz="4" w:space="0" w:color="auto"/>
              <w:right w:val="single" w:sz="4" w:space="0" w:color="auto"/>
            </w:tcBorders>
            <w:noWrap/>
          </w:tcPr>
          <w:p w14:paraId="53C142AC" w14:textId="77777777" w:rsidR="00A84742" w:rsidRPr="00681C29" w:rsidRDefault="00A84742" w:rsidP="00A84742">
            <w:pPr>
              <w:rPr>
                <w:rFonts w:ascii="Arial Narrow" w:hAnsi="Arial Narrow"/>
                <w:lang w:eastAsia="zh-CN"/>
              </w:rPr>
            </w:pPr>
          </w:p>
        </w:tc>
        <w:tc>
          <w:tcPr>
            <w:tcW w:w="709" w:type="dxa"/>
            <w:tcBorders>
              <w:top w:val="single" w:sz="4" w:space="0" w:color="auto"/>
              <w:left w:val="single" w:sz="4" w:space="0" w:color="auto"/>
              <w:bottom w:val="single" w:sz="4" w:space="0" w:color="auto"/>
              <w:right w:val="single" w:sz="4" w:space="0" w:color="auto"/>
            </w:tcBorders>
            <w:noWrap/>
          </w:tcPr>
          <w:p w14:paraId="53C142AD" w14:textId="77777777" w:rsidR="00A84742" w:rsidRPr="00681C29" w:rsidRDefault="00A84742" w:rsidP="00A84742">
            <w:pPr>
              <w:rPr>
                <w:rFonts w:ascii="Arial Narrow" w:hAnsi="Arial Narrow"/>
                <w:lang w:eastAsia="zh-CN"/>
              </w:rPr>
            </w:pPr>
          </w:p>
        </w:tc>
      </w:tr>
      <w:tr w:rsidR="00CE4E0F" w:rsidRPr="00681C29" w14:paraId="53C142BA" w14:textId="77777777" w:rsidTr="004F16D3">
        <w:trPr>
          <w:trHeight w:hRule="exact" w:val="255"/>
          <w:tblHeader/>
        </w:trPr>
        <w:tc>
          <w:tcPr>
            <w:tcW w:w="1486" w:type="dxa"/>
            <w:tcBorders>
              <w:top w:val="single" w:sz="4" w:space="0" w:color="auto"/>
              <w:left w:val="single" w:sz="4" w:space="0" w:color="auto"/>
              <w:bottom w:val="single" w:sz="4" w:space="0" w:color="auto"/>
              <w:right w:val="single" w:sz="4" w:space="0" w:color="auto"/>
            </w:tcBorders>
            <w:noWrap/>
            <w:hideMark/>
          </w:tcPr>
          <w:p w14:paraId="53C142AF" w14:textId="77777777" w:rsidR="00A84742" w:rsidRPr="00681C29" w:rsidRDefault="00A84742" w:rsidP="00A84742">
            <w:pPr>
              <w:rPr>
                <w:rFonts w:ascii="Arial Narrow" w:hAnsi="Arial Narrow"/>
                <w:lang w:eastAsia="zh-CN"/>
              </w:rPr>
            </w:pPr>
            <w:r w:rsidRPr="00681C29">
              <w:rPr>
                <w:rFonts w:ascii="Arial Narrow" w:hAnsi="Arial Narrow"/>
              </w:rPr>
              <w:t>Dunk North</w:t>
            </w:r>
          </w:p>
        </w:tc>
        <w:tc>
          <w:tcPr>
            <w:tcW w:w="694" w:type="dxa"/>
            <w:tcBorders>
              <w:top w:val="single" w:sz="4" w:space="0" w:color="auto"/>
              <w:left w:val="single" w:sz="4" w:space="0" w:color="auto"/>
              <w:bottom w:val="single" w:sz="4" w:space="0" w:color="auto"/>
              <w:right w:val="single" w:sz="4" w:space="0" w:color="auto"/>
            </w:tcBorders>
            <w:noWrap/>
            <w:hideMark/>
          </w:tcPr>
          <w:p w14:paraId="53C142B0" w14:textId="77777777" w:rsidR="00A84742" w:rsidRPr="00681C29" w:rsidRDefault="00A84742" w:rsidP="00A84742">
            <w:pPr>
              <w:rPr>
                <w:rFonts w:ascii="Arial Narrow" w:hAnsi="Arial Narrow"/>
                <w:lang w:eastAsia="zh-CN"/>
              </w:rPr>
            </w:pPr>
            <w:r w:rsidRPr="00681C29">
              <w:rPr>
                <w:rFonts w:ascii="Arial Narrow" w:hAnsi="Arial Narrow"/>
              </w:rPr>
              <w:t>23</w:t>
            </w:r>
          </w:p>
        </w:tc>
        <w:tc>
          <w:tcPr>
            <w:tcW w:w="694" w:type="dxa"/>
            <w:tcBorders>
              <w:top w:val="single" w:sz="4" w:space="0" w:color="auto"/>
              <w:left w:val="single" w:sz="4" w:space="0" w:color="auto"/>
              <w:bottom w:val="single" w:sz="4" w:space="0" w:color="auto"/>
              <w:right w:val="single" w:sz="4" w:space="0" w:color="auto"/>
            </w:tcBorders>
            <w:noWrap/>
            <w:hideMark/>
          </w:tcPr>
          <w:p w14:paraId="53C142B1" w14:textId="77777777" w:rsidR="00A84742" w:rsidRPr="00681C29" w:rsidRDefault="00A84742" w:rsidP="00A84742">
            <w:pPr>
              <w:rPr>
                <w:rFonts w:ascii="Arial Narrow" w:hAnsi="Arial Narrow"/>
                <w:lang w:eastAsia="zh-CN"/>
              </w:rPr>
            </w:pPr>
            <w:r w:rsidRPr="00681C29">
              <w:rPr>
                <w:rFonts w:ascii="Arial Narrow" w:hAnsi="Arial Narrow"/>
              </w:rPr>
              <w:t>4.6</w:t>
            </w:r>
          </w:p>
        </w:tc>
        <w:tc>
          <w:tcPr>
            <w:tcW w:w="694" w:type="dxa"/>
            <w:tcBorders>
              <w:top w:val="single" w:sz="4" w:space="0" w:color="auto"/>
              <w:left w:val="single" w:sz="4" w:space="0" w:color="auto"/>
              <w:bottom w:val="single" w:sz="4" w:space="0" w:color="auto"/>
              <w:right w:val="single" w:sz="4" w:space="0" w:color="auto"/>
            </w:tcBorders>
            <w:noWrap/>
            <w:hideMark/>
          </w:tcPr>
          <w:p w14:paraId="53C142B2" w14:textId="77777777" w:rsidR="00A84742" w:rsidRPr="00681C29" w:rsidRDefault="00A84742" w:rsidP="00A84742">
            <w:pPr>
              <w:rPr>
                <w:rFonts w:ascii="Arial Narrow" w:hAnsi="Arial Narrow"/>
                <w:lang w:eastAsia="zh-CN"/>
              </w:rPr>
            </w:pPr>
            <w:r w:rsidRPr="00681C29">
              <w:rPr>
                <w:rFonts w:ascii="Arial Narrow" w:hAnsi="Arial Narrow"/>
              </w:rPr>
              <w:t>13.5</w:t>
            </w:r>
          </w:p>
        </w:tc>
        <w:tc>
          <w:tcPr>
            <w:tcW w:w="701" w:type="dxa"/>
            <w:tcBorders>
              <w:top w:val="single" w:sz="4" w:space="0" w:color="auto"/>
              <w:left w:val="single" w:sz="4" w:space="0" w:color="auto"/>
              <w:bottom w:val="single" w:sz="4" w:space="0" w:color="auto"/>
              <w:right w:val="single" w:sz="4" w:space="0" w:color="auto"/>
            </w:tcBorders>
            <w:noWrap/>
            <w:hideMark/>
          </w:tcPr>
          <w:p w14:paraId="53C142B3" w14:textId="77777777" w:rsidR="00A84742" w:rsidRPr="00681C29" w:rsidRDefault="00A84742" w:rsidP="00A84742">
            <w:pPr>
              <w:rPr>
                <w:rFonts w:ascii="Arial Narrow" w:hAnsi="Arial Narrow"/>
                <w:lang w:eastAsia="zh-CN"/>
              </w:rPr>
            </w:pPr>
            <w:r w:rsidRPr="00681C29">
              <w:rPr>
                <w:rFonts w:ascii="Arial Narrow" w:hAnsi="Arial Narrow"/>
              </w:rPr>
              <w:t>1.7</w:t>
            </w:r>
          </w:p>
        </w:tc>
        <w:tc>
          <w:tcPr>
            <w:tcW w:w="267" w:type="dxa"/>
            <w:tcBorders>
              <w:top w:val="nil"/>
              <w:left w:val="single" w:sz="4" w:space="0" w:color="auto"/>
              <w:bottom w:val="nil"/>
              <w:right w:val="single" w:sz="4" w:space="0" w:color="auto"/>
            </w:tcBorders>
            <w:noWrap/>
            <w:hideMark/>
          </w:tcPr>
          <w:p w14:paraId="53C142B4" w14:textId="77777777" w:rsidR="00A84742" w:rsidRPr="00681C29" w:rsidRDefault="00A84742" w:rsidP="00A84742">
            <w:pPr>
              <w:rPr>
                <w:rFonts w:ascii="Arial Narrow" w:hAnsi="Arial Narrow"/>
                <w:lang w:eastAsia="zh-CN"/>
              </w:rPr>
            </w:pPr>
          </w:p>
        </w:tc>
        <w:tc>
          <w:tcPr>
            <w:tcW w:w="1560" w:type="dxa"/>
            <w:tcBorders>
              <w:top w:val="single" w:sz="4" w:space="0" w:color="auto"/>
              <w:left w:val="single" w:sz="4" w:space="0" w:color="auto"/>
              <w:bottom w:val="single" w:sz="4" w:space="0" w:color="auto"/>
              <w:right w:val="single" w:sz="4" w:space="0" w:color="auto"/>
            </w:tcBorders>
            <w:noWrap/>
          </w:tcPr>
          <w:p w14:paraId="53C142B5" w14:textId="77777777" w:rsidR="00A84742" w:rsidRPr="00681C29" w:rsidRDefault="00A84742" w:rsidP="00A84742">
            <w:pPr>
              <w:rPr>
                <w:rFonts w:ascii="Arial Narrow" w:hAnsi="Arial Narrow"/>
                <w:lang w:eastAsia="zh-CN"/>
              </w:rPr>
            </w:pPr>
            <w:r w:rsidRPr="00681C29">
              <w:rPr>
                <w:rFonts w:ascii="Arial Narrow" w:hAnsi="Arial Narrow"/>
              </w:rPr>
              <w:t>Middle</w:t>
            </w:r>
          </w:p>
        </w:tc>
        <w:tc>
          <w:tcPr>
            <w:tcW w:w="708" w:type="dxa"/>
            <w:tcBorders>
              <w:top w:val="single" w:sz="4" w:space="0" w:color="auto"/>
              <w:left w:val="single" w:sz="4" w:space="0" w:color="auto"/>
              <w:bottom w:val="single" w:sz="4" w:space="0" w:color="auto"/>
              <w:right w:val="single" w:sz="4" w:space="0" w:color="auto"/>
            </w:tcBorders>
            <w:noWrap/>
          </w:tcPr>
          <w:p w14:paraId="53C142B6" w14:textId="77777777" w:rsidR="00A84742" w:rsidRPr="00681C29" w:rsidRDefault="00A84742" w:rsidP="00A84742">
            <w:pPr>
              <w:rPr>
                <w:rFonts w:ascii="Arial Narrow" w:hAnsi="Arial Narrow"/>
                <w:lang w:eastAsia="zh-CN"/>
              </w:rPr>
            </w:pPr>
            <w:r w:rsidRPr="00681C29">
              <w:rPr>
                <w:rFonts w:ascii="Arial Narrow" w:hAnsi="Arial Narrow"/>
              </w:rPr>
              <w:t>23</w:t>
            </w:r>
          </w:p>
        </w:tc>
        <w:tc>
          <w:tcPr>
            <w:tcW w:w="709" w:type="dxa"/>
            <w:tcBorders>
              <w:top w:val="single" w:sz="4" w:space="0" w:color="auto"/>
              <w:left w:val="single" w:sz="4" w:space="0" w:color="auto"/>
              <w:bottom w:val="single" w:sz="4" w:space="0" w:color="auto"/>
              <w:right w:val="single" w:sz="4" w:space="0" w:color="auto"/>
            </w:tcBorders>
            <w:noWrap/>
          </w:tcPr>
          <w:p w14:paraId="53C142B7" w14:textId="77777777" w:rsidR="00A84742" w:rsidRPr="00681C29" w:rsidRDefault="00A84742" w:rsidP="00A84742">
            <w:pPr>
              <w:rPr>
                <w:rFonts w:ascii="Arial Narrow" w:hAnsi="Arial Narrow"/>
                <w:lang w:eastAsia="zh-CN"/>
              </w:rPr>
            </w:pPr>
            <w:r w:rsidRPr="00681C29">
              <w:rPr>
                <w:rFonts w:ascii="Arial Narrow" w:hAnsi="Arial Narrow"/>
              </w:rPr>
              <w:t>5.2</w:t>
            </w:r>
          </w:p>
        </w:tc>
        <w:tc>
          <w:tcPr>
            <w:tcW w:w="709" w:type="dxa"/>
            <w:tcBorders>
              <w:top w:val="single" w:sz="4" w:space="0" w:color="auto"/>
              <w:left w:val="single" w:sz="4" w:space="0" w:color="auto"/>
              <w:bottom w:val="single" w:sz="4" w:space="0" w:color="auto"/>
              <w:right w:val="single" w:sz="4" w:space="0" w:color="auto"/>
            </w:tcBorders>
            <w:noWrap/>
          </w:tcPr>
          <w:p w14:paraId="53C142B8" w14:textId="77777777" w:rsidR="00A84742" w:rsidRPr="00681C29" w:rsidRDefault="00A84742" w:rsidP="00A84742">
            <w:pPr>
              <w:rPr>
                <w:rFonts w:ascii="Arial Narrow" w:hAnsi="Arial Narrow"/>
                <w:lang w:eastAsia="zh-CN"/>
              </w:rPr>
            </w:pPr>
            <w:r w:rsidRPr="00681C29">
              <w:rPr>
                <w:rFonts w:ascii="Arial Narrow" w:hAnsi="Arial Narrow"/>
              </w:rPr>
              <w:t>23</w:t>
            </w:r>
          </w:p>
        </w:tc>
        <w:tc>
          <w:tcPr>
            <w:tcW w:w="709" w:type="dxa"/>
            <w:tcBorders>
              <w:top w:val="single" w:sz="4" w:space="0" w:color="auto"/>
              <w:left w:val="single" w:sz="4" w:space="0" w:color="auto"/>
              <w:bottom w:val="single" w:sz="4" w:space="0" w:color="auto"/>
              <w:right w:val="single" w:sz="4" w:space="0" w:color="auto"/>
            </w:tcBorders>
            <w:noWrap/>
          </w:tcPr>
          <w:p w14:paraId="53C142B9" w14:textId="77777777" w:rsidR="00A84742" w:rsidRPr="00681C29" w:rsidRDefault="00A84742" w:rsidP="00A84742">
            <w:pPr>
              <w:rPr>
                <w:rFonts w:ascii="Arial Narrow" w:hAnsi="Arial Narrow"/>
                <w:lang w:eastAsia="zh-CN"/>
              </w:rPr>
            </w:pPr>
            <w:r w:rsidRPr="00681C29">
              <w:rPr>
                <w:rFonts w:ascii="Arial Narrow" w:hAnsi="Arial Narrow"/>
              </w:rPr>
              <w:t>1.8</w:t>
            </w:r>
          </w:p>
        </w:tc>
      </w:tr>
      <w:tr w:rsidR="00CE4E0F" w:rsidRPr="00681C29" w14:paraId="53C142C6" w14:textId="77777777" w:rsidTr="004F16D3">
        <w:trPr>
          <w:trHeight w:hRule="exact" w:val="255"/>
          <w:tblHeader/>
        </w:trPr>
        <w:tc>
          <w:tcPr>
            <w:tcW w:w="1486" w:type="dxa"/>
            <w:tcBorders>
              <w:top w:val="single" w:sz="4" w:space="0" w:color="auto"/>
              <w:left w:val="single" w:sz="4" w:space="0" w:color="auto"/>
              <w:bottom w:val="single" w:sz="4" w:space="0" w:color="auto"/>
              <w:right w:val="single" w:sz="4" w:space="0" w:color="auto"/>
            </w:tcBorders>
            <w:noWrap/>
            <w:hideMark/>
          </w:tcPr>
          <w:p w14:paraId="53C142BB" w14:textId="77777777" w:rsidR="00A84742" w:rsidRPr="00681C29" w:rsidRDefault="00A84742" w:rsidP="00A84742">
            <w:pPr>
              <w:rPr>
                <w:rFonts w:ascii="Arial Narrow" w:hAnsi="Arial Narrow"/>
                <w:lang w:eastAsia="zh-CN"/>
              </w:rPr>
            </w:pPr>
            <w:r w:rsidRPr="00681C29">
              <w:rPr>
                <w:rFonts w:ascii="Arial Narrow" w:hAnsi="Arial Narrow"/>
              </w:rPr>
              <w:t>Dunk South</w:t>
            </w:r>
          </w:p>
        </w:tc>
        <w:tc>
          <w:tcPr>
            <w:tcW w:w="694" w:type="dxa"/>
            <w:tcBorders>
              <w:top w:val="single" w:sz="4" w:space="0" w:color="auto"/>
              <w:left w:val="single" w:sz="4" w:space="0" w:color="auto"/>
              <w:bottom w:val="single" w:sz="4" w:space="0" w:color="auto"/>
              <w:right w:val="single" w:sz="4" w:space="0" w:color="auto"/>
            </w:tcBorders>
            <w:noWrap/>
            <w:hideMark/>
          </w:tcPr>
          <w:p w14:paraId="53C142BC" w14:textId="77777777" w:rsidR="00A84742" w:rsidRPr="00681C29" w:rsidRDefault="00A84742" w:rsidP="00A84742">
            <w:pPr>
              <w:rPr>
                <w:rFonts w:ascii="Arial Narrow" w:hAnsi="Arial Narrow"/>
                <w:lang w:eastAsia="zh-CN"/>
              </w:rPr>
            </w:pPr>
            <w:r w:rsidRPr="00681C29">
              <w:rPr>
                <w:rFonts w:ascii="Arial Narrow" w:hAnsi="Arial Narrow"/>
              </w:rPr>
              <w:t>23</w:t>
            </w:r>
          </w:p>
        </w:tc>
        <w:tc>
          <w:tcPr>
            <w:tcW w:w="694" w:type="dxa"/>
            <w:tcBorders>
              <w:top w:val="single" w:sz="4" w:space="0" w:color="auto"/>
              <w:left w:val="single" w:sz="4" w:space="0" w:color="auto"/>
              <w:bottom w:val="single" w:sz="4" w:space="0" w:color="auto"/>
              <w:right w:val="single" w:sz="4" w:space="0" w:color="auto"/>
            </w:tcBorders>
            <w:noWrap/>
            <w:hideMark/>
          </w:tcPr>
          <w:p w14:paraId="53C142BD" w14:textId="77777777" w:rsidR="00A84742" w:rsidRPr="00681C29" w:rsidRDefault="00A84742" w:rsidP="00A84742">
            <w:pPr>
              <w:rPr>
                <w:rFonts w:ascii="Arial Narrow" w:hAnsi="Arial Narrow"/>
                <w:lang w:eastAsia="zh-CN"/>
              </w:rPr>
            </w:pPr>
            <w:r w:rsidRPr="00681C29">
              <w:rPr>
                <w:rFonts w:ascii="Arial Narrow" w:hAnsi="Arial Narrow"/>
              </w:rPr>
              <w:t>5.3</w:t>
            </w:r>
          </w:p>
        </w:tc>
        <w:tc>
          <w:tcPr>
            <w:tcW w:w="694" w:type="dxa"/>
            <w:tcBorders>
              <w:top w:val="single" w:sz="4" w:space="0" w:color="auto"/>
              <w:left w:val="single" w:sz="4" w:space="0" w:color="auto"/>
              <w:bottom w:val="single" w:sz="4" w:space="0" w:color="auto"/>
              <w:right w:val="single" w:sz="4" w:space="0" w:color="auto"/>
            </w:tcBorders>
            <w:noWrap/>
            <w:hideMark/>
          </w:tcPr>
          <w:p w14:paraId="53C142BE" w14:textId="77777777" w:rsidR="00A84742" w:rsidRPr="00681C29" w:rsidRDefault="00A84742" w:rsidP="00A84742">
            <w:pPr>
              <w:rPr>
                <w:rFonts w:ascii="Arial Narrow" w:hAnsi="Arial Narrow"/>
                <w:lang w:eastAsia="zh-CN"/>
              </w:rPr>
            </w:pPr>
            <w:r w:rsidRPr="00681C29">
              <w:rPr>
                <w:rFonts w:ascii="Arial Narrow" w:hAnsi="Arial Narrow"/>
              </w:rPr>
              <w:t>15.6</w:t>
            </w:r>
          </w:p>
        </w:tc>
        <w:tc>
          <w:tcPr>
            <w:tcW w:w="701" w:type="dxa"/>
            <w:tcBorders>
              <w:top w:val="single" w:sz="4" w:space="0" w:color="auto"/>
              <w:left w:val="single" w:sz="4" w:space="0" w:color="auto"/>
              <w:bottom w:val="single" w:sz="4" w:space="0" w:color="auto"/>
              <w:right w:val="single" w:sz="4" w:space="0" w:color="auto"/>
            </w:tcBorders>
            <w:noWrap/>
            <w:hideMark/>
          </w:tcPr>
          <w:p w14:paraId="53C142BF" w14:textId="77777777" w:rsidR="00A84742" w:rsidRPr="00681C29" w:rsidRDefault="00A84742" w:rsidP="00A84742">
            <w:pPr>
              <w:rPr>
                <w:rFonts w:ascii="Arial Narrow" w:hAnsi="Arial Narrow"/>
                <w:lang w:eastAsia="zh-CN"/>
              </w:rPr>
            </w:pPr>
            <w:r w:rsidRPr="00681C29">
              <w:rPr>
                <w:rFonts w:ascii="Arial Narrow" w:hAnsi="Arial Narrow"/>
              </w:rPr>
              <w:t>1.9</w:t>
            </w:r>
          </w:p>
        </w:tc>
        <w:tc>
          <w:tcPr>
            <w:tcW w:w="267" w:type="dxa"/>
            <w:tcBorders>
              <w:top w:val="nil"/>
              <w:left w:val="single" w:sz="4" w:space="0" w:color="auto"/>
              <w:bottom w:val="nil"/>
              <w:right w:val="single" w:sz="4" w:space="0" w:color="auto"/>
            </w:tcBorders>
            <w:noWrap/>
            <w:hideMark/>
          </w:tcPr>
          <w:p w14:paraId="53C142C0" w14:textId="77777777" w:rsidR="00A84742" w:rsidRPr="00681C29" w:rsidRDefault="00A84742" w:rsidP="00A84742">
            <w:pPr>
              <w:rPr>
                <w:rFonts w:ascii="Arial Narrow" w:hAnsi="Arial Narrow"/>
                <w:lang w:eastAsia="zh-CN"/>
              </w:rPr>
            </w:pPr>
          </w:p>
        </w:tc>
        <w:tc>
          <w:tcPr>
            <w:tcW w:w="1560" w:type="dxa"/>
            <w:tcBorders>
              <w:top w:val="single" w:sz="4" w:space="0" w:color="auto"/>
              <w:left w:val="single" w:sz="4" w:space="0" w:color="auto"/>
              <w:bottom w:val="single" w:sz="4" w:space="0" w:color="auto"/>
              <w:right w:val="single" w:sz="4" w:space="0" w:color="auto"/>
            </w:tcBorders>
            <w:noWrap/>
          </w:tcPr>
          <w:p w14:paraId="53C142C1" w14:textId="77777777" w:rsidR="00A84742" w:rsidRPr="00681C29" w:rsidRDefault="00A84742" w:rsidP="00A84742">
            <w:pPr>
              <w:rPr>
                <w:rFonts w:ascii="Arial Narrow" w:hAnsi="Arial Narrow"/>
                <w:lang w:eastAsia="zh-CN"/>
              </w:rPr>
            </w:pPr>
            <w:r w:rsidRPr="00681C29">
              <w:rPr>
                <w:rFonts w:ascii="Arial Narrow" w:hAnsi="Arial Narrow"/>
              </w:rPr>
              <w:t>North Keppel</w:t>
            </w:r>
          </w:p>
        </w:tc>
        <w:tc>
          <w:tcPr>
            <w:tcW w:w="708" w:type="dxa"/>
            <w:tcBorders>
              <w:top w:val="single" w:sz="4" w:space="0" w:color="auto"/>
              <w:left w:val="single" w:sz="4" w:space="0" w:color="auto"/>
              <w:bottom w:val="single" w:sz="4" w:space="0" w:color="auto"/>
              <w:right w:val="single" w:sz="4" w:space="0" w:color="auto"/>
            </w:tcBorders>
            <w:noWrap/>
          </w:tcPr>
          <w:p w14:paraId="53C142C2" w14:textId="77777777" w:rsidR="00A84742" w:rsidRPr="00681C29" w:rsidRDefault="00A84742" w:rsidP="00A84742">
            <w:pPr>
              <w:rPr>
                <w:rFonts w:ascii="Arial Narrow" w:hAnsi="Arial Narrow"/>
                <w:lang w:eastAsia="zh-CN"/>
              </w:rPr>
            </w:pPr>
            <w:r w:rsidRPr="00681C29">
              <w:rPr>
                <w:rFonts w:ascii="Arial Narrow" w:hAnsi="Arial Narrow"/>
              </w:rPr>
              <w:t>23</w:t>
            </w:r>
          </w:p>
        </w:tc>
        <w:tc>
          <w:tcPr>
            <w:tcW w:w="709" w:type="dxa"/>
            <w:tcBorders>
              <w:top w:val="single" w:sz="4" w:space="0" w:color="auto"/>
              <w:left w:val="single" w:sz="4" w:space="0" w:color="auto"/>
              <w:bottom w:val="single" w:sz="4" w:space="0" w:color="auto"/>
              <w:right w:val="single" w:sz="4" w:space="0" w:color="auto"/>
            </w:tcBorders>
            <w:noWrap/>
          </w:tcPr>
          <w:p w14:paraId="53C142C3" w14:textId="77777777" w:rsidR="00A84742" w:rsidRPr="00681C29" w:rsidRDefault="00A84742" w:rsidP="00A84742">
            <w:pPr>
              <w:rPr>
                <w:rFonts w:ascii="Arial Narrow" w:hAnsi="Arial Narrow"/>
                <w:lang w:eastAsia="zh-CN"/>
              </w:rPr>
            </w:pPr>
            <w:r w:rsidRPr="00681C29">
              <w:rPr>
                <w:rFonts w:ascii="Arial Narrow" w:hAnsi="Arial Narrow"/>
              </w:rPr>
              <w:t>5.1</w:t>
            </w:r>
          </w:p>
        </w:tc>
        <w:tc>
          <w:tcPr>
            <w:tcW w:w="709" w:type="dxa"/>
            <w:tcBorders>
              <w:top w:val="single" w:sz="4" w:space="0" w:color="auto"/>
              <w:left w:val="single" w:sz="4" w:space="0" w:color="auto"/>
              <w:bottom w:val="single" w:sz="4" w:space="0" w:color="auto"/>
              <w:right w:val="single" w:sz="4" w:space="0" w:color="auto"/>
            </w:tcBorders>
            <w:noWrap/>
          </w:tcPr>
          <w:p w14:paraId="53C142C4" w14:textId="77777777" w:rsidR="00A84742" w:rsidRPr="00681C29" w:rsidRDefault="00A84742" w:rsidP="00A84742">
            <w:pPr>
              <w:rPr>
                <w:rFonts w:ascii="Arial Narrow" w:hAnsi="Arial Narrow"/>
                <w:lang w:eastAsia="zh-CN"/>
              </w:rPr>
            </w:pPr>
            <w:r w:rsidRPr="00681C29">
              <w:rPr>
                <w:rFonts w:ascii="Arial Narrow" w:hAnsi="Arial Narrow"/>
              </w:rPr>
              <w:t>22.6</w:t>
            </w:r>
          </w:p>
        </w:tc>
        <w:tc>
          <w:tcPr>
            <w:tcW w:w="709" w:type="dxa"/>
            <w:tcBorders>
              <w:top w:val="single" w:sz="4" w:space="0" w:color="auto"/>
              <w:left w:val="single" w:sz="4" w:space="0" w:color="auto"/>
              <w:bottom w:val="single" w:sz="4" w:space="0" w:color="auto"/>
              <w:right w:val="single" w:sz="4" w:space="0" w:color="auto"/>
            </w:tcBorders>
            <w:noWrap/>
          </w:tcPr>
          <w:p w14:paraId="53C142C5" w14:textId="77777777" w:rsidR="00A84742" w:rsidRPr="00681C29" w:rsidRDefault="00A84742" w:rsidP="00A84742">
            <w:pPr>
              <w:rPr>
                <w:rFonts w:ascii="Arial Narrow" w:hAnsi="Arial Narrow"/>
                <w:lang w:eastAsia="zh-CN"/>
              </w:rPr>
            </w:pPr>
            <w:r w:rsidRPr="00681C29">
              <w:rPr>
                <w:rFonts w:ascii="Arial Narrow" w:hAnsi="Arial Narrow"/>
              </w:rPr>
              <w:t>1.8</w:t>
            </w:r>
          </w:p>
        </w:tc>
      </w:tr>
      <w:tr w:rsidR="00CE4E0F" w:rsidRPr="00681C29" w14:paraId="53C142D2" w14:textId="77777777" w:rsidTr="004F16D3">
        <w:trPr>
          <w:trHeight w:hRule="exact" w:val="255"/>
          <w:tblHeader/>
        </w:trPr>
        <w:tc>
          <w:tcPr>
            <w:tcW w:w="1486" w:type="dxa"/>
            <w:tcBorders>
              <w:top w:val="single" w:sz="4" w:space="0" w:color="auto"/>
              <w:left w:val="single" w:sz="4" w:space="0" w:color="auto"/>
              <w:bottom w:val="single" w:sz="4" w:space="0" w:color="auto"/>
              <w:right w:val="single" w:sz="4" w:space="0" w:color="auto"/>
            </w:tcBorders>
            <w:noWrap/>
            <w:hideMark/>
          </w:tcPr>
          <w:p w14:paraId="53C142C7" w14:textId="77777777" w:rsidR="00A84742" w:rsidRPr="00681C29" w:rsidRDefault="00A84742" w:rsidP="00A84742">
            <w:pPr>
              <w:rPr>
                <w:rFonts w:ascii="Arial Narrow" w:hAnsi="Arial Narrow"/>
                <w:lang w:eastAsia="zh-CN"/>
              </w:rPr>
            </w:pPr>
            <w:r w:rsidRPr="00681C29">
              <w:rPr>
                <w:rFonts w:ascii="Arial Narrow" w:hAnsi="Arial Narrow"/>
              </w:rPr>
              <w:t>Fitzroy East</w:t>
            </w:r>
          </w:p>
        </w:tc>
        <w:tc>
          <w:tcPr>
            <w:tcW w:w="694" w:type="dxa"/>
            <w:tcBorders>
              <w:top w:val="single" w:sz="4" w:space="0" w:color="auto"/>
              <w:left w:val="single" w:sz="4" w:space="0" w:color="auto"/>
              <w:bottom w:val="single" w:sz="4" w:space="0" w:color="auto"/>
              <w:right w:val="single" w:sz="4" w:space="0" w:color="auto"/>
            </w:tcBorders>
            <w:noWrap/>
            <w:hideMark/>
          </w:tcPr>
          <w:p w14:paraId="53C142C8" w14:textId="77777777" w:rsidR="00A84742" w:rsidRPr="00681C29" w:rsidRDefault="00A84742" w:rsidP="00A84742">
            <w:pPr>
              <w:rPr>
                <w:rFonts w:ascii="Arial Narrow" w:hAnsi="Arial Narrow"/>
                <w:lang w:eastAsia="zh-CN"/>
              </w:rPr>
            </w:pPr>
            <w:r w:rsidRPr="00681C29">
              <w:rPr>
                <w:rFonts w:ascii="Arial Narrow" w:hAnsi="Arial Narrow"/>
              </w:rPr>
              <w:t>11.7</w:t>
            </w:r>
          </w:p>
        </w:tc>
        <w:tc>
          <w:tcPr>
            <w:tcW w:w="694" w:type="dxa"/>
            <w:tcBorders>
              <w:top w:val="single" w:sz="4" w:space="0" w:color="auto"/>
              <w:left w:val="single" w:sz="4" w:space="0" w:color="auto"/>
              <w:bottom w:val="single" w:sz="4" w:space="0" w:color="auto"/>
              <w:right w:val="single" w:sz="4" w:space="0" w:color="auto"/>
            </w:tcBorders>
            <w:noWrap/>
            <w:hideMark/>
          </w:tcPr>
          <w:p w14:paraId="53C142C9" w14:textId="77777777" w:rsidR="00A84742" w:rsidRPr="00681C29" w:rsidRDefault="00A84742" w:rsidP="00A84742">
            <w:pPr>
              <w:rPr>
                <w:rFonts w:ascii="Arial Narrow" w:hAnsi="Arial Narrow"/>
                <w:lang w:eastAsia="zh-CN"/>
              </w:rPr>
            </w:pPr>
            <w:r w:rsidRPr="00681C29">
              <w:rPr>
                <w:rFonts w:ascii="Arial Narrow" w:hAnsi="Arial Narrow"/>
              </w:rPr>
              <w:t>3.5</w:t>
            </w:r>
          </w:p>
        </w:tc>
        <w:tc>
          <w:tcPr>
            <w:tcW w:w="694" w:type="dxa"/>
            <w:tcBorders>
              <w:top w:val="single" w:sz="4" w:space="0" w:color="auto"/>
              <w:left w:val="single" w:sz="4" w:space="0" w:color="auto"/>
              <w:bottom w:val="single" w:sz="4" w:space="0" w:color="auto"/>
              <w:right w:val="single" w:sz="4" w:space="0" w:color="auto"/>
            </w:tcBorders>
            <w:noWrap/>
            <w:hideMark/>
          </w:tcPr>
          <w:p w14:paraId="53C142CA" w14:textId="77777777" w:rsidR="00A84742" w:rsidRPr="00681C29" w:rsidRDefault="00A84742" w:rsidP="00A84742">
            <w:pPr>
              <w:rPr>
                <w:rFonts w:ascii="Arial Narrow" w:hAnsi="Arial Narrow"/>
                <w:lang w:eastAsia="zh-CN"/>
              </w:rPr>
            </w:pPr>
            <w:r w:rsidRPr="00681C29">
              <w:rPr>
                <w:rFonts w:ascii="Arial Narrow" w:hAnsi="Arial Narrow"/>
              </w:rPr>
              <w:t>10</w:t>
            </w:r>
          </w:p>
        </w:tc>
        <w:tc>
          <w:tcPr>
            <w:tcW w:w="701" w:type="dxa"/>
            <w:tcBorders>
              <w:top w:val="single" w:sz="4" w:space="0" w:color="auto"/>
              <w:left w:val="single" w:sz="4" w:space="0" w:color="auto"/>
              <w:bottom w:val="single" w:sz="4" w:space="0" w:color="auto"/>
              <w:right w:val="single" w:sz="4" w:space="0" w:color="auto"/>
            </w:tcBorders>
            <w:noWrap/>
            <w:hideMark/>
          </w:tcPr>
          <w:p w14:paraId="53C142CB" w14:textId="77777777" w:rsidR="00A84742" w:rsidRPr="00681C29" w:rsidRDefault="00A84742" w:rsidP="00A84742">
            <w:pPr>
              <w:rPr>
                <w:rFonts w:ascii="Arial Narrow" w:hAnsi="Arial Narrow"/>
                <w:lang w:eastAsia="zh-CN"/>
              </w:rPr>
            </w:pPr>
            <w:r w:rsidRPr="00681C29">
              <w:rPr>
                <w:rFonts w:ascii="Arial Narrow" w:hAnsi="Arial Narrow"/>
              </w:rPr>
              <w:t>1.5</w:t>
            </w:r>
          </w:p>
        </w:tc>
        <w:tc>
          <w:tcPr>
            <w:tcW w:w="267" w:type="dxa"/>
            <w:tcBorders>
              <w:top w:val="nil"/>
              <w:left w:val="single" w:sz="4" w:space="0" w:color="auto"/>
              <w:bottom w:val="nil"/>
              <w:right w:val="single" w:sz="4" w:space="0" w:color="auto"/>
            </w:tcBorders>
            <w:noWrap/>
            <w:hideMark/>
          </w:tcPr>
          <w:p w14:paraId="53C142CC" w14:textId="77777777" w:rsidR="00A84742" w:rsidRPr="00681C29" w:rsidRDefault="00A84742" w:rsidP="00A84742">
            <w:pPr>
              <w:rPr>
                <w:rFonts w:ascii="Arial Narrow" w:hAnsi="Arial Narrow"/>
                <w:lang w:eastAsia="zh-CN"/>
              </w:rPr>
            </w:pPr>
          </w:p>
        </w:tc>
        <w:tc>
          <w:tcPr>
            <w:tcW w:w="1560" w:type="dxa"/>
            <w:tcBorders>
              <w:top w:val="single" w:sz="4" w:space="0" w:color="auto"/>
              <w:left w:val="single" w:sz="4" w:space="0" w:color="auto"/>
              <w:bottom w:val="single" w:sz="4" w:space="0" w:color="auto"/>
              <w:right w:val="single" w:sz="4" w:space="0" w:color="auto"/>
            </w:tcBorders>
            <w:noWrap/>
          </w:tcPr>
          <w:p w14:paraId="53C142CD" w14:textId="77777777" w:rsidR="00A84742" w:rsidRPr="00681C29" w:rsidRDefault="00A84742" w:rsidP="00A84742">
            <w:pPr>
              <w:rPr>
                <w:rFonts w:ascii="Arial Narrow" w:hAnsi="Arial Narrow"/>
                <w:lang w:eastAsia="zh-CN"/>
              </w:rPr>
            </w:pPr>
            <w:r w:rsidRPr="00681C29">
              <w:rPr>
                <w:rFonts w:ascii="Arial Narrow" w:hAnsi="Arial Narrow"/>
              </w:rPr>
              <w:t>Palms East</w:t>
            </w:r>
          </w:p>
        </w:tc>
        <w:tc>
          <w:tcPr>
            <w:tcW w:w="708" w:type="dxa"/>
            <w:tcBorders>
              <w:top w:val="single" w:sz="4" w:space="0" w:color="auto"/>
              <w:left w:val="single" w:sz="4" w:space="0" w:color="auto"/>
              <w:bottom w:val="single" w:sz="4" w:space="0" w:color="auto"/>
              <w:right w:val="single" w:sz="4" w:space="0" w:color="auto"/>
            </w:tcBorders>
            <w:noWrap/>
          </w:tcPr>
          <w:p w14:paraId="53C142CE" w14:textId="77777777" w:rsidR="00A84742" w:rsidRPr="00681C29" w:rsidRDefault="00A84742" w:rsidP="00A84742">
            <w:pPr>
              <w:rPr>
                <w:rFonts w:ascii="Arial Narrow" w:hAnsi="Arial Narrow"/>
                <w:lang w:eastAsia="zh-CN"/>
              </w:rPr>
            </w:pPr>
            <w:r w:rsidRPr="00681C29">
              <w:rPr>
                <w:rFonts w:ascii="Arial Narrow" w:hAnsi="Arial Narrow"/>
              </w:rPr>
              <w:t>12.2</w:t>
            </w:r>
          </w:p>
        </w:tc>
        <w:tc>
          <w:tcPr>
            <w:tcW w:w="709" w:type="dxa"/>
            <w:tcBorders>
              <w:top w:val="single" w:sz="4" w:space="0" w:color="auto"/>
              <w:left w:val="single" w:sz="4" w:space="0" w:color="auto"/>
              <w:bottom w:val="single" w:sz="4" w:space="0" w:color="auto"/>
              <w:right w:val="single" w:sz="4" w:space="0" w:color="auto"/>
            </w:tcBorders>
            <w:noWrap/>
          </w:tcPr>
          <w:p w14:paraId="53C142CF" w14:textId="77777777" w:rsidR="00A84742" w:rsidRPr="00681C29" w:rsidRDefault="00A84742" w:rsidP="00A84742">
            <w:pPr>
              <w:rPr>
                <w:rFonts w:ascii="Arial Narrow" w:hAnsi="Arial Narrow"/>
                <w:lang w:eastAsia="zh-CN"/>
              </w:rPr>
            </w:pPr>
            <w:r w:rsidRPr="00681C29">
              <w:rPr>
                <w:rFonts w:ascii="Arial Narrow" w:hAnsi="Arial Narrow"/>
              </w:rPr>
              <w:t>3.6</w:t>
            </w:r>
          </w:p>
        </w:tc>
        <w:tc>
          <w:tcPr>
            <w:tcW w:w="709" w:type="dxa"/>
            <w:tcBorders>
              <w:top w:val="single" w:sz="4" w:space="0" w:color="auto"/>
              <w:left w:val="single" w:sz="4" w:space="0" w:color="auto"/>
              <w:bottom w:val="single" w:sz="4" w:space="0" w:color="auto"/>
              <w:right w:val="single" w:sz="4" w:space="0" w:color="auto"/>
            </w:tcBorders>
            <w:noWrap/>
          </w:tcPr>
          <w:p w14:paraId="53C142D0" w14:textId="77777777" w:rsidR="00A84742" w:rsidRPr="00681C29" w:rsidRDefault="00A84742" w:rsidP="00A84742">
            <w:pPr>
              <w:rPr>
                <w:rFonts w:ascii="Arial Narrow" w:hAnsi="Arial Narrow"/>
                <w:lang w:eastAsia="zh-CN"/>
              </w:rPr>
            </w:pPr>
            <w:r w:rsidRPr="00681C29">
              <w:rPr>
                <w:rFonts w:ascii="Arial Narrow" w:hAnsi="Arial Narrow"/>
              </w:rPr>
              <w:t>10.5</w:t>
            </w:r>
          </w:p>
        </w:tc>
        <w:tc>
          <w:tcPr>
            <w:tcW w:w="709" w:type="dxa"/>
            <w:tcBorders>
              <w:top w:val="single" w:sz="4" w:space="0" w:color="auto"/>
              <w:left w:val="single" w:sz="4" w:space="0" w:color="auto"/>
              <w:bottom w:val="single" w:sz="4" w:space="0" w:color="auto"/>
              <w:right w:val="single" w:sz="4" w:space="0" w:color="auto"/>
            </w:tcBorders>
            <w:noWrap/>
          </w:tcPr>
          <w:p w14:paraId="53C142D1" w14:textId="77777777" w:rsidR="00A84742" w:rsidRPr="00681C29" w:rsidRDefault="00A84742" w:rsidP="00A84742">
            <w:pPr>
              <w:rPr>
                <w:rFonts w:ascii="Arial Narrow" w:hAnsi="Arial Narrow"/>
                <w:lang w:eastAsia="zh-CN"/>
              </w:rPr>
            </w:pPr>
            <w:r w:rsidRPr="00681C29">
              <w:rPr>
                <w:rFonts w:ascii="Arial Narrow" w:hAnsi="Arial Narrow"/>
              </w:rPr>
              <w:t>1.5</w:t>
            </w:r>
          </w:p>
        </w:tc>
      </w:tr>
      <w:tr w:rsidR="00CE4E0F" w:rsidRPr="00681C29" w14:paraId="53C142DE" w14:textId="77777777" w:rsidTr="004F16D3">
        <w:trPr>
          <w:trHeight w:hRule="exact" w:val="255"/>
          <w:tblHeader/>
        </w:trPr>
        <w:tc>
          <w:tcPr>
            <w:tcW w:w="1486" w:type="dxa"/>
            <w:tcBorders>
              <w:top w:val="single" w:sz="4" w:space="0" w:color="auto"/>
              <w:left w:val="single" w:sz="4" w:space="0" w:color="auto"/>
              <w:bottom w:val="single" w:sz="4" w:space="0" w:color="auto"/>
              <w:right w:val="single" w:sz="4" w:space="0" w:color="auto"/>
            </w:tcBorders>
            <w:noWrap/>
            <w:hideMark/>
          </w:tcPr>
          <w:p w14:paraId="53C142D3" w14:textId="77777777" w:rsidR="00A84742" w:rsidRPr="00681C29" w:rsidRDefault="00A84742" w:rsidP="00A84742">
            <w:pPr>
              <w:rPr>
                <w:rFonts w:ascii="Arial Narrow" w:hAnsi="Arial Narrow"/>
                <w:lang w:eastAsia="zh-CN"/>
              </w:rPr>
            </w:pPr>
            <w:r w:rsidRPr="00681C29">
              <w:rPr>
                <w:rFonts w:ascii="Arial Narrow" w:hAnsi="Arial Narrow"/>
              </w:rPr>
              <w:t>Fitzroy West</w:t>
            </w:r>
          </w:p>
        </w:tc>
        <w:tc>
          <w:tcPr>
            <w:tcW w:w="694" w:type="dxa"/>
            <w:tcBorders>
              <w:top w:val="single" w:sz="4" w:space="0" w:color="auto"/>
              <w:left w:val="single" w:sz="4" w:space="0" w:color="auto"/>
              <w:bottom w:val="single" w:sz="4" w:space="0" w:color="auto"/>
              <w:right w:val="single" w:sz="4" w:space="0" w:color="auto"/>
            </w:tcBorders>
            <w:noWrap/>
            <w:hideMark/>
          </w:tcPr>
          <w:p w14:paraId="53C142D4" w14:textId="77777777" w:rsidR="00A84742" w:rsidRPr="00681C29" w:rsidRDefault="00A84742" w:rsidP="00A84742">
            <w:pPr>
              <w:rPr>
                <w:rFonts w:ascii="Arial Narrow" w:hAnsi="Arial Narrow"/>
                <w:lang w:eastAsia="zh-CN"/>
              </w:rPr>
            </w:pPr>
            <w:r w:rsidRPr="00681C29">
              <w:rPr>
                <w:rFonts w:ascii="Arial Narrow" w:hAnsi="Arial Narrow"/>
              </w:rPr>
              <w:t>12.5</w:t>
            </w:r>
          </w:p>
        </w:tc>
        <w:tc>
          <w:tcPr>
            <w:tcW w:w="694" w:type="dxa"/>
            <w:tcBorders>
              <w:top w:val="single" w:sz="4" w:space="0" w:color="auto"/>
              <w:left w:val="single" w:sz="4" w:space="0" w:color="auto"/>
              <w:bottom w:val="single" w:sz="4" w:space="0" w:color="auto"/>
              <w:right w:val="single" w:sz="4" w:space="0" w:color="auto"/>
            </w:tcBorders>
            <w:noWrap/>
            <w:hideMark/>
          </w:tcPr>
          <w:p w14:paraId="53C142D5" w14:textId="77777777" w:rsidR="00A84742" w:rsidRPr="00681C29" w:rsidRDefault="00A84742" w:rsidP="00A84742">
            <w:pPr>
              <w:rPr>
                <w:rFonts w:ascii="Arial Narrow" w:hAnsi="Arial Narrow"/>
                <w:lang w:eastAsia="zh-CN"/>
              </w:rPr>
            </w:pPr>
            <w:r w:rsidRPr="00681C29">
              <w:rPr>
                <w:rFonts w:ascii="Arial Narrow" w:hAnsi="Arial Narrow"/>
              </w:rPr>
              <w:t>3.3</w:t>
            </w:r>
          </w:p>
        </w:tc>
        <w:tc>
          <w:tcPr>
            <w:tcW w:w="694" w:type="dxa"/>
            <w:tcBorders>
              <w:top w:val="single" w:sz="4" w:space="0" w:color="auto"/>
              <w:left w:val="single" w:sz="4" w:space="0" w:color="auto"/>
              <w:bottom w:val="single" w:sz="4" w:space="0" w:color="auto"/>
              <w:right w:val="single" w:sz="4" w:space="0" w:color="auto"/>
            </w:tcBorders>
            <w:noWrap/>
            <w:hideMark/>
          </w:tcPr>
          <w:p w14:paraId="53C142D6" w14:textId="77777777" w:rsidR="00A84742" w:rsidRPr="00681C29" w:rsidRDefault="00A84742" w:rsidP="00A84742">
            <w:pPr>
              <w:rPr>
                <w:rFonts w:ascii="Arial Narrow" w:hAnsi="Arial Narrow"/>
                <w:lang w:eastAsia="zh-CN"/>
              </w:rPr>
            </w:pPr>
            <w:r w:rsidRPr="00681C29">
              <w:rPr>
                <w:rFonts w:ascii="Arial Narrow" w:hAnsi="Arial Narrow"/>
              </w:rPr>
              <w:t>13.3</w:t>
            </w:r>
          </w:p>
        </w:tc>
        <w:tc>
          <w:tcPr>
            <w:tcW w:w="701" w:type="dxa"/>
            <w:tcBorders>
              <w:top w:val="single" w:sz="4" w:space="0" w:color="auto"/>
              <w:left w:val="single" w:sz="4" w:space="0" w:color="auto"/>
              <w:bottom w:val="single" w:sz="4" w:space="0" w:color="auto"/>
              <w:right w:val="single" w:sz="4" w:space="0" w:color="auto"/>
            </w:tcBorders>
            <w:noWrap/>
            <w:hideMark/>
          </w:tcPr>
          <w:p w14:paraId="53C142D7" w14:textId="77777777" w:rsidR="00A84742" w:rsidRPr="00681C29" w:rsidRDefault="00A84742" w:rsidP="00A84742">
            <w:pPr>
              <w:rPr>
                <w:rFonts w:ascii="Arial Narrow" w:hAnsi="Arial Narrow"/>
                <w:lang w:eastAsia="zh-CN"/>
              </w:rPr>
            </w:pPr>
            <w:r w:rsidRPr="00681C29">
              <w:rPr>
                <w:rFonts w:ascii="Arial Narrow" w:hAnsi="Arial Narrow"/>
              </w:rPr>
              <w:t>1.5</w:t>
            </w:r>
          </w:p>
        </w:tc>
        <w:tc>
          <w:tcPr>
            <w:tcW w:w="267" w:type="dxa"/>
            <w:tcBorders>
              <w:top w:val="nil"/>
              <w:left w:val="single" w:sz="4" w:space="0" w:color="auto"/>
              <w:bottom w:val="nil"/>
              <w:right w:val="single" w:sz="4" w:space="0" w:color="auto"/>
            </w:tcBorders>
            <w:noWrap/>
            <w:hideMark/>
          </w:tcPr>
          <w:p w14:paraId="53C142D8" w14:textId="77777777" w:rsidR="00A84742" w:rsidRPr="00681C29" w:rsidRDefault="00A84742" w:rsidP="00A84742">
            <w:pPr>
              <w:rPr>
                <w:rFonts w:ascii="Arial Narrow" w:hAnsi="Arial Narrow"/>
                <w:lang w:eastAsia="zh-CN"/>
              </w:rPr>
            </w:pPr>
          </w:p>
        </w:tc>
        <w:tc>
          <w:tcPr>
            <w:tcW w:w="1560" w:type="dxa"/>
            <w:tcBorders>
              <w:top w:val="single" w:sz="4" w:space="0" w:color="auto"/>
              <w:left w:val="single" w:sz="4" w:space="0" w:color="auto"/>
              <w:bottom w:val="single" w:sz="4" w:space="0" w:color="auto"/>
              <w:right w:val="single" w:sz="4" w:space="0" w:color="auto"/>
            </w:tcBorders>
            <w:noWrap/>
          </w:tcPr>
          <w:p w14:paraId="53C142D9" w14:textId="77777777" w:rsidR="00A84742" w:rsidRPr="00681C29" w:rsidRDefault="00A84742" w:rsidP="00A84742">
            <w:pPr>
              <w:rPr>
                <w:rFonts w:ascii="Arial Narrow" w:hAnsi="Arial Narrow"/>
                <w:lang w:eastAsia="zh-CN"/>
              </w:rPr>
            </w:pPr>
            <w:r w:rsidRPr="00681C29">
              <w:rPr>
                <w:rFonts w:ascii="Arial Narrow" w:hAnsi="Arial Narrow"/>
              </w:rPr>
              <w:t>Palms West</w:t>
            </w:r>
          </w:p>
        </w:tc>
        <w:tc>
          <w:tcPr>
            <w:tcW w:w="708" w:type="dxa"/>
            <w:tcBorders>
              <w:top w:val="single" w:sz="4" w:space="0" w:color="auto"/>
              <w:left w:val="single" w:sz="4" w:space="0" w:color="auto"/>
              <w:bottom w:val="single" w:sz="4" w:space="0" w:color="auto"/>
              <w:right w:val="single" w:sz="4" w:space="0" w:color="auto"/>
            </w:tcBorders>
            <w:noWrap/>
          </w:tcPr>
          <w:p w14:paraId="53C142DA" w14:textId="77777777" w:rsidR="00A84742" w:rsidRPr="00681C29" w:rsidRDefault="00A84742" w:rsidP="00A84742">
            <w:pPr>
              <w:rPr>
                <w:rFonts w:ascii="Arial Narrow" w:hAnsi="Arial Narrow"/>
                <w:lang w:eastAsia="zh-CN"/>
              </w:rPr>
            </w:pPr>
            <w:r w:rsidRPr="00681C29">
              <w:rPr>
                <w:rFonts w:ascii="Arial Narrow" w:hAnsi="Arial Narrow"/>
              </w:rPr>
              <w:t>12.8</w:t>
            </w:r>
          </w:p>
        </w:tc>
        <w:tc>
          <w:tcPr>
            <w:tcW w:w="709" w:type="dxa"/>
            <w:tcBorders>
              <w:top w:val="single" w:sz="4" w:space="0" w:color="auto"/>
              <w:left w:val="single" w:sz="4" w:space="0" w:color="auto"/>
              <w:bottom w:val="single" w:sz="4" w:space="0" w:color="auto"/>
              <w:right w:val="single" w:sz="4" w:space="0" w:color="auto"/>
            </w:tcBorders>
            <w:noWrap/>
          </w:tcPr>
          <w:p w14:paraId="53C142DB" w14:textId="77777777" w:rsidR="00A84742" w:rsidRPr="00681C29" w:rsidRDefault="00A84742" w:rsidP="00A84742">
            <w:pPr>
              <w:rPr>
                <w:rFonts w:ascii="Arial Narrow" w:hAnsi="Arial Narrow"/>
                <w:lang w:eastAsia="zh-CN"/>
              </w:rPr>
            </w:pPr>
            <w:r w:rsidRPr="00681C29">
              <w:rPr>
                <w:rFonts w:ascii="Arial Narrow" w:hAnsi="Arial Narrow"/>
              </w:rPr>
              <w:t>3.4</w:t>
            </w:r>
          </w:p>
        </w:tc>
        <w:tc>
          <w:tcPr>
            <w:tcW w:w="709" w:type="dxa"/>
            <w:tcBorders>
              <w:top w:val="single" w:sz="4" w:space="0" w:color="auto"/>
              <w:left w:val="single" w:sz="4" w:space="0" w:color="auto"/>
              <w:bottom w:val="single" w:sz="4" w:space="0" w:color="auto"/>
              <w:right w:val="single" w:sz="4" w:space="0" w:color="auto"/>
            </w:tcBorders>
            <w:noWrap/>
          </w:tcPr>
          <w:p w14:paraId="53C142DC" w14:textId="77777777" w:rsidR="00A84742" w:rsidRPr="00681C29" w:rsidRDefault="00A84742" w:rsidP="00A84742">
            <w:pPr>
              <w:rPr>
                <w:rFonts w:ascii="Arial Narrow" w:hAnsi="Arial Narrow"/>
                <w:lang w:eastAsia="zh-CN"/>
              </w:rPr>
            </w:pPr>
            <w:r w:rsidRPr="00681C29">
              <w:rPr>
                <w:rFonts w:ascii="Arial Narrow" w:hAnsi="Arial Narrow"/>
              </w:rPr>
              <w:t>17.5</w:t>
            </w:r>
          </w:p>
        </w:tc>
        <w:tc>
          <w:tcPr>
            <w:tcW w:w="709" w:type="dxa"/>
            <w:tcBorders>
              <w:top w:val="single" w:sz="4" w:space="0" w:color="auto"/>
              <w:left w:val="single" w:sz="4" w:space="0" w:color="auto"/>
              <w:bottom w:val="single" w:sz="4" w:space="0" w:color="auto"/>
              <w:right w:val="single" w:sz="4" w:space="0" w:color="auto"/>
            </w:tcBorders>
            <w:noWrap/>
          </w:tcPr>
          <w:p w14:paraId="53C142DD" w14:textId="77777777" w:rsidR="00A84742" w:rsidRPr="00681C29" w:rsidRDefault="00A84742" w:rsidP="00A84742">
            <w:pPr>
              <w:rPr>
                <w:rFonts w:ascii="Arial Narrow" w:hAnsi="Arial Narrow"/>
                <w:lang w:eastAsia="zh-CN"/>
              </w:rPr>
            </w:pPr>
            <w:r w:rsidRPr="00681C29">
              <w:rPr>
                <w:rFonts w:ascii="Arial Narrow" w:hAnsi="Arial Narrow"/>
              </w:rPr>
              <w:t>1.5</w:t>
            </w:r>
          </w:p>
        </w:tc>
      </w:tr>
      <w:tr w:rsidR="00CE4E0F" w:rsidRPr="00681C29" w14:paraId="53C142EA" w14:textId="77777777" w:rsidTr="004F16D3">
        <w:trPr>
          <w:trHeight w:hRule="exact" w:val="255"/>
          <w:tblHeader/>
        </w:trPr>
        <w:tc>
          <w:tcPr>
            <w:tcW w:w="1486" w:type="dxa"/>
            <w:tcBorders>
              <w:top w:val="single" w:sz="4" w:space="0" w:color="auto"/>
              <w:left w:val="single" w:sz="4" w:space="0" w:color="auto"/>
              <w:bottom w:val="single" w:sz="4" w:space="0" w:color="auto"/>
              <w:right w:val="single" w:sz="4" w:space="0" w:color="auto"/>
            </w:tcBorders>
            <w:noWrap/>
            <w:hideMark/>
          </w:tcPr>
          <w:p w14:paraId="53C142DF" w14:textId="77777777" w:rsidR="00A84742" w:rsidRPr="00681C29" w:rsidRDefault="00A84742" w:rsidP="00A84742">
            <w:pPr>
              <w:rPr>
                <w:rFonts w:ascii="Arial Narrow" w:hAnsi="Arial Narrow"/>
                <w:lang w:eastAsia="zh-CN"/>
              </w:rPr>
            </w:pPr>
            <w:r w:rsidRPr="00681C29">
              <w:rPr>
                <w:rFonts w:ascii="Arial Narrow" w:hAnsi="Arial Narrow"/>
              </w:rPr>
              <w:t>Franklands East</w:t>
            </w:r>
          </w:p>
        </w:tc>
        <w:tc>
          <w:tcPr>
            <w:tcW w:w="694" w:type="dxa"/>
            <w:tcBorders>
              <w:top w:val="single" w:sz="4" w:space="0" w:color="auto"/>
              <w:left w:val="single" w:sz="4" w:space="0" w:color="auto"/>
              <w:bottom w:val="single" w:sz="4" w:space="0" w:color="auto"/>
              <w:right w:val="single" w:sz="4" w:space="0" w:color="auto"/>
            </w:tcBorders>
            <w:noWrap/>
            <w:hideMark/>
          </w:tcPr>
          <w:p w14:paraId="53C142E0" w14:textId="77777777" w:rsidR="00A84742" w:rsidRPr="00681C29" w:rsidRDefault="00A84742" w:rsidP="00A84742">
            <w:pPr>
              <w:rPr>
                <w:rFonts w:ascii="Arial Narrow" w:hAnsi="Arial Narrow"/>
                <w:lang w:eastAsia="zh-CN"/>
              </w:rPr>
            </w:pPr>
            <w:r w:rsidRPr="00681C29">
              <w:rPr>
                <w:rFonts w:ascii="Arial Narrow" w:hAnsi="Arial Narrow"/>
              </w:rPr>
              <w:t>12.2</w:t>
            </w:r>
          </w:p>
        </w:tc>
        <w:tc>
          <w:tcPr>
            <w:tcW w:w="694" w:type="dxa"/>
            <w:tcBorders>
              <w:top w:val="single" w:sz="4" w:space="0" w:color="auto"/>
              <w:left w:val="single" w:sz="4" w:space="0" w:color="auto"/>
              <w:bottom w:val="single" w:sz="4" w:space="0" w:color="auto"/>
              <w:right w:val="single" w:sz="4" w:space="0" w:color="auto"/>
            </w:tcBorders>
            <w:noWrap/>
            <w:hideMark/>
          </w:tcPr>
          <w:p w14:paraId="53C142E1" w14:textId="77777777" w:rsidR="00A84742" w:rsidRPr="00681C29" w:rsidRDefault="00A84742" w:rsidP="00A84742">
            <w:pPr>
              <w:rPr>
                <w:rFonts w:ascii="Arial Narrow" w:hAnsi="Arial Narrow"/>
                <w:lang w:eastAsia="zh-CN"/>
              </w:rPr>
            </w:pPr>
            <w:r w:rsidRPr="00681C29">
              <w:rPr>
                <w:rFonts w:ascii="Arial Narrow" w:hAnsi="Arial Narrow"/>
              </w:rPr>
              <w:t>3.4</w:t>
            </w:r>
          </w:p>
        </w:tc>
        <w:tc>
          <w:tcPr>
            <w:tcW w:w="694" w:type="dxa"/>
            <w:tcBorders>
              <w:top w:val="single" w:sz="4" w:space="0" w:color="auto"/>
              <w:left w:val="single" w:sz="4" w:space="0" w:color="auto"/>
              <w:bottom w:val="single" w:sz="4" w:space="0" w:color="auto"/>
              <w:right w:val="single" w:sz="4" w:space="0" w:color="auto"/>
            </w:tcBorders>
            <w:noWrap/>
            <w:hideMark/>
          </w:tcPr>
          <w:p w14:paraId="53C142E2" w14:textId="77777777" w:rsidR="00A84742" w:rsidRPr="00681C29" w:rsidRDefault="00A84742" w:rsidP="00A84742">
            <w:pPr>
              <w:rPr>
                <w:rFonts w:ascii="Arial Narrow" w:hAnsi="Arial Narrow"/>
                <w:lang w:eastAsia="zh-CN"/>
              </w:rPr>
            </w:pPr>
            <w:r w:rsidRPr="00681C29">
              <w:rPr>
                <w:rFonts w:ascii="Arial Narrow" w:hAnsi="Arial Narrow"/>
              </w:rPr>
              <w:t>10.5</w:t>
            </w:r>
          </w:p>
        </w:tc>
        <w:tc>
          <w:tcPr>
            <w:tcW w:w="701" w:type="dxa"/>
            <w:tcBorders>
              <w:top w:val="single" w:sz="4" w:space="0" w:color="auto"/>
              <w:left w:val="single" w:sz="4" w:space="0" w:color="auto"/>
              <w:bottom w:val="single" w:sz="4" w:space="0" w:color="auto"/>
              <w:right w:val="single" w:sz="4" w:space="0" w:color="auto"/>
            </w:tcBorders>
            <w:noWrap/>
            <w:hideMark/>
          </w:tcPr>
          <w:p w14:paraId="53C142E3" w14:textId="77777777" w:rsidR="00A84742" w:rsidRPr="00681C29" w:rsidRDefault="00A84742" w:rsidP="00A84742">
            <w:pPr>
              <w:rPr>
                <w:rFonts w:ascii="Arial Narrow" w:hAnsi="Arial Narrow"/>
                <w:lang w:eastAsia="zh-CN"/>
              </w:rPr>
            </w:pPr>
            <w:r w:rsidRPr="00681C29">
              <w:rPr>
                <w:rFonts w:ascii="Arial Narrow" w:hAnsi="Arial Narrow"/>
              </w:rPr>
              <w:t>1.5</w:t>
            </w:r>
          </w:p>
        </w:tc>
        <w:tc>
          <w:tcPr>
            <w:tcW w:w="267" w:type="dxa"/>
            <w:tcBorders>
              <w:top w:val="nil"/>
              <w:left w:val="single" w:sz="4" w:space="0" w:color="auto"/>
              <w:bottom w:val="nil"/>
              <w:right w:val="single" w:sz="4" w:space="0" w:color="auto"/>
            </w:tcBorders>
            <w:noWrap/>
            <w:hideMark/>
          </w:tcPr>
          <w:p w14:paraId="53C142E4" w14:textId="77777777" w:rsidR="00A84742" w:rsidRPr="00681C29" w:rsidRDefault="00A84742" w:rsidP="00A84742">
            <w:pPr>
              <w:rPr>
                <w:rFonts w:ascii="Arial Narrow" w:hAnsi="Arial Narrow"/>
                <w:lang w:eastAsia="zh-CN"/>
              </w:rPr>
            </w:pPr>
          </w:p>
        </w:tc>
        <w:tc>
          <w:tcPr>
            <w:tcW w:w="1560" w:type="dxa"/>
            <w:tcBorders>
              <w:top w:val="single" w:sz="4" w:space="0" w:color="auto"/>
              <w:left w:val="single" w:sz="4" w:space="0" w:color="auto"/>
              <w:bottom w:val="single" w:sz="4" w:space="0" w:color="auto"/>
              <w:right w:val="single" w:sz="4" w:space="0" w:color="auto"/>
            </w:tcBorders>
            <w:noWrap/>
          </w:tcPr>
          <w:p w14:paraId="53C142E5" w14:textId="77777777" w:rsidR="00A84742" w:rsidRPr="00681C29" w:rsidRDefault="00A84742" w:rsidP="00A84742">
            <w:pPr>
              <w:rPr>
                <w:rFonts w:ascii="Arial Narrow" w:hAnsi="Arial Narrow"/>
                <w:lang w:eastAsia="zh-CN"/>
              </w:rPr>
            </w:pPr>
            <w:r w:rsidRPr="00681C29">
              <w:rPr>
                <w:rFonts w:ascii="Arial Narrow" w:hAnsi="Arial Narrow"/>
              </w:rPr>
              <w:t>Pandora North</w:t>
            </w:r>
          </w:p>
        </w:tc>
        <w:tc>
          <w:tcPr>
            <w:tcW w:w="708" w:type="dxa"/>
            <w:tcBorders>
              <w:top w:val="single" w:sz="4" w:space="0" w:color="auto"/>
              <w:left w:val="single" w:sz="4" w:space="0" w:color="auto"/>
              <w:bottom w:val="single" w:sz="4" w:space="0" w:color="auto"/>
              <w:right w:val="single" w:sz="4" w:space="0" w:color="auto"/>
            </w:tcBorders>
            <w:noWrap/>
          </w:tcPr>
          <w:p w14:paraId="53C142E6" w14:textId="77777777" w:rsidR="00A84742" w:rsidRPr="00681C29" w:rsidRDefault="00A84742" w:rsidP="00A84742">
            <w:pPr>
              <w:rPr>
                <w:rFonts w:ascii="Arial Narrow" w:hAnsi="Arial Narrow"/>
                <w:lang w:eastAsia="zh-CN"/>
              </w:rPr>
            </w:pPr>
          </w:p>
        </w:tc>
        <w:tc>
          <w:tcPr>
            <w:tcW w:w="709" w:type="dxa"/>
            <w:tcBorders>
              <w:top w:val="single" w:sz="4" w:space="0" w:color="auto"/>
              <w:left w:val="single" w:sz="4" w:space="0" w:color="auto"/>
              <w:bottom w:val="single" w:sz="4" w:space="0" w:color="auto"/>
              <w:right w:val="single" w:sz="4" w:space="0" w:color="auto"/>
            </w:tcBorders>
            <w:noWrap/>
          </w:tcPr>
          <w:p w14:paraId="53C142E7" w14:textId="77777777" w:rsidR="00A84742" w:rsidRPr="00681C29" w:rsidRDefault="00A84742" w:rsidP="00A84742">
            <w:pPr>
              <w:rPr>
                <w:rFonts w:ascii="Arial Narrow" w:hAnsi="Arial Narrow"/>
                <w:lang w:eastAsia="zh-CN"/>
              </w:rPr>
            </w:pPr>
          </w:p>
        </w:tc>
        <w:tc>
          <w:tcPr>
            <w:tcW w:w="709" w:type="dxa"/>
            <w:tcBorders>
              <w:top w:val="single" w:sz="4" w:space="0" w:color="auto"/>
              <w:left w:val="single" w:sz="4" w:space="0" w:color="auto"/>
              <w:bottom w:val="single" w:sz="4" w:space="0" w:color="auto"/>
              <w:right w:val="single" w:sz="4" w:space="0" w:color="auto"/>
            </w:tcBorders>
            <w:noWrap/>
          </w:tcPr>
          <w:p w14:paraId="53C142E8" w14:textId="77777777" w:rsidR="00A84742" w:rsidRPr="00681C29" w:rsidRDefault="00A84742" w:rsidP="00A84742">
            <w:pPr>
              <w:rPr>
                <w:rFonts w:ascii="Arial Narrow" w:hAnsi="Arial Narrow"/>
                <w:lang w:eastAsia="zh-CN"/>
              </w:rPr>
            </w:pPr>
            <w:r w:rsidRPr="00681C29">
              <w:rPr>
                <w:rFonts w:ascii="Arial Narrow" w:hAnsi="Arial Narrow"/>
              </w:rPr>
              <w:t>13.1</w:t>
            </w:r>
          </w:p>
        </w:tc>
        <w:tc>
          <w:tcPr>
            <w:tcW w:w="709" w:type="dxa"/>
            <w:tcBorders>
              <w:top w:val="single" w:sz="4" w:space="0" w:color="auto"/>
              <w:left w:val="single" w:sz="4" w:space="0" w:color="auto"/>
              <w:bottom w:val="single" w:sz="4" w:space="0" w:color="auto"/>
              <w:right w:val="single" w:sz="4" w:space="0" w:color="auto"/>
            </w:tcBorders>
            <w:noWrap/>
          </w:tcPr>
          <w:p w14:paraId="53C142E9" w14:textId="77777777" w:rsidR="00A84742" w:rsidRPr="00681C29" w:rsidRDefault="00A84742" w:rsidP="00A84742">
            <w:pPr>
              <w:rPr>
                <w:rFonts w:ascii="Arial Narrow" w:hAnsi="Arial Narrow"/>
                <w:lang w:eastAsia="zh-CN"/>
              </w:rPr>
            </w:pPr>
            <w:r w:rsidRPr="00681C29">
              <w:rPr>
                <w:rFonts w:ascii="Arial Narrow" w:hAnsi="Arial Narrow"/>
              </w:rPr>
              <w:t>1.6</w:t>
            </w:r>
          </w:p>
        </w:tc>
      </w:tr>
      <w:tr w:rsidR="00CE4E0F" w:rsidRPr="00681C29" w14:paraId="53C142F6" w14:textId="77777777" w:rsidTr="004F16D3">
        <w:trPr>
          <w:trHeight w:hRule="exact" w:val="255"/>
          <w:tblHeader/>
        </w:trPr>
        <w:tc>
          <w:tcPr>
            <w:tcW w:w="1486" w:type="dxa"/>
            <w:tcBorders>
              <w:top w:val="single" w:sz="4" w:space="0" w:color="auto"/>
              <w:left w:val="single" w:sz="4" w:space="0" w:color="auto"/>
              <w:bottom w:val="single" w:sz="4" w:space="0" w:color="auto"/>
              <w:right w:val="single" w:sz="4" w:space="0" w:color="auto"/>
            </w:tcBorders>
            <w:noWrap/>
            <w:hideMark/>
          </w:tcPr>
          <w:p w14:paraId="53C142EB" w14:textId="77777777" w:rsidR="00A84742" w:rsidRPr="00681C29" w:rsidRDefault="00A84742" w:rsidP="00A84742">
            <w:pPr>
              <w:rPr>
                <w:rFonts w:ascii="Arial Narrow" w:hAnsi="Arial Narrow"/>
                <w:lang w:eastAsia="zh-CN"/>
              </w:rPr>
            </w:pPr>
            <w:r w:rsidRPr="00681C29">
              <w:rPr>
                <w:rFonts w:ascii="Arial Narrow" w:hAnsi="Arial Narrow"/>
              </w:rPr>
              <w:t>Franklands West</w:t>
            </w:r>
          </w:p>
        </w:tc>
        <w:tc>
          <w:tcPr>
            <w:tcW w:w="694" w:type="dxa"/>
            <w:tcBorders>
              <w:top w:val="single" w:sz="4" w:space="0" w:color="auto"/>
              <w:left w:val="single" w:sz="4" w:space="0" w:color="auto"/>
              <w:bottom w:val="single" w:sz="4" w:space="0" w:color="auto"/>
              <w:right w:val="single" w:sz="4" w:space="0" w:color="auto"/>
            </w:tcBorders>
            <w:noWrap/>
            <w:hideMark/>
          </w:tcPr>
          <w:p w14:paraId="53C142EC" w14:textId="77777777" w:rsidR="00A84742" w:rsidRPr="00681C29" w:rsidRDefault="00A84742" w:rsidP="00A84742">
            <w:pPr>
              <w:rPr>
                <w:rFonts w:ascii="Arial Narrow" w:hAnsi="Arial Narrow"/>
                <w:lang w:eastAsia="zh-CN"/>
              </w:rPr>
            </w:pPr>
            <w:r w:rsidRPr="00681C29">
              <w:rPr>
                <w:rFonts w:ascii="Arial Narrow" w:hAnsi="Arial Narrow"/>
              </w:rPr>
              <w:t>11.4</w:t>
            </w:r>
          </w:p>
        </w:tc>
        <w:tc>
          <w:tcPr>
            <w:tcW w:w="694" w:type="dxa"/>
            <w:tcBorders>
              <w:top w:val="single" w:sz="4" w:space="0" w:color="auto"/>
              <w:left w:val="single" w:sz="4" w:space="0" w:color="auto"/>
              <w:bottom w:val="single" w:sz="4" w:space="0" w:color="auto"/>
              <w:right w:val="single" w:sz="4" w:space="0" w:color="auto"/>
            </w:tcBorders>
            <w:noWrap/>
            <w:hideMark/>
          </w:tcPr>
          <w:p w14:paraId="53C142ED" w14:textId="77777777" w:rsidR="00A84742" w:rsidRPr="00681C29" w:rsidRDefault="00A84742" w:rsidP="00A84742">
            <w:pPr>
              <w:rPr>
                <w:rFonts w:ascii="Arial Narrow" w:hAnsi="Arial Narrow"/>
                <w:lang w:eastAsia="zh-CN"/>
              </w:rPr>
            </w:pPr>
            <w:r w:rsidRPr="00681C29">
              <w:rPr>
                <w:rFonts w:ascii="Arial Narrow" w:hAnsi="Arial Narrow"/>
              </w:rPr>
              <w:t>3.4</w:t>
            </w:r>
          </w:p>
        </w:tc>
        <w:tc>
          <w:tcPr>
            <w:tcW w:w="694" w:type="dxa"/>
            <w:tcBorders>
              <w:top w:val="single" w:sz="4" w:space="0" w:color="auto"/>
              <w:left w:val="single" w:sz="4" w:space="0" w:color="auto"/>
              <w:bottom w:val="single" w:sz="4" w:space="0" w:color="auto"/>
              <w:right w:val="single" w:sz="4" w:space="0" w:color="auto"/>
            </w:tcBorders>
            <w:noWrap/>
            <w:hideMark/>
          </w:tcPr>
          <w:p w14:paraId="53C142EE" w14:textId="77777777" w:rsidR="00A84742" w:rsidRPr="00681C29" w:rsidRDefault="00A84742" w:rsidP="00A84742">
            <w:pPr>
              <w:rPr>
                <w:rFonts w:ascii="Arial Narrow" w:hAnsi="Arial Narrow"/>
                <w:lang w:eastAsia="zh-CN"/>
              </w:rPr>
            </w:pPr>
            <w:r w:rsidRPr="00681C29">
              <w:rPr>
                <w:rFonts w:ascii="Arial Narrow" w:hAnsi="Arial Narrow"/>
              </w:rPr>
              <w:t>15.8</w:t>
            </w:r>
          </w:p>
        </w:tc>
        <w:tc>
          <w:tcPr>
            <w:tcW w:w="701" w:type="dxa"/>
            <w:tcBorders>
              <w:top w:val="single" w:sz="4" w:space="0" w:color="auto"/>
              <w:left w:val="single" w:sz="4" w:space="0" w:color="auto"/>
              <w:bottom w:val="single" w:sz="4" w:space="0" w:color="auto"/>
              <w:right w:val="single" w:sz="4" w:space="0" w:color="auto"/>
            </w:tcBorders>
            <w:noWrap/>
            <w:hideMark/>
          </w:tcPr>
          <w:p w14:paraId="53C142EF" w14:textId="77777777" w:rsidR="00A84742" w:rsidRPr="00681C29" w:rsidRDefault="00A84742" w:rsidP="00A84742">
            <w:pPr>
              <w:rPr>
                <w:rFonts w:ascii="Arial Narrow" w:hAnsi="Arial Narrow"/>
                <w:lang w:eastAsia="zh-CN"/>
              </w:rPr>
            </w:pPr>
            <w:r w:rsidRPr="00681C29">
              <w:rPr>
                <w:rFonts w:ascii="Arial Narrow" w:hAnsi="Arial Narrow"/>
              </w:rPr>
              <w:t>1.5</w:t>
            </w:r>
          </w:p>
        </w:tc>
        <w:tc>
          <w:tcPr>
            <w:tcW w:w="267" w:type="dxa"/>
            <w:tcBorders>
              <w:top w:val="nil"/>
              <w:left w:val="single" w:sz="4" w:space="0" w:color="auto"/>
              <w:bottom w:val="nil"/>
              <w:right w:val="single" w:sz="4" w:space="0" w:color="auto"/>
            </w:tcBorders>
            <w:noWrap/>
            <w:hideMark/>
          </w:tcPr>
          <w:p w14:paraId="53C142F0" w14:textId="77777777" w:rsidR="00A84742" w:rsidRPr="00681C29" w:rsidRDefault="00A84742" w:rsidP="00A84742">
            <w:pPr>
              <w:rPr>
                <w:rFonts w:ascii="Arial Narrow" w:hAnsi="Arial Narrow"/>
                <w:lang w:eastAsia="zh-CN"/>
              </w:rPr>
            </w:pPr>
          </w:p>
        </w:tc>
        <w:tc>
          <w:tcPr>
            <w:tcW w:w="1560" w:type="dxa"/>
            <w:tcBorders>
              <w:top w:val="single" w:sz="4" w:space="0" w:color="auto"/>
              <w:left w:val="single" w:sz="4" w:space="0" w:color="auto"/>
              <w:bottom w:val="single" w:sz="4" w:space="0" w:color="auto"/>
              <w:right w:val="single" w:sz="4" w:space="0" w:color="auto"/>
            </w:tcBorders>
            <w:noWrap/>
          </w:tcPr>
          <w:p w14:paraId="53C142F1" w14:textId="77777777" w:rsidR="00A84742" w:rsidRPr="00681C29" w:rsidRDefault="00A84742" w:rsidP="00A84742">
            <w:pPr>
              <w:rPr>
                <w:rFonts w:ascii="Arial Narrow" w:hAnsi="Arial Narrow"/>
                <w:lang w:eastAsia="zh-CN"/>
              </w:rPr>
            </w:pPr>
            <w:r w:rsidRPr="00681C29">
              <w:rPr>
                <w:rFonts w:ascii="Arial Narrow" w:hAnsi="Arial Narrow"/>
              </w:rPr>
              <w:t>Pandora</w:t>
            </w:r>
          </w:p>
        </w:tc>
        <w:tc>
          <w:tcPr>
            <w:tcW w:w="708" w:type="dxa"/>
            <w:tcBorders>
              <w:top w:val="single" w:sz="4" w:space="0" w:color="auto"/>
              <w:left w:val="single" w:sz="4" w:space="0" w:color="auto"/>
              <w:bottom w:val="single" w:sz="4" w:space="0" w:color="auto"/>
              <w:right w:val="single" w:sz="4" w:space="0" w:color="auto"/>
            </w:tcBorders>
            <w:noWrap/>
          </w:tcPr>
          <w:p w14:paraId="53C142F2" w14:textId="77777777" w:rsidR="00A84742" w:rsidRPr="00681C29" w:rsidRDefault="00A84742" w:rsidP="00A84742">
            <w:pPr>
              <w:rPr>
                <w:rFonts w:ascii="Arial Narrow" w:hAnsi="Arial Narrow"/>
                <w:lang w:eastAsia="zh-CN"/>
              </w:rPr>
            </w:pPr>
            <w:r w:rsidRPr="00681C29">
              <w:rPr>
                <w:rFonts w:ascii="Arial Narrow" w:hAnsi="Arial Narrow"/>
              </w:rPr>
              <w:t>23</w:t>
            </w:r>
          </w:p>
        </w:tc>
        <w:tc>
          <w:tcPr>
            <w:tcW w:w="709" w:type="dxa"/>
            <w:tcBorders>
              <w:top w:val="single" w:sz="4" w:space="0" w:color="auto"/>
              <w:left w:val="single" w:sz="4" w:space="0" w:color="auto"/>
              <w:bottom w:val="single" w:sz="4" w:space="0" w:color="auto"/>
              <w:right w:val="single" w:sz="4" w:space="0" w:color="auto"/>
            </w:tcBorders>
            <w:noWrap/>
          </w:tcPr>
          <w:p w14:paraId="53C142F3" w14:textId="77777777" w:rsidR="00A84742" w:rsidRPr="00681C29" w:rsidRDefault="00A84742" w:rsidP="00A84742">
            <w:pPr>
              <w:rPr>
                <w:rFonts w:ascii="Arial Narrow" w:hAnsi="Arial Narrow"/>
                <w:lang w:eastAsia="zh-CN"/>
              </w:rPr>
            </w:pPr>
            <w:r w:rsidRPr="00681C29">
              <w:rPr>
                <w:rFonts w:ascii="Arial Narrow" w:hAnsi="Arial Narrow"/>
              </w:rPr>
              <w:t>4.7</w:t>
            </w:r>
          </w:p>
        </w:tc>
        <w:tc>
          <w:tcPr>
            <w:tcW w:w="709" w:type="dxa"/>
            <w:tcBorders>
              <w:top w:val="single" w:sz="4" w:space="0" w:color="auto"/>
              <w:left w:val="single" w:sz="4" w:space="0" w:color="auto"/>
              <w:bottom w:val="single" w:sz="4" w:space="0" w:color="auto"/>
              <w:right w:val="single" w:sz="4" w:space="0" w:color="auto"/>
            </w:tcBorders>
            <w:noWrap/>
          </w:tcPr>
          <w:p w14:paraId="53C142F4" w14:textId="77777777" w:rsidR="00A84742" w:rsidRPr="00681C29" w:rsidRDefault="00A84742" w:rsidP="00A84742">
            <w:pPr>
              <w:rPr>
                <w:rFonts w:ascii="Arial Narrow" w:hAnsi="Arial Narrow"/>
                <w:lang w:eastAsia="zh-CN"/>
              </w:rPr>
            </w:pPr>
            <w:r w:rsidRPr="00681C29">
              <w:rPr>
                <w:rFonts w:ascii="Arial Narrow" w:hAnsi="Arial Narrow"/>
              </w:rPr>
              <w:t>16.2</w:t>
            </w:r>
          </w:p>
        </w:tc>
        <w:tc>
          <w:tcPr>
            <w:tcW w:w="709" w:type="dxa"/>
            <w:tcBorders>
              <w:top w:val="single" w:sz="4" w:space="0" w:color="auto"/>
              <w:left w:val="single" w:sz="4" w:space="0" w:color="auto"/>
              <w:bottom w:val="single" w:sz="4" w:space="0" w:color="auto"/>
              <w:right w:val="single" w:sz="4" w:space="0" w:color="auto"/>
            </w:tcBorders>
            <w:noWrap/>
          </w:tcPr>
          <w:p w14:paraId="53C142F5" w14:textId="77777777" w:rsidR="00A84742" w:rsidRPr="00681C29" w:rsidRDefault="00A84742" w:rsidP="00A84742">
            <w:pPr>
              <w:rPr>
                <w:rFonts w:ascii="Arial Narrow" w:hAnsi="Arial Narrow"/>
                <w:lang w:eastAsia="zh-CN"/>
              </w:rPr>
            </w:pPr>
            <w:r w:rsidRPr="00681C29">
              <w:rPr>
                <w:rFonts w:ascii="Arial Narrow" w:hAnsi="Arial Narrow"/>
              </w:rPr>
              <w:t>1.6</w:t>
            </w:r>
          </w:p>
        </w:tc>
      </w:tr>
      <w:tr w:rsidR="00CE4E0F" w:rsidRPr="00681C29" w14:paraId="53C14302" w14:textId="77777777" w:rsidTr="004F16D3">
        <w:trPr>
          <w:trHeight w:hRule="exact" w:val="255"/>
          <w:tblHeader/>
        </w:trPr>
        <w:tc>
          <w:tcPr>
            <w:tcW w:w="1486" w:type="dxa"/>
            <w:tcBorders>
              <w:top w:val="single" w:sz="4" w:space="0" w:color="auto"/>
              <w:left w:val="single" w:sz="4" w:space="0" w:color="auto"/>
              <w:bottom w:val="single" w:sz="4" w:space="0" w:color="auto"/>
              <w:right w:val="single" w:sz="4" w:space="0" w:color="auto"/>
            </w:tcBorders>
            <w:noWrap/>
            <w:hideMark/>
          </w:tcPr>
          <w:p w14:paraId="53C142F7" w14:textId="77777777" w:rsidR="00A84742" w:rsidRPr="00681C29" w:rsidRDefault="00A84742" w:rsidP="00A84742">
            <w:pPr>
              <w:rPr>
                <w:rFonts w:ascii="Arial Narrow" w:hAnsi="Arial Narrow"/>
                <w:lang w:eastAsia="zh-CN"/>
              </w:rPr>
            </w:pPr>
            <w:r w:rsidRPr="00681C29">
              <w:rPr>
                <w:rFonts w:ascii="Arial Narrow" w:hAnsi="Arial Narrow"/>
              </w:rPr>
              <w:t>Green</w:t>
            </w:r>
          </w:p>
        </w:tc>
        <w:tc>
          <w:tcPr>
            <w:tcW w:w="694" w:type="dxa"/>
            <w:tcBorders>
              <w:top w:val="single" w:sz="4" w:space="0" w:color="auto"/>
              <w:left w:val="single" w:sz="4" w:space="0" w:color="auto"/>
              <w:bottom w:val="single" w:sz="4" w:space="0" w:color="auto"/>
              <w:right w:val="single" w:sz="4" w:space="0" w:color="auto"/>
            </w:tcBorders>
            <w:noWrap/>
            <w:hideMark/>
          </w:tcPr>
          <w:p w14:paraId="53C142F8" w14:textId="77777777" w:rsidR="00A84742" w:rsidRPr="00681C29" w:rsidRDefault="00A84742" w:rsidP="00A84742">
            <w:pPr>
              <w:rPr>
                <w:rFonts w:ascii="Arial Narrow" w:hAnsi="Arial Narrow"/>
                <w:lang w:eastAsia="zh-CN"/>
              </w:rPr>
            </w:pPr>
          </w:p>
        </w:tc>
        <w:tc>
          <w:tcPr>
            <w:tcW w:w="694" w:type="dxa"/>
            <w:tcBorders>
              <w:top w:val="single" w:sz="4" w:space="0" w:color="auto"/>
              <w:left w:val="single" w:sz="4" w:space="0" w:color="auto"/>
              <w:bottom w:val="single" w:sz="4" w:space="0" w:color="auto"/>
              <w:right w:val="single" w:sz="4" w:space="0" w:color="auto"/>
            </w:tcBorders>
            <w:noWrap/>
            <w:hideMark/>
          </w:tcPr>
          <w:p w14:paraId="53C142F9" w14:textId="77777777" w:rsidR="00A84742" w:rsidRPr="00681C29" w:rsidRDefault="00A84742" w:rsidP="00A84742">
            <w:pPr>
              <w:rPr>
                <w:rFonts w:ascii="Arial Narrow" w:hAnsi="Arial Narrow"/>
                <w:lang w:eastAsia="zh-CN"/>
              </w:rPr>
            </w:pPr>
          </w:p>
        </w:tc>
        <w:tc>
          <w:tcPr>
            <w:tcW w:w="694" w:type="dxa"/>
            <w:tcBorders>
              <w:top w:val="single" w:sz="4" w:space="0" w:color="auto"/>
              <w:left w:val="single" w:sz="4" w:space="0" w:color="auto"/>
              <w:bottom w:val="single" w:sz="4" w:space="0" w:color="auto"/>
              <w:right w:val="single" w:sz="4" w:space="0" w:color="auto"/>
            </w:tcBorders>
            <w:noWrap/>
            <w:hideMark/>
          </w:tcPr>
          <w:p w14:paraId="53C142FA" w14:textId="77777777" w:rsidR="00A84742" w:rsidRPr="00681C29" w:rsidRDefault="00A84742" w:rsidP="00A84742">
            <w:pPr>
              <w:rPr>
                <w:rFonts w:ascii="Arial Narrow" w:hAnsi="Arial Narrow"/>
                <w:lang w:eastAsia="zh-CN"/>
              </w:rPr>
            </w:pPr>
            <w:r w:rsidRPr="00681C29">
              <w:rPr>
                <w:rFonts w:ascii="Arial Narrow" w:hAnsi="Arial Narrow"/>
              </w:rPr>
              <w:t>11.9</w:t>
            </w:r>
          </w:p>
        </w:tc>
        <w:tc>
          <w:tcPr>
            <w:tcW w:w="701" w:type="dxa"/>
            <w:tcBorders>
              <w:top w:val="single" w:sz="4" w:space="0" w:color="auto"/>
              <w:left w:val="single" w:sz="4" w:space="0" w:color="auto"/>
              <w:bottom w:val="single" w:sz="4" w:space="0" w:color="auto"/>
              <w:right w:val="single" w:sz="4" w:space="0" w:color="auto"/>
            </w:tcBorders>
            <w:noWrap/>
            <w:hideMark/>
          </w:tcPr>
          <w:p w14:paraId="53C142FB" w14:textId="77777777" w:rsidR="00A84742" w:rsidRPr="00681C29" w:rsidRDefault="00A84742" w:rsidP="00A84742">
            <w:pPr>
              <w:rPr>
                <w:rFonts w:ascii="Arial Narrow" w:hAnsi="Arial Narrow"/>
                <w:lang w:eastAsia="zh-CN"/>
              </w:rPr>
            </w:pPr>
            <w:r w:rsidRPr="00681C29">
              <w:rPr>
                <w:rFonts w:ascii="Arial Narrow" w:hAnsi="Arial Narrow"/>
              </w:rPr>
              <w:t>1.6</w:t>
            </w:r>
          </w:p>
        </w:tc>
        <w:tc>
          <w:tcPr>
            <w:tcW w:w="267" w:type="dxa"/>
            <w:tcBorders>
              <w:top w:val="nil"/>
              <w:left w:val="single" w:sz="4" w:space="0" w:color="auto"/>
              <w:bottom w:val="nil"/>
              <w:right w:val="single" w:sz="4" w:space="0" w:color="auto"/>
            </w:tcBorders>
            <w:noWrap/>
            <w:hideMark/>
          </w:tcPr>
          <w:p w14:paraId="53C142FC" w14:textId="77777777" w:rsidR="00A84742" w:rsidRPr="00681C29" w:rsidRDefault="00A84742" w:rsidP="00A84742">
            <w:pPr>
              <w:rPr>
                <w:rFonts w:ascii="Arial Narrow" w:hAnsi="Arial Narrow"/>
                <w:lang w:eastAsia="zh-CN"/>
              </w:rPr>
            </w:pPr>
          </w:p>
        </w:tc>
        <w:tc>
          <w:tcPr>
            <w:tcW w:w="1560" w:type="dxa"/>
            <w:tcBorders>
              <w:top w:val="single" w:sz="4" w:space="0" w:color="auto"/>
              <w:left w:val="single" w:sz="4" w:space="0" w:color="auto"/>
              <w:bottom w:val="single" w:sz="4" w:space="0" w:color="auto"/>
              <w:right w:val="single" w:sz="4" w:space="0" w:color="auto"/>
            </w:tcBorders>
            <w:noWrap/>
          </w:tcPr>
          <w:p w14:paraId="53C142FD" w14:textId="77777777" w:rsidR="00A84742" w:rsidRPr="00681C29" w:rsidRDefault="00A84742" w:rsidP="00A84742">
            <w:pPr>
              <w:rPr>
                <w:rFonts w:ascii="Arial Narrow" w:hAnsi="Arial Narrow"/>
                <w:lang w:eastAsia="zh-CN"/>
              </w:rPr>
            </w:pPr>
            <w:r w:rsidRPr="00681C29">
              <w:rPr>
                <w:rFonts w:ascii="Arial Narrow" w:hAnsi="Arial Narrow"/>
              </w:rPr>
              <w:t>Peak</w:t>
            </w:r>
          </w:p>
        </w:tc>
        <w:tc>
          <w:tcPr>
            <w:tcW w:w="708" w:type="dxa"/>
            <w:tcBorders>
              <w:top w:val="single" w:sz="4" w:space="0" w:color="auto"/>
              <w:left w:val="single" w:sz="4" w:space="0" w:color="auto"/>
              <w:bottom w:val="single" w:sz="4" w:space="0" w:color="auto"/>
              <w:right w:val="single" w:sz="4" w:space="0" w:color="auto"/>
            </w:tcBorders>
            <w:noWrap/>
          </w:tcPr>
          <w:p w14:paraId="53C142FE" w14:textId="77777777" w:rsidR="00A84742" w:rsidRPr="00681C29" w:rsidRDefault="00A84742" w:rsidP="00A84742">
            <w:pPr>
              <w:rPr>
                <w:rFonts w:ascii="Arial Narrow" w:hAnsi="Arial Narrow"/>
                <w:lang w:eastAsia="zh-CN"/>
              </w:rPr>
            </w:pPr>
            <w:r w:rsidRPr="00681C29">
              <w:rPr>
                <w:rFonts w:ascii="Arial Narrow" w:hAnsi="Arial Narrow"/>
              </w:rPr>
              <w:t>23</w:t>
            </w:r>
          </w:p>
        </w:tc>
        <w:tc>
          <w:tcPr>
            <w:tcW w:w="709" w:type="dxa"/>
            <w:tcBorders>
              <w:top w:val="single" w:sz="4" w:space="0" w:color="auto"/>
              <w:left w:val="single" w:sz="4" w:space="0" w:color="auto"/>
              <w:bottom w:val="single" w:sz="4" w:space="0" w:color="auto"/>
              <w:right w:val="single" w:sz="4" w:space="0" w:color="auto"/>
            </w:tcBorders>
            <w:noWrap/>
          </w:tcPr>
          <w:p w14:paraId="53C142FF" w14:textId="77777777" w:rsidR="00A84742" w:rsidRPr="00681C29" w:rsidRDefault="00A84742" w:rsidP="00A84742">
            <w:pPr>
              <w:rPr>
                <w:rFonts w:ascii="Arial Narrow" w:hAnsi="Arial Narrow"/>
                <w:lang w:eastAsia="zh-CN"/>
              </w:rPr>
            </w:pPr>
            <w:r w:rsidRPr="00681C29">
              <w:rPr>
                <w:rFonts w:ascii="Arial Narrow" w:hAnsi="Arial Narrow"/>
              </w:rPr>
              <w:t>6.3</w:t>
            </w:r>
          </w:p>
        </w:tc>
        <w:tc>
          <w:tcPr>
            <w:tcW w:w="709" w:type="dxa"/>
            <w:tcBorders>
              <w:top w:val="single" w:sz="4" w:space="0" w:color="auto"/>
              <w:left w:val="single" w:sz="4" w:space="0" w:color="auto"/>
              <w:bottom w:val="single" w:sz="4" w:space="0" w:color="auto"/>
              <w:right w:val="single" w:sz="4" w:space="0" w:color="auto"/>
            </w:tcBorders>
            <w:noWrap/>
          </w:tcPr>
          <w:p w14:paraId="53C14300" w14:textId="77777777" w:rsidR="00A84742" w:rsidRPr="00681C29" w:rsidRDefault="00A84742" w:rsidP="00A84742">
            <w:pPr>
              <w:rPr>
                <w:rFonts w:ascii="Arial Narrow" w:hAnsi="Arial Narrow"/>
                <w:lang w:eastAsia="zh-CN"/>
              </w:rPr>
            </w:pPr>
            <w:r w:rsidRPr="00681C29">
              <w:rPr>
                <w:rFonts w:ascii="Arial Narrow" w:hAnsi="Arial Narrow"/>
              </w:rPr>
              <w:t>19.1</w:t>
            </w:r>
          </w:p>
        </w:tc>
        <w:tc>
          <w:tcPr>
            <w:tcW w:w="709" w:type="dxa"/>
            <w:tcBorders>
              <w:top w:val="single" w:sz="4" w:space="0" w:color="auto"/>
              <w:left w:val="single" w:sz="4" w:space="0" w:color="auto"/>
              <w:bottom w:val="single" w:sz="4" w:space="0" w:color="auto"/>
              <w:right w:val="single" w:sz="4" w:space="0" w:color="auto"/>
            </w:tcBorders>
            <w:noWrap/>
          </w:tcPr>
          <w:p w14:paraId="53C14301" w14:textId="77777777" w:rsidR="00A84742" w:rsidRPr="00681C29" w:rsidRDefault="00A84742" w:rsidP="00A84742">
            <w:pPr>
              <w:rPr>
                <w:rFonts w:ascii="Arial Narrow" w:hAnsi="Arial Narrow"/>
                <w:lang w:eastAsia="zh-CN"/>
              </w:rPr>
            </w:pPr>
            <w:r w:rsidRPr="00681C29">
              <w:rPr>
                <w:rFonts w:ascii="Arial Narrow" w:hAnsi="Arial Narrow"/>
              </w:rPr>
              <w:t>2</w:t>
            </w:r>
          </w:p>
        </w:tc>
      </w:tr>
      <w:tr w:rsidR="00CE4E0F" w:rsidRPr="00681C29" w14:paraId="53C1430E" w14:textId="77777777" w:rsidTr="004F16D3">
        <w:trPr>
          <w:trHeight w:hRule="exact" w:val="255"/>
          <w:tblHeader/>
        </w:trPr>
        <w:tc>
          <w:tcPr>
            <w:tcW w:w="1486" w:type="dxa"/>
            <w:tcBorders>
              <w:top w:val="single" w:sz="4" w:space="0" w:color="auto"/>
              <w:left w:val="single" w:sz="4" w:space="0" w:color="auto"/>
              <w:bottom w:val="single" w:sz="4" w:space="0" w:color="auto"/>
              <w:right w:val="single" w:sz="4" w:space="0" w:color="auto"/>
            </w:tcBorders>
            <w:noWrap/>
            <w:hideMark/>
          </w:tcPr>
          <w:p w14:paraId="53C14303" w14:textId="77777777" w:rsidR="00A84742" w:rsidRPr="00681C29" w:rsidRDefault="00A84742" w:rsidP="00A84742">
            <w:pPr>
              <w:rPr>
                <w:rFonts w:ascii="Arial Narrow" w:hAnsi="Arial Narrow"/>
                <w:lang w:eastAsia="zh-CN"/>
              </w:rPr>
            </w:pPr>
            <w:r w:rsidRPr="00681C29">
              <w:rPr>
                <w:rFonts w:ascii="Arial Narrow" w:hAnsi="Arial Narrow"/>
              </w:rPr>
              <w:t>Havannah North</w:t>
            </w:r>
          </w:p>
        </w:tc>
        <w:tc>
          <w:tcPr>
            <w:tcW w:w="694" w:type="dxa"/>
            <w:tcBorders>
              <w:top w:val="single" w:sz="4" w:space="0" w:color="auto"/>
              <w:left w:val="single" w:sz="4" w:space="0" w:color="auto"/>
              <w:bottom w:val="single" w:sz="4" w:space="0" w:color="auto"/>
              <w:right w:val="single" w:sz="4" w:space="0" w:color="auto"/>
            </w:tcBorders>
            <w:noWrap/>
            <w:hideMark/>
          </w:tcPr>
          <w:p w14:paraId="53C14304" w14:textId="77777777" w:rsidR="00A84742" w:rsidRPr="00681C29" w:rsidRDefault="00A84742" w:rsidP="00A84742">
            <w:pPr>
              <w:rPr>
                <w:rFonts w:ascii="Arial Narrow" w:hAnsi="Arial Narrow"/>
                <w:lang w:eastAsia="zh-CN"/>
              </w:rPr>
            </w:pPr>
          </w:p>
        </w:tc>
        <w:tc>
          <w:tcPr>
            <w:tcW w:w="694" w:type="dxa"/>
            <w:tcBorders>
              <w:top w:val="single" w:sz="4" w:space="0" w:color="auto"/>
              <w:left w:val="single" w:sz="4" w:space="0" w:color="auto"/>
              <w:bottom w:val="single" w:sz="4" w:space="0" w:color="auto"/>
              <w:right w:val="single" w:sz="4" w:space="0" w:color="auto"/>
            </w:tcBorders>
            <w:noWrap/>
            <w:hideMark/>
          </w:tcPr>
          <w:p w14:paraId="53C14305" w14:textId="77777777" w:rsidR="00A84742" w:rsidRPr="00681C29" w:rsidRDefault="00A84742" w:rsidP="00A84742">
            <w:pPr>
              <w:rPr>
                <w:rFonts w:ascii="Arial Narrow" w:hAnsi="Arial Narrow"/>
                <w:lang w:eastAsia="zh-CN"/>
              </w:rPr>
            </w:pPr>
          </w:p>
        </w:tc>
        <w:tc>
          <w:tcPr>
            <w:tcW w:w="694" w:type="dxa"/>
            <w:tcBorders>
              <w:top w:val="single" w:sz="4" w:space="0" w:color="auto"/>
              <w:left w:val="single" w:sz="4" w:space="0" w:color="auto"/>
              <w:bottom w:val="single" w:sz="4" w:space="0" w:color="auto"/>
              <w:right w:val="single" w:sz="4" w:space="0" w:color="auto"/>
            </w:tcBorders>
            <w:noWrap/>
            <w:hideMark/>
          </w:tcPr>
          <w:p w14:paraId="53C14306" w14:textId="77777777" w:rsidR="00A84742" w:rsidRPr="00681C29" w:rsidRDefault="00A84742" w:rsidP="00A84742">
            <w:pPr>
              <w:rPr>
                <w:rFonts w:ascii="Arial Narrow" w:hAnsi="Arial Narrow"/>
                <w:lang w:eastAsia="zh-CN"/>
              </w:rPr>
            </w:pPr>
            <w:r w:rsidRPr="00681C29">
              <w:rPr>
                <w:rFonts w:ascii="Arial Narrow" w:hAnsi="Arial Narrow"/>
              </w:rPr>
              <w:t>21.7</w:t>
            </w:r>
          </w:p>
        </w:tc>
        <w:tc>
          <w:tcPr>
            <w:tcW w:w="701" w:type="dxa"/>
            <w:tcBorders>
              <w:top w:val="single" w:sz="4" w:space="0" w:color="auto"/>
              <w:left w:val="single" w:sz="4" w:space="0" w:color="auto"/>
              <w:bottom w:val="single" w:sz="4" w:space="0" w:color="auto"/>
              <w:right w:val="single" w:sz="4" w:space="0" w:color="auto"/>
            </w:tcBorders>
            <w:noWrap/>
            <w:hideMark/>
          </w:tcPr>
          <w:p w14:paraId="53C14307" w14:textId="77777777" w:rsidR="00A84742" w:rsidRPr="00681C29" w:rsidRDefault="00A84742" w:rsidP="00A84742">
            <w:pPr>
              <w:rPr>
                <w:rFonts w:ascii="Arial Narrow" w:hAnsi="Arial Narrow"/>
                <w:lang w:eastAsia="zh-CN"/>
              </w:rPr>
            </w:pPr>
            <w:r w:rsidRPr="00681C29">
              <w:rPr>
                <w:rFonts w:ascii="Arial Narrow" w:hAnsi="Arial Narrow"/>
              </w:rPr>
              <w:t>1.5</w:t>
            </w:r>
          </w:p>
        </w:tc>
        <w:tc>
          <w:tcPr>
            <w:tcW w:w="267" w:type="dxa"/>
            <w:tcBorders>
              <w:top w:val="nil"/>
              <w:left w:val="single" w:sz="4" w:space="0" w:color="auto"/>
              <w:bottom w:val="single" w:sz="4" w:space="0" w:color="auto"/>
              <w:right w:val="single" w:sz="4" w:space="0" w:color="auto"/>
            </w:tcBorders>
            <w:noWrap/>
            <w:hideMark/>
          </w:tcPr>
          <w:p w14:paraId="53C14308" w14:textId="77777777" w:rsidR="00A84742" w:rsidRPr="00681C29" w:rsidRDefault="00A84742" w:rsidP="00A84742">
            <w:pPr>
              <w:rPr>
                <w:rFonts w:ascii="Arial Narrow" w:hAnsi="Arial Narrow"/>
                <w:lang w:eastAsia="zh-CN"/>
              </w:rPr>
            </w:pPr>
          </w:p>
        </w:tc>
        <w:tc>
          <w:tcPr>
            <w:tcW w:w="1560" w:type="dxa"/>
            <w:tcBorders>
              <w:top w:val="single" w:sz="4" w:space="0" w:color="auto"/>
              <w:left w:val="single" w:sz="4" w:space="0" w:color="auto"/>
              <w:bottom w:val="single" w:sz="4" w:space="0" w:color="auto"/>
              <w:right w:val="single" w:sz="4" w:space="0" w:color="auto"/>
            </w:tcBorders>
            <w:noWrap/>
          </w:tcPr>
          <w:p w14:paraId="53C14309" w14:textId="77777777" w:rsidR="00A84742" w:rsidRPr="00681C29" w:rsidRDefault="00A84742" w:rsidP="00A84742">
            <w:pPr>
              <w:rPr>
                <w:rFonts w:ascii="Arial Narrow" w:hAnsi="Arial Narrow"/>
                <w:lang w:eastAsia="zh-CN"/>
              </w:rPr>
            </w:pPr>
            <w:r w:rsidRPr="00681C29">
              <w:rPr>
                <w:rFonts w:ascii="Arial Narrow" w:hAnsi="Arial Narrow"/>
              </w:rPr>
              <w:t>Pelican</w:t>
            </w:r>
          </w:p>
        </w:tc>
        <w:tc>
          <w:tcPr>
            <w:tcW w:w="708" w:type="dxa"/>
            <w:tcBorders>
              <w:top w:val="single" w:sz="4" w:space="0" w:color="auto"/>
              <w:left w:val="single" w:sz="4" w:space="0" w:color="auto"/>
              <w:bottom w:val="single" w:sz="4" w:space="0" w:color="auto"/>
              <w:right w:val="single" w:sz="4" w:space="0" w:color="auto"/>
            </w:tcBorders>
            <w:noWrap/>
          </w:tcPr>
          <w:p w14:paraId="53C1430A" w14:textId="77777777" w:rsidR="00A84742" w:rsidRPr="00681C29" w:rsidRDefault="00A84742" w:rsidP="00A84742">
            <w:pPr>
              <w:rPr>
                <w:rFonts w:ascii="Arial Narrow" w:hAnsi="Arial Narrow"/>
                <w:lang w:eastAsia="zh-CN"/>
              </w:rPr>
            </w:pPr>
            <w:r w:rsidRPr="00681C29">
              <w:rPr>
                <w:rFonts w:ascii="Arial Narrow" w:hAnsi="Arial Narrow"/>
              </w:rPr>
              <w:t>23</w:t>
            </w:r>
          </w:p>
        </w:tc>
        <w:tc>
          <w:tcPr>
            <w:tcW w:w="709" w:type="dxa"/>
            <w:tcBorders>
              <w:top w:val="single" w:sz="4" w:space="0" w:color="auto"/>
              <w:left w:val="single" w:sz="4" w:space="0" w:color="auto"/>
              <w:bottom w:val="single" w:sz="4" w:space="0" w:color="auto"/>
              <w:right w:val="single" w:sz="4" w:space="0" w:color="auto"/>
            </w:tcBorders>
            <w:noWrap/>
          </w:tcPr>
          <w:p w14:paraId="53C1430B" w14:textId="77777777" w:rsidR="00A84742" w:rsidRPr="00681C29" w:rsidRDefault="00A84742" w:rsidP="00A84742">
            <w:pPr>
              <w:rPr>
                <w:rFonts w:ascii="Arial Narrow" w:hAnsi="Arial Narrow"/>
                <w:lang w:eastAsia="zh-CN"/>
              </w:rPr>
            </w:pPr>
            <w:r w:rsidRPr="00681C29">
              <w:rPr>
                <w:rFonts w:ascii="Arial Narrow" w:hAnsi="Arial Narrow"/>
              </w:rPr>
              <w:t>6.4</w:t>
            </w:r>
          </w:p>
        </w:tc>
        <w:tc>
          <w:tcPr>
            <w:tcW w:w="709" w:type="dxa"/>
            <w:tcBorders>
              <w:top w:val="single" w:sz="4" w:space="0" w:color="auto"/>
              <w:left w:val="single" w:sz="4" w:space="0" w:color="auto"/>
              <w:bottom w:val="single" w:sz="4" w:space="0" w:color="auto"/>
              <w:right w:val="single" w:sz="4" w:space="0" w:color="auto"/>
            </w:tcBorders>
            <w:noWrap/>
          </w:tcPr>
          <w:p w14:paraId="53C1430C" w14:textId="77777777" w:rsidR="00A84742" w:rsidRPr="00681C29" w:rsidRDefault="00A84742" w:rsidP="00A84742">
            <w:pPr>
              <w:rPr>
                <w:rFonts w:ascii="Arial Narrow" w:hAnsi="Arial Narrow"/>
                <w:lang w:eastAsia="zh-CN"/>
              </w:rPr>
            </w:pPr>
            <w:r w:rsidRPr="00681C29">
              <w:rPr>
                <w:rFonts w:ascii="Arial Narrow" w:hAnsi="Arial Narrow"/>
              </w:rPr>
              <w:t>18.8</w:t>
            </w:r>
          </w:p>
        </w:tc>
        <w:tc>
          <w:tcPr>
            <w:tcW w:w="709" w:type="dxa"/>
            <w:tcBorders>
              <w:top w:val="single" w:sz="4" w:space="0" w:color="auto"/>
              <w:left w:val="single" w:sz="4" w:space="0" w:color="auto"/>
              <w:bottom w:val="single" w:sz="4" w:space="0" w:color="auto"/>
              <w:right w:val="single" w:sz="4" w:space="0" w:color="auto"/>
            </w:tcBorders>
            <w:noWrap/>
          </w:tcPr>
          <w:p w14:paraId="53C1430D" w14:textId="77777777" w:rsidR="00A84742" w:rsidRPr="00681C29" w:rsidRDefault="00A84742" w:rsidP="00A84742">
            <w:pPr>
              <w:rPr>
                <w:rFonts w:ascii="Arial Narrow" w:hAnsi="Arial Narrow"/>
                <w:lang w:eastAsia="zh-CN"/>
              </w:rPr>
            </w:pPr>
            <w:r w:rsidRPr="00681C29">
              <w:rPr>
                <w:rFonts w:ascii="Arial Narrow" w:hAnsi="Arial Narrow"/>
              </w:rPr>
              <w:t>2</w:t>
            </w:r>
          </w:p>
        </w:tc>
      </w:tr>
      <w:tr w:rsidR="00CE4E0F" w:rsidRPr="00681C29" w14:paraId="53C1431A" w14:textId="77777777" w:rsidTr="004F16D3">
        <w:trPr>
          <w:trHeight w:hRule="exact" w:val="255"/>
          <w:tblHeader/>
        </w:trPr>
        <w:tc>
          <w:tcPr>
            <w:tcW w:w="1486" w:type="dxa"/>
            <w:tcBorders>
              <w:top w:val="single" w:sz="4" w:space="0" w:color="auto"/>
              <w:left w:val="single" w:sz="4" w:space="0" w:color="auto"/>
              <w:bottom w:val="single" w:sz="4" w:space="0" w:color="auto"/>
              <w:right w:val="single" w:sz="4" w:space="0" w:color="auto"/>
            </w:tcBorders>
            <w:noWrap/>
            <w:hideMark/>
          </w:tcPr>
          <w:p w14:paraId="53C1430F" w14:textId="77777777" w:rsidR="00A84742" w:rsidRPr="00681C29" w:rsidRDefault="00A84742" w:rsidP="00A84742">
            <w:pPr>
              <w:rPr>
                <w:rFonts w:ascii="Arial Narrow" w:hAnsi="Arial Narrow"/>
                <w:lang w:eastAsia="zh-CN"/>
              </w:rPr>
            </w:pPr>
            <w:r w:rsidRPr="00681C29">
              <w:rPr>
                <w:rFonts w:ascii="Arial Narrow" w:hAnsi="Arial Narrow"/>
              </w:rPr>
              <w:t>Havannah</w:t>
            </w:r>
          </w:p>
        </w:tc>
        <w:tc>
          <w:tcPr>
            <w:tcW w:w="694" w:type="dxa"/>
            <w:tcBorders>
              <w:top w:val="single" w:sz="4" w:space="0" w:color="auto"/>
              <w:left w:val="single" w:sz="4" w:space="0" w:color="auto"/>
              <w:bottom w:val="single" w:sz="4" w:space="0" w:color="auto"/>
              <w:right w:val="single" w:sz="4" w:space="0" w:color="auto"/>
            </w:tcBorders>
            <w:noWrap/>
            <w:hideMark/>
          </w:tcPr>
          <w:p w14:paraId="53C14310" w14:textId="77777777" w:rsidR="00A84742" w:rsidRPr="00681C29" w:rsidRDefault="00A84742" w:rsidP="00A84742">
            <w:pPr>
              <w:rPr>
                <w:rFonts w:ascii="Arial Narrow" w:hAnsi="Arial Narrow"/>
                <w:lang w:eastAsia="zh-CN"/>
              </w:rPr>
            </w:pPr>
            <w:r w:rsidRPr="00681C29">
              <w:rPr>
                <w:rFonts w:ascii="Arial Narrow" w:hAnsi="Arial Narrow"/>
              </w:rPr>
              <w:t>18.2</w:t>
            </w:r>
          </w:p>
        </w:tc>
        <w:tc>
          <w:tcPr>
            <w:tcW w:w="694" w:type="dxa"/>
            <w:tcBorders>
              <w:top w:val="single" w:sz="4" w:space="0" w:color="auto"/>
              <w:left w:val="single" w:sz="4" w:space="0" w:color="auto"/>
              <w:bottom w:val="single" w:sz="4" w:space="0" w:color="auto"/>
              <w:right w:val="single" w:sz="4" w:space="0" w:color="auto"/>
            </w:tcBorders>
            <w:noWrap/>
            <w:hideMark/>
          </w:tcPr>
          <w:p w14:paraId="53C14311" w14:textId="77777777" w:rsidR="00A84742" w:rsidRPr="00681C29" w:rsidRDefault="00A84742" w:rsidP="00A84742">
            <w:pPr>
              <w:rPr>
                <w:rFonts w:ascii="Arial Narrow" w:hAnsi="Arial Narrow"/>
                <w:lang w:eastAsia="zh-CN"/>
              </w:rPr>
            </w:pPr>
            <w:r w:rsidRPr="00681C29">
              <w:rPr>
                <w:rFonts w:ascii="Arial Narrow" w:hAnsi="Arial Narrow"/>
              </w:rPr>
              <w:t>3.4</w:t>
            </w:r>
          </w:p>
        </w:tc>
        <w:tc>
          <w:tcPr>
            <w:tcW w:w="694" w:type="dxa"/>
            <w:tcBorders>
              <w:top w:val="single" w:sz="4" w:space="0" w:color="auto"/>
              <w:left w:val="single" w:sz="4" w:space="0" w:color="auto"/>
              <w:bottom w:val="single" w:sz="4" w:space="0" w:color="auto"/>
              <w:right w:val="single" w:sz="4" w:space="0" w:color="auto"/>
            </w:tcBorders>
            <w:noWrap/>
            <w:hideMark/>
          </w:tcPr>
          <w:p w14:paraId="53C14312" w14:textId="77777777" w:rsidR="00A84742" w:rsidRPr="00681C29" w:rsidRDefault="00A84742" w:rsidP="00A84742">
            <w:pPr>
              <w:rPr>
                <w:rFonts w:ascii="Arial Narrow" w:hAnsi="Arial Narrow"/>
                <w:lang w:eastAsia="zh-CN"/>
              </w:rPr>
            </w:pPr>
            <w:r w:rsidRPr="00681C29">
              <w:rPr>
                <w:rFonts w:ascii="Arial Narrow" w:hAnsi="Arial Narrow"/>
              </w:rPr>
              <w:t>25</w:t>
            </w:r>
          </w:p>
        </w:tc>
        <w:tc>
          <w:tcPr>
            <w:tcW w:w="701" w:type="dxa"/>
            <w:tcBorders>
              <w:top w:val="single" w:sz="4" w:space="0" w:color="auto"/>
              <w:left w:val="single" w:sz="4" w:space="0" w:color="auto"/>
              <w:bottom w:val="single" w:sz="4" w:space="0" w:color="auto"/>
              <w:right w:val="single" w:sz="4" w:space="0" w:color="auto"/>
            </w:tcBorders>
            <w:noWrap/>
            <w:hideMark/>
          </w:tcPr>
          <w:p w14:paraId="53C14313" w14:textId="77777777" w:rsidR="00A84742" w:rsidRPr="00681C29" w:rsidRDefault="00A84742" w:rsidP="00A84742">
            <w:pPr>
              <w:rPr>
                <w:rFonts w:ascii="Arial Narrow" w:hAnsi="Arial Narrow"/>
                <w:lang w:eastAsia="zh-CN"/>
              </w:rPr>
            </w:pPr>
            <w:r w:rsidRPr="00681C29">
              <w:rPr>
                <w:rFonts w:ascii="Arial Narrow" w:hAnsi="Arial Narrow"/>
              </w:rPr>
              <w:t>1.6</w:t>
            </w:r>
          </w:p>
        </w:tc>
        <w:tc>
          <w:tcPr>
            <w:tcW w:w="267" w:type="dxa"/>
            <w:tcBorders>
              <w:top w:val="single" w:sz="4" w:space="0" w:color="auto"/>
              <w:left w:val="single" w:sz="4" w:space="0" w:color="auto"/>
              <w:bottom w:val="nil"/>
              <w:right w:val="single" w:sz="4" w:space="0" w:color="auto"/>
            </w:tcBorders>
            <w:noWrap/>
            <w:hideMark/>
          </w:tcPr>
          <w:p w14:paraId="53C14314" w14:textId="77777777" w:rsidR="00A84742" w:rsidRPr="00681C29" w:rsidRDefault="00A84742" w:rsidP="00A84742">
            <w:pPr>
              <w:rPr>
                <w:rFonts w:ascii="Arial Narrow" w:hAnsi="Arial Narrow"/>
                <w:lang w:eastAsia="zh-CN"/>
              </w:rPr>
            </w:pPr>
          </w:p>
        </w:tc>
        <w:tc>
          <w:tcPr>
            <w:tcW w:w="1560" w:type="dxa"/>
            <w:tcBorders>
              <w:top w:val="single" w:sz="4" w:space="0" w:color="auto"/>
              <w:left w:val="single" w:sz="4" w:space="0" w:color="auto"/>
              <w:bottom w:val="single" w:sz="4" w:space="0" w:color="auto"/>
              <w:right w:val="single" w:sz="4" w:space="0" w:color="auto"/>
            </w:tcBorders>
            <w:noWrap/>
          </w:tcPr>
          <w:p w14:paraId="53C14315" w14:textId="77777777" w:rsidR="00A84742" w:rsidRPr="00681C29" w:rsidRDefault="00A84742" w:rsidP="00A84742">
            <w:pPr>
              <w:rPr>
                <w:rFonts w:ascii="Arial Narrow" w:hAnsi="Arial Narrow"/>
                <w:lang w:eastAsia="zh-CN"/>
              </w:rPr>
            </w:pPr>
            <w:r w:rsidRPr="00681C29">
              <w:rPr>
                <w:rFonts w:ascii="Arial Narrow" w:hAnsi="Arial Narrow"/>
              </w:rPr>
              <w:t>Pine</w:t>
            </w:r>
          </w:p>
        </w:tc>
        <w:tc>
          <w:tcPr>
            <w:tcW w:w="708" w:type="dxa"/>
            <w:tcBorders>
              <w:top w:val="single" w:sz="4" w:space="0" w:color="auto"/>
              <w:left w:val="single" w:sz="4" w:space="0" w:color="auto"/>
              <w:bottom w:val="single" w:sz="4" w:space="0" w:color="auto"/>
              <w:right w:val="single" w:sz="4" w:space="0" w:color="auto"/>
            </w:tcBorders>
            <w:noWrap/>
          </w:tcPr>
          <w:p w14:paraId="53C14316" w14:textId="77777777" w:rsidR="00A84742" w:rsidRPr="00681C29" w:rsidRDefault="00A84742" w:rsidP="00A84742">
            <w:pPr>
              <w:rPr>
                <w:rFonts w:ascii="Arial Narrow" w:hAnsi="Arial Narrow"/>
                <w:lang w:eastAsia="zh-CN"/>
              </w:rPr>
            </w:pPr>
            <w:r w:rsidRPr="00681C29">
              <w:rPr>
                <w:rFonts w:ascii="Arial Narrow" w:hAnsi="Arial Narrow"/>
              </w:rPr>
              <w:t>18.3</w:t>
            </w:r>
          </w:p>
        </w:tc>
        <w:tc>
          <w:tcPr>
            <w:tcW w:w="709" w:type="dxa"/>
            <w:tcBorders>
              <w:top w:val="single" w:sz="4" w:space="0" w:color="auto"/>
              <w:left w:val="single" w:sz="4" w:space="0" w:color="auto"/>
              <w:bottom w:val="single" w:sz="4" w:space="0" w:color="auto"/>
              <w:right w:val="single" w:sz="4" w:space="0" w:color="auto"/>
            </w:tcBorders>
            <w:noWrap/>
          </w:tcPr>
          <w:p w14:paraId="53C14317" w14:textId="77777777" w:rsidR="00A84742" w:rsidRPr="00681C29" w:rsidRDefault="00A84742" w:rsidP="00A84742">
            <w:pPr>
              <w:rPr>
                <w:rFonts w:ascii="Arial Narrow" w:hAnsi="Arial Narrow"/>
                <w:lang w:eastAsia="zh-CN"/>
              </w:rPr>
            </w:pPr>
            <w:r w:rsidRPr="00681C29">
              <w:rPr>
                <w:rFonts w:ascii="Arial Narrow" w:hAnsi="Arial Narrow"/>
              </w:rPr>
              <w:t>4.4</w:t>
            </w:r>
          </w:p>
        </w:tc>
        <w:tc>
          <w:tcPr>
            <w:tcW w:w="709" w:type="dxa"/>
            <w:tcBorders>
              <w:top w:val="single" w:sz="4" w:space="0" w:color="auto"/>
              <w:left w:val="single" w:sz="4" w:space="0" w:color="auto"/>
              <w:bottom w:val="single" w:sz="4" w:space="0" w:color="auto"/>
              <w:right w:val="single" w:sz="4" w:space="0" w:color="auto"/>
            </w:tcBorders>
            <w:noWrap/>
          </w:tcPr>
          <w:p w14:paraId="53C14318" w14:textId="77777777" w:rsidR="00A84742" w:rsidRPr="00681C29" w:rsidRDefault="00A84742" w:rsidP="00A84742">
            <w:pPr>
              <w:rPr>
                <w:rFonts w:ascii="Arial Narrow" w:hAnsi="Arial Narrow"/>
                <w:lang w:eastAsia="zh-CN"/>
              </w:rPr>
            </w:pPr>
            <w:r w:rsidRPr="00681C29">
              <w:rPr>
                <w:rFonts w:ascii="Arial Narrow" w:hAnsi="Arial Narrow"/>
              </w:rPr>
              <w:t>11.2</w:t>
            </w:r>
          </w:p>
        </w:tc>
        <w:tc>
          <w:tcPr>
            <w:tcW w:w="709" w:type="dxa"/>
            <w:tcBorders>
              <w:top w:val="single" w:sz="4" w:space="0" w:color="auto"/>
              <w:left w:val="single" w:sz="4" w:space="0" w:color="auto"/>
              <w:bottom w:val="single" w:sz="4" w:space="0" w:color="auto"/>
              <w:right w:val="single" w:sz="4" w:space="0" w:color="auto"/>
            </w:tcBorders>
            <w:noWrap/>
          </w:tcPr>
          <w:p w14:paraId="53C14319" w14:textId="77777777" w:rsidR="00A84742" w:rsidRPr="00681C29" w:rsidRDefault="00A84742" w:rsidP="00A84742">
            <w:pPr>
              <w:rPr>
                <w:rFonts w:ascii="Arial Narrow" w:hAnsi="Arial Narrow"/>
                <w:lang w:eastAsia="zh-CN"/>
              </w:rPr>
            </w:pPr>
            <w:r w:rsidRPr="00681C29">
              <w:rPr>
                <w:rFonts w:ascii="Arial Narrow" w:hAnsi="Arial Narrow"/>
              </w:rPr>
              <w:t>1.6</w:t>
            </w:r>
          </w:p>
        </w:tc>
      </w:tr>
      <w:tr w:rsidR="00CE4E0F" w:rsidRPr="00681C29" w14:paraId="53C14326" w14:textId="77777777" w:rsidTr="004F16D3">
        <w:trPr>
          <w:trHeight w:hRule="exact" w:val="255"/>
          <w:tblHeader/>
        </w:trPr>
        <w:tc>
          <w:tcPr>
            <w:tcW w:w="1486" w:type="dxa"/>
            <w:tcBorders>
              <w:top w:val="single" w:sz="4" w:space="0" w:color="auto"/>
              <w:left w:val="single" w:sz="4" w:space="0" w:color="auto"/>
              <w:bottom w:val="single" w:sz="4" w:space="0" w:color="auto"/>
              <w:right w:val="single" w:sz="4" w:space="0" w:color="auto"/>
            </w:tcBorders>
            <w:noWrap/>
            <w:hideMark/>
          </w:tcPr>
          <w:p w14:paraId="53C1431B" w14:textId="77777777" w:rsidR="00A84742" w:rsidRPr="00681C29" w:rsidRDefault="00A84742" w:rsidP="00A84742">
            <w:pPr>
              <w:rPr>
                <w:rFonts w:ascii="Arial Narrow" w:hAnsi="Arial Narrow"/>
                <w:lang w:eastAsia="zh-CN"/>
              </w:rPr>
            </w:pPr>
            <w:r w:rsidRPr="00681C29">
              <w:rPr>
                <w:rFonts w:ascii="Arial Narrow" w:hAnsi="Arial Narrow"/>
              </w:rPr>
              <w:t>Hayman</w:t>
            </w:r>
          </w:p>
        </w:tc>
        <w:tc>
          <w:tcPr>
            <w:tcW w:w="694" w:type="dxa"/>
            <w:tcBorders>
              <w:top w:val="single" w:sz="4" w:space="0" w:color="auto"/>
              <w:left w:val="single" w:sz="4" w:space="0" w:color="auto"/>
              <w:bottom w:val="single" w:sz="4" w:space="0" w:color="auto"/>
              <w:right w:val="single" w:sz="4" w:space="0" w:color="auto"/>
            </w:tcBorders>
            <w:noWrap/>
            <w:hideMark/>
          </w:tcPr>
          <w:p w14:paraId="53C1431C" w14:textId="77777777" w:rsidR="00A84742" w:rsidRPr="00681C29" w:rsidRDefault="00A84742" w:rsidP="00A84742">
            <w:pPr>
              <w:rPr>
                <w:rFonts w:ascii="Arial Narrow" w:hAnsi="Arial Narrow"/>
                <w:lang w:eastAsia="zh-CN"/>
              </w:rPr>
            </w:pPr>
          </w:p>
        </w:tc>
        <w:tc>
          <w:tcPr>
            <w:tcW w:w="694" w:type="dxa"/>
            <w:tcBorders>
              <w:top w:val="single" w:sz="4" w:space="0" w:color="auto"/>
              <w:left w:val="single" w:sz="4" w:space="0" w:color="auto"/>
              <w:bottom w:val="single" w:sz="4" w:space="0" w:color="auto"/>
              <w:right w:val="single" w:sz="4" w:space="0" w:color="auto"/>
            </w:tcBorders>
            <w:noWrap/>
            <w:hideMark/>
          </w:tcPr>
          <w:p w14:paraId="53C1431D" w14:textId="77777777" w:rsidR="00A84742" w:rsidRPr="00681C29" w:rsidRDefault="00A84742" w:rsidP="00A84742">
            <w:pPr>
              <w:rPr>
                <w:rFonts w:ascii="Arial Narrow" w:hAnsi="Arial Narrow"/>
                <w:lang w:eastAsia="zh-CN"/>
              </w:rPr>
            </w:pPr>
          </w:p>
        </w:tc>
        <w:tc>
          <w:tcPr>
            <w:tcW w:w="694" w:type="dxa"/>
            <w:tcBorders>
              <w:top w:val="single" w:sz="4" w:space="0" w:color="auto"/>
              <w:left w:val="single" w:sz="4" w:space="0" w:color="auto"/>
              <w:bottom w:val="single" w:sz="4" w:space="0" w:color="auto"/>
              <w:right w:val="single" w:sz="4" w:space="0" w:color="auto"/>
            </w:tcBorders>
            <w:noWrap/>
            <w:hideMark/>
          </w:tcPr>
          <w:p w14:paraId="53C1431E" w14:textId="77777777" w:rsidR="00A84742" w:rsidRPr="00681C29" w:rsidRDefault="00A84742" w:rsidP="00A84742">
            <w:pPr>
              <w:rPr>
                <w:rFonts w:ascii="Arial Narrow" w:hAnsi="Arial Narrow"/>
                <w:lang w:eastAsia="zh-CN"/>
              </w:rPr>
            </w:pPr>
            <w:r w:rsidRPr="00681C29">
              <w:rPr>
                <w:rFonts w:ascii="Arial Narrow" w:hAnsi="Arial Narrow"/>
              </w:rPr>
              <w:t>9.4</w:t>
            </w:r>
          </w:p>
        </w:tc>
        <w:tc>
          <w:tcPr>
            <w:tcW w:w="701" w:type="dxa"/>
            <w:tcBorders>
              <w:top w:val="single" w:sz="4" w:space="0" w:color="auto"/>
              <w:left w:val="single" w:sz="4" w:space="0" w:color="auto"/>
              <w:bottom w:val="single" w:sz="4" w:space="0" w:color="auto"/>
              <w:right w:val="single" w:sz="4" w:space="0" w:color="auto"/>
            </w:tcBorders>
            <w:noWrap/>
            <w:hideMark/>
          </w:tcPr>
          <w:p w14:paraId="53C1431F" w14:textId="77777777" w:rsidR="00A84742" w:rsidRPr="00681C29" w:rsidRDefault="00A84742" w:rsidP="00A84742">
            <w:pPr>
              <w:rPr>
                <w:rFonts w:ascii="Arial Narrow" w:hAnsi="Arial Narrow"/>
                <w:lang w:eastAsia="zh-CN"/>
              </w:rPr>
            </w:pPr>
            <w:r w:rsidRPr="00681C29">
              <w:rPr>
                <w:rFonts w:ascii="Arial Narrow" w:hAnsi="Arial Narrow"/>
              </w:rPr>
              <w:t>1.4</w:t>
            </w:r>
          </w:p>
        </w:tc>
        <w:tc>
          <w:tcPr>
            <w:tcW w:w="267" w:type="dxa"/>
            <w:tcBorders>
              <w:top w:val="nil"/>
              <w:left w:val="single" w:sz="4" w:space="0" w:color="auto"/>
              <w:bottom w:val="nil"/>
              <w:right w:val="single" w:sz="4" w:space="0" w:color="auto"/>
            </w:tcBorders>
            <w:noWrap/>
            <w:hideMark/>
          </w:tcPr>
          <w:p w14:paraId="53C14320" w14:textId="77777777" w:rsidR="00A84742" w:rsidRPr="00681C29" w:rsidRDefault="00A84742" w:rsidP="00A84742">
            <w:pPr>
              <w:rPr>
                <w:rFonts w:ascii="Arial Narrow" w:hAnsi="Arial Narrow"/>
                <w:lang w:eastAsia="zh-CN"/>
              </w:rPr>
            </w:pPr>
          </w:p>
        </w:tc>
        <w:tc>
          <w:tcPr>
            <w:tcW w:w="1560" w:type="dxa"/>
            <w:tcBorders>
              <w:top w:val="single" w:sz="4" w:space="0" w:color="auto"/>
              <w:left w:val="single" w:sz="4" w:space="0" w:color="auto"/>
              <w:bottom w:val="single" w:sz="4" w:space="0" w:color="auto"/>
              <w:right w:val="single" w:sz="4" w:space="0" w:color="auto"/>
            </w:tcBorders>
            <w:noWrap/>
          </w:tcPr>
          <w:p w14:paraId="53C14321" w14:textId="77777777" w:rsidR="00A84742" w:rsidRPr="00681C29" w:rsidRDefault="00A84742" w:rsidP="00A84742">
            <w:pPr>
              <w:rPr>
                <w:rFonts w:ascii="Arial Narrow" w:hAnsi="Arial Narrow"/>
                <w:lang w:eastAsia="zh-CN"/>
              </w:rPr>
            </w:pPr>
            <w:r w:rsidRPr="00681C29">
              <w:rPr>
                <w:rFonts w:ascii="Arial Narrow" w:hAnsi="Arial Narrow"/>
              </w:rPr>
              <w:t>Seaforth</w:t>
            </w:r>
          </w:p>
        </w:tc>
        <w:tc>
          <w:tcPr>
            <w:tcW w:w="708" w:type="dxa"/>
            <w:tcBorders>
              <w:top w:val="single" w:sz="4" w:space="0" w:color="auto"/>
              <w:left w:val="single" w:sz="4" w:space="0" w:color="auto"/>
              <w:bottom w:val="single" w:sz="4" w:space="0" w:color="auto"/>
              <w:right w:val="single" w:sz="4" w:space="0" w:color="auto"/>
            </w:tcBorders>
            <w:noWrap/>
          </w:tcPr>
          <w:p w14:paraId="53C14322" w14:textId="77777777" w:rsidR="00A84742" w:rsidRPr="00681C29" w:rsidRDefault="00A84742" w:rsidP="00A84742">
            <w:pPr>
              <w:rPr>
                <w:rFonts w:ascii="Arial Narrow" w:hAnsi="Arial Narrow"/>
                <w:lang w:eastAsia="zh-CN"/>
              </w:rPr>
            </w:pPr>
            <w:r w:rsidRPr="00681C29">
              <w:rPr>
                <w:rFonts w:ascii="Arial Narrow" w:hAnsi="Arial Narrow"/>
              </w:rPr>
              <w:t>11.8</w:t>
            </w:r>
          </w:p>
        </w:tc>
        <w:tc>
          <w:tcPr>
            <w:tcW w:w="709" w:type="dxa"/>
            <w:tcBorders>
              <w:top w:val="single" w:sz="4" w:space="0" w:color="auto"/>
              <w:left w:val="single" w:sz="4" w:space="0" w:color="auto"/>
              <w:bottom w:val="single" w:sz="4" w:space="0" w:color="auto"/>
              <w:right w:val="single" w:sz="4" w:space="0" w:color="auto"/>
            </w:tcBorders>
            <w:noWrap/>
          </w:tcPr>
          <w:p w14:paraId="53C14323" w14:textId="77777777" w:rsidR="00A84742" w:rsidRPr="00681C29" w:rsidRDefault="00A84742" w:rsidP="00A84742">
            <w:pPr>
              <w:rPr>
                <w:rFonts w:ascii="Arial Narrow" w:hAnsi="Arial Narrow"/>
                <w:lang w:eastAsia="zh-CN"/>
              </w:rPr>
            </w:pPr>
            <w:r w:rsidRPr="00681C29">
              <w:rPr>
                <w:rFonts w:ascii="Arial Narrow" w:hAnsi="Arial Narrow"/>
              </w:rPr>
              <w:t>3.4</w:t>
            </w:r>
          </w:p>
        </w:tc>
        <w:tc>
          <w:tcPr>
            <w:tcW w:w="709" w:type="dxa"/>
            <w:tcBorders>
              <w:top w:val="single" w:sz="4" w:space="0" w:color="auto"/>
              <w:left w:val="single" w:sz="4" w:space="0" w:color="auto"/>
              <w:bottom w:val="single" w:sz="4" w:space="0" w:color="auto"/>
              <w:right w:val="single" w:sz="4" w:space="0" w:color="auto"/>
            </w:tcBorders>
            <w:noWrap/>
          </w:tcPr>
          <w:p w14:paraId="53C14324" w14:textId="77777777" w:rsidR="00A84742" w:rsidRPr="00681C29" w:rsidRDefault="00A84742" w:rsidP="00A84742">
            <w:pPr>
              <w:rPr>
                <w:rFonts w:ascii="Arial Narrow" w:hAnsi="Arial Narrow"/>
                <w:lang w:eastAsia="zh-CN"/>
              </w:rPr>
            </w:pPr>
            <w:r w:rsidRPr="00681C29">
              <w:rPr>
                <w:rFonts w:ascii="Arial Narrow" w:hAnsi="Arial Narrow"/>
              </w:rPr>
              <w:t>10.2</w:t>
            </w:r>
          </w:p>
        </w:tc>
        <w:tc>
          <w:tcPr>
            <w:tcW w:w="709" w:type="dxa"/>
            <w:tcBorders>
              <w:top w:val="single" w:sz="4" w:space="0" w:color="auto"/>
              <w:left w:val="single" w:sz="4" w:space="0" w:color="auto"/>
              <w:bottom w:val="single" w:sz="4" w:space="0" w:color="auto"/>
              <w:right w:val="single" w:sz="4" w:space="0" w:color="auto"/>
            </w:tcBorders>
            <w:noWrap/>
          </w:tcPr>
          <w:p w14:paraId="53C14325" w14:textId="77777777" w:rsidR="00A84742" w:rsidRPr="00681C29" w:rsidRDefault="00A84742" w:rsidP="00A84742">
            <w:pPr>
              <w:rPr>
                <w:rFonts w:ascii="Arial Narrow" w:hAnsi="Arial Narrow"/>
                <w:lang w:eastAsia="zh-CN"/>
              </w:rPr>
            </w:pPr>
            <w:r w:rsidRPr="00681C29">
              <w:rPr>
                <w:rFonts w:ascii="Arial Narrow" w:hAnsi="Arial Narrow"/>
              </w:rPr>
              <w:t>1.4</w:t>
            </w:r>
          </w:p>
        </w:tc>
      </w:tr>
      <w:tr w:rsidR="00CE4E0F" w:rsidRPr="00681C29" w14:paraId="53C14332" w14:textId="77777777" w:rsidTr="004F16D3">
        <w:trPr>
          <w:trHeight w:hRule="exact" w:val="255"/>
          <w:tblHeader/>
        </w:trPr>
        <w:tc>
          <w:tcPr>
            <w:tcW w:w="1486" w:type="dxa"/>
            <w:tcBorders>
              <w:top w:val="single" w:sz="4" w:space="0" w:color="auto"/>
              <w:left w:val="single" w:sz="4" w:space="0" w:color="auto"/>
              <w:bottom w:val="single" w:sz="4" w:space="0" w:color="auto"/>
              <w:right w:val="single" w:sz="4" w:space="0" w:color="auto"/>
            </w:tcBorders>
            <w:noWrap/>
            <w:hideMark/>
          </w:tcPr>
          <w:p w14:paraId="53C14327" w14:textId="77777777" w:rsidR="00A84742" w:rsidRPr="00681C29" w:rsidRDefault="00A84742" w:rsidP="00A84742">
            <w:pPr>
              <w:rPr>
                <w:rFonts w:ascii="Arial Narrow" w:hAnsi="Arial Narrow"/>
                <w:lang w:eastAsia="zh-CN"/>
              </w:rPr>
            </w:pPr>
            <w:r w:rsidRPr="00681C29">
              <w:rPr>
                <w:rFonts w:ascii="Arial Narrow" w:hAnsi="Arial Narrow"/>
              </w:rPr>
              <w:t>High East</w:t>
            </w:r>
          </w:p>
        </w:tc>
        <w:tc>
          <w:tcPr>
            <w:tcW w:w="694" w:type="dxa"/>
            <w:tcBorders>
              <w:top w:val="single" w:sz="4" w:space="0" w:color="auto"/>
              <w:left w:val="single" w:sz="4" w:space="0" w:color="auto"/>
              <w:bottom w:val="single" w:sz="4" w:space="0" w:color="auto"/>
              <w:right w:val="single" w:sz="4" w:space="0" w:color="auto"/>
            </w:tcBorders>
            <w:noWrap/>
            <w:hideMark/>
          </w:tcPr>
          <w:p w14:paraId="53C14328" w14:textId="77777777" w:rsidR="00A84742" w:rsidRPr="00681C29" w:rsidRDefault="00A84742" w:rsidP="00A84742">
            <w:pPr>
              <w:rPr>
                <w:rFonts w:ascii="Arial Narrow" w:hAnsi="Arial Narrow"/>
                <w:lang w:eastAsia="zh-CN"/>
              </w:rPr>
            </w:pPr>
            <w:r w:rsidRPr="00681C29">
              <w:rPr>
                <w:rFonts w:ascii="Arial Narrow" w:hAnsi="Arial Narrow"/>
              </w:rPr>
              <w:t>11.2</w:t>
            </w:r>
          </w:p>
        </w:tc>
        <w:tc>
          <w:tcPr>
            <w:tcW w:w="694" w:type="dxa"/>
            <w:tcBorders>
              <w:top w:val="single" w:sz="4" w:space="0" w:color="auto"/>
              <w:left w:val="single" w:sz="4" w:space="0" w:color="auto"/>
              <w:bottom w:val="single" w:sz="4" w:space="0" w:color="auto"/>
              <w:right w:val="single" w:sz="4" w:space="0" w:color="auto"/>
            </w:tcBorders>
            <w:noWrap/>
            <w:hideMark/>
          </w:tcPr>
          <w:p w14:paraId="53C14329" w14:textId="77777777" w:rsidR="00A84742" w:rsidRPr="00681C29" w:rsidRDefault="00A84742" w:rsidP="00A84742">
            <w:pPr>
              <w:rPr>
                <w:rFonts w:ascii="Arial Narrow" w:hAnsi="Arial Narrow"/>
                <w:lang w:eastAsia="zh-CN"/>
              </w:rPr>
            </w:pPr>
            <w:r w:rsidRPr="00681C29">
              <w:rPr>
                <w:rFonts w:ascii="Arial Narrow" w:hAnsi="Arial Narrow"/>
              </w:rPr>
              <w:t>3.4</w:t>
            </w:r>
          </w:p>
        </w:tc>
        <w:tc>
          <w:tcPr>
            <w:tcW w:w="694" w:type="dxa"/>
            <w:tcBorders>
              <w:top w:val="single" w:sz="4" w:space="0" w:color="auto"/>
              <w:left w:val="single" w:sz="4" w:space="0" w:color="auto"/>
              <w:bottom w:val="single" w:sz="4" w:space="0" w:color="auto"/>
              <w:right w:val="single" w:sz="4" w:space="0" w:color="auto"/>
            </w:tcBorders>
            <w:noWrap/>
            <w:hideMark/>
          </w:tcPr>
          <w:p w14:paraId="53C1432A" w14:textId="77777777" w:rsidR="00A84742" w:rsidRPr="00681C29" w:rsidRDefault="00A84742" w:rsidP="00A84742">
            <w:pPr>
              <w:rPr>
                <w:rFonts w:ascii="Arial Narrow" w:hAnsi="Arial Narrow"/>
                <w:lang w:eastAsia="zh-CN"/>
              </w:rPr>
            </w:pPr>
            <w:r w:rsidRPr="00681C29">
              <w:rPr>
                <w:rFonts w:ascii="Arial Narrow" w:hAnsi="Arial Narrow"/>
              </w:rPr>
              <w:t>13</w:t>
            </w:r>
          </w:p>
        </w:tc>
        <w:tc>
          <w:tcPr>
            <w:tcW w:w="701" w:type="dxa"/>
            <w:tcBorders>
              <w:top w:val="single" w:sz="4" w:space="0" w:color="auto"/>
              <w:left w:val="single" w:sz="4" w:space="0" w:color="auto"/>
              <w:bottom w:val="single" w:sz="4" w:space="0" w:color="auto"/>
              <w:right w:val="single" w:sz="4" w:space="0" w:color="auto"/>
            </w:tcBorders>
            <w:noWrap/>
            <w:hideMark/>
          </w:tcPr>
          <w:p w14:paraId="53C1432B" w14:textId="77777777" w:rsidR="00A84742" w:rsidRPr="00681C29" w:rsidRDefault="00A84742" w:rsidP="00A84742">
            <w:pPr>
              <w:rPr>
                <w:rFonts w:ascii="Arial Narrow" w:hAnsi="Arial Narrow"/>
                <w:lang w:eastAsia="zh-CN"/>
              </w:rPr>
            </w:pPr>
            <w:r w:rsidRPr="00681C29">
              <w:rPr>
                <w:rFonts w:ascii="Arial Narrow" w:hAnsi="Arial Narrow"/>
              </w:rPr>
              <w:t>1.4</w:t>
            </w:r>
          </w:p>
        </w:tc>
        <w:tc>
          <w:tcPr>
            <w:tcW w:w="267" w:type="dxa"/>
            <w:tcBorders>
              <w:top w:val="nil"/>
              <w:left w:val="single" w:sz="4" w:space="0" w:color="auto"/>
              <w:bottom w:val="nil"/>
              <w:right w:val="single" w:sz="4" w:space="0" w:color="auto"/>
            </w:tcBorders>
            <w:noWrap/>
            <w:hideMark/>
          </w:tcPr>
          <w:p w14:paraId="53C1432C" w14:textId="77777777" w:rsidR="00A84742" w:rsidRPr="00681C29" w:rsidRDefault="00A84742" w:rsidP="00A84742">
            <w:pPr>
              <w:rPr>
                <w:rFonts w:ascii="Arial Narrow" w:hAnsi="Arial Narrow"/>
                <w:lang w:eastAsia="zh-CN"/>
              </w:rPr>
            </w:pPr>
          </w:p>
        </w:tc>
        <w:tc>
          <w:tcPr>
            <w:tcW w:w="1560" w:type="dxa"/>
            <w:tcBorders>
              <w:top w:val="single" w:sz="4" w:space="0" w:color="auto"/>
              <w:left w:val="single" w:sz="4" w:space="0" w:color="auto"/>
              <w:bottom w:val="single" w:sz="4" w:space="0" w:color="auto"/>
              <w:right w:val="single" w:sz="4" w:space="0" w:color="auto"/>
            </w:tcBorders>
            <w:noWrap/>
          </w:tcPr>
          <w:p w14:paraId="53C1432D" w14:textId="77777777" w:rsidR="00A84742" w:rsidRPr="00681C29" w:rsidRDefault="00A84742" w:rsidP="00A84742">
            <w:pPr>
              <w:rPr>
                <w:rFonts w:ascii="Arial Narrow" w:hAnsi="Arial Narrow"/>
                <w:lang w:eastAsia="zh-CN"/>
              </w:rPr>
            </w:pPr>
            <w:r w:rsidRPr="00681C29">
              <w:rPr>
                <w:rFonts w:ascii="Arial Narrow" w:hAnsi="Arial Narrow"/>
              </w:rPr>
              <w:t>Shute Harbour</w:t>
            </w:r>
          </w:p>
        </w:tc>
        <w:tc>
          <w:tcPr>
            <w:tcW w:w="708" w:type="dxa"/>
            <w:tcBorders>
              <w:top w:val="single" w:sz="4" w:space="0" w:color="auto"/>
              <w:left w:val="single" w:sz="4" w:space="0" w:color="auto"/>
              <w:bottom w:val="single" w:sz="4" w:space="0" w:color="auto"/>
              <w:right w:val="single" w:sz="4" w:space="0" w:color="auto"/>
            </w:tcBorders>
            <w:noWrap/>
          </w:tcPr>
          <w:p w14:paraId="53C1432E" w14:textId="77777777" w:rsidR="00A84742" w:rsidRPr="00681C29" w:rsidRDefault="00A84742" w:rsidP="00A84742">
            <w:pPr>
              <w:rPr>
                <w:rFonts w:ascii="Arial Narrow" w:hAnsi="Arial Narrow"/>
                <w:lang w:eastAsia="zh-CN"/>
              </w:rPr>
            </w:pPr>
            <w:r w:rsidRPr="00681C29">
              <w:rPr>
                <w:rFonts w:ascii="Arial Narrow" w:hAnsi="Arial Narrow"/>
              </w:rPr>
              <w:t>17.6</w:t>
            </w:r>
          </w:p>
        </w:tc>
        <w:tc>
          <w:tcPr>
            <w:tcW w:w="709" w:type="dxa"/>
            <w:tcBorders>
              <w:top w:val="single" w:sz="4" w:space="0" w:color="auto"/>
              <w:left w:val="single" w:sz="4" w:space="0" w:color="auto"/>
              <w:bottom w:val="single" w:sz="4" w:space="0" w:color="auto"/>
              <w:right w:val="single" w:sz="4" w:space="0" w:color="auto"/>
            </w:tcBorders>
            <w:noWrap/>
          </w:tcPr>
          <w:p w14:paraId="53C1432F" w14:textId="77777777" w:rsidR="00A84742" w:rsidRPr="00681C29" w:rsidRDefault="00A84742" w:rsidP="00A84742">
            <w:pPr>
              <w:rPr>
                <w:rFonts w:ascii="Arial Narrow" w:hAnsi="Arial Narrow"/>
                <w:lang w:eastAsia="zh-CN"/>
              </w:rPr>
            </w:pPr>
            <w:r w:rsidRPr="00681C29">
              <w:rPr>
                <w:rFonts w:ascii="Arial Narrow" w:hAnsi="Arial Narrow"/>
              </w:rPr>
              <w:t>4.2</w:t>
            </w:r>
          </w:p>
        </w:tc>
        <w:tc>
          <w:tcPr>
            <w:tcW w:w="709" w:type="dxa"/>
            <w:tcBorders>
              <w:top w:val="single" w:sz="4" w:space="0" w:color="auto"/>
              <w:left w:val="single" w:sz="4" w:space="0" w:color="auto"/>
              <w:bottom w:val="single" w:sz="4" w:space="0" w:color="auto"/>
              <w:right w:val="single" w:sz="4" w:space="0" w:color="auto"/>
            </w:tcBorders>
            <w:noWrap/>
          </w:tcPr>
          <w:p w14:paraId="53C14330" w14:textId="77777777" w:rsidR="00A84742" w:rsidRPr="00681C29" w:rsidRDefault="00A84742" w:rsidP="00A84742">
            <w:pPr>
              <w:rPr>
                <w:rFonts w:ascii="Arial Narrow" w:hAnsi="Arial Narrow"/>
                <w:lang w:eastAsia="zh-CN"/>
              </w:rPr>
            </w:pPr>
            <w:r w:rsidRPr="00681C29">
              <w:rPr>
                <w:rFonts w:ascii="Arial Narrow" w:hAnsi="Arial Narrow"/>
              </w:rPr>
              <w:t>11.7</w:t>
            </w:r>
          </w:p>
        </w:tc>
        <w:tc>
          <w:tcPr>
            <w:tcW w:w="709" w:type="dxa"/>
            <w:tcBorders>
              <w:top w:val="single" w:sz="4" w:space="0" w:color="auto"/>
              <w:left w:val="single" w:sz="4" w:space="0" w:color="auto"/>
              <w:bottom w:val="single" w:sz="4" w:space="0" w:color="auto"/>
              <w:right w:val="single" w:sz="4" w:space="0" w:color="auto"/>
            </w:tcBorders>
            <w:noWrap/>
          </w:tcPr>
          <w:p w14:paraId="53C14331" w14:textId="77777777" w:rsidR="00A84742" w:rsidRPr="00681C29" w:rsidRDefault="00A84742" w:rsidP="00A84742">
            <w:pPr>
              <w:rPr>
                <w:rFonts w:ascii="Arial Narrow" w:hAnsi="Arial Narrow"/>
                <w:lang w:eastAsia="zh-CN"/>
              </w:rPr>
            </w:pPr>
            <w:r w:rsidRPr="00681C29">
              <w:rPr>
                <w:rFonts w:ascii="Arial Narrow" w:hAnsi="Arial Narrow"/>
              </w:rPr>
              <w:t>1.6</w:t>
            </w:r>
          </w:p>
        </w:tc>
      </w:tr>
      <w:tr w:rsidR="00CE4E0F" w:rsidRPr="00681C29" w14:paraId="53C1433E" w14:textId="77777777" w:rsidTr="004F16D3">
        <w:trPr>
          <w:trHeight w:hRule="exact" w:val="255"/>
          <w:tblHeader/>
        </w:trPr>
        <w:tc>
          <w:tcPr>
            <w:tcW w:w="1486" w:type="dxa"/>
            <w:tcBorders>
              <w:top w:val="single" w:sz="4" w:space="0" w:color="auto"/>
              <w:left w:val="single" w:sz="4" w:space="0" w:color="auto"/>
              <w:bottom w:val="single" w:sz="4" w:space="0" w:color="auto"/>
              <w:right w:val="single" w:sz="4" w:space="0" w:color="auto"/>
            </w:tcBorders>
            <w:noWrap/>
            <w:hideMark/>
          </w:tcPr>
          <w:p w14:paraId="53C14333" w14:textId="77777777" w:rsidR="00A84742" w:rsidRPr="00681C29" w:rsidRDefault="00A84742" w:rsidP="00A84742">
            <w:pPr>
              <w:rPr>
                <w:rFonts w:ascii="Arial Narrow" w:hAnsi="Arial Narrow"/>
                <w:lang w:eastAsia="zh-CN"/>
              </w:rPr>
            </w:pPr>
            <w:r w:rsidRPr="00681C29">
              <w:rPr>
                <w:rFonts w:ascii="Arial Narrow" w:hAnsi="Arial Narrow"/>
              </w:rPr>
              <w:t>High West</w:t>
            </w:r>
          </w:p>
        </w:tc>
        <w:tc>
          <w:tcPr>
            <w:tcW w:w="694" w:type="dxa"/>
            <w:tcBorders>
              <w:top w:val="single" w:sz="4" w:space="0" w:color="auto"/>
              <w:left w:val="single" w:sz="4" w:space="0" w:color="auto"/>
              <w:bottom w:val="single" w:sz="4" w:space="0" w:color="auto"/>
              <w:right w:val="single" w:sz="4" w:space="0" w:color="auto"/>
            </w:tcBorders>
            <w:noWrap/>
            <w:hideMark/>
          </w:tcPr>
          <w:p w14:paraId="53C14334" w14:textId="77777777" w:rsidR="00A84742" w:rsidRPr="00681C29" w:rsidRDefault="00A84742" w:rsidP="00A84742">
            <w:pPr>
              <w:rPr>
                <w:rFonts w:ascii="Arial Narrow" w:hAnsi="Arial Narrow"/>
                <w:lang w:eastAsia="zh-CN"/>
              </w:rPr>
            </w:pPr>
            <w:r w:rsidRPr="00681C29">
              <w:rPr>
                <w:rFonts w:ascii="Arial Narrow" w:hAnsi="Arial Narrow"/>
              </w:rPr>
              <w:t>22.4</w:t>
            </w:r>
          </w:p>
        </w:tc>
        <w:tc>
          <w:tcPr>
            <w:tcW w:w="694" w:type="dxa"/>
            <w:tcBorders>
              <w:top w:val="single" w:sz="4" w:space="0" w:color="auto"/>
              <w:left w:val="single" w:sz="4" w:space="0" w:color="auto"/>
              <w:bottom w:val="single" w:sz="4" w:space="0" w:color="auto"/>
              <w:right w:val="single" w:sz="4" w:space="0" w:color="auto"/>
            </w:tcBorders>
            <w:noWrap/>
            <w:hideMark/>
          </w:tcPr>
          <w:p w14:paraId="53C14335" w14:textId="77777777" w:rsidR="00A84742" w:rsidRPr="00681C29" w:rsidRDefault="00A84742" w:rsidP="00A84742">
            <w:pPr>
              <w:rPr>
                <w:rFonts w:ascii="Arial Narrow" w:hAnsi="Arial Narrow"/>
                <w:lang w:eastAsia="zh-CN"/>
              </w:rPr>
            </w:pPr>
            <w:r w:rsidRPr="00681C29">
              <w:rPr>
                <w:rFonts w:ascii="Arial Narrow" w:hAnsi="Arial Narrow"/>
              </w:rPr>
              <w:t>4.4</w:t>
            </w:r>
          </w:p>
        </w:tc>
        <w:tc>
          <w:tcPr>
            <w:tcW w:w="694" w:type="dxa"/>
            <w:tcBorders>
              <w:top w:val="single" w:sz="4" w:space="0" w:color="auto"/>
              <w:left w:val="single" w:sz="4" w:space="0" w:color="auto"/>
              <w:bottom w:val="single" w:sz="4" w:space="0" w:color="auto"/>
              <w:right w:val="single" w:sz="4" w:space="0" w:color="auto"/>
            </w:tcBorders>
            <w:noWrap/>
            <w:hideMark/>
          </w:tcPr>
          <w:p w14:paraId="53C14336" w14:textId="77777777" w:rsidR="00A84742" w:rsidRPr="00681C29" w:rsidRDefault="00A84742" w:rsidP="00A84742">
            <w:pPr>
              <w:rPr>
                <w:rFonts w:ascii="Arial Narrow" w:hAnsi="Arial Narrow"/>
                <w:lang w:eastAsia="zh-CN"/>
              </w:rPr>
            </w:pPr>
            <w:r w:rsidRPr="00681C29">
              <w:rPr>
                <w:rFonts w:ascii="Arial Narrow" w:hAnsi="Arial Narrow"/>
              </w:rPr>
              <w:t>12.1</w:t>
            </w:r>
          </w:p>
        </w:tc>
        <w:tc>
          <w:tcPr>
            <w:tcW w:w="701" w:type="dxa"/>
            <w:tcBorders>
              <w:top w:val="single" w:sz="4" w:space="0" w:color="auto"/>
              <w:left w:val="single" w:sz="4" w:space="0" w:color="auto"/>
              <w:bottom w:val="single" w:sz="4" w:space="0" w:color="auto"/>
              <w:right w:val="single" w:sz="4" w:space="0" w:color="auto"/>
            </w:tcBorders>
            <w:noWrap/>
            <w:hideMark/>
          </w:tcPr>
          <w:p w14:paraId="53C14337" w14:textId="77777777" w:rsidR="00A84742" w:rsidRPr="00681C29" w:rsidRDefault="00A84742" w:rsidP="00A84742">
            <w:pPr>
              <w:rPr>
                <w:rFonts w:ascii="Arial Narrow" w:hAnsi="Arial Narrow"/>
                <w:lang w:eastAsia="zh-CN"/>
              </w:rPr>
            </w:pPr>
            <w:r w:rsidRPr="00681C29">
              <w:rPr>
                <w:rFonts w:ascii="Arial Narrow" w:hAnsi="Arial Narrow"/>
              </w:rPr>
              <w:t>1.6</w:t>
            </w:r>
          </w:p>
        </w:tc>
        <w:tc>
          <w:tcPr>
            <w:tcW w:w="267" w:type="dxa"/>
            <w:tcBorders>
              <w:top w:val="nil"/>
              <w:left w:val="single" w:sz="4" w:space="0" w:color="auto"/>
              <w:bottom w:val="nil"/>
              <w:right w:val="single" w:sz="4" w:space="0" w:color="auto"/>
            </w:tcBorders>
            <w:noWrap/>
            <w:hideMark/>
          </w:tcPr>
          <w:p w14:paraId="53C14338" w14:textId="77777777" w:rsidR="00A84742" w:rsidRPr="00681C29" w:rsidRDefault="00A84742" w:rsidP="00A84742">
            <w:pPr>
              <w:rPr>
                <w:rFonts w:ascii="Arial Narrow" w:hAnsi="Arial Narrow"/>
                <w:lang w:eastAsia="zh-CN"/>
              </w:rPr>
            </w:pPr>
          </w:p>
        </w:tc>
        <w:tc>
          <w:tcPr>
            <w:tcW w:w="1560" w:type="dxa"/>
            <w:tcBorders>
              <w:top w:val="single" w:sz="4" w:space="0" w:color="auto"/>
              <w:left w:val="single" w:sz="4" w:space="0" w:color="auto"/>
              <w:bottom w:val="single" w:sz="4" w:space="0" w:color="auto"/>
              <w:right w:val="single" w:sz="4" w:space="0" w:color="auto"/>
            </w:tcBorders>
            <w:noWrap/>
          </w:tcPr>
          <w:p w14:paraId="53C14339" w14:textId="77777777" w:rsidR="00A84742" w:rsidRPr="00681C29" w:rsidRDefault="00A84742" w:rsidP="00A84742">
            <w:pPr>
              <w:rPr>
                <w:rFonts w:ascii="Arial Narrow" w:hAnsi="Arial Narrow"/>
                <w:lang w:eastAsia="zh-CN"/>
              </w:rPr>
            </w:pPr>
            <w:r w:rsidRPr="00681C29">
              <w:rPr>
                <w:rFonts w:ascii="Arial Narrow" w:hAnsi="Arial Narrow"/>
              </w:rPr>
              <w:t>Snapper North</w:t>
            </w:r>
          </w:p>
        </w:tc>
        <w:tc>
          <w:tcPr>
            <w:tcW w:w="708" w:type="dxa"/>
            <w:tcBorders>
              <w:top w:val="single" w:sz="4" w:space="0" w:color="auto"/>
              <w:left w:val="single" w:sz="4" w:space="0" w:color="auto"/>
              <w:bottom w:val="single" w:sz="4" w:space="0" w:color="auto"/>
              <w:right w:val="single" w:sz="4" w:space="0" w:color="auto"/>
            </w:tcBorders>
            <w:noWrap/>
          </w:tcPr>
          <w:p w14:paraId="53C1433A" w14:textId="77777777" w:rsidR="00A84742" w:rsidRPr="00681C29" w:rsidRDefault="00A84742" w:rsidP="00A84742">
            <w:pPr>
              <w:rPr>
                <w:rFonts w:ascii="Arial Narrow" w:hAnsi="Arial Narrow"/>
                <w:lang w:eastAsia="zh-CN"/>
              </w:rPr>
            </w:pPr>
            <w:r w:rsidRPr="00681C29">
              <w:rPr>
                <w:rFonts w:ascii="Arial Narrow" w:hAnsi="Arial Narrow"/>
              </w:rPr>
              <w:t>18.7</w:t>
            </w:r>
          </w:p>
        </w:tc>
        <w:tc>
          <w:tcPr>
            <w:tcW w:w="709" w:type="dxa"/>
            <w:tcBorders>
              <w:top w:val="single" w:sz="4" w:space="0" w:color="auto"/>
              <w:left w:val="single" w:sz="4" w:space="0" w:color="auto"/>
              <w:bottom w:val="single" w:sz="4" w:space="0" w:color="auto"/>
              <w:right w:val="single" w:sz="4" w:space="0" w:color="auto"/>
            </w:tcBorders>
            <w:noWrap/>
          </w:tcPr>
          <w:p w14:paraId="53C1433B" w14:textId="77777777" w:rsidR="00A84742" w:rsidRPr="00681C29" w:rsidRDefault="00A84742" w:rsidP="00A84742">
            <w:pPr>
              <w:rPr>
                <w:rFonts w:ascii="Arial Narrow" w:hAnsi="Arial Narrow"/>
                <w:lang w:eastAsia="zh-CN"/>
              </w:rPr>
            </w:pPr>
            <w:r w:rsidRPr="00681C29">
              <w:rPr>
                <w:rFonts w:ascii="Arial Narrow" w:hAnsi="Arial Narrow"/>
              </w:rPr>
              <w:t>4.4</w:t>
            </w:r>
          </w:p>
        </w:tc>
        <w:tc>
          <w:tcPr>
            <w:tcW w:w="709" w:type="dxa"/>
            <w:tcBorders>
              <w:top w:val="single" w:sz="4" w:space="0" w:color="auto"/>
              <w:left w:val="single" w:sz="4" w:space="0" w:color="auto"/>
              <w:bottom w:val="single" w:sz="4" w:space="0" w:color="auto"/>
              <w:right w:val="single" w:sz="4" w:space="0" w:color="auto"/>
            </w:tcBorders>
            <w:noWrap/>
          </w:tcPr>
          <w:p w14:paraId="53C1433C" w14:textId="77777777" w:rsidR="00A84742" w:rsidRPr="00681C29" w:rsidRDefault="00A84742" w:rsidP="00A84742">
            <w:pPr>
              <w:rPr>
                <w:rFonts w:ascii="Arial Narrow" w:hAnsi="Arial Narrow"/>
                <w:lang w:eastAsia="zh-CN"/>
              </w:rPr>
            </w:pPr>
            <w:r w:rsidRPr="00681C29">
              <w:rPr>
                <w:rFonts w:ascii="Arial Narrow" w:hAnsi="Arial Narrow"/>
              </w:rPr>
              <w:t>11.3</w:t>
            </w:r>
          </w:p>
        </w:tc>
        <w:tc>
          <w:tcPr>
            <w:tcW w:w="709" w:type="dxa"/>
            <w:tcBorders>
              <w:top w:val="single" w:sz="4" w:space="0" w:color="auto"/>
              <w:left w:val="single" w:sz="4" w:space="0" w:color="auto"/>
              <w:bottom w:val="single" w:sz="4" w:space="0" w:color="auto"/>
              <w:right w:val="single" w:sz="4" w:space="0" w:color="auto"/>
            </w:tcBorders>
            <w:noWrap/>
          </w:tcPr>
          <w:p w14:paraId="53C1433D" w14:textId="77777777" w:rsidR="00A84742" w:rsidRPr="00681C29" w:rsidRDefault="00A84742" w:rsidP="00A84742">
            <w:pPr>
              <w:rPr>
                <w:rFonts w:ascii="Arial Narrow" w:hAnsi="Arial Narrow"/>
                <w:lang w:eastAsia="zh-CN"/>
              </w:rPr>
            </w:pPr>
            <w:r w:rsidRPr="00681C29">
              <w:rPr>
                <w:rFonts w:ascii="Arial Narrow" w:hAnsi="Arial Narrow"/>
              </w:rPr>
              <w:t>1.6</w:t>
            </w:r>
          </w:p>
        </w:tc>
      </w:tr>
      <w:tr w:rsidR="00CE4E0F" w:rsidRPr="00681C29" w14:paraId="53C1434A" w14:textId="77777777" w:rsidTr="004F16D3">
        <w:trPr>
          <w:trHeight w:hRule="exact" w:val="255"/>
          <w:tblHeader/>
        </w:trPr>
        <w:tc>
          <w:tcPr>
            <w:tcW w:w="1486" w:type="dxa"/>
            <w:tcBorders>
              <w:top w:val="single" w:sz="4" w:space="0" w:color="auto"/>
              <w:left w:val="single" w:sz="4" w:space="0" w:color="auto"/>
              <w:bottom w:val="single" w:sz="4" w:space="0" w:color="auto"/>
              <w:right w:val="single" w:sz="4" w:space="0" w:color="auto"/>
            </w:tcBorders>
            <w:noWrap/>
            <w:hideMark/>
          </w:tcPr>
          <w:p w14:paraId="53C1433F" w14:textId="77777777" w:rsidR="00A84742" w:rsidRPr="00681C29" w:rsidRDefault="00A84742" w:rsidP="00A84742">
            <w:pPr>
              <w:rPr>
                <w:rFonts w:ascii="Arial Narrow" w:hAnsi="Arial Narrow"/>
                <w:lang w:eastAsia="zh-CN"/>
              </w:rPr>
            </w:pPr>
            <w:r w:rsidRPr="00681C29">
              <w:rPr>
                <w:rFonts w:ascii="Arial Narrow" w:hAnsi="Arial Narrow"/>
              </w:rPr>
              <w:t>Hook</w:t>
            </w:r>
          </w:p>
        </w:tc>
        <w:tc>
          <w:tcPr>
            <w:tcW w:w="694" w:type="dxa"/>
            <w:tcBorders>
              <w:top w:val="single" w:sz="4" w:space="0" w:color="auto"/>
              <w:left w:val="single" w:sz="4" w:space="0" w:color="auto"/>
              <w:bottom w:val="single" w:sz="4" w:space="0" w:color="auto"/>
              <w:right w:val="single" w:sz="4" w:space="0" w:color="auto"/>
            </w:tcBorders>
            <w:noWrap/>
            <w:hideMark/>
          </w:tcPr>
          <w:p w14:paraId="53C14340" w14:textId="77777777" w:rsidR="00A84742" w:rsidRPr="00681C29" w:rsidRDefault="00A84742" w:rsidP="00A84742">
            <w:pPr>
              <w:rPr>
                <w:rFonts w:ascii="Arial Narrow" w:hAnsi="Arial Narrow"/>
                <w:lang w:eastAsia="zh-CN"/>
              </w:rPr>
            </w:pPr>
            <w:r w:rsidRPr="00681C29">
              <w:rPr>
                <w:rFonts w:ascii="Arial Narrow" w:hAnsi="Arial Narrow"/>
              </w:rPr>
              <w:t>9.3</w:t>
            </w:r>
          </w:p>
        </w:tc>
        <w:tc>
          <w:tcPr>
            <w:tcW w:w="694" w:type="dxa"/>
            <w:tcBorders>
              <w:top w:val="single" w:sz="4" w:space="0" w:color="auto"/>
              <w:left w:val="single" w:sz="4" w:space="0" w:color="auto"/>
              <w:bottom w:val="single" w:sz="4" w:space="0" w:color="auto"/>
              <w:right w:val="single" w:sz="4" w:space="0" w:color="auto"/>
            </w:tcBorders>
            <w:noWrap/>
            <w:hideMark/>
          </w:tcPr>
          <w:p w14:paraId="53C14341" w14:textId="77777777" w:rsidR="00A84742" w:rsidRPr="00681C29" w:rsidRDefault="00A84742" w:rsidP="00A84742">
            <w:pPr>
              <w:rPr>
                <w:rFonts w:ascii="Arial Narrow" w:hAnsi="Arial Narrow"/>
                <w:lang w:eastAsia="zh-CN"/>
              </w:rPr>
            </w:pPr>
            <w:r w:rsidRPr="00681C29">
              <w:rPr>
                <w:rFonts w:ascii="Arial Narrow" w:hAnsi="Arial Narrow"/>
              </w:rPr>
              <w:t>3.4</w:t>
            </w:r>
          </w:p>
        </w:tc>
        <w:tc>
          <w:tcPr>
            <w:tcW w:w="694" w:type="dxa"/>
            <w:tcBorders>
              <w:top w:val="single" w:sz="4" w:space="0" w:color="auto"/>
              <w:left w:val="single" w:sz="4" w:space="0" w:color="auto"/>
              <w:bottom w:val="single" w:sz="4" w:space="0" w:color="auto"/>
              <w:right w:val="single" w:sz="4" w:space="0" w:color="auto"/>
            </w:tcBorders>
            <w:noWrap/>
            <w:hideMark/>
          </w:tcPr>
          <w:p w14:paraId="53C14342" w14:textId="77777777" w:rsidR="00A84742" w:rsidRPr="00681C29" w:rsidRDefault="00A84742" w:rsidP="00A84742">
            <w:pPr>
              <w:rPr>
                <w:rFonts w:ascii="Arial Narrow" w:hAnsi="Arial Narrow"/>
                <w:lang w:eastAsia="zh-CN"/>
              </w:rPr>
            </w:pPr>
            <w:r w:rsidRPr="00681C29">
              <w:rPr>
                <w:rFonts w:ascii="Arial Narrow" w:hAnsi="Arial Narrow"/>
              </w:rPr>
              <w:t>8.1</w:t>
            </w:r>
          </w:p>
        </w:tc>
        <w:tc>
          <w:tcPr>
            <w:tcW w:w="701" w:type="dxa"/>
            <w:tcBorders>
              <w:top w:val="single" w:sz="4" w:space="0" w:color="auto"/>
              <w:left w:val="single" w:sz="4" w:space="0" w:color="auto"/>
              <w:bottom w:val="single" w:sz="4" w:space="0" w:color="auto"/>
              <w:right w:val="single" w:sz="4" w:space="0" w:color="auto"/>
            </w:tcBorders>
            <w:noWrap/>
            <w:hideMark/>
          </w:tcPr>
          <w:p w14:paraId="53C14343" w14:textId="77777777" w:rsidR="00A84742" w:rsidRPr="00681C29" w:rsidRDefault="00A84742" w:rsidP="00A84742">
            <w:pPr>
              <w:rPr>
                <w:rFonts w:ascii="Arial Narrow" w:hAnsi="Arial Narrow"/>
                <w:lang w:eastAsia="zh-CN"/>
              </w:rPr>
            </w:pPr>
            <w:r w:rsidRPr="00681C29">
              <w:rPr>
                <w:rFonts w:ascii="Arial Narrow" w:hAnsi="Arial Narrow"/>
              </w:rPr>
              <w:t>1.4</w:t>
            </w:r>
          </w:p>
        </w:tc>
        <w:tc>
          <w:tcPr>
            <w:tcW w:w="267" w:type="dxa"/>
            <w:tcBorders>
              <w:top w:val="nil"/>
              <w:left w:val="single" w:sz="4" w:space="0" w:color="auto"/>
              <w:bottom w:val="nil"/>
              <w:right w:val="single" w:sz="4" w:space="0" w:color="auto"/>
            </w:tcBorders>
            <w:noWrap/>
            <w:hideMark/>
          </w:tcPr>
          <w:p w14:paraId="53C14344" w14:textId="77777777" w:rsidR="00A84742" w:rsidRPr="00681C29" w:rsidRDefault="00A84742" w:rsidP="00A84742">
            <w:pPr>
              <w:rPr>
                <w:rFonts w:ascii="Arial Narrow" w:hAnsi="Arial Narrow"/>
                <w:lang w:eastAsia="zh-CN"/>
              </w:rPr>
            </w:pPr>
          </w:p>
        </w:tc>
        <w:tc>
          <w:tcPr>
            <w:tcW w:w="1560" w:type="dxa"/>
            <w:tcBorders>
              <w:top w:val="single" w:sz="4" w:space="0" w:color="auto"/>
              <w:left w:val="single" w:sz="4" w:space="0" w:color="auto"/>
              <w:bottom w:val="single" w:sz="4" w:space="0" w:color="auto"/>
              <w:right w:val="single" w:sz="4" w:space="0" w:color="auto"/>
            </w:tcBorders>
            <w:noWrap/>
          </w:tcPr>
          <w:p w14:paraId="53C14345" w14:textId="77777777" w:rsidR="00A84742" w:rsidRPr="00681C29" w:rsidRDefault="00A84742" w:rsidP="00A84742">
            <w:pPr>
              <w:rPr>
                <w:rFonts w:ascii="Arial Narrow" w:hAnsi="Arial Narrow"/>
                <w:lang w:eastAsia="zh-CN"/>
              </w:rPr>
            </w:pPr>
            <w:r w:rsidRPr="00681C29">
              <w:rPr>
                <w:rFonts w:ascii="Arial Narrow" w:hAnsi="Arial Narrow"/>
              </w:rPr>
              <w:t>Snapper South</w:t>
            </w:r>
          </w:p>
        </w:tc>
        <w:tc>
          <w:tcPr>
            <w:tcW w:w="708" w:type="dxa"/>
            <w:tcBorders>
              <w:top w:val="single" w:sz="4" w:space="0" w:color="auto"/>
              <w:left w:val="single" w:sz="4" w:space="0" w:color="auto"/>
              <w:bottom w:val="single" w:sz="4" w:space="0" w:color="auto"/>
              <w:right w:val="single" w:sz="4" w:space="0" w:color="auto"/>
            </w:tcBorders>
            <w:noWrap/>
          </w:tcPr>
          <w:p w14:paraId="53C14346" w14:textId="77777777" w:rsidR="00A84742" w:rsidRPr="00681C29" w:rsidRDefault="00A84742" w:rsidP="00A84742">
            <w:pPr>
              <w:rPr>
                <w:rFonts w:ascii="Arial Narrow" w:hAnsi="Arial Narrow"/>
                <w:lang w:eastAsia="zh-CN"/>
              </w:rPr>
            </w:pPr>
            <w:r w:rsidRPr="00681C29">
              <w:rPr>
                <w:rFonts w:ascii="Arial Narrow" w:hAnsi="Arial Narrow"/>
              </w:rPr>
              <w:t>23</w:t>
            </w:r>
          </w:p>
        </w:tc>
        <w:tc>
          <w:tcPr>
            <w:tcW w:w="709" w:type="dxa"/>
            <w:tcBorders>
              <w:top w:val="single" w:sz="4" w:space="0" w:color="auto"/>
              <w:left w:val="single" w:sz="4" w:space="0" w:color="auto"/>
              <w:bottom w:val="single" w:sz="4" w:space="0" w:color="auto"/>
              <w:right w:val="single" w:sz="4" w:space="0" w:color="auto"/>
            </w:tcBorders>
            <w:noWrap/>
          </w:tcPr>
          <w:p w14:paraId="53C14347" w14:textId="77777777" w:rsidR="00A84742" w:rsidRPr="00681C29" w:rsidRDefault="00A84742" w:rsidP="00A84742">
            <w:pPr>
              <w:rPr>
                <w:rFonts w:ascii="Arial Narrow" w:hAnsi="Arial Narrow"/>
                <w:lang w:eastAsia="zh-CN"/>
              </w:rPr>
            </w:pPr>
            <w:r w:rsidRPr="00681C29">
              <w:rPr>
                <w:rFonts w:ascii="Arial Narrow" w:hAnsi="Arial Narrow"/>
              </w:rPr>
              <w:t>4.4</w:t>
            </w:r>
          </w:p>
        </w:tc>
        <w:tc>
          <w:tcPr>
            <w:tcW w:w="709" w:type="dxa"/>
            <w:tcBorders>
              <w:top w:val="single" w:sz="4" w:space="0" w:color="auto"/>
              <w:left w:val="single" w:sz="4" w:space="0" w:color="auto"/>
              <w:bottom w:val="single" w:sz="4" w:space="0" w:color="auto"/>
              <w:right w:val="single" w:sz="4" w:space="0" w:color="auto"/>
            </w:tcBorders>
            <w:noWrap/>
          </w:tcPr>
          <w:p w14:paraId="53C14348" w14:textId="77777777" w:rsidR="00A84742" w:rsidRPr="00681C29" w:rsidRDefault="00A84742" w:rsidP="00A84742">
            <w:pPr>
              <w:rPr>
                <w:rFonts w:ascii="Arial Narrow" w:hAnsi="Arial Narrow"/>
                <w:lang w:eastAsia="zh-CN"/>
              </w:rPr>
            </w:pPr>
            <w:r w:rsidRPr="00681C29">
              <w:rPr>
                <w:rFonts w:ascii="Arial Narrow" w:hAnsi="Arial Narrow"/>
              </w:rPr>
              <w:t>13.1</w:t>
            </w:r>
          </w:p>
        </w:tc>
        <w:tc>
          <w:tcPr>
            <w:tcW w:w="709" w:type="dxa"/>
            <w:tcBorders>
              <w:top w:val="single" w:sz="4" w:space="0" w:color="auto"/>
              <w:left w:val="single" w:sz="4" w:space="0" w:color="auto"/>
              <w:bottom w:val="single" w:sz="4" w:space="0" w:color="auto"/>
              <w:right w:val="single" w:sz="4" w:space="0" w:color="auto"/>
            </w:tcBorders>
            <w:noWrap/>
          </w:tcPr>
          <w:p w14:paraId="53C14349" w14:textId="77777777" w:rsidR="00A84742" w:rsidRPr="00681C29" w:rsidRDefault="00A84742" w:rsidP="00A84742">
            <w:pPr>
              <w:rPr>
                <w:rFonts w:ascii="Arial Narrow" w:hAnsi="Arial Narrow"/>
                <w:lang w:eastAsia="zh-CN"/>
              </w:rPr>
            </w:pPr>
            <w:r w:rsidRPr="00681C29">
              <w:rPr>
                <w:rFonts w:ascii="Arial Narrow" w:hAnsi="Arial Narrow"/>
              </w:rPr>
              <w:t>1.6</w:t>
            </w:r>
          </w:p>
        </w:tc>
      </w:tr>
      <w:tr w:rsidR="00A84742" w:rsidRPr="00CE4E0F" w14:paraId="53C14356" w14:textId="77777777" w:rsidTr="004F16D3">
        <w:trPr>
          <w:trHeight w:hRule="exact" w:val="255"/>
          <w:tblHeader/>
        </w:trPr>
        <w:tc>
          <w:tcPr>
            <w:tcW w:w="1486" w:type="dxa"/>
            <w:tcBorders>
              <w:top w:val="single" w:sz="4" w:space="0" w:color="auto"/>
              <w:left w:val="single" w:sz="4" w:space="0" w:color="auto"/>
              <w:bottom w:val="single" w:sz="4" w:space="0" w:color="auto"/>
              <w:right w:val="single" w:sz="4" w:space="0" w:color="auto"/>
            </w:tcBorders>
            <w:noWrap/>
            <w:hideMark/>
          </w:tcPr>
          <w:p w14:paraId="53C1434B" w14:textId="77777777" w:rsidR="00A84742" w:rsidRPr="00681C29" w:rsidRDefault="00A84742" w:rsidP="00A84742">
            <w:pPr>
              <w:rPr>
                <w:rFonts w:ascii="Arial Narrow" w:hAnsi="Arial Narrow"/>
                <w:lang w:eastAsia="zh-CN"/>
              </w:rPr>
            </w:pPr>
            <w:r w:rsidRPr="00681C29">
              <w:rPr>
                <w:rFonts w:ascii="Arial Narrow" w:hAnsi="Arial Narrow"/>
              </w:rPr>
              <w:t>Keppels South</w:t>
            </w:r>
          </w:p>
        </w:tc>
        <w:tc>
          <w:tcPr>
            <w:tcW w:w="694" w:type="dxa"/>
            <w:tcBorders>
              <w:top w:val="single" w:sz="4" w:space="0" w:color="auto"/>
              <w:left w:val="single" w:sz="4" w:space="0" w:color="auto"/>
              <w:bottom w:val="single" w:sz="4" w:space="0" w:color="auto"/>
              <w:right w:val="single" w:sz="4" w:space="0" w:color="auto"/>
            </w:tcBorders>
            <w:noWrap/>
            <w:hideMark/>
          </w:tcPr>
          <w:p w14:paraId="53C1434C" w14:textId="77777777" w:rsidR="00A84742" w:rsidRPr="00681C29" w:rsidRDefault="00A84742" w:rsidP="00A84742">
            <w:pPr>
              <w:rPr>
                <w:rFonts w:ascii="Arial Narrow" w:hAnsi="Arial Narrow"/>
                <w:lang w:eastAsia="zh-CN"/>
              </w:rPr>
            </w:pPr>
            <w:r w:rsidRPr="00681C29">
              <w:rPr>
                <w:rFonts w:ascii="Arial Narrow" w:hAnsi="Arial Narrow"/>
              </w:rPr>
              <w:t>23</w:t>
            </w:r>
          </w:p>
        </w:tc>
        <w:tc>
          <w:tcPr>
            <w:tcW w:w="694" w:type="dxa"/>
            <w:tcBorders>
              <w:top w:val="single" w:sz="4" w:space="0" w:color="auto"/>
              <w:left w:val="single" w:sz="4" w:space="0" w:color="auto"/>
              <w:bottom w:val="single" w:sz="4" w:space="0" w:color="auto"/>
              <w:right w:val="single" w:sz="4" w:space="0" w:color="auto"/>
            </w:tcBorders>
            <w:noWrap/>
            <w:hideMark/>
          </w:tcPr>
          <w:p w14:paraId="53C1434D" w14:textId="77777777" w:rsidR="00A84742" w:rsidRPr="00681C29" w:rsidRDefault="00A84742" w:rsidP="00A84742">
            <w:pPr>
              <w:rPr>
                <w:rFonts w:ascii="Arial Narrow" w:hAnsi="Arial Narrow"/>
                <w:lang w:eastAsia="zh-CN"/>
              </w:rPr>
            </w:pPr>
            <w:r w:rsidRPr="00681C29">
              <w:rPr>
                <w:rFonts w:ascii="Arial Narrow" w:hAnsi="Arial Narrow"/>
              </w:rPr>
              <w:t>3.9</w:t>
            </w:r>
          </w:p>
        </w:tc>
        <w:tc>
          <w:tcPr>
            <w:tcW w:w="694" w:type="dxa"/>
            <w:tcBorders>
              <w:top w:val="single" w:sz="4" w:space="0" w:color="auto"/>
              <w:left w:val="single" w:sz="4" w:space="0" w:color="auto"/>
              <w:bottom w:val="single" w:sz="4" w:space="0" w:color="auto"/>
              <w:right w:val="single" w:sz="4" w:space="0" w:color="auto"/>
            </w:tcBorders>
            <w:noWrap/>
            <w:hideMark/>
          </w:tcPr>
          <w:p w14:paraId="53C1434E" w14:textId="77777777" w:rsidR="00A84742" w:rsidRPr="00681C29" w:rsidRDefault="00A84742" w:rsidP="00A84742">
            <w:pPr>
              <w:rPr>
                <w:rFonts w:ascii="Arial Narrow" w:hAnsi="Arial Narrow"/>
                <w:lang w:eastAsia="zh-CN"/>
              </w:rPr>
            </w:pPr>
            <w:r w:rsidRPr="00681C29">
              <w:rPr>
                <w:rFonts w:ascii="Arial Narrow" w:hAnsi="Arial Narrow"/>
              </w:rPr>
              <w:t>24</w:t>
            </w:r>
          </w:p>
        </w:tc>
        <w:tc>
          <w:tcPr>
            <w:tcW w:w="701" w:type="dxa"/>
            <w:tcBorders>
              <w:top w:val="single" w:sz="4" w:space="0" w:color="auto"/>
              <w:left w:val="single" w:sz="4" w:space="0" w:color="auto"/>
              <w:bottom w:val="single" w:sz="4" w:space="0" w:color="auto"/>
              <w:right w:val="single" w:sz="4" w:space="0" w:color="auto"/>
            </w:tcBorders>
            <w:noWrap/>
            <w:hideMark/>
          </w:tcPr>
          <w:p w14:paraId="53C1434F" w14:textId="77777777" w:rsidR="00A84742" w:rsidRPr="00681C29" w:rsidRDefault="00A84742" w:rsidP="00A84742">
            <w:pPr>
              <w:rPr>
                <w:rFonts w:ascii="Arial Narrow" w:hAnsi="Arial Narrow"/>
                <w:lang w:eastAsia="zh-CN"/>
              </w:rPr>
            </w:pPr>
            <w:r w:rsidRPr="00681C29">
              <w:rPr>
                <w:rFonts w:ascii="Arial Narrow" w:hAnsi="Arial Narrow"/>
              </w:rPr>
              <w:t>1.7</w:t>
            </w:r>
          </w:p>
        </w:tc>
        <w:tc>
          <w:tcPr>
            <w:tcW w:w="267" w:type="dxa"/>
            <w:tcBorders>
              <w:top w:val="nil"/>
              <w:left w:val="single" w:sz="4" w:space="0" w:color="auto"/>
              <w:bottom w:val="single" w:sz="4" w:space="0" w:color="auto"/>
              <w:right w:val="single" w:sz="4" w:space="0" w:color="auto"/>
            </w:tcBorders>
            <w:noWrap/>
            <w:hideMark/>
          </w:tcPr>
          <w:p w14:paraId="53C14350" w14:textId="77777777" w:rsidR="00A84742" w:rsidRPr="00CE4E0F" w:rsidRDefault="00A84742" w:rsidP="00A84742">
            <w:pPr>
              <w:rPr>
                <w:rFonts w:ascii="Arial Narrow" w:hAnsi="Arial Narrow"/>
                <w:color w:val="548DD4" w:themeColor="text2" w:themeTint="99"/>
                <w:lang w:eastAsia="zh-CN"/>
              </w:rPr>
            </w:pPr>
          </w:p>
        </w:tc>
        <w:tc>
          <w:tcPr>
            <w:tcW w:w="1560" w:type="dxa"/>
            <w:tcBorders>
              <w:top w:val="single" w:sz="4" w:space="0" w:color="auto"/>
              <w:left w:val="single" w:sz="4" w:space="0" w:color="auto"/>
              <w:bottom w:val="single" w:sz="4" w:space="0" w:color="auto"/>
              <w:right w:val="single" w:sz="4" w:space="0" w:color="auto"/>
            </w:tcBorders>
            <w:noWrap/>
          </w:tcPr>
          <w:p w14:paraId="53C14351" w14:textId="77777777" w:rsidR="00A84742" w:rsidRPr="00CE4E0F" w:rsidRDefault="00A84742" w:rsidP="00A84742">
            <w:pPr>
              <w:rPr>
                <w:rFonts w:ascii="Arial Narrow" w:hAnsi="Arial Narrow"/>
                <w:color w:val="548DD4" w:themeColor="text2" w:themeTint="99"/>
                <w:lang w:eastAsia="zh-CN"/>
              </w:rPr>
            </w:pPr>
          </w:p>
        </w:tc>
        <w:tc>
          <w:tcPr>
            <w:tcW w:w="708" w:type="dxa"/>
            <w:tcBorders>
              <w:top w:val="single" w:sz="4" w:space="0" w:color="auto"/>
              <w:left w:val="single" w:sz="4" w:space="0" w:color="auto"/>
              <w:bottom w:val="single" w:sz="4" w:space="0" w:color="auto"/>
              <w:right w:val="single" w:sz="4" w:space="0" w:color="auto"/>
            </w:tcBorders>
            <w:noWrap/>
          </w:tcPr>
          <w:p w14:paraId="53C14352" w14:textId="77777777" w:rsidR="00A84742" w:rsidRPr="00CE4E0F" w:rsidRDefault="00A84742" w:rsidP="00A84742">
            <w:pPr>
              <w:rPr>
                <w:rFonts w:ascii="Arial Narrow" w:hAnsi="Arial Narrow"/>
                <w:color w:val="548DD4" w:themeColor="text2" w:themeTint="99"/>
                <w:lang w:eastAsia="zh-CN"/>
              </w:rPr>
            </w:pPr>
          </w:p>
        </w:tc>
        <w:tc>
          <w:tcPr>
            <w:tcW w:w="709" w:type="dxa"/>
            <w:tcBorders>
              <w:top w:val="single" w:sz="4" w:space="0" w:color="auto"/>
              <w:left w:val="single" w:sz="4" w:space="0" w:color="auto"/>
              <w:bottom w:val="single" w:sz="4" w:space="0" w:color="auto"/>
              <w:right w:val="single" w:sz="4" w:space="0" w:color="auto"/>
            </w:tcBorders>
            <w:noWrap/>
          </w:tcPr>
          <w:p w14:paraId="53C14353" w14:textId="77777777" w:rsidR="00A84742" w:rsidRPr="00CE4E0F" w:rsidRDefault="00A84742" w:rsidP="00A84742">
            <w:pPr>
              <w:rPr>
                <w:rFonts w:ascii="Arial Narrow" w:hAnsi="Arial Narrow"/>
                <w:color w:val="548DD4" w:themeColor="text2" w:themeTint="99"/>
                <w:lang w:eastAsia="zh-CN"/>
              </w:rPr>
            </w:pPr>
          </w:p>
        </w:tc>
        <w:tc>
          <w:tcPr>
            <w:tcW w:w="709" w:type="dxa"/>
            <w:tcBorders>
              <w:top w:val="single" w:sz="4" w:space="0" w:color="auto"/>
              <w:left w:val="single" w:sz="4" w:space="0" w:color="auto"/>
              <w:bottom w:val="single" w:sz="4" w:space="0" w:color="auto"/>
              <w:right w:val="single" w:sz="4" w:space="0" w:color="auto"/>
            </w:tcBorders>
            <w:noWrap/>
          </w:tcPr>
          <w:p w14:paraId="53C14354" w14:textId="77777777" w:rsidR="00A84742" w:rsidRPr="00CE4E0F" w:rsidRDefault="00A84742" w:rsidP="00A84742">
            <w:pPr>
              <w:rPr>
                <w:rFonts w:ascii="Arial Narrow" w:hAnsi="Arial Narrow"/>
                <w:color w:val="548DD4" w:themeColor="text2" w:themeTint="99"/>
                <w:lang w:eastAsia="zh-CN"/>
              </w:rPr>
            </w:pPr>
          </w:p>
        </w:tc>
        <w:tc>
          <w:tcPr>
            <w:tcW w:w="709" w:type="dxa"/>
            <w:tcBorders>
              <w:top w:val="single" w:sz="4" w:space="0" w:color="auto"/>
              <w:left w:val="single" w:sz="4" w:space="0" w:color="auto"/>
              <w:bottom w:val="single" w:sz="4" w:space="0" w:color="auto"/>
              <w:right w:val="single" w:sz="4" w:space="0" w:color="auto"/>
            </w:tcBorders>
            <w:noWrap/>
          </w:tcPr>
          <w:p w14:paraId="53C14355" w14:textId="77777777" w:rsidR="00A84742" w:rsidRPr="00CE4E0F" w:rsidRDefault="00A84742" w:rsidP="00A84742">
            <w:pPr>
              <w:rPr>
                <w:rFonts w:ascii="Arial Narrow" w:hAnsi="Arial Narrow"/>
                <w:color w:val="548DD4" w:themeColor="text2" w:themeTint="99"/>
                <w:lang w:eastAsia="zh-CN"/>
              </w:rPr>
            </w:pPr>
          </w:p>
        </w:tc>
      </w:tr>
    </w:tbl>
    <w:p w14:paraId="53C14357" w14:textId="77777777" w:rsidR="00A84742" w:rsidRPr="00CE4E0F" w:rsidRDefault="00A84742" w:rsidP="00A84742">
      <w:pPr>
        <w:jc w:val="left"/>
        <w:rPr>
          <w:rFonts w:asciiTheme="minorHAnsi" w:hAnsiTheme="minorHAnsi" w:cstheme="minorBidi"/>
          <w:color w:val="548DD4" w:themeColor="text2" w:themeTint="99"/>
        </w:rPr>
      </w:pPr>
      <w:r w:rsidRPr="00CE4E0F">
        <w:rPr>
          <w:rFonts w:asciiTheme="minorHAnsi" w:hAnsiTheme="minorHAnsi" w:cstheme="minorBidi"/>
          <w:color w:val="548DD4" w:themeColor="text2" w:themeTint="99"/>
        </w:rPr>
        <w:br w:type="page"/>
      </w:r>
    </w:p>
    <w:p w14:paraId="53C14358" w14:textId="6CDAC09A" w:rsidR="006902D1" w:rsidRPr="00414E72" w:rsidRDefault="003D3C1E" w:rsidP="002B5296">
      <w:pPr>
        <w:pStyle w:val="Caption"/>
        <w:rPr>
          <w:rFonts w:ascii="Arial" w:hAnsi="Arial" w:cs="Arial"/>
          <w:i/>
          <w:vanish/>
          <w:specVanish/>
        </w:rPr>
      </w:pPr>
      <w:bookmarkStart w:id="593" w:name="_Ref501104890"/>
      <w:bookmarkStart w:id="594" w:name="_Ref30695777"/>
      <w:bookmarkStart w:id="595" w:name="_Toc35519353"/>
      <w:bookmarkStart w:id="596" w:name="_Toc527701048"/>
      <w:bookmarkStart w:id="597" w:name="_Toc530654879"/>
      <w:bookmarkEnd w:id="593"/>
      <w:r>
        <w:lastRenderedPageBreak/>
        <w:t xml:space="preserve">Table A </w:t>
      </w:r>
      <w:r>
        <w:fldChar w:fldCharType="begin"/>
      </w:r>
      <w:r>
        <w:instrText xml:space="preserve"> SEQ Table_A \* ARABIC </w:instrText>
      </w:r>
      <w:r>
        <w:fldChar w:fldCharType="separate"/>
      </w:r>
      <w:r w:rsidR="003053D1">
        <w:rPr>
          <w:noProof/>
        </w:rPr>
        <w:t>5</w:t>
      </w:r>
      <w:r>
        <w:fldChar w:fldCharType="end"/>
      </w:r>
      <w:bookmarkEnd w:id="594"/>
      <w:r>
        <w:t xml:space="preserve"> </w:t>
      </w:r>
      <w:r w:rsidR="00A84742" w:rsidRPr="00414E72">
        <w:t>Eigenvalues for hard coral genera along constrained water quality axis</w:t>
      </w:r>
      <w:bookmarkEnd w:id="595"/>
    </w:p>
    <w:p w14:paraId="53C14359" w14:textId="77777777" w:rsidR="00A84742" w:rsidRPr="00EE76B9" w:rsidRDefault="006902D1">
      <w:pPr>
        <w:pStyle w:val="Caption"/>
        <w:rPr>
          <w:rStyle w:val="IntenseReference"/>
        </w:rPr>
      </w:pPr>
      <w:r w:rsidRPr="00414E72">
        <w:t>.</w:t>
      </w:r>
      <w:r w:rsidR="00A84742" w:rsidRPr="00414E72">
        <w:t xml:space="preserve"> </w:t>
      </w:r>
      <w:r w:rsidR="00A84742" w:rsidRPr="00EE76B9">
        <w:rPr>
          <w:rStyle w:val="IntenseReference"/>
        </w:rPr>
        <w:t>* indicates genera with both low cover (maximum &lt; 0.5% on any reef) and limited distribution (present on &lt; 25% of reefs).</w:t>
      </w:r>
      <w:bookmarkEnd w:id="596"/>
      <w:bookmarkEnd w:id="597"/>
    </w:p>
    <w:tbl>
      <w:tblPr>
        <w:tblStyle w:val="TableGrid"/>
        <w:tblW w:w="0" w:type="auto"/>
        <w:tblInd w:w="142" w:type="dxa"/>
        <w:tblLayout w:type="fixed"/>
        <w:tblLook w:val="04A0" w:firstRow="1" w:lastRow="0" w:firstColumn="1" w:lastColumn="0" w:noHBand="0" w:noVBand="1"/>
        <w:tblCaption w:val="Table A 2 Eigenvalues for hard coral genera along constrained water quality axis. * indicates genera with both low cover (maximum &lt; 0.5% on any reef) and limited distribution (present on &lt; 25% of reefs)."/>
        <w:tblDescription w:val="A table of eignevalues for each genus that are used to scale cover estimates in the estimation of community composition scores "/>
      </w:tblPr>
      <w:tblGrid>
        <w:gridCol w:w="2093"/>
        <w:gridCol w:w="850"/>
        <w:gridCol w:w="851"/>
        <w:gridCol w:w="2069"/>
        <w:gridCol w:w="766"/>
        <w:gridCol w:w="851"/>
      </w:tblGrid>
      <w:tr w:rsidR="00CE4E0F" w:rsidRPr="00414E72" w14:paraId="53C14360" w14:textId="77777777" w:rsidTr="00D85D4E">
        <w:trPr>
          <w:trHeight w:val="300"/>
          <w:tblHeader/>
        </w:trPr>
        <w:tc>
          <w:tcPr>
            <w:tcW w:w="2093" w:type="dxa"/>
            <w:shd w:val="clear" w:color="auto" w:fill="F2F2F2" w:themeFill="background1" w:themeFillShade="F2"/>
            <w:noWrap/>
            <w:vAlign w:val="bottom"/>
            <w:hideMark/>
          </w:tcPr>
          <w:p w14:paraId="53C1435A" w14:textId="77777777" w:rsidR="00A84742" w:rsidRPr="00414E72" w:rsidRDefault="00A84742" w:rsidP="00A84742">
            <w:pPr>
              <w:jc w:val="center"/>
              <w:rPr>
                <w:rFonts w:ascii="Arial Narrow" w:hAnsi="Arial Narrow"/>
                <w:b/>
              </w:rPr>
            </w:pPr>
            <w:r w:rsidRPr="00414E72">
              <w:rPr>
                <w:rFonts w:ascii="Arial Narrow" w:hAnsi="Arial Narrow"/>
                <w:b/>
              </w:rPr>
              <w:t>Genus</w:t>
            </w:r>
          </w:p>
        </w:tc>
        <w:tc>
          <w:tcPr>
            <w:tcW w:w="850" w:type="dxa"/>
            <w:shd w:val="clear" w:color="auto" w:fill="F2F2F2" w:themeFill="background1" w:themeFillShade="F2"/>
            <w:noWrap/>
            <w:vAlign w:val="bottom"/>
            <w:hideMark/>
          </w:tcPr>
          <w:p w14:paraId="53C1435B" w14:textId="77777777" w:rsidR="00A84742" w:rsidRPr="00414E72" w:rsidRDefault="00A84742" w:rsidP="00A84742">
            <w:pPr>
              <w:jc w:val="center"/>
              <w:rPr>
                <w:rFonts w:ascii="Arial Narrow" w:hAnsi="Arial Narrow"/>
                <w:b/>
              </w:rPr>
            </w:pPr>
            <w:r w:rsidRPr="00414E72">
              <w:rPr>
                <w:rFonts w:ascii="Arial Narrow" w:hAnsi="Arial Narrow"/>
                <w:b/>
              </w:rPr>
              <w:t>2 m</w:t>
            </w:r>
          </w:p>
        </w:tc>
        <w:tc>
          <w:tcPr>
            <w:tcW w:w="851" w:type="dxa"/>
            <w:tcBorders>
              <w:right w:val="thinThickThinLargeGap" w:sz="24" w:space="0" w:color="auto"/>
            </w:tcBorders>
            <w:shd w:val="clear" w:color="auto" w:fill="F2F2F2" w:themeFill="background1" w:themeFillShade="F2"/>
            <w:noWrap/>
            <w:vAlign w:val="bottom"/>
            <w:hideMark/>
          </w:tcPr>
          <w:p w14:paraId="53C1435C" w14:textId="77777777" w:rsidR="00A84742" w:rsidRPr="00414E72" w:rsidRDefault="00A84742" w:rsidP="00A84742">
            <w:pPr>
              <w:jc w:val="center"/>
              <w:rPr>
                <w:rFonts w:ascii="Arial Narrow" w:hAnsi="Arial Narrow"/>
                <w:b/>
              </w:rPr>
            </w:pPr>
            <w:r w:rsidRPr="00414E72">
              <w:rPr>
                <w:rFonts w:ascii="Arial Narrow" w:hAnsi="Arial Narrow"/>
                <w:b/>
              </w:rPr>
              <w:t>5 m</w:t>
            </w:r>
          </w:p>
        </w:tc>
        <w:tc>
          <w:tcPr>
            <w:tcW w:w="2069" w:type="dxa"/>
            <w:tcBorders>
              <w:left w:val="thinThickThinLargeGap" w:sz="24" w:space="0" w:color="auto"/>
            </w:tcBorders>
            <w:shd w:val="clear" w:color="auto" w:fill="F2F2F2" w:themeFill="background1" w:themeFillShade="F2"/>
            <w:vAlign w:val="bottom"/>
          </w:tcPr>
          <w:p w14:paraId="53C1435D" w14:textId="77777777" w:rsidR="00A84742" w:rsidRPr="00414E72" w:rsidRDefault="00A84742" w:rsidP="00A84742">
            <w:pPr>
              <w:jc w:val="center"/>
              <w:rPr>
                <w:rFonts w:ascii="Arial Narrow" w:hAnsi="Arial Narrow"/>
                <w:b/>
              </w:rPr>
            </w:pPr>
            <w:r w:rsidRPr="00414E72">
              <w:rPr>
                <w:rFonts w:ascii="Arial Narrow" w:hAnsi="Arial Narrow"/>
                <w:b/>
              </w:rPr>
              <w:t>Genus</w:t>
            </w:r>
          </w:p>
        </w:tc>
        <w:tc>
          <w:tcPr>
            <w:tcW w:w="766" w:type="dxa"/>
            <w:shd w:val="clear" w:color="auto" w:fill="F2F2F2" w:themeFill="background1" w:themeFillShade="F2"/>
            <w:vAlign w:val="bottom"/>
          </w:tcPr>
          <w:p w14:paraId="53C1435E" w14:textId="77777777" w:rsidR="00A84742" w:rsidRPr="00414E72" w:rsidRDefault="00A84742" w:rsidP="00A84742">
            <w:pPr>
              <w:jc w:val="center"/>
              <w:rPr>
                <w:rFonts w:ascii="Arial Narrow" w:hAnsi="Arial Narrow"/>
                <w:b/>
              </w:rPr>
            </w:pPr>
            <w:r w:rsidRPr="00414E72">
              <w:rPr>
                <w:rFonts w:ascii="Arial Narrow" w:hAnsi="Arial Narrow"/>
                <w:b/>
              </w:rPr>
              <w:t>2 m</w:t>
            </w:r>
          </w:p>
        </w:tc>
        <w:tc>
          <w:tcPr>
            <w:tcW w:w="851" w:type="dxa"/>
            <w:shd w:val="clear" w:color="auto" w:fill="F2F2F2" w:themeFill="background1" w:themeFillShade="F2"/>
            <w:vAlign w:val="bottom"/>
          </w:tcPr>
          <w:p w14:paraId="53C1435F" w14:textId="77777777" w:rsidR="00A84742" w:rsidRPr="00414E72" w:rsidRDefault="00A84742" w:rsidP="00A84742">
            <w:pPr>
              <w:jc w:val="center"/>
              <w:rPr>
                <w:rFonts w:ascii="Arial Narrow" w:hAnsi="Arial Narrow"/>
                <w:b/>
              </w:rPr>
            </w:pPr>
            <w:r w:rsidRPr="00414E72">
              <w:rPr>
                <w:rFonts w:ascii="Arial Narrow" w:hAnsi="Arial Narrow"/>
                <w:b/>
              </w:rPr>
              <w:t>5 m</w:t>
            </w:r>
          </w:p>
        </w:tc>
      </w:tr>
      <w:tr w:rsidR="00CE4E0F" w:rsidRPr="00414E72" w14:paraId="53C14367" w14:textId="77777777" w:rsidTr="004F16D3">
        <w:trPr>
          <w:trHeight w:val="255"/>
        </w:trPr>
        <w:tc>
          <w:tcPr>
            <w:tcW w:w="2093" w:type="dxa"/>
            <w:noWrap/>
            <w:hideMark/>
          </w:tcPr>
          <w:p w14:paraId="53C14361" w14:textId="77777777" w:rsidR="00A84742" w:rsidRPr="00414E72" w:rsidRDefault="00A84742" w:rsidP="00A84742">
            <w:pPr>
              <w:jc w:val="left"/>
              <w:rPr>
                <w:rFonts w:ascii="Arial Narrow" w:hAnsi="Arial Narrow"/>
                <w:i/>
              </w:rPr>
            </w:pPr>
            <w:r w:rsidRPr="00414E72">
              <w:rPr>
                <w:rFonts w:ascii="Arial Narrow" w:hAnsi="Arial Narrow"/>
                <w:i/>
              </w:rPr>
              <w:t>Psammocora</w:t>
            </w:r>
          </w:p>
        </w:tc>
        <w:tc>
          <w:tcPr>
            <w:tcW w:w="850" w:type="dxa"/>
            <w:noWrap/>
            <w:vAlign w:val="center"/>
            <w:hideMark/>
          </w:tcPr>
          <w:p w14:paraId="53C14362" w14:textId="77777777" w:rsidR="00A84742" w:rsidRPr="00414E72" w:rsidRDefault="00A84742" w:rsidP="00A84742">
            <w:pPr>
              <w:jc w:val="center"/>
              <w:rPr>
                <w:rFonts w:ascii="Arial Narrow" w:hAnsi="Arial Narrow"/>
              </w:rPr>
            </w:pPr>
            <w:r w:rsidRPr="00414E72">
              <w:rPr>
                <w:rFonts w:ascii="Arial Narrow" w:hAnsi="Arial Narrow"/>
              </w:rPr>
              <w:t>-0.194</w:t>
            </w:r>
          </w:p>
        </w:tc>
        <w:tc>
          <w:tcPr>
            <w:tcW w:w="851" w:type="dxa"/>
            <w:tcBorders>
              <w:right w:val="thinThickThinLargeGap" w:sz="24" w:space="0" w:color="auto"/>
            </w:tcBorders>
            <w:noWrap/>
            <w:vAlign w:val="center"/>
            <w:hideMark/>
          </w:tcPr>
          <w:p w14:paraId="53C14363" w14:textId="77777777" w:rsidR="00A84742" w:rsidRPr="00414E72" w:rsidRDefault="00A84742" w:rsidP="00A84742">
            <w:pPr>
              <w:jc w:val="center"/>
              <w:rPr>
                <w:rFonts w:ascii="Arial Narrow" w:hAnsi="Arial Narrow"/>
              </w:rPr>
            </w:pPr>
            <w:r w:rsidRPr="00414E72">
              <w:rPr>
                <w:rFonts w:ascii="Arial Narrow" w:hAnsi="Arial Narrow"/>
              </w:rPr>
              <w:t>-0.366</w:t>
            </w:r>
          </w:p>
        </w:tc>
        <w:tc>
          <w:tcPr>
            <w:tcW w:w="2069" w:type="dxa"/>
            <w:tcBorders>
              <w:left w:val="thinThickThinLargeGap" w:sz="24" w:space="0" w:color="auto"/>
            </w:tcBorders>
          </w:tcPr>
          <w:p w14:paraId="53C14364" w14:textId="77777777" w:rsidR="00A84742" w:rsidRPr="00414E72" w:rsidRDefault="00A84742" w:rsidP="00A84742">
            <w:pPr>
              <w:jc w:val="left"/>
              <w:rPr>
                <w:rFonts w:ascii="Arial Narrow" w:hAnsi="Arial Narrow"/>
                <w:i/>
              </w:rPr>
            </w:pPr>
            <w:r w:rsidRPr="00414E72">
              <w:rPr>
                <w:rFonts w:ascii="Arial Narrow" w:hAnsi="Arial Narrow"/>
                <w:i/>
              </w:rPr>
              <w:t>Scolymia *</w:t>
            </w:r>
          </w:p>
        </w:tc>
        <w:tc>
          <w:tcPr>
            <w:tcW w:w="766" w:type="dxa"/>
            <w:vAlign w:val="center"/>
          </w:tcPr>
          <w:p w14:paraId="53C14365" w14:textId="77777777" w:rsidR="00A84742" w:rsidRPr="00414E72" w:rsidRDefault="00A84742" w:rsidP="00A84742">
            <w:pPr>
              <w:jc w:val="center"/>
              <w:rPr>
                <w:rFonts w:ascii="Arial Narrow" w:hAnsi="Arial Narrow"/>
              </w:rPr>
            </w:pPr>
            <w:r w:rsidRPr="00414E72">
              <w:rPr>
                <w:rFonts w:ascii="Arial Narrow" w:hAnsi="Arial Narrow"/>
              </w:rPr>
              <w:t>1</w:t>
            </w:r>
          </w:p>
        </w:tc>
        <w:tc>
          <w:tcPr>
            <w:tcW w:w="851" w:type="dxa"/>
            <w:vAlign w:val="center"/>
          </w:tcPr>
          <w:p w14:paraId="53C14366" w14:textId="77777777" w:rsidR="00A84742" w:rsidRPr="00414E72" w:rsidRDefault="00A84742" w:rsidP="00A84742">
            <w:pPr>
              <w:jc w:val="center"/>
              <w:rPr>
                <w:rFonts w:ascii="Arial Narrow" w:hAnsi="Arial Narrow"/>
              </w:rPr>
            </w:pPr>
            <w:r w:rsidRPr="00414E72">
              <w:rPr>
                <w:rFonts w:ascii="Arial Narrow" w:hAnsi="Arial Narrow"/>
              </w:rPr>
              <w:t>0</w:t>
            </w:r>
          </w:p>
        </w:tc>
      </w:tr>
      <w:tr w:rsidR="00CE4E0F" w:rsidRPr="00414E72" w14:paraId="53C1436E" w14:textId="77777777" w:rsidTr="004F16D3">
        <w:trPr>
          <w:trHeight w:val="255"/>
        </w:trPr>
        <w:tc>
          <w:tcPr>
            <w:tcW w:w="2093" w:type="dxa"/>
            <w:noWrap/>
            <w:hideMark/>
          </w:tcPr>
          <w:p w14:paraId="53C14368" w14:textId="77777777" w:rsidR="00A84742" w:rsidRPr="00414E72" w:rsidRDefault="00A84742" w:rsidP="00A84742">
            <w:pPr>
              <w:jc w:val="left"/>
              <w:rPr>
                <w:rFonts w:ascii="Arial Narrow" w:hAnsi="Arial Narrow"/>
                <w:i/>
              </w:rPr>
            </w:pPr>
            <w:r w:rsidRPr="00414E72">
              <w:rPr>
                <w:rFonts w:ascii="Arial Narrow" w:hAnsi="Arial Narrow"/>
                <w:i/>
              </w:rPr>
              <w:t>Turbinaria</w:t>
            </w:r>
          </w:p>
        </w:tc>
        <w:tc>
          <w:tcPr>
            <w:tcW w:w="850" w:type="dxa"/>
            <w:noWrap/>
            <w:vAlign w:val="center"/>
            <w:hideMark/>
          </w:tcPr>
          <w:p w14:paraId="53C14369" w14:textId="77777777" w:rsidR="00A84742" w:rsidRPr="00414E72" w:rsidRDefault="00A84742" w:rsidP="00A84742">
            <w:pPr>
              <w:jc w:val="center"/>
              <w:rPr>
                <w:rFonts w:ascii="Arial Narrow" w:hAnsi="Arial Narrow"/>
              </w:rPr>
            </w:pPr>
            <w:r w:rsidRPr="00414E72">
              <w:rPr>
                <w:rFonts w:ascii="Arial Narrow" w:hAnsi="Arial Narrow"/>
              </w:rPr>
              <w:t>-0.279</w:t>
            </w:r>
          </w:p>
        </w:tc>
        <w:tc>
          <w:tcPr>
            <w:tcW w:w="851" w:type="dxa"/>
            <w:tcBorders>
              <w:right w:val="thinThickThinLargeGap" w:sz="24" w:space="0" w:color="auto"/>
            </w:tcBorders>
            <w:noWrap/>
            <w:vAlign w:val="center"/>
            <w:hideMark/>
          </w:tcPr>
          <w:p w14:paraId="53C1436A" w14:textId="77777777" w:rsidR="00A84742" w:rsidRPr="00414E72" w:rsidRDefault="00A84742" w:rsidP="00A84742">
            <w:pPr>
              <w:jc w:val="center"/>
              <w:rPr>
                <w:rFonts w:ascii="Arial Narrow" w:hAnsi="Arial Narrow"/>
              </w:rPr>
            </w:pPr>
            <w:r w:rsidRPr="00414E72">
              <w:rPr>
                <w:rFonts w:ascii="Arial Narrow" w:hAnsi="Arial Narrow"/>
              </w:rPr>
              <w:t>-0.307</w:t>
            </w:r>
          </w:p>
        </w:tc>
        <w:tc>
          <w:tcPr>
            <w:tcW w:w="2069" w:type="dxa"/>
            <w:tcBorders>
              <w:left w:val="thinThickThinLargeGap" w:sz="24" w:space="0" w:color="auto"/>
            </w:tcBorders>
          </w:tcPr>
          <w:p w14:paraId="53C1436B" w14:textId="77777777" w:rsidR="00A84742" w:rsidRPr="00414E72" w:rsidRDefault="00A84742" w:rsidP="00A84742">
            <w:pPr>
              <w:jc w:val="left"/>
              <w:rPr>
                <w:rFonts w:ascii="Arial Narrow" w:hAnsi="Arial Narrow"/>
                <w:i/>
              </w:rPr>
            </w:pPr>
            <w:r w:rsidRPr="00414E72">
              <w:rPr>
                <w:rFonts w:ascii="Arial Narrow" w:hAnsi="Arial Narrow"/>
                <w:i/>
              </w:rPr>
              <w:t>Ctenactis *</w:t>
            </w:r>
          </w:p>
        </w:tc>
        <w:tc>
          <w:tcPr>
            <w:tcW w:w="766" w:type="dxa"/>
            <w:vAlign w:val="center"/>
          </w:tcPr>
          <w:p w14:paraId="53C1436C" w14:textId="77777777" w:rsidR="00A84742" w:rsidRPr="00414E72" w:rsidRDefault="00A84742" w:rsidP="00A84742">
            <w:pPr>
              <w:jc w:val="center"/>
              <w:rPr>
                <w:rFonts w:ascii="Arial Narrow" w:hAnsi="Arial Narrow"/>
              </w:rPr>
            </w:pPr>
            <w:r w:rsidRPr="00414E72">
              <w:rPr>
                <w:rFonts w:ascii="Arial Narrow" w:hAnsi="Arial Narrow"/>
              </w:rPr>
              <w:t>0.016</w:t>
            </w:r>
          </w:p>
        </w:tc>
        <w:tc>
          <w:tcPr>
            <w:tcW w:w="851" w:type="dxa"/>
            <w:vAlign w:val="center"/>
          </w:tcPr>
          <w:p w14:paraId="53C1436D" w14:textId="77777777" w:rsidR="00A84742" w:rsidRPr="00414E72" w:rsidRDefault="00A84742" w:rsidP="00A84742">
            <w:pPr>
              <w:jc w:val="center"/>
              <w:rPr>
                <w:rFonts w:ascii="Arial Narrow" w:hAnsi="Arial Narrow"/>
              </w:rPr>
            </w:pPr>
            <w:r w:rsidRPr="00414E72">
              <w:rPr>
                <w:rFonts w:ascii="Arial Narrow" w:hAnsi="Arial Narrow"/>
              </w:rPr>
              <w:t>1</w:t>
            </w:r>
          </w:p>
        </w:tc>
      </w:tr>
      <w:tr w:rsidR="00CE4E0F" w:rsidRPr="00414E72" w14:paraId="53C14375" w14:textId="77777777" w:rsidTr="004F16D3">
        <w:trPr>
          <w:trHeight w:val="255"/>
        </w:trPr>
        <w:tc>
          <w:tcPr>
            <w:tcW w:w="2093" w:type="dxa"/>
            <w:noWrap/>
            <w:hideMark/>
          </w:tcPr>
          <w:p w14:paraId="53C1436F" w14:textId="77777777" w:rsidR="00A84742" w:rsidRPr="00414E72" w:rsidRDefault="00A84742" w:rsidP="00A84742">
            <w:pPr>
              <w:jc w:val="left"/>
              <w:rPr>
                <w:rFonts w:ascii="Arial Narrow" w:hAnsi="Arial Narrow"/>
                <w:i/>
              </w:rPr>
            </w:pPr>
            <w:r w:rsidRPr="00414E72">
              <w:rPr>
                <w:rFonts w:ascii="Arial Narrow" w:hAnsi="Arial Narrow"/>
                <w:i/>
              </w:rPr>
              <w:t>Goniopora</w:t>
            </w:r>
          </w:p>
        </w:tc>
        <w:tc>
          <w:tcPr>
            <w:tcW w:w="850" w:type="dxa"/>
            <w:noWrap/>
            <w:vAlign w:val="center"/>
            <w:hideMark/>
          </w:tcPr>
          <w:p w14:paraId="53C14370" w14:textId="77777777" w:rsidR="00A84742" w:rsidRPr="00414E72" w:rsidRDefault="00A84742" w:rsidP="00A84742">
            <w:pPr>
              <w:jc w:val="center"/>
              <w:rPr>
                <w:rFonts w:ascii="Arial Narrow" w:hAnsi="Arial Narrow"/>
              </w:rPr>
            </w:pPr>
            <w:r w:rsidRPr="00414E72">
              <w:rPr>
                <w:rFonts w:ascii="Arial Narrow" w:hAnsi="Arial Narrow"/>
              </w:rPr>
              <w:t>-0.320</w:t>
            </w:r>
          </w:p>
        </w:tc>
        <w:tc>
          <w:tcPr>
            <w:tcW w:w="851" w:type="dxa"/>
            <w:tcBorders>
              <w:right w:val="thinThickThinLargeGap" w:sz="24" w:space="0" w:color="auto"/>
            </w:tcBorders>
            <w:noWrap/>
            <w:vAlign w:val="center"/>
            <w:hideMark/>
          </w:tcPr>
          <w:p w14:paraId="53C14371" w14:textId="77777777" w:rsidR="00A84742" w:rsidRPr="00414E72" w:rsidRDefault="00A84742" w:rsidP="00A84742">
            <w:pPr>
              <w:jc w:val="center"/>
              <w:rPr>
                <w:rFonts w:ascii="Arial Narrow" w:hAnsi="Arial Narrow"/>
              </w:rPr>
            </w:pPr>
            <w:r w:rsidRPr="00414E72">
              <w:rPr>
                <w:rFonts w:ascii="Arial Narrow" w:hAnsi="Arial Narrow"/>
              </w:rPr>
              <w:t>-0.304</w:t>
            </w:r>
          </w:p>
        </w:tc>
        <w:tc>
          <w:tcPr>
            <w:tcW w:w="2069" w:type="dxa"/>
            <w:tcBorders>
              <w:left w:val="thinThickThinLargeGap" w:sz="24" w:space="0" w:color="auto"/>
            </w:tcBorders>
          </w:tcPr>
          <w:p w14:paraId="53C14372" w14:textId="77777777" w:rsidR="00A84742" w:rsidRPr="00414E72" w:rsidRDefault="00A84742" w:rsidP="00A84742">
            <w:pPr>
              <w:jc w:val="left"/>
              <w:rPr>
                <w:rFonts w:ascii="Arial Narrow" w:hAnsi="Arial Narrow"/>
                <w:i/>
              </w:rPr>
            </w:pPr>
            <w:r w:rsidRPr="00414E72">
              <w:rPr>
                <w:rFonts w:ascii="Arial Narrow" w:hAnsi="Arial Narrow"/>
                <w:i/>
              </w:rPr>
              <w:t>Anacropora *</w:t>
            </w:r>
          </w:p>
        </w:tc>
        <w:tc>
          <w:tcPr>
            <w:tcW w:w="766" w:type="dxa"/>
            <w:vAlign w:val="center"/>
          </w:tcPr>
          <w:p w14:paraId="53C14373" w14:textId="77777777" w:rsidR="00A84742" w:rsidRPr="00414E72" w:rsidRDefault="00A84742" w:rsidP="00A84742">
            <w:pPr>
              <w:jc w:val="center"/>
              <w:rPr>
                <w:rFonts w:ascii="Arial Narrow" w:hAnsi="Arial Narrow"/>
              </w:rPr>
            </w:pPr>
          </w:p>
        </w:tc>
        <w:tc>
          <w:tcPr>
            <w:tcW w:w="851" w:type="dxa"/>
            <w:vAlign w:val="center"/>
          </w:tcPr>
          <w:p w14:paraId="53C14374" w14:textId="77777777" w:rsidR="00A84742" w:rsidRPr="00414E72" w:rsidRDefault="00A84742" w:rsidP="00A84742">
            <w:pPr>
              <w:jc w:val="center"/>
              <w:rPr>
                <w:rFonts w:ascii="Arial Narrow" w:hAnsi="Arial Narrow"/>
              </w:rPr>
            </w:pPr>
            <w:r w:rsidRPr="00414E72">
              <w:rPr>
                <w:rFonts w:ascii="Arial Narrow" w:hAnsi="Arial Narrow"/>
              </w:rPr>
              <w:t>1</w:t>
            </w:r>
          </w:p>
        </w:tc>
      </w:tr>
      <w:tr w:rsidR="00CE4E0F" w:rsidRPr="00414E72" w14:paraId="53C1437C" w14:textId="77777777" w:rsidTr="004F16D3">
        <w:trPr>
          <w:trHeight w:val="255"/>
        </w:trPr>
        <w:tc>
          <w:tcPr>
            <w:tcW w:w="2093" w:type="dxa"/>
            <w:noWrap/>
            <w:hideMark/>
          </w:tcPr>
          <w:p w14:paraId="53C14376" w14:textId="77777777" w:rsidR="00A84742" w:rsidRPr="00414E72" w:rsidRDefault="00A84742" w:rsidP="00A84742">
            <w:pPr>
              <w:jc w:val="left"/>
              <w:rPr>
                <w:rFonts w:ascii="Arial Narrow" w:hAnsi="Arial Narrow"/>
                <w:i/>
              </w:rPr>
            </w:pPr>
            <w:r w:rsidRPr="00414E72">
              <w:rPr>
                <w:rFonts w:ascii="Arial Narrow" w:hAnsi="Arial Narrow"/>
                <w:i/>
              </w:rPr>
              <w:t>Goniastrea</w:t>
            </w:r>
          </w:p>
        </w:tc>
        <w:tc>
          <w:tcPr>
            <w:tcW w:w="850" w:type="dxa"/>
            <w:noWrap/>
            <w:vAlign w:val="center"/>
            <w:hideMark/>
          </w:tcPr>
          <w:p w14:paraId="53C14377" w14:textId="77777777" w:rsidR="00A84742" w:rsidRPr="00414E72" w:rsidRDefault="00A84742" w:rsidP="00A84742">
            <w:pPr>
              <w:jc w:val="center"/>
              <w:rPr>
                <w:rFonts w:ascii="Arial Narrow" w:hAnsi="Arial Narrow"/>
              </w:rPr>
            </w:pPr>
            <w:r w:rsidRPr="00414E72">
              <w:rPr>
                <w:rFonts w:ascii="Arial Narrow" w:hAnsi="Arial Narrow"/>
              </w:rPr>
              <w:t>-0.115</w:t>
            </w:r>
          </w:p>
        </w:tc>
        <w:tc>
          <w:tcPr>
            <w:tcW w:w="851" w:type="dxa"/>
            <w:tcBorders>
              <w:right w:val="thinThickThinLargeGap" w:sz="24" w:space="0" w:color="auto"/>
            </w:tcBorders>
            <w:noWrap/>
            <w:vAlign w:val="center"/>
            <w:hideMark/>
          </w:tcPr>
          <w:p w14:paraId="53C14378" w14:textId="77777777" w:rsidR="00A84742" w:rsidRPr="00414E72" w:rsidRDefault="00A84742" w:rsidP="00A84742">
            <w:pPr>
              <w:jc w:val="center"/>
              <w:rPr>
                <w:rFonts w:ascii="Arial Narrow" w:hAnsi="Arial Narrow"/>
              </w:rPr>
            </w:pPr>
            <w:r w:rsidRPr="00414E72">
              <w:rPr>
                <w:rFonts w:ascii="Arial Narrow" w:hAnsi="Arial Narrow"/>
              </w:rPr>
              <w:t>-0.278</w:t>
            </w:r>
          </w:p>
        </w:tc>
        <w:tc>
          <w:tcPr>
            <w:tcW w:w="2069" w:type="dxa"/>
            <w:tcBorders>
              <w:left w:val="thinThickThinLargeGap" w:sz="24" w:space="0" w:color="auto"/>
            </w:tcBorders>
          </w:tcPr>
          <w:p w14:paraId="53C14379" w14:textId="77777777" w:rsidR="00A84742" w:rsidRPr="00414E72" w:rsidRDefault="00A84742" w:rsidP="00A84742">
            <w:pPr>
              <w:jc w:val="left"/>
              <w:rPr>
                <w:rFonts w:ascii="Arial Narrow" w:hAnsi="Arial Narrow"/>
              </w:rPr>
            </w:pPr>
            <w:r w:rsidRPr="00414E72">
              <w:rPr>
                <w:rFonts w:ascii="Arial Narrow" w:hAnsi="Arial Narrow"/>
                <w:i/>
              </w:rPr>
              <w:t>Physogyra</w:t>
            </w:r>
          </w:p>
        </w:tc>
        <w:tc>
          <w:tcPr>
            <w:tcW w:w="766" w:type="dxa"/>
            <w:vAlign w:val="center"/>
          </w:tcPr>
          <w:p w14:paraId="53C1437A" w14:textId="77777777" w:rsidR="00A84742" w:rsidRPr="00414E72" w:rsidRDefault="00A84742" w:rsidP="00A84742">
            <w:pPr>
              <w:jc w:val="center"/>
              <w:rPr>
                <w:rFonts w:ascii="Arial Narrow" w:hAnsi="Arial Narrow"/>
              </w:rPr>
            </w:pPr>
            <w:r w:rsidRPr="00414E72">
              <w:rPr>
                <w:rFonts w:ascii="Arial Narrow" w:hAnsi="Arial Narrow"/>
              </w:rPr>
              <w:t>0</w:t>
            </w:r>
          </w:p>
        </w:tc>
        <w:tc>
          <w:tcPr>
            <w:tcW w:w="851" w:type="dxa"/>
            <w:vAlign w:val="center"/>
          </w:tcPr>
          <w:p w14:paraId="53C1437B" w14:textId="77777777" w:rsidR="00A84742" w:rsidRPr="00414E72" w:rsidRDefault="00A84742" w:rsidP="00A84742">
            <w:pPr>
              <w:jc w:val="center"/>
              <w:rPr>
                <w:rFonts w:ascii="Arial Narrow" w:hAnsi="Arial Narrow"/>
              </w:rPr>
            </w:pPr>
            <w:r w:rsidRPr="00414E72">
              <w:rPr>
                <w:rFonts w:ascii="Arial Narrow" w:hAnsi="Arial Narrow"/>
              </w:rPr>
              <w:t>1</w:t>
            </w:r>
          </w:p>
        </w:tc>
      </w:tr>
      <w:tr w:rsidR="00CE4E0F" w:rsidRPr="00414E72" w14:paraId="53C14383" w14:textId="77777777" w:rsidTr="004F16D3">
        <w:trPr>
          <w:trHeight w:val="255"/>
        </w:trPr>
        <w:tc>
          <w:tcPr>
            <w:tcW w:w="2093" w:type="dxa"/>
            <w:noWrap/>
            <w:hideMark/>
          </w:tcPr>
          <w:p w14:paraId="53C1437D" w14:textId="77777777" w:rsidR="00A84742" w:rsidRPr="00414E72" w:rsidRDefault="00A84742" w:rsidP="00A84742">
            <w:pPr>
              <w:jc w:val="left"/>
              <w:rPr>
                <w:rFonts w:ascii="Arial Narrow" w:hAnsi="Arial Narrow"/>
                <w:i/>
              </w:rPr>
            </w:pPr>
            <w:r w:rsidRPr="00414E72">
              <w:rPr>
                <w:rFonts w:ascii="Arial Narrow" w:hAnsi="Arial Narrow"/>
                <w:i/>
              </w:rPr>
              <w:t>Pachyseris</w:t>
            </w:r>
          </w:p>
        </w:tc>
        <w:tc>
          <w:tcPr>
            <w:tcW w:w="850" w:type="dxa"/>
            <w:noWrap/>
            <w:vAlign w:val="center"/>
            <w:hideMark/>
          </w:tcPr>
          <w:p w14:paraId="53C1437E" w14:textId="77777777" w:rsidR="00A84742" w:rsidRPr="00414E72" w:rsidRDefault="00A84742" w:rsidP="00A84742">
            <w:pPr>
              <w:jc w:val="center"/>
              <w:rPr>
                <w:rFonts w:ascii="Arial Narrow" w:hAnsi="Arial Narrow"/>
              </w:rPr>
            </w:pPr>
            <w:r w:rsidRPr="00414E72">
              <w:rPr>
                <w:rFonts w:ascii="Arial Narrow" w:hAnsi="Arial Narrow"/>
              </w:rPr>
              <w:t>-0.077</w:t>
            </w:r>
          </w:p>
        </w:tc>
        <w:tc>
          <w:tcPr>
            <w:tcW w:w="851" w:type="dxa"/>
            <w:tcBorders>
              <w:right w:val="thinThickThinLargeGap" w:sz="24" w:space="0" w:color="auto"/>
            </w:tcBorders>
            <w:noWrap/>
            <w:vAlign w:val="center"/>
            <w:hideMark/>
          </w:tcPr>
          <w:p w14:paraId="53C1437F" w14:textId="77777777" w:rsidR="00A84742" w:rsidRPr="00414E72" w:rsidRDefault="00A84742" w:rsidP="00A84742">
            <w:pPr>
              <w:jc w:val="center"/>
              <w:rPr>
                <w:rFonts w:ascii="Arial Narrow" w:hAnsi="Arial Narrow"/>
              </w:rPr>
            </w:pPr>
            <w:r w:rsidRPr="00414E72">
              <w:rPr>
                <w:rFonts w:ascii="Arial Narrow" w:hAnsi="Arial Narrow"/>
              </w:rPr>
              <w:t>-0.235</w:t>
            </w:r>
          </w:p>
        </w:tc>
        <w:tc>
          <w:tcPr>
            <w:tcW w:w="2069" w:type="dxa"/>
            <w:tcBorders>
              <w:left w:val="thinThickThinLargeGap" w:sz="24" w:space="0" w:color="auto"/>
            </w:tcBorders>
          </w:tcPr>
          <w:p w14:paraId="53C14380" w14:textId="77777777" w:rsidR="00A84742" w:rsidRPr="00414E72" w:rsidRDefault="00A84742" w:rsidP="00A84742">
            <w:pPr>
              <w:jc w:val="left"/>
              <w:rPr>
                <w:rFonts w:ascii="Arial Narrow" w:hAnsi="Arial Narrow"/>
                <w:i/>
              </w:rPr>
            </w:pPr>
            <w:r w:rsidRPr="00414E72">
              <w:rPr>
                <w:rFonts w:ascii="Arial Narrow" w:hAnsi="Arial Narrow"/>
                <w:i/>
              </w:rPr>
              <w:t>Cynarina *</w:t>
            </w:r>
          </w:p>
        </w:tc>
        <w:tc>
          <w:tcPr>
            <w:tcW w:w="766" w:type="dxa"/>
            <w:vAlign w:val="center"/>
          </w:tcPr>
          <w:p w14:paraId="53C14381" w14:textId="77777777" w:rsidR="00A84742" w:rsidRPr="00414E72" w:rsidRDefault="00A84742" w:rsidP="00A84742">
            <w:pPr>
              <w:jc w:val="center"/>
              <w:rPr>
                <w:rFonts w:ascii="Arial Narrow" w:hAnsi="Arial Narrow"/>
              </w:rPr>
            </w:pPr>
            <w:r w:rsidRPr="00414E72">
              <w:rPr>
                <w:rFonts w:ascii="Arial Narrow" w:hAnsi="Arial Narrow"/>
              </w:rPr>
              <w:t>-0</w:t>
            </w:r>
          </w:p>
        </w:tc>
        <w:tc>
          <w:tcPr>
            <w:tcW w:w="851" w:type="dxa"/>
            <w:vAlign w:val="center"/>
          </w:tcPr>
          <w:p w14:paraId="53C14382" w14:textId="77777777" w:rsidR="00A84742" w:rsidRPr="00414E72" w:rsidRDefault="00A84742" w:rsidP="00A84742">
            <w:pPr>
              <w:jc w:val="center"/>
              <w:rPr>
                <w:rFonts w:ascii="Arial Narrow" w:hAnsi="Arial Narrow"/>
              </w:rPr>
            </w:pPr>
            <w:r w:rsidRPr="00414E72">
              <w:rPr>
                <w:rFonts w:ascii="Arial Narrow" w:hAnsi="Arial Narrow"/>
              </w:rPr>
              <w:t>4</w:t>
            </w:r>
          </w:p>
        </w:tc>
      </w:tr>
      <w:tr w:rsidR="00CE4E0F" w:rsidRPr="00414E72" w14:paraId="53C1438A" w14:textId="77777777" w:rsidTr="004F16D3">
        <w:trPr>
          <w:trHeight w:val="255"/>
        </w:trPr>
        <w:tc>
          <w:tcPr>
            <w:tcW w:w="2093" w:type="dxa"/>
            <w:noWrap/>
            <w:hideMark/>
          </w:tcPr>
          <w:p w14:paraId="53C14384" w14:textId="77777777" w:rsidR="00A84742" w:rsidRPr="00414E72" w:rsidRDefault="00A84742" w:rsidP="00A84742">
            <w:pPr>
              <w:jc w:val="left"/>
              <w:rPr>
                <w:rFonts w:ascii="Arial Narrow" w:hAnsi="Arial Narrow"/>
                <w:i/>
              </w:rPr>
            </w:pPr>
            <w:r w:rsidRPr="00414E72">
              <w:rPr>
                <w:rFonts w:ascii="Arial Narrow" w:hAnsi="Arial Narrow"/>
                <w:i/>
              </w:rPr>
              <w:t>Favites</w:t>
            </w:r>
          </w:p>
        </w:tc>
        <w:tc>
          <w:tcPr>
            <w:tcW w:w="850" w:type="dxa"/>
            <w:noWrap/>
            <w:vAlign w:val="center"/>
            <w:hideMark/>
          </w:tcPr>
          <w:p w14:paraId="53C14385" w14:textId="77777777" w:rsidR="00A84742" w:rsidRPr="00414E72" w:rsidRDefault="00A84742" w:rsidP="00A84742">
            <w:pPr>
              <w:jc w:val="center"/>
              <w:rPr>
                <w:rFonts w:ascii="Arial Narrow" w:hAnsi="Arial Narrow"/>
              </w:rPr>
            </w:pPr>
            <w:r w:rsidRPr="00414E72">
              <w:rPr>
                <w:rFonts w:ascii="Arial Narrow" w:hAnsi="Arial Narrow"/>
              </w:rPr>
              <w:t>-0.096</w:t>
            </w:r>
          </w:p>
        </w:tc>
        <w:tc>
          <w:tcPr>
            <w:tcW w:w="851" w:type="dxa"/>
            <w:tcBorders>
              <w:right w:val="thinThickThinLargeGap" w:sz="24" w:space="0" w:color="auto"/>
            </w:tcBorders>
            <w:noWrap/>
            <w:vAlign w:val="center"/>
            <w:hideMark/>
          </w:tcPr>
          <w:p w14:paraId="53C14386" w14:textId="77777777" w:rsidR="00A84742" w:rsidRPr="00414E72" w:rsidRDefault="00A84742" w:rsidP="00A84742">
            <w:pPr>
              <w:jc w:val="center"/>
              <w:rPr>
                <w:rFonts w:ascii="Arial Narrow" w:hAnsi="Arial Narrow"/>
              </w:rPr>
            </w:pPr>
            <w:r w:rsidRPr="00414E72">
              <w:rPr>
                <w:rFonts w:ascii="Arial Narrow" w:hAnsi="Arial Narrow"/>
              </w:rPr>
              <w:t>-0.230</w:t>
            </w:r>
          </w:p>
        </w:tc>
        <w:tc>
          <w:tcPr>
            <w:tcW w:w="2069" w:type="dxa"/>
            <w:tcBorders>
              <w:left w:val="thinThickThinLargeGap" w:sz="24" w:space="0" w:color="auto"/>
            </w:tcBorders>
          </w:tcPr>
          <w:p w14:paraId="53C14387" w14:textId="77777777" w:rsidR="00A84742" w:rsidRPr="00414E72" w:rsidRDefault="00A84742" w:rsidP="00A84742">
            <w:pPr>
              <w:jc w:val="left"/>
              <w:rPr>
                <w:rFonts w:ascii="Arial Narrow" w:hAnsi="Arial Narrow"/>
                <w:i/>
              </w:rPr>
            </w:pPr>
            <w:r w:rsidRPr="00414E72">
              <w:rPr>
                <w:rFonts w:ascii="Arial Narrow" w:hAnsi="Arial Narrow"/>
                <w:i/>
              </w:rPr>
              <w:t>Sandalolitha*</w:t>
            </w:r>
          </w:p>
        </w:tc>
        <w:tc>
          <w:tcPr>
            <w:tcW w:w="766" w:type="dxa"/>
            <w:vAlign w:val="center"/>
          </w:tcPr>
          <w:p w14:paraId="53C14388" w14:textId="77777777" w:rsidR="00A84742" w:rsidRPr="00414E72" w:rsidRDefault="00A84742" w:rsidP="00A84742">
            <w:pPr>
              <w:jc w:val="center"/>
              <w:rPr>
                <w:rFonts w:ascii="Arial Narrow" w:hAnsi="Arial Narrow"/>
              </w:rPr>
            </w:pPr>
            <w:r w:rsidRPr="00414E72">
              <w:rPr>
                <w:rFonts w:ascii="Arial Narrow" w:hAnsi="Arial Narrow"/>
              </w:rPr>
              <w:t>3</w:t>
            </w:r>
          </w:p>
        </w:tc>
        <w:tc>
          <w:tcPr>
            <w:tcW w:w="851" w:type="dxa"/>
            <w:vAlign w:val="center"/>
          </w:tcPr>
          <w:p w14:paraId="53C14389" w14:textId="77777777" w:rsidR="00A84742" w:rsidRPr="00414E72" w:rsidRDefault="00A84742" w:rsidP="00A84742">
            <w:pPr>
              <w:jc w:val="center"/>
              <w:rPr>
                <w:rFonts w:ascii="Arial Narrow" w:hAnsi="Arial Narrow"/>
              </w:rPr>
            </w:pPr>
            <w:r w:rsidRPr="00414E72">
              <w:rPr>
                <w:rFonts w:ascii="Arial Narrow" w:hAnsi="Arial Narrow"/>
              </w:rPr>
              <w:t>5</w:t>
            </w:r>
          </w:p>
        </w:tc>
      </w:tr>
      <w:tr w:rsidR="00CE4E0F" w:rsidRPr="00414E72" w14:paraId="53C14391" w14:textId="77777777" w:rsidTr="004F16D3">
        <w:trPr>
          <w:trHeight w:val="255"/>
        </w:trPr>
        <w:tc>
          <w:tcPr>
            <w:tcW w:w="2093" w:type="dxa"/>
            <w:noWrap/>
            <w:hideMark/>
          </w:tcPr>
          <w:p w14:paraId="53C1438B" w14:textId="77777777" w:rsidR="00A84742" w:rsidRPr="00414E72" w:rsidRDefault="00A84742" w:rsidP="00A84742">
            <w:pPr>
              <w:jc w:val="left"/>
              <w:rPr>
                <w:rFonts w:ascii="Arial Narrow" w:hAnsi="Arial Narrow"/>
                <w:i/>
              </w:rPr>
            </w:pPr>
            <w:r w:rsidRPr="00414E72">
              <w:rPr>
                <w:rFonts w:ascii="Arial Narrow" w:hAnsi="Arial Narrow"/>
                <w:i/>
              </w:rPr>
              <w:t xml:space="preserve">Alveopora </w:t>
            </w:r>
          </w:p>
        </w:tc>
        <w:tc>
          <w:tcPr>
            <w:tcW w:w="850" w:type="dxa"/>
            <w:noWrap/>
            <w:vAlign w:val="center"/>
            <w:hideMark/>
          </w:tcPr>
          <w:p w14:paraId="53C1438C" w14:textId="77777777" w:rsidR="00A84742" w:rsidRPr="00414E72" w:rsidRDefault="00A84742" w:rsidP="00A84742">
            <w:pPr>
              <w:jc w:val="center"/>
              <w:rPr>
                <w:rFonts w:ascii="Arial Narrow" w:hAnsi="Arial Narrow"/>
              </w:rPr>
            </w:pPr>
            <w:r w:rsidRPr="00414E72">
              <w:rPr>
                <w:rFonts w:ascii="Arial Narrow" w:hAnsi="Arial Narrow"/>
              </w:rPr>
              <w:t>-0.076</w:t>
            </w:r>
          </w:p>
        </w:tc>
        <w:tc>
          <w:tcPr>
            <w:tcW w:w="851" w:type="dxa"/>
            <w:tcBorders>
              <w:right w:val="thinThickThinLargeGap" w:sz="24" w:space="0" w:color="auto"/>
            </w:tcBorders>
            <w:noWrap/>
            <w:vAlign w:val="center"/>
            <w:hideMark/>
          </w:tcPr>
          <w:p w14:paraId="53C1438D" w14:textId="77777777" w:rsidR="00A84742" w:rsidRPr="00414E72" w:rsidRDefault="00A84742" w:rsidP="00A84742">
            <w:pPr>
              <w:jc w:val="center"/>
              <w:rPr>
                <w:rFonts w:ascii="Arial Narrow" w:hAnsi="Arial Narrow"/>
              </w:rPr>
            </w:pPr>
            <w:r w:rsidRPr="00414E72">
              <w:rPr>
                <w:rFonts w:ascii="Arial Narrow" w:hAnsi="Arial Narrow"/>
              </w:rPr>
              <w:t>-0.221</w:t>
            </w:r>
          </w:p>
        </w:tc>
        <w:tc>
          <w:tcPr>
            <w:tcW w:w="2069" w:type="dxa"/>
            <w:tcBorders>
              <w:left w:val="thinThickThinLargeGap" w:sz="24" w:space="0" w:color="auto"/>
            </w:tcBorders>
          </w:tcPr>
          <w:p w14:paraId="53C1438E" w14:textId="77777777" w:rsidR="00A84742" w:rsidRPr="00414E72" w:rsidRDefault="00A84742" w:rsidP="00A84742">
            <w:pPr>
              <w:jc w:val="left"/>
              <w:rPr>
                <w:rFonts w:ascii="Arial Narrow" w:hAnsi="Arial Narrow"/>
                <w:i/>
              </w:rPr>
            </w:pPr>
            <w:r w:rsidRPr="00414E72">
              <w:rPr>
                <w:rFonts w:ascii="Arial Narrow" w:hAnsi="Arial Narrow"/>
                <w:i/>
              </w:rPr>
              <w:t>Montastrea</w:t>
            </w:r>
          </w:p>
        </w:tc>
        <w:tc>
          <w:tcPr>
            <w:tcW w:w="766" w:type="dxa"/>
            <w:vAlign w:val="center"/>
          </w:tcPr>
          <w:p w14:paraId="53C1438F" w14:textId="77777777" w:rsidR="00A84742" w:rsidRPr="00414E72" w:rsidRDefault="00A84742" w:rsidP="00A84742">
            <w:pPr>
              <w:jc w:val="center"/>
              <w:rPr>
                <w:rFonts w:ascii="Arial Narrow" w:hAnsi="Arial Narrow"/>
              </w:rPr>
            </w:pPr>
            <w:r w:rsidRPr="00414E72">
              <w:rPr>
                <w:rFonts w:ascii="Arial Narrow" w:hAnsi="Arial Narrow"/>
              </w:rPr>
              <w:t>0.019</w:t>
            </w:r>
          </w:p>
        </w:tc>
        <w:tc>
          <w:tcPr>
            <w:tcW w:w="851" w:type="dxa"/>
            <w:vAlign w:val="center"/>
          </w:tcPr>
          <w:p w14:paraId="53C14390" w14:textId="77777777" w:rsidR="00A84742" w:rsidRPr="00414E72" w:rsidRDefault="00A84742" w:rsidP="00A84742">
            <w:pPr>
              <w:jc w:val="center"/>
              <w:rPr>
                <w:rFonts w:ascii="Arial Narrow" w:hAnsi="Arial Narrow"/>
              </w:rPr>
            </w:pPr>
            <w:r w:rsidRPr="00414E72">
              <w:rPr>
                <w:rFonts w:ascii="Arial Narrow" w:hAnsi="Arial Narrow"/>
              </w:rPr>
              <w:t>5</w:t>
            </w:r>
          </w:p>
        </w:tc>
      </w:tr>
      <w:tr w:rsidR="00CE4E0F" w:rsidRPr="00414E72" w14:paraId="53C14398" w14:textId="77777777" w:rsidTr="004F16D3">
        <w:trPr>
          <w:trHeight w:val="255"/>
        </w:trPr>
        <w:tc>
          <w:tcPr>
            <w:tcW w:w="2093" w:type="dxa"/>
            <w:noWrap/>
            <w:hideMark/>
          </w:tcPr>
          <w:p w14:paraId="53C14392" w14:textId="77777777" w:rsidR="00A84742" w:rsidRPr="00414E72" w:rsidRDefault="00A84742" w:rsidP="00A84742">
            <w:pPr>
              <w:jc w:val="left"/>
              <w:rPr>
                <w:rFonts w:ascii="Arial Narrow" w:hAnsi="Arial Narrow"/>
                <w:i/>
              </w:rPr>
            </w:pPr>
            <w:r w:rsidRPr="00414E72">
              <w:rPr>
                <w:rFonts w:ascii="Arial Narrow" w:hAnsi="Arial Narrow"/>
                <w:i/>
              </w:rPr>
              <w:t>Hydnophora</w:t>
            </w:r>
          </w:p>
        </w:tc>
        <w:tc>
          <w:tcPr>
            <w:tcW w:w="850" w:type="dxa"/>
            <w:noWrap/>
            <w:vAlign w:val="center"/>
            <w:hideMark/>
          </w:tcPr>
          <w:p w14:paraId="53C14393" w14:textId="77777777" w:rsidR="00A84742" w:rsidRPr="00414E72" w:rsidRDefault="00A84742" w:rsidP="00A84742">
            <w:pPr>
              <w:jc w:val="center"/>
              <w:rPr>
                <w:rFonts w:ascii="Arial Narrow" w:hAnsi="Arial Narrow"/>
              </w:rPr>
            </w:pPr>
            <w:r w:rsidRPr="00414E72">
              <w:rPr>
                <w:rFonts w:ascii="Arial Narrow" w:hAnsi="Arial Narrow"/>
              </w:rPr>
              <w:t>-0.047</w:t>
            </w:r>
          </w:p>
        </w:tc>
        <w:tc>
          <w:tcPr>
            <w:tcW w:w="851" w:type="dxa"/>
            <w:tcBorders>
              <w:right w:val="thinThickThinLargeGap" w:sz="24" w:space="0" w:color="auto"/>
            </w:tcBorders>
            <w:noWrap/>
            <w:vAlign w:val="center"/>
            <w:hideMark/>
          </w:tcPr>
          <w:p w14:paraId="53C14394" w14:textId="77777777" w:rsidR="00A84742" w:rsidRPr="00414E72" w:rsidRDefault="00A84742" w:rsidP="00A84742">
            <w:pPr>
              <w:jc w:val="center"/>
              <w:rPr>
                <w:rFonts w:ascii="Arial Narrow" w:hAnsi="Arial Narrow"/>
              </w:rPr>
            </w:pPr>
            <w:r w:rsidRPr="00414E72">
              <w:rPr>
                <w:rFonts w:ascii="Arial Narrow" w:hAnsi="Arial Narrow"/>
              </w:rPr>
              <w:t>-0.213</w:t>
            </w:r>
          </w:p>
        </w:tc>
        <w:tc>
          <w:tcPr>
            <w:tcW w:w="2069" w:type="dxa"/>
            <w:tcBorders>
              <w:left w:val="thinThickThinLargeGap" w:sz="24" w:space="0" w:color="auto"/>
            </w:tcBorders>
          </w:tcPr>
          <w:p w14:paraId="53C14395" w14:textId="77777777" w:rsidR="00A84742" w:rsidRPr="00414E72" w:rsidRDefault="00A84742" w:rsidP="00A84742">
            <w:pPr>
              <w:jc w:val="left"/>
              <w:rPr>
                <w:rFonts w:ascii="Arial Narrow" w:hAnsi="Arial Narrow"/>
                <w:i/>
              </w:rPr>
            </w:pPr>
            <w:r w:rsidRPr="00414E72">
              <w:rPr>
                <w:rFonts w:ascii="Arial Narrow" w:hAnsi="Arial Narrow"/>
                <w:i/>
              </w:rPr>
              <w:t>Fungia</w:t>
            </w:r>
          </w:p>
        </w:tc>
        <w:tc>
          <w:tcPr>
            <w:tcW w:w="766" w:type="dxa"/>
            <w:vAlign w:val="center"/>
          </w:tcPr>
          <w:p w14:paraId="53C14396" w14:textId="77777777" w:rsidR="00A84742" w:rsidRPr="00414E72" w:rsidRDefault="00A84742" w:rsidP="00A84742">
            <w:pPr>
              <w:jc w:val="center"/>
              <w:rPr>
                <w:rFonts w:ascii="Arial Narrow" w:hAnsi="Arial Narrow"/>
              </w:rPr>
            </w:pPr>
            <w:r w:rsidRPr="00414E72">
              <w:rPr>
                <w:rFonts w:ascii="Arial Narrow" w:hAnsi="Arial Narrow"/>
              </w:rPr>
              <w:t>0.013</w:t>
            </w:r>
          </w:p>
        </w:tc>
        <w:tc>
          <w:tcPr>
            <w:tcW w:w="851" w:type="dxa"/>
            <w:vAlign w:val="center"/>
          </w:tcPr>
          <w:p w14:paraId="53C14397" w14:textId="77777777" w:rsidR="00A84742" w:rsidRPr="00414E72" w:rsidRDefault="00A84742" w:rsidP="00A84742">
            <w:pPr>
              <w:jc w:val="center"/>
              <w:rPr>
                <w:rFonts w:ascii="Arial Narrow" w:hAnsi="Arial Narrow"/>
              </w:rPr>
            </w:pPr>
            <w:r w:rsidRPr="00414E72">
              <w:rPr>
                <w:rFonts w:ascii="Arial Narrow" w:hAnsi="Arial Narrow"/>
              </w:rPr>
              <w:t>0.015</w:t>
            </w:r>
          </w:p>
        </w:tc>
      </w:tr>
      <w:tr w:rsidR="00CE4E0F" w:rsidRPr="00414E72" w14:paraId="53C1439F" w14:textId="77777777" w:rsidTr="004F16D3">
        <w:trPr>
          <w:trHeight w:val="255"/>
        </w:trPr>
        <w:tc>
          <w:tcPr>
            <w:tcW w:w="2093" w:type="dxa"/>
            <w:noWrap/>
            <w:hideMark/>
          </w:tcPr>
          <w:p w14:paraId="53C14399" w14:textId="77777777" w:rsidR="00A84742" w:rsidRPr="00414E72" w:rsidRDefault="00A84742" w:rsidP="00A84742">
            <w:pPr>
              <w:jc w:val="left"/>
              <w:rPr>
                <w:rFonts w:ascii="Arial Narrow" w:hAnsi="Arial Narrow"/>
                <w:i/>
              </w:rPr>
            </w:pPr>
            <w:r w:rsidRPr="00414E72">
              <w:rPr>
                <w:rFonts w:ascii="Arial Narrow" w:hAnsi="Arial Narrow"/>
                <w:i/>
              </w:rPr>
              <w:t>Cyphastrea</w:t>
            </w:r>
          </w:p>
        </w:tc>
        <w:tc>
          <w:tcPr>
            <w:tcW w:w="850" w:type="dxa"/>
            <w:noWrap/>
            <w:vAlign w:val="center"/>
            <w:hideMark/>
          </w:tcPr>
          <w:p w14:paraId="53C1439A" w14:textId="77777777" w:rsidR="00A84742" w:rsidRPr="00414E72" w:rsidRDefault="00A84742" w:rsidP="00A84742">
            <w:pPr>
              <w:jc w:val="center"/>
              <w:rPr>
                <w:rFonts w:ascii="Arial Narrow" w:hAnsi="Arial Narrow"/>
              </w:rPr>
            </w:pPr>
            <w:r w:rsidRPr="00414E72">
              <w:rPr>
                <w:rFonts w:ascii="Arial Narrow" w:hAnsi="Arial Narrow"/>
              </w:rPr>
              <w:t>-0.386</w:t>
            </w:r>
          </w:p>
        </w:tc>
        <w:tc>
          <w:tcPr>
            <w:tcW w:w="851" w:type="dxa"/>
            <w:tcBorders>
              <w:right w:val="thinThickThinLargeGap" w:sz="24" w:space="0" w:color="auto"/>
            </w:tcBorders>
            <w:noWrap/>
            <w:vAlign w:val="center"/>
            <w:hideMark/>
          </w:tcPr>
          <w:p w14:paraId="53C1439B" w14:textId="77777777" w:rsidR="00A84742" w:rsidRPr="00414E72" w:rsidRDefault="00A84742" w:rsidP="00A84742">
            <w:pPr>
              <w:jc w:val="center"/>
              <w:rPr>
                <w:rFonts w:ascii="Arial Narrow" w:hAnsi="Arial Narrow"/>
              </w:rPr>
            </w:pPr>
            <w:r w:rsidRPr="00414E72">
              <w:rPr>
                <w:rFonts w:ascii="Arial Narrow" w:hAnsi="Arial Narrow"/>
              </w:rPr>
              <w:t>-0.193</w:t>
            </w:r>
          </w:p>
        </w:tc>
        <w:tc>
          <w:tcPr>
            <w:tcW w:w="2069" w:type="dxa"/>
            <w:tcBorders>
              <w:left w:val="thinThickThinLargeGap" w:sz="24" w:space="0" w:color="auto"/>
            </w:tcBorders>
          </w:tcPr>
          <w:p w14:paraId="53C1439C" w14:textId="77777777" w:rsidR="00A84742" w:rsidRPr="00414E72" w:rsidRDefault="00A84742" w:rsidP="00A84742">
            <w:pPr>
              <w:jc w:val="left"/>
              <w:rPr>
                <w:rFonts w:ascii="Arial Narrow" w:hAnsi="Arial Narrow"/>
                <w:i/>
              </w:rPr>
            </w:pPr>
            <w:r w:rsidRPr="00414E72">
              <w:rPr>
                <w:rFonts w:ascii="Arial Narrow" w:hAnsi="Arial Narrow"/>
              </w:rPr>
              <w:t xml:space="preserve">Encrusting </w:t>
            </w:r>
            <w:r w:rsidRPr="00414E72">
              <w:rPr>
                <w:rFonts w:ascii="Arial Narrow" w:hAnsi="Arial Narrow"/>
                <w:i/>
              </w:rPr>
              <w:t>Acropora</w:t>
            </w:r>
          </w:p>
        </w:tc>
        <w:tc>
          <w:tcPr>
            <w:tcW w:w="766" w:type="dxa"/>
            <w:vAlign w:val="center"/>
          </w:tcPr>
          <w:p w14:paraId="53C1439D" w14:textId="77777777" w:rsidR="00A84742" w:rsidRPr="00414E72" w:rsidRDefault="00A84742" w:rsidP="00A84742">
            <w:pPr>
              <w:jc w:val="center"/>
              <w:rPr>
                <w:rFonts w:ascii="Arial Narrow" w:hAnsi="Arial Narrow"/>
              </w:rPr>
            </w:pPr>
            <w:r w:rsidRPr="00414E72">
              <w:rPr>
                <w:rFonts w:ascii="Arial Narrow" w:hAnsi="Arial Narrow"/>
              </w:rPr>
              <w:t>0.048</w:t>
            </w:r>
          </w:p>
        </w:tc>
        <w:tc>
          <w:tcPr>
            <w:tcW w:w="851" w:type="dxa"/>
            <w:vAlign w:val="center"/>
          </w:tcPr>
          <w:p w14:paraId="53C1439E" w14:textId="77777777" w:rsidR="00A84742" w:rsidRPr="00414E72" w:rsidRDefault="00A84742" w:rsidP="00A84742">
            <w:pPr>
              <w:jc w:val="center"/>
              <w:rPr>
                <w:rFonts w:ascii="Arial Narrow" w:hAnsi="Arial Narrow"/>
              </w:rPr>
            </w:pPr>
            <w:r w:rsidRPr="00414E72">
              <w:rPr>
                <w:rFonts w:ascii="Arial Narrow" w:hAnsi="Arial Narrow"/>
              </w:rPr>
              <w:t>0.015</w:t>
            </w:r>
          </w:p>
        </w:tc>
      </w:tr>
      <w:tr w:rsidR="00CE4E0F" w:rsidRPr="00414E72" w14:paraId="53C143A6" w14:textId="77777777" w:rsidTr="004F16D3">
        <w:trPr>
          <w:trHeight w:val="255"/>
        </w:trPr>
        <w:tc>
          <w:tcPr>
            <w:tcW w:w="2093" w:type="dxa"/>
            <w:noWrap/>
            <w:hideMark/>
          </w:tcPr>
          <w:p w14:paraId="53C143A0" w14:textId="77777777" w:rsidR="00A84742" w:rsidRPr="00414E72" w:rsidRDefault="00A84742" w:rsidP="00A84742">
            <w:pPr>
              <w:jc w:val="left"/>
              <w:rPr>
                <w:rFonts w:ascii="Arial Narrow" w:hAnsi="Arial Narrow"/>
                <w:i/>
              </w:rPr>
            </w:pPr>
            <w:r w:rsidRPr="00414E72">
              <w:rPr>
                <w:rFonts w:ascii="Arial Narrow" w:hAnsi="Arial Narrow"/>
                <w:i/>
              </w:rPr>
              <w:t>Galaxea</w:t>
            </w:r>
          </w:p>
        </w:tc>
        <w:tc>
          <w:tcPr>
            <w:tcW w:w="850" w:type="dxa"/>
            <w:noWrap/>
            <w:vAlign w:val="center"/>
            <w:hideMark/>
          </w:tcPr>
          <w:p w14:paraId="53C143A1" w14:textId="77777777" w:rsidR="00A84742" w:rsidRPr="00414E72" w:rsidRDefault="00A84742" w:rsidP="00A84742">
            <w:pPr>
              <w:jc w:val="center"/>
              <w:rPr>
                <w:rFonts w:ascii="Arial Narrow" w:hAnsi="Arial Narrow"/>
              </w:rPr>
            </w:pPr>
            <w:r w:rsidRPr="00414E72">
              <w:rPr>
                <w:rFonts w:ascii="Arial Narrow" w:hAnsi="Arial Narrow"/>
              </w:rPr>
              <w:t>-0.081</w:t>
            </w:r>
          </w:p>
        </w:tc>
        <w:tc>
          <w:tcPr>
            <w:tcW w:w="851" w:type="dxa"/>
            <w:tcBorders>
              <w:right w:val="thinThickThinLargeGap" w:sz="24" w:space="0" w:color="auto"/>
            </w:tcBorders>
            <w:noWrap/>
            <w:vAlign w:val="center"/>
            <w:hideMark/>
          </w:tcPr>
          <w:p w14:paraId="53C143A2" w14:textId="77777777" w:rsidR="00A84742" w:rsidRPr="00414E72" w:rsidRDefault="00A84742" w:rsidP="00A84742">
            <w:pPr>
              <w:jc w:val="center"/>
              <w:rPr>
                <w:rFonts w:ascii="Arial Narrow" w:hAnsi="Arial Narrow"/>
              </w:rPr>
            </w:pPr>
            <w:r w:rsidRPr="00414E72">
              <w:rPr>
                <w:rFonts w:ascii="Arial Narrow" w:hAnsi="Arial Narrow"/>
              </w:rPr>
              <w:t>-0.159</w:t>
            </w:r>
          </w:p>
        </w:tc>
        <w:tc>
          <w:tcPr>
            <w:tcW w:w="2069" w:type="dxa"/>
            <w:tcBorders>
              <w:left w:val="thinThickThinLargeGap" w:sz="24" w:space="0" w:color="auto"/>
            </w:tcBorders>
          </w:tcPr>
          <w:p w14:paraId="53C143A3" w14:textId="77777777" w:rsidR="00A84742" w:rsidRPr="00414E72" w:rsidRDefault="00A84742" w:rsidP="00A84742">
            <w:pPr>
              <w:jc w:val="left"/>
              <w:rPr>
                <w:rFonts w:ascii="Arial Narrow" w:hAnsi="Arial Narrow"/>
              </w:rPr>
            </w:pPr>
            <w:r w:rsidRPr="00414E72">
              <w:rPr>
                <w:rFonts w:ascii="Arial Narrow" w:hAnsi="Arial Narrow"/>
                <w:i/>
              </w:rPr>
              <w:t>Acanthastrea *</w:t>
            </w:r>
          </w:p>
        </w:tc>
        <w:tc>
          <w:tcPr>
            <w:tcW w:w="766" w:type="dxa"/>
            <w:vAlign w:val="center"/>
          </w:tcPr>
          <w:p w14:paraId="53C143A4" w14:textId="77777777" w:rsidR="00A84742" w:rsidRPr="00414E72" w:rsidRDefault="00A84742" w:rsidP="00A84742">
            <w:pPr>
              <w:jc w:val="center"/>
              <w:rPr>
                <w:rFonts w:ascii="Arial Narrow" w:hAnsi="Arial Narrow"/>
              </w:rPr>
            </w:pPr>
            <w:r w:rsidRPr="00414E72">
              <w:rPr>
                <w:rFonts w:ascii="Arial Narrow" w:hAnsi="Arial Narrow"/>
              </w:rPr>
              <w:t>-0.014</w:t>
            </w:r>
          </w:p>
        </w:tc>
        <w:tc>
          <w:tcPr>
            <w:tcW w:w="851" w:type="dxa"/>
            <w:vAlign w:val="center"/>
          </w:tcPr>
          <w:p w14:paraId="53C143A5" w14:textId="77777777" w:rsidR="00A84742" w:rsidRPr="00414E72" w:rsidRDefault="00A84742" w:rsidP="00A84742">
            <w:pPr>
              <w:jc w:val="center"/>
              <w:rPr>
                <w:rFonts w:ascii="Arial Narrow" w:hAnsi="Arial Narrow"/>
              </w:rPr>
            </w:pPr>
            <w:r w:rsidRPr="00414E72">
              <w:rPr>
                <w:rFonts w:ascii="Arial Narrow" w:hAnsi="Arial Narrow"/>
              </w:rPr>
              <w:t>0.017</w:t>
            </w:r>
          </w:p>
        </w:tc>
      </w:tr>
      <w:tr w:rsidR="00CE4E0F" w:rsidRPr="00414E72" w14:paraId="53C143AD" w14:textId="77777777" w:rsidTr="004F16D3">
        <w:trPr>
          <w:trHeight w:val="255"/>
        </w:trPr>
        <w:tc>
          <w:tcPr>
            <w:tcW w:w="2093" w:type="dxa"/>
            <w:noWrap/>
            <w:hideMark/>
          </w:tcPr>
          <w:p w14:paraId="53C143A7" w14:textId="77777777" w:rsidR="00A84742" w:rsidRPr="00414E72" w:rsidRDefault="00A84742" w:rsidP="00A84742">
            <w:pPr>
              <w:jc w:val="left"/>
              <w:rPr>
                <w:rFonts w:ascii="Arial Narrow" w:hAnsi="Arial Narrow"/>
                <w:i/>
              </w:rPr>
            </w:pPr>
            <w:r w:rsidRPr="00414E72">
              <w:rPr>
                <w:rFonts w:ascii="Arial Narrow" w:hAnsi="Arial Narrow"/>
                <w:i/>
              </w:rPr>
              <w:t>Mycedium</w:t>
            </w:r>
          </w:p>
        </w:tc>
        <w:tc>
          <w:tcPr>
            <w:tcW w:w="850" w:type="dxa"/>
            <w:noWrap/>
            <w:vAlign w:val="center"/>
            <w:hideMark/>
          </w:tcPr>
          <w:p w14:paraId="53C143A8" w14:textId="77777777" w:rsidR="00A84742" w:rsidRPr="00414E72" w:rsidRDefault="00A84742" w:rsidP="00A84742">
            <w:pPr>
              <w:jc w:val="center"/>
              <w:rPr>
                <w:rFonts w:ascii="Arial Narrow" w:hAnsi="Arial Narrow"/>
              </w:rPr>
            </w:pPr>
            <w:r w:rsidRPr="00414E72">
              <w:rPr>
                <w:rFonts w:ascii="Arial Narrow" w:hAnsi="Arial Narrow"/>
              </w:rPr>
              <w:t>-0.017</w:t>
            </w:r>
          </w:p>
        </w:tc>
        <w:tc>
          <w:tcPr>
            <w:tcW w:w="851" w:type="dxa"/>
            <w:tcBorders>
              <w:right w:val="thinThickThinLargeGap" w:sz="24" w:space="0" w:color="auto"/>
            </w:tcBorders>
            <w:noWrap/>
            <w:vAlign w:val="center"/>
            <w:hideMark/>
          </w:tcPr>
          <w:p w14:paraId="53C143A9" w14:textId="77777777" w:rsidR="00A84742" w:rsidRPr="00414E72" w:rsidRDefault="00A84742" w:rsidP="00A84742">
            <w:pPr>
              <w:jc w:val="center"/>
              <w:rPr>
                <w:rFonts w:ascii="Arial Narrow" w:hAnsi="Arial Narrow"/>
              </w:rPr>
            </w:pPr>
            <w:r w:rsidRPr="00414E72">
              <w:rPr>
                <w:rFonts w:ascii="Arial Narrow" w:hAnsi="Arial Narrow"/>
              </w:rPr>
              <w:t>-0.151</w:t>
            </w:r>
          </w:p>
        </w:tc>
        <w:tc>
          <w:tcPr>
            <w:tcW w:w="2069" w:type="dxa"/>
            <w:tcBorders>
              <w:left w:val="thinThickThinLargeGap" w:sz="24" w:space="0" w:color="auto"/>
            </w:tcBorders>
          </w:tcPr>
          <w:p w14:paraId="53C143AA" w14:textId="77777777" w:rsidR="00A84742" w:rsidRPr="00414E72" w:rsidRDefault="00A84742" w:rsidP="00A84742">
            <w:pPr>
              <w:jc w:val="left"/>
              <w:rPr>
                <w:rFonts w:ascii="Arial Narrow" w:hAnsi="Arial Narrow"/>
                <w:i/>
              </w:rPr>
            </w:pPr>
            <w:r w:rsidRPr="00414E72">
              <w:rPr>
                <w:rFonts w:ascii="Arial Narrow" w:hAnsi="Arial Narrow"/>
                <w:i/>
              </w:rPr>
              <w:t>Symphyllia</w:t>
            </w:r>
          </w:p>
        </w:tc>
        <w:tc>
          <w:tcPr>
            <w:tcW w:w="766" w:type="dxa"/>
            <w:vAlign w:val="center"/>
          </w:tcPr>
          <w:p w14:paraId="53C143AB" w14:textId="77777777" w:rsidR="00A84742" w:rsidRPr="00414E72" w:rsidRDefault="00A84742" w:rsidP="00A84742">
            <w:pPr>
              <w:jc w:val="center"/>
              <w:rPr>
                <w:rFonts w:ascii="Arial Narrow" w:hAnsi="Arial Narrow"/>
              </w:rPr>
            </w:pPr>
            <w:r w:rsidRPr="00414E72">
              <w:rPr>
                <w:rFonts w:ascii="Arial Narrow" w:hAnsi="Arial Narrow"/>
              </w:rPr>
              <w:t>0.034</w:t>
            </w:r>
          </w:p>
        </w:tc>
        <w:tc>
          <w:tcPr>
            <w:tcW w:w="851" w:type="dxa"/>
            <w:vAlign w:val="center"/>
          </w:tcPr>
          <w:p w14:paraId="53C143AC" w14:textId="77777777" w:rsidR="00A84742" w:rsidRPr="00414E72" w:rsidRDefault="00A84742" w:rsidP="00A84742">
            <w:pPr>
              <w:jc w:val="center"/>
              <w:rPr>
                <w:rFonts w:ascii="Arial Narrow" w:hAnsi="Arial Narrow"/>
              </w:rPr>
            </w:pPr>
            <w:r w:rsidRPr="00414E72">
              <w:rPr>
                <w:rFonts w:ascii="Arial Narrow" w:hAnsi="Arial Narrow"/>
              </w:rPr>
              <w:t>0.018</w:t>
            </w:r>
          </w:p>
        </w:tc>
      </w:tr>
      <w:tr w:rsidR="00CE4E0F" w:rsidRPr="00414E72" w14:paraId="53C143B4" w14:textId="77777777" w:rsidTr="004F16D3">
        <w:trPr>
          <w:trHeight w:val="255"/>
        </w:trPr>
        <w:tc>
          <w:tcPr>
            <w:tcW w:w="2093" w:type="dxa"/>
            <w:noWrap/>
            <w:hideMark/>
          </w:tcPr>
          <w:p w14:paraId="53C143AE" w14:textId="77777777" w:rsidR="00A84742" w:rsidRPr="00414E72" w:rsidRDefault="00A84742" w:rsidP="00A84742">
            <w:pPr>
              <w:jc w:val="left"/>
              <w:rPr>
                <w:rFonts w:ascii="Arial Narrow" w:hAnsi="Arial Narrow"/>
                <w:i/>
              </w:rPr>
            </w:pPr>
            <w:r w:rsidRPr="00414E72">
              <w:rPr>
                <w:rFonts w:ascii="Arial Narrow" w:hAnsi="Arial Narrow"/>
                <w:i/>
              </w:rPr>
              <w:t>Favia</w:t>
            </w:r>
          </w:p>
        </w:tc>
        <w:tc>
          <w:tcPr>
            <w:tcW w:w="850" w:type="dxa"/>
            <w:noWrap/>
            <w:vAlign w:val="center"/>
            <w:hideMark/>
          </w:tcPr>
          <w:p w14:paraId="53C143AF" w14:textId="77777777" w:rsidR="00A84742" w:rsidRPr="00414E72" w:rsidRDefault="00A84742" w:rsidP="00A84742">
            <w:pPr>
              <w:jc w:val="center"/>
              <w:rPr>
                <w:rFonts w:ascii="Arial Narrow" w:hAnsi="Arial Narrow"/>
              </w:rPr>
            </w:pPr>
            <w:r w:rsidRPr="00414E72">
              <w:rPr>
                <w:rFonts w:ascii="Arial Narrow" w:hAnsi="Arial Narrow"/>
              </w:rPr>
              <w:t>-0.134</w:t>
            </w:r>
          </w:p>
        </w:tc>
        <w:tc>
          <w:tcPr>
            <w:tcW w:w="851" w:type="dxa"/>
            <w:tcBorders>
              <w:right w:val="thinThickThinLargeGap" w:sz="24" w:space="0" w:color="auto"/>
            </w:tcBorders>
            <w:noWrap/>
            <w:vAlign w:val="center"/>
            <w:hideMark/>
          </w:tcPr>
          <w:p w14:paraId="53C143B0" w14:textId="77777777" w:rsidR="00A84742" w:rsidRPr="00414E72" w:rsidRDefault="00A84742" w:rsidP="00A84742">
            <w:pPr>
              <w:jc w:val="center"/>
              <w:rPr>
                <w:rFonts w:ascii="Arial Narrow" w:hAnsi="Arial Narrow"/>
              </w:rPr>
            </w:pPr>
            <w:r w:rsidRPr="00414E72">
              <w:rPr>
                <w:rFonts w:ascii="Arial Narrow" w:hAnsi="Arial Narrow"/>
              </w:rPr>
              <w:t>-0.136</w:t>
            </w:r>
          </w:p>
        </w:tc>
        <w:tc>
          <w:tcPr>
            <w:tcW w:w="2069" w:type="dxa"/>
            <w:tcBorders>
              <w:left w:val="thinThickThinLargeGap" w:sz="24" w:space="0" w:color="auto"/>
            </w:tcBorders>
          </w:tcPr>
          <w:p w14:paraId="53C143B1" w14:textId="77777777" w:rsidR="00A84742" w:rsidRPr="00414E72" w:rsidRDefault="00A84742" w:rsidP="00A84742">
            <w:pPr>
              <w:jc w:val="left"/>
              <w:rPr>
                <w:rFonts w:ascii="Arial Narrow" w:hAnsi="Arial Narrow"/>
              </w:rPr>
            </w:pPr>
            <w:r w:rsidRPr="00414E72">
              <w:rPr>
                <w:rFonts w:ascii="Arial Narrow" w:hAnsi="Arial Narrow"/>
                <w:i/>
              </w:rPr>
              <w:t>Seriatopora</w:t>
            </w:r>
          </w:p>
        </w:tc>
        <w:tc>
          <w:tcPr>
            <w:tcW w:w="766" w:type="dxa"/>
            <w:vAlign w:val="center"/>
          </w:tcPr>
          <w:p w14:paraId="53C143B2" w14:textId="77777777" w:rsidR="00A84742" w:rsidRPr="00414E72" w:rsidRDefault="00A84742" w:rsidP="00A84742">
            <w:pPr>
              <w:jc w:val="center"/>
              <w:rPr>
                <w:rFonts w:ascii="Arial Narrow" w:hAnsi="Arial Narrow"/>
              </w:rPr>
            </w:pPr>
            <w:r w:rsidRPr="00414E72">
              <w:rPr>
                <w:rFonts w:ascii="Arial Narrow" w:hAnsi="Arial Narrow"/>
              </w:rPr>
              <w:t>0.05</w:t>
            </w:r>
          </w:p>
        </w:tc>
        <w:tc>
          <w:tcPr>
            <w:tcW w:w="851" w:type="dxa"/>
            <w:vAlign w:val="center"/>
          </w:tcPr>
          <w:p w14:paraId="53C143B3" w14:textId="77777777" w:rsidR="00A84742" w:rsidRPr="00414E72" w:rsidRDefault="00A84742" w:rsidP="00A84742">
            <w:pPr>
              <w:jc w:val="center"/>
              <w:rPr>
                <w:rFonts w:ascii="Arial Narrow" w:hAnsi="Arial Narrow"/>
              </w:rPr>
            </w:pPr>
            <w:r w:rsidRPr="00414E72">
              <w:rPr>
                <w:rFonts w:ascii="Arial Narrow" w:hAnsi="Arial Narrow"/>
              </w:rPr>
              <w:t>0.027</w:t>
            </w:r>
          </w:p>
        </w:tc>
      </w:tr>
      <w:tr w:rsidR="00CE4E0F" w:rsidRPr="00414E72" w14:paraId="53C143BB" w14:textId="77777777" w:rsidTr="004F16D3">
        <w:trPr>
          <w:trHeight w:val="255"/>
        </w:trPr>
        <w:tc>
          <w:tcPr>
            <w:tcW w:w="2093" w:type="dxa"/>
            <w:noWrap/>
            <w:hideMark/>
          </w:tcPr>
          <w:p w14:paraId="53C143B5" w14:textId="77777777" w:rsidR="00A84742" w:rsidRPr="00414E72" w:rsidRDefault="00A84742" w:rsidP="00A84742">
            <w:pPr>
              <w:jc w:val="left"/>
              <w:rPr>
                <w:rFonts w:ascii="Arial Narrow" w:hAnsi="Arial Narrow"/>
                <w:i/>
              </w:rPr>
            </w:pPr>
            <w:r w:rsidRPr="00414E72">
              <w:rPr>
                <w:rFonts w:ascii="Arial Narrow" w:hAnsi="Arial Narrow"/>
                <w:i/>
              </w:rPr>
              <w:t>Pectinia</w:t>
            </w:r>
          </w:p>
        </w:tc>
        <w:tc>
          <w:tcPr>
            <w:tcW w:w="850" w:type="dxa"/>
            <w:noWrap/>
            <w:vAlign w:val="center"/>
            <w:hideMark/>
          </w:tcPr>
          <w:p w14:paraId="53C143B6" w14:textId="77777777" w:rsidR="00A84742" w:rsidRPr="00414E72" w:rsidRDefault="00A84742" w:rsidP="00A84742">
            <w:pPr>
              <w:jc w:val="center"/>
              <w:rPr>
                <w:rFonts w:ascii="Arial Narrow" w:hAnsi="Arial Narrow"/>
              </w:rPr>
            </w:pPr>
            <w:r w:rsidRPr="00414E72">
              <w:rPr>
                <w:rFonts w:ascii="Arial Narrow" w:hAnsi="Arial Narrow"/>
              </w:rPr>
              <w:t>-0.030</w:t>
            </w:r>
          </w:p>
        </w:tc>
        <w:tc>
          <w:tcPr>
            <w:tcW w:w="851" w:type="dxa"/>
            <w:tcBorders>
              <w:right w:val="thinThickThinLargeGap" w:sz="24" w:space="0" w:color="auto"/>
            </w:tcBorders>
            <w:noWrap/>
            <w:vAlign w:val="center"/>
            <w:hideMark/>
          </w:tcPr>
          <w:p w14:paraId="53C143B7" w14:textId="77777777" w:rsidR="00A84742" w:rsidRPr="00414E72" w:rsidRDefault="00A84742" w:rsidP="00A84742">
            <w:pPr>
              <w:jc w:val="center"/>
              <w:rPr>
                <w:rFonts w:ascii="Arial Narrow" w:hAnsi="Arial Narrow"/>
              </w:rPr>
            </w:pPr>
            <w:r w:rsidRPr="00414E72">
              <w:rPr>
                <w:rFonts w:ascii="Arial Narrow" w:hAnsi="Arial Narrow"/>
              </w:rPr>
              <w:t>-0.126</w:t>
            </w:r>
          </w:p>
        </w:tc>
        <w:tc>
          <w:tcPr>
            <w:tcW w:w="2069" w:type="dxa"/>
            <w:tcBorders>
              <w:left w:val="thinThickThinLargeGap" w:sz="24" w:space="0" w:color="auto"/>
            </w:tcBorders>
          </w:tcPr>
          <w:p w14:paraId="53C143B8" w14:textId="77777777" w:rsidR="00A84742" w:rsidRPr="00414E72" w:rsidRDefault="00A84742" w:rsidP="00A84742">
            <w:pPr>
              <w:jc w:val="left"/>
              <w:rPr>
                <w:rFonts w:ascii="Arial Narrow" w:hAnsi="Arial Narrow"/>
                <w:i/>
              </w:rPr>
            </w:pPr>
            <w:r w:rsidRPr="00414E72">
              <w:rPr>
                <w:rFonts w:ascii="Arial Narrow" w:hAnsi="Arial Narrow"/>
                <w:i/>
              </w:rPr>
              <w:t>Stylophora</w:t>
            </w:r>
          </w:p>
        </w:tc>
        <w:tc>
          <w:tcPr>
            <w:tcW w:w="766" w:type="dxa"/>
            <w:vAlign w:val="center"/>
          </w:tcPr>
          <w:p w14:paraId="53C143B9" w14:textId="77777777" w:rsidR="00A84742" w:rsidRPr="00414E72" w:rsidRDefault="00A84742" w:rsidP="00A84742">
            <w:pPr>
              <w:jc w:val="center"/>
              <w:rPr>
                <w:rFonts w:ascii="Arial Narrow" w:hAnsi="Arial Narrow"/>
              </w:rPr>
            </w:pPr>
            <w:r w:rsidRPr="00414E72">
              <w:rPr>
                <w:rFonts w:ascii="Arial Narrow" w:hAnsi="Arial Narrow"/>
              </w:rPr>
              <w:t>0.035</w:t>
            </w:r>
          </w:p>
        </w:tc>
        <w:tc>
          <w:tcPr>
            <w:tcW w:w="851" w:type="dxa"/>
            <w:vAlign w:val="center"/>
          </w:tcPr>
          <w:p w14:paraId="53C143BA" w14:textId="77777777" w:rsidR="00A84742" w:rsidRPr="00414E72" w:rsidRDefault="00A84742" w:rsidP="00A84742">
            <w:pPr>
              <w:jc w:val="center"/>
              <w:rPr>
                <w:rFonts w:ascii="Arial Narrow" w:hAnsi="Arial Narrow"/>
              </w:rPr>
            </w:pPr>
            <w:r w:rsidRPr="00414E72">
              <w:rPr>
                <w:rFonts w:ascii="Arial Narrow" w:hAnsi="Arial Narrow"/>
              </w:rPr>
              <w:t>0.033</w:t>
            </w:r>
          </w:p>
        </w:tc>
      </w:tr>
      <w:tr w:rsidR="00CE4E0F" w:rsidRPr="00414E72" w14:paraId="53C143C2" w14:textId="77777777" w:rsidTr="004F16D3">
        <w:trPr>
          <w:trHeight w:val="255"/>
        </w:trPr>
        <w:tc>
          <w:tcPr>
            <w:tcW w:w="2093" w:type="dxa"/>
            <w:noWrap/>
            <w:hideMark/>
          </w:tcPr>
          <w:p w14:paraId="53C143BC" w14:textId="77777777" w:rsidR="00A84742" w:rsidRPr="00414E72" w:rsidRDefault="00A84742" w:rsidP="00A84742">
            <w:pPr>
              <w:jc w:val="left"/>
              <w:rPr>
                <w:rFonts w:ascii="Arial Narrow" w:hAnsi="Arial Narrow"/>
                <w:i/>
              </w:rPr>
            </w:pPr>
            <w:r w:rsidRPr="00414E72">
              <w:rPr>
                <w:rFonts w:ascii="Arial Narrow" w:hAnsi="Arial Narrow"/>
                <w:i/>
              </w:rPr>
              <w:t>Podobacia</w:t>
            </w:r>
          </w:p>
        </w:tc>
        <w:tc>
          <w:tcPr>
            <w:tcW w:w="850" w:type="dxa"/>
            <w:noWrap/>
            <w:vAlign w:val="center"/>
            <w:hideMark/>
          </w:tcPr>
          <w:p w14:paraId="53C143BD" w14:textId="77777777" w:rsidR="00A84742" w:rsidRPr="00414E72" w:rsidRDefault="00A84742" w:rsidP="00A84742">
            <w:pPr>
              <w:jc w:val="center"/>
              <w:rPr>
                <w:rFonts w:ascii="Arial Narrow" w:hAnsi="Arial Narrow"/>
              </w:rPr>
            </w:pPr>
            <w:r w:rsidRPr="00414E72">
              <w:rPr>
                <w:rFonts w:ascii="Arial Narrow" w:hAnsi="Arial Narrow"/>
              </w:rPr>
              <w:t>-0.025</w:t>
            </w:r>
          </w:p>
        </w:tc>
        <w:tc>
          <w:tcPr>
            <w:tcW w:w="851" w:type="dxa"/>
            <w:tcBorders>
              <w:right w:val="thinThickThinLargeGap" w:sz="24" w:space="0" w:color="auto"/>
            </w:tcBorders>
            <w:noWrap/>
            <w:vAlign w:val="center"/>
            <w:hideMark/>
          </w:tcPr>
          <w:p w14:paraId="53C143BE" w14:textId="77777777" w:rsidR="00A84742" w:rsidRPr="00414E72" w:rsidRDefault="00A84742" w:rsidP="00A84742">
            <w:pPr>
              <w:jc w:val="center"/>
              <w:rPr>
                <w:rFonts w:ascii="Arial Narrow" w:hAnsi="Arial Narrow"/>
              </w:rPr>
            </w:pPr>
            <w:r w:rsidRPr="00414E72">
              <w:rPr>
                <w:rFonts w:ascii="Arial Narrow" w:hAnsi="Arial Narrow"/>
              </w:rPr>
              <w:t>-0.122</w:t>
            </w:r>
          </w:p>
        </w:tc>
        <w:tc>
          <w:tcPr>
            <w:tcW w:w="2069" w:type="dxa"/>
            <w:tcBorders>
              <w:left w:val="thinThickThinLargeGap" w:sz="24" w:space="0" w:color="auto"/>
            </w:tcBorders>
          </w:tcPr>
          <w:p w14:paraId="53C143BF" w14:textId="77777777" w:rsidR="00A84742" w:rsidRPr="00414E72" w:rsidRDefault="00A84742" w:rsidP="00A84742">
            <w:pPr>
              <w:jc w:val="left"/>
              <w:rPr>
                <w:rFonts w:ascii="Arial Narrow" w:hAnsi="Arial Narrow"/>
              </w:rPr>
            </w:pPr>
            <w:r w:rsidRPr="00414E72">
              <w:rPr>
                <w:rFonts w:ascii="Arial Narrow" w:hAnsi="Arial Narrow"/>
                <w:i/>
              </w:rPr>
              <w:t>Oulophyllia</w:t>
            </w:r>
          </w:p>
        </w:tc>
        <w:tc>
          <w:tcPr>
            <w:tcW w:w="766" w:type="dxa"/>
            <w:vAlign w:val="center"/>
          </w:tcPr>
          <w:p w14:paraId="53C143C0" w14:textId="77777777" w:rsidR="00A84742" w:rsidRPr="00414E72" w:rsidRDefault="00A84742" w:rsidP="00A84742">
            <w:pPr>
              <w:jc w:val="center"/>
              <w:rPr>
                <w:rFonts w:ascii="Arial Narrow" w:hAnsi="Arial Narrow"/>
              </w:rPr>
            </w:pPr>
            <w:r w:rsidRPr="00414E72">
              <w:rPr>
                <w:rFonts w:ascii="Arial Narrow" w:hAnsi="Arial Narrow"/>
              </w:rPr>
              <w:t>0.02</w:t>
            </w:r>
          </w:p>
        </w:tc>
        <w:tc>
          <w:tcPr>
            <w:tcW w:w="851" w:type="dxa"/>
            <w:vAlign w:val="center"/>
          </w:tcPr>
          <w:p w14:paraId="53C143C1" w14:textId="77777777" w:rsidR="00A84742" w:rsidRPr="00414E72" w:rsidRDefault="00A84742" w:rsidP="00A84742">
            <w:pPr>
              <w:jc w:val="center"/>
              <w:rPr>
                <w:rFonts w:ascii="Arial Narrow" w:hAnsi="Arial Narrow"/>
              </w:rPr>
            </w:pPr>
            <w:r w:rsidRPr="00414E72">
              <w:rPr>
                <w:rFonts w:ascii="Arial Narrow" w:hAnsi="Arial Narrow"/>
              </w:rPr>
              <w:t>0.037</w:t>
            </w:r>
          </w:p>
        </w:tc>
      </w:tr>
      <w:tr w:rsidR="00CE4E0F" w:rsidRPr="00414E72" w14:paraId="53C143C9" w14:textId="77777777" w:rsidTr="004F16D3">
        <w:trPr>
          <w:trHeight w:val="255"/>
        </w:trPr>
        <w:tc>
          <w:tcPr>
            <w:tcW w:w="2093" w:type="dxa"/>
            <w:noWrap/>
            <w:hideMark/>
          </w:tcPr>
          <w:p w14:paraId="53C143C3" w14:textId="77777777" w:rsidR="00A84742" w:rsidRPr="00414E72" w:rsidRDefault="00A84742" w:rsidP="00A84742">
            <w:pPr>
              <w:jc w:val="left"/>
              <w:rPr>
                <w:rFonts w:ascii="Arial Narrow" w:hAnsi="Arial Narrow"/>
                <w:i/>
              </w:rPr>
            </w:pPr>
            <w:r w:rsidRPr="00414E72">
              <w:rPr>
                <w:rFonts w:ascii="Arial Narrow" w:hAnsi="Arial Narrow"/>
                <w:i/>
              </w:rPr>
              <w:t>Plesiastrea</w:t>
            </w:r>
          </w:p>
        </w:tc>
        <w:tc>
          <w:tcPr>
            <w:tcW w:w="850" w:type="dxa"/>
            <w:noWrap/>
            <w:vAlign w:val="center"/>
            <w:hideMark/>
          </w:tcPr>
          <w:p w14:paraId="53C143C4" w14:textId="77777777" w:rsidR="00A84742" w:rsidRPr="00414E72" w:rsidRDefault="00A84742" w:rsidP="00A84742">
            <w:pPr>
              <w:jc w:val="center"/>
              <w:rPr>
                <w:rFonts w:ascii="Arial Narrow" w:hAnsi="Arial Narrow"/>
              </w:rPr>
            </w:pPr>
            <w:r w:rsidRPr="00414E72">
              <w:rPr>
                <w:rFonts w:ascii="Arial Narrow" w:hAnsi="Arial Narrow"/>
              </w:rPr>
              <w:t>-0.125</w:t>
            </w:r>
          </w:p>
        </w:tc>
        <w:tc>
          <w:tcPr>
            <w:tcW w:w="851" w:type="dxa"/>
            <w:tcBorders>
              <w:right w:val="thinThickThinLargeGap" w:sz="24" w:space="0" w:color="auto"/>
            </w:tcBorders>
            <w:noWrap/>
            <w:vAlign w:val="center"/>
            <w:hideMark/>
          </w:tcPr>
          <w:p w14:paraId="53C143C5" w14:textId="77777777" w:rsidR="00A84742" w:rsidRPr="00414E72" w:rsidRDefault="00A84742" w:rsidP="00A84742">
            <w:pPr>
              <w:jc w:val="center"/>
              <w:rPr>
                <w:rFonts w:ascii="Arial Narrow" w:hAnsi="Arial Narrow"/>
              </w:rPr>
            </w:pPr>
            <w:r w:rsidRPr="00414E72">
              <w:rPr>
                <w:rFonts w:ascii="Arial Narrow" w:hAnsi="Arial Narrow"/>
              </w:rPr>
              <w:t>-0.114</w:t>
            </w:r>
          </w:p>
        </w:tc>
        <w:tc>
          <w:tcPr>
            <w:tcW w:w="2069" w:type="dxa"/>
            <w:tcBorders>
              <w:left w:val="thinThickThinLargeGap" w:sz="24" w:space="0" w:color="auto"/>
            </w:tcBorders>
          </w:tcPr>
          <w:p w14:paraId="53C143C6" w14:textId="77777777" w:rsidR="00A84742" w:rsidRPr="00414E72" w:rsidRDefault="00A84742" w:rsidP="00A84742">
            <w:pPr>
              <w:jc w:val="left"/>
              <w:rPr>
                <w:rFonts w:ascii="Arial Narrow" w:hAnsi="Arial Narrow"/>
              </w:rPr>
            </w:pPr>
            <w:r w:rsidRPr="00414E72">
              <w:rPr>
                <w:rFonts w:ascii="Arial Narrow" w:hAnsi="Arial Narrow"/>
              </w:rPr>
              <w:t xml:space="preserve">Digitate </w:t>
            </w:r>
            <w:r w:rsidRPr="00414E72">
              <w:rPr>
                <w:rFonts w:ascii="Arial Narrow" w:hAnsi="Arial Narrow"/>
                <w:i/>
              </w:rPr>
              <w:t>Acropora</w:t>
            </w:r>
          </w:p>
        </w:tc>
        <w:tc>
          <w:tcPr>
            <w:tcW w:w="766" w:type="dxa"/>
            <w:vAlign w:val="center"/>
          </w:tcPr>
          <w:p w14:paraId="53C143C7" w14:textId="77777777" w:rsidR="00A84742" w:rsidRPr="00414E72" w:rsidRDefault="00A84742" w:rsidP="00A84742">
            <w:pPr>
              <w:jc w:val="center"/>
              <w:rPr>
                <w:rFonts w:ascii="Arial Narrow" w:hAnsi="Arial Narrow"/>
              </w:rPr>
            </w:pPr>
            <w:r w:rsidRPr="00414E72">
              <w:rPr>
                <w:rFonts w:ascii="Arial Narrow" w:hAnsi="Arial Narrow"/>
              </w:rPr>
              <w:t>0.034</w:t>
            </w:r>
          </w:p>
        </w:tc>
        <w:tc>
          <w:tcPr>
            <w:tcW w:w="851" w:type="dxa"/>
            <w:vAlign w:val="center"/>
          </w:tcPr>
          <w:p w14:paraId="53C143C8" w14:textId="77777777" w:rsidR="00A84742" w:rsidRPr="00414E72" w:rsidRDefault="00A84742" w:rsidP="00A84742">
            <w:pPr>
              <w:jc w:val="center"/>
              <w:rPr>
                <w:rFonts w:ascii="Arial Narrow" w:hAnsi="Arial Narrow"/>
              </w:rPr>
            </w:pPr>
            <w:r w:rsidRPr="00414E72">
              <w:rPr>
                <w:rFonts w:ascii="Arial Narrow" w:hAnsi="Arial Narrow"/>
              </w:rPr>
              <w:t>0.039</w:t>
            </w:r>
          </w:p>
        </w:tc>
      </w:tr>
      <w:tr w:rsidR="00CE4E0F" w:rsidRPr="00414E72" w14:paraId="53C143D0" w14:textId="77777777" w:rsidTr="004F16D3">
        <w:trPr>
          <w:trHeight w:val="255"/>
        </w:trPr>
        <w:tc>
          <w:tcPr>
            <w:tcW w:w="2093" w:type="dxa"/>
            <w:noWrap/>
            <w:hideMark/>
          </w:tcPr>
          <w:p w14:paraId="53C143CA" w14:textId="77777777" w:rsidR="00A84742" w:rsidRPr="00414E72" w:rsidRDefault="00A84742" w:rsidP="00A84742">
            <w:pPr>
              <w:jc w:val="left"/>
              <w:rPr>
                <w:rFonts w:ascii="Arial Narrow" w:hAnsi="Arial Narrow"/>
                <w:i/>
              </w:rPr>
            </w:pPr>
            <w:r w:rsidRPr="00414E72">
              <w:rPr>
                <w:rFonts w:ascii="Arial Narrow" w:hAnsi="Arial Narrow"/>
                <w:i/>
              </w:rPr>
              <w:t>Echinophyllia</w:t>
            </w:r>
          </w:p>
        </w:tc>
        <w:tc>
          <w:tcPr>
            <w:tcW w:w="850" w:type="dxa"/>
            <w:noWrap/>
            <w:vAlign w:val="center"/>
            <w:hideMark/>
          </w:tcPr>
          <w:p w14:paraId="53C143CB" w14:textId="77777777" w:rsidR="00A84742" w:rsidRPr="00414E72" w:rsidRDefault="00A84742" w:rsidP="00A84742">
            <w:pPr>
              <w:jc w:val="center"/>
              <w:rPr>
                <w:rFonts w:ascii="Arial Narrow" w:hAnsi="Arial Narrow"/>
              </w:rPr>
            </w:pPr>
            <w:r w:rsidRPr="00414E72">
              <w:rPr>
                <w:rFonts w:ascii="Arial Narrow" w:hAnsi="Arial Narrow"/>
              </w:rPr>
              <w:t>-2</w:t>
            </w:r>
          </w:p>
        </w:tc>
        <w:tc>
          <w:tcPr>
            <w:tcW w:w="851" w:type="dxa"/>
            <w:tcBorders>
              <w:right w:val="thinThickThinLargeGap" w:sz="24" w:space="0" w:color="auto"/>
            </w:tcBorders>
            <w:noWrap/>
            <w:vAlign w:val="center"/>
            <w:hideMark/>
          </w:tcPr>
          <w:p w14:paraId="53C143CC" w14:textId="77777777" w:rsidR="00A84742" w:rsidRPr="00414E72" w:rsidRDefault="00A84742" w:rsidP="00A84742">
            <w:pPr>
              <w:jc w:val="center"/>
              <w:rPr>
                <w:rFonts w:ascii="Arial Narrow" w:hAnsi="Arial Narrow"/>
              </w:rPr>
            </w:pPr>
            <w:r w:rsidRPr="00414E72">
              <w:rPr>
                <w:rFonts w:ascii="Arial Narrow" w:hAnsi="Arial Narrow"/>
              </w:rPr>
              <w:t>-0.11</w:t>
            </w:r>
          </w:p>
        </w:tc>
        <w:tc>
          <w:tcPr>
            <w:tcW w:w="2069" w:type="dxa"/>
            <w:tcBorders>
              <w:left w:val="thinThickThinLargeGap" w:sz="24" w:space="0" w:color="auto"/>
            </w:tcBorders>
          </w:tcPr>
          <w:p w14:paraId="53C143CD" w14:textId="77777777" w:rsidR="00A84742" w:rsidRPr="00414E72" w:rsidRDefault="00A84742" w:rsidP="00A84742">
            <w:pPr>
              <w:jc w:val="left"/>
              <w:rPr>
                <w:rFonts w:ascii="Arial Narrow" w:hAnsi="Arial Narrow"/>
              </w:rPr>
            </w:pPr>
            <w:r w:rsidRPr="00414E72">
              <w:rPr>
                <w:rFonts w:ascii="Arial Narrow" w:hAnsi="Arial Narrow"/>
                <w:i/>
              </w:rPr>
              <w:t>Montipora</w:t>
            </w:r>
          </w:p>
        </w:tc>
        <w:tc>
          <w:tcPr>
            <w:tcW w:w="766" w:type="dxa"/>
            <w:vAlign w:val="center"/>
          </w:tcPr>
          <w:p w14:paraId="53C143CE" w14:textId="77777777" w:rsidR="00A84742" w:rsidRPr="00414E72" w:rsidRDefault="00A84742" w:rsidP="00A84742">
            <w:pPr>
              <w:jc w:val="center"/>
              <w:rPr>
                <w:rFonts w:ascii="Arial Narrow" w:hAnsi="Arial Narrow"/>
              </w:rPr>
            </w:pPr>
            <w:r w:rsidRPr="00414E72">
              <w:rPr>
                <w:rFonts w:ascii="Arial Narrow" w:hAnsi="Arial Narrow"/>
              </w:rPr>
              <w:t>-0.131</w:t>
            </w:r>
          </w:p>
        </w:tc>
        <w:tc>
          <w:tcPr>
            <w:tcW w:w="851" w:type="dxa"/>
            <w:vAlign w:val="center"/>
          </w:tcPr>
          <w:p w14:paraId="53C143CF" w14:textId="77777777" w:rsidR="00A84742" w:rsidRPr="00414E72" w:rsidRDefault="00A84742" w:rsidP="00A84742">
            <w:pPr>
              <w:jc w:val="center"/>
              <w:rPr>
                <w:rFonts w:ascii="Arial Narrow" w:hAnsi="Arial Narrow"/>
              </w:rPr>
            </w:pPr>
            <w:r w:rsidRPr="00414E72">
              <w:rPr>
                <w:rFonts w:ascii="Arial Narrow" w:hAnsi="Arial Narrow"/>
              </w:rPr>
              <w:t>0.045</w:t>
            </w:r>
          </w:p>
        </w:tc>
      </w:tr>
      <w:tr w:rsidR="00CE4E0F" w:rsidRPr="00414E72" w14:paraId="53C143D7" w14:textId="77777777" w:rsidTr="004F16D3">
        <w:trPr>
          <w:trHeight w:val="255"/>
        </w:trPr>
        <w:tc>
          <w:tcPr>
            <w:tcW w:w="2093" w:type="dxa"/>
            <w:noWrap/>
          </w:tcPr>
          <w:p w14:paraId="53C143D1" w14:textId="77777777" w:rsidR="00A84742" w:rsidRPr="00414E72" w:rsidRDefault="00A84742" w:rsidP="00A84742">
            <w:pPr>
              <w:jc w:val="left"/>
              <w:rPr>
                <w:rFonts w:ascii="Arial Narrow" w:hAnsi="Arial Narrow"/>
                <w:i/>
              </w:rPr>
            </w:pPr>
            <w:r w:rsidRPr="00414E72">
              <w:rPr>
                <w:rFonts w:ascii="Arial Narrow" w:hAnsi="Arial Narrow"/>
                <w:i/>
              </w:rPr>
              <w:t>Moseleya *</w:t>
            </w:r>
          </w:p>
        </w:tc>
        <w:tc>
          <w:tcPr>
            <w:tcW w:w="850" w:type="dxa"/>
            <w:noWrap/>
            <w:vAlign w:val="center"/>
          </w:tcPr>
          <w:p w14:paraId="53C143D2" w14:textId="77777777" w:rsidR="00A84742" w:rsidRPr="00414E72" w:rsidRDefault="00A84742" w:rsidP="00A84742">
            <w:pPr>
              <w:jc w:val="center"/>
              <w:rPr>
                <w:rFonts w:ascii="Arial Narrow" w:hAnsi="Arial Narrow"/>
              </w:rPr>
            </w:pPr>
            <w:r w:rsidRPr="00414E72">
              <w:rPr>
                <w:rFonts w:ascii="Arial Narrow" w:hAnsi="Arial Narrow"/>
              </w:rPr>
              <w:t>-0.058</w:t>
            </w:r>
          </w:p>
        </w:tc>
        <w:tc>
          <w:tcPr>
            <w:tcW w:w="851" w:type="dxa"/>
            <w:tcBorders>
              <w:right w:val="thinThickThinLargeGap" w:sz="24" w:space="0" w:color="auto"/>
            </w:tcBorders>
            <w:noWrap/>
            <w:vAlign w:val="center"/>
          </w:tcPr>
          <w:p w14:paraId="53C143D3" w14:textId="77777777" w:rsidR="00A84742" w:rsidRPr="00414E72" w:rsidRDefault="00A84742" w:rsidP="00A84742">
            <w:pPr>
              <w:jc w:val="center"/>
              <w:rPr>
                <w:rFonts w:ascii="Arial Narrow" w:hAnsi="Arial Narrow"/>
              </w:rPr>
            </w:pPr>
            <w:r w:rsidRPr="00414E72">
              <w:rPr>
                <w:rFonts w:ascii="Arial Narrow" w:hAnsi="Arial Narrow"/>
              </w:rPr>
              <w:t>-0.091</w:t>
            </w:r>
          </w:p>
        </w:tc>
        <w:tc>
          <w:tcPr>
            <w:tcW w:w="2069" w:type="dxa"/>
            <w:tcBorders>
              <w:left w:val="thinThickThinLargeGap" w:sz="24" w:space="0" w:color="auto"/>
            </w:tcBorders>
          </w:tcPr>
          <w:p w14:paraId="53C143D4" w14:textId="77777777" w:rsidR="00A84742" w:rsidRPr="00414E72" w:rsidRDefault="00A84742" w:rsidP="00A84742">
            <w:pPr>
              <w:jc w:val="left"/>
              <w:rPr>
                <w:rFonts w:ascii="Arial Narrow" w:hAnsi="Arial Narrow"/>
              </w:rPr>
            </w:pPr>
            <w:r w:rsidRPr="00414E72">
              <w:rPr>
                <w:rFonts w:ascii="Arial Narrow" w:hAnsi="Arial Narrow"/>
                <w:i/>
              </w:rPr>
              <w:t>Leptastrea *</w:t>
            </w:r>
          </w:p>
        </w:tc>
        <w:tc>
          <w:tcPr>
            <w:tcW w:w="766" w:type="dxa"/>
            <w:vAlign w:val="center"/>
          </w:tcPr>
          <w:p w14:paraId="53C143D5" w14:textId="77777777" w:rsidR="00A84742" w:rsidRPr="00414E72" w:rsidRDefault="00A84742" w:rsidP="00A84742">
            <w:pPr>
              <w:jc w:val="center"/>
              <w:rPr>
                <w:rFonts w:ascii="Arial Narrow" w:hAnsi="Arial Narrow"/>
              </w:rPr>
            </w:pPr>
            <w:r w:rsidRPr="00414E72">
              <w:rPr>
                <w:rFonts w:ascii="Arial Narrow" w:hAnsi="Arial Narrow"/>
              </w:rPr>
              <w:t>0.022</w:t>
            </w:r>
          </w:p>
        </w:tc>
        <w:tc>
          <w:tcPr>
            <w:tcW w:w="851" w:type="dxa"/>
            <w:vAlign w:val="center"/>
          </w:tcPr>
          <w:p w14:paraId="53C143D6" w14:textId="77777777" w:rsidR="00A84742" w:rsidRPr="00414E72" w:rsidRDefault="00A84742" w:rsidP="00A84742">
            <w:pPr>
              <w:jc w:val="center"/>
              <w:rPr>
                <w:rFonts w:ascii="Arial Narrow" w:hAnsi="Arial Narrow"/>
              </w:rPr>
            </w:pPr>
            <w:r w:rsidRPr="00414E72">
              <w:rPr>
                <w:rFonts w:ascii="Arial Narrow" w:hAnsi="Arial Narrow"/>
              </w:rPr>
              <w:t>0.048</w:t>
            </w:r>
          </w:p>
        </w:tc>
      </w:tr>
      <w:tr w:rsidR="00CE4E0F" w:rsidRPr="00414E72" w14:paraId="53C143DE" w14:textId="77777777" w:rsidTr="004F16D3">
        <w:trPr>
          <w:trHeight w:val="255"/>
        </w:trPr>
        <w:tc>
          <w:tcPr>
            <w:tcW w:w="2093" w:type="dxa"/>
            <w:noWrap/>
          </w:tcPr>
          <w:p w14:paraId="53C143D8" w14:textId="77777777" w:rsidR="00A84742" w:rsidRPr="00414E72" w:rsidRDefault="00A84742" w:rsidP="00A84742">
            <w:pPr>
              <w:jc w:val="left"/>
              <w:rPr>
                <w:rFonts w:ascii="Arial Narrow" w:hAnsi="Arial Narrow"/>
                <w:i/>
              </w:rPr>
            </w:pPr>
            <w:r w:rsidRPr="00414E72">
              <w:rPr>
                <w:rFonts w:ascii="Arial Narrow" w:hAnsi="Arial Narrow"/>
                <w:i/>
              </w:rPr>
              <w:t>Oxypora</w:t>
            </w:r>
          </w:p>
        </w:tc>
        <w:tc>
          <w:tcPr>
            <w:tcW w:w="850" w:type="dxa"/>
            <w:noWrap/>
            <w:vAlign w:val="center"/>
          </w:tcPr>
          <w:p w14:paraId="53C143D9" w14:textId="77777777" w:rsidR="00A84742" w:rsidRPr="00414E72" w:rsidRDefault="00A84742" w:rsidP="00A84742">
            <w:pPr>
              <w:jc w:val="center"/>
              <w:rPr>
                <w:rFonts w:ascii="Arial Narrow" w:hAnsi="Arial Narrow"/>
              </w:rPr>
            </w:pPr>
            <w:r w:rsidRPr="00414E72">
              <w:rPr>
                <w:rFonts w:ascii="Arial Narrow" w:hAnsi="Arial Narrow"/>
              </w:rPr>
              <w:t>-8</w:t>
            </w:r>
          </w:p>
        </w:tc>
        <w:tc>
          <w:tcPr>
            <w:tcW w:w="851" w:type="dxa"/>
            <w:tcBorders>
              <w:right w:val="thinThickThinLargeGap" w:sz="24" w:space="0" w:color="auto"/>
            </w:tcBorders>
            <w:noWrap/>
            <w:vAlign w:val="center"/>
          </w:tcPr>
          <w:p w14:paraId="53C143DA" w14:textId="77777777" w:rsidR="00A84742" w:rsidRPr="00414E72" w:rsidRDefault="00A84742" w:rsidP="00A84742">
            <w:pPr>
              <w:jc w:val="center"/>
              <w:rPr>
                <w:rFonts w:ascii="Arial Narrow" w:hAnsi="Arial Narrow"/>
              </w:rPr>
            </w:pPr>
            <w:r w:rsidRPr="00414E72">
              <w:rPr>
                <w:rFonts w:ascii="Arial Narrow" w:hAnsi="Arial Narrow"/>
              </w:rPr>
              <w:t>-0.076</w:t>
            </w:r>
          </w:p>
        </w:tc>
        <w:tc>
          <w:tcPr>
            <w:tcW w:w="2069" w:type="dxa"/>
            <w:tcBorders>
              <w:left w:val="thinThickThinLargeGap" w:sz="24" w:space="0" w:color="auto"/>
            </w:tcBorders>
          </w:tcPr>
          <w:p w14:paraId="53C143DB" w14:textId="77777777" w:rsidR="00A84742" w:rsidRPr="00414E72" w:rsidRDefault="00A84742" w:rsidP="00A84742">
            <w:pPr>
              <w:jc w:val="left"/>
              <w:rPr>
                <w:rFonts w:ascii="Arial Narrow" w:hAnsi="Arial Narrow"/>
                <w:i/>
              </w:rPr>
            </w:pPr>
            <w:r w:rsidRPr="00414E72">
              <w:rPr>
                <w:rFonts w:ascii="Arial Narrow" w:hAnsi="Arial Narrow"/>
                <w:i/>
              </w:rPr>
              <w:t>Coeloseris</w:t>
            </w:r>
          </w:p>
        </w:tc>
        <w:tc>
          <w:tcPr>
            <w:tcW w:w="766" w:type="dxa"/>
            <w:vAlign w:val="center"/>
          </w:tcPr>
          <w:p w14:paraId="53C143DC" w14:textId="77777777" w:rsidR="00A84742" w:rsidRPr="00414E72" w:rsidRDefault="00A84742" w:rsidP="00A84742">
            <w:pPr>
              <w:jc w:val="center"/>
              <w:rPr>
                <w:rFonts w:ascii="Arial Narrow" w:hAnsi="Arial Narrow"/>
              </w:rPr>
            </w:pPr>
            <w:r w:rsidRPr="00414E72">
              <w:rPr>
                <w:rFonts w:ascii="Arial Narrow" w:hAnsi="Arial Narrow"/>
              </w:rPr>
              <w:t>0.052</w:t>
            </w:r>
          </w:p>
        </w:tc>
        <w:tc>
          <w:tcPr>
            <w:tcW w:w="851" w:type="dxa"/>
            <w:vAlign w:val="center"/>
          </w:tcPr>
          <w:p w14:paraId="53C143DD" w14:textId="77777777" w:rsidR="00A84742" w:rsidRPr="00414E72" w:rsidRDefault="00A84742" w:rsidP="00A84742">
            <w:pPr>
              <w:jc w:val="center"/>
              <w:rPr>
                <w:rFonts w:ascii="Arial Narrow" w:hAnsi="Arial Narrow"/>
              </w:rPr>
            </w:pPr>
          </w:p>
        </w:tc>
      </w:tr>
      <w:tr w:rsidR="00CE4E0F" w:rsidRPr="00414E72" w14:paraId="53C143E5" w14:textId="77777777" w:rsidTr="004F16D3">
        <w:trPr>
          <w:trHeight w:val="255"/>
        </w:trPr>
        <w:tc>
          <w:tcPr>
            <w:tcW w:w="2093" w:type="dxa"/>
            <w:noWrap/>
          </w:tcPr>
          <w:p w14:paraId="53C143DF" w14:textId="77777777" w:rsidR="00A84742" w:rsidRPr="00414E72" w:rsidRDefault="00A84742" w:rsidP="00A84742">
            <w:pPr>
              <w:jc w:val="left"/>
              <w:rPr>
                <w:rFonts w:ascii="Arial Narrow" w:hAnsi="Arial Narrow"/>
                <w:i/>
              </w:rPr>
            </w:pPr>
            <w:r w:rsidRPr="00414E72">
              <w:rPr>
                <w:rFonts w:ascii="Arial Narrow" w:hAnsi="Arial Narrow"/>
                <w:i/>
              </w:rPr>
              <w:t>Merulina</w:t>
            </w:r>
          </w:p>
        </w:tc>
        <w:tc>
          <w:tcPr>
            <w:tcW w:w="850" w:type="dxa"/>
            <w:noWrap/>
            <w:vAlign w:val="center"/>
          </w:tcPr>
          <w:p w14:paraId="53C143E0" w14:textId="77777777" w:rsidR="00A84742" w:rsidRPr="00414E72" w:rsidRDefault="00A84742" w:rsidP="00A84742">
            <w:pPr>
              <w:jc w:val="center"/>
              <w:rPr>
                <w:rFonts w:ascii="Arial Narrow" w:hAnsi="Arial Narrow"/>
              </w:rPr>
            </w:pPr>
            <w:r w:rsidRPr="00414E72">
              <w:rPr>
                <w:rFonts w:ascii="Arial Narrow" w:hAnsi="Arial Narrow"/>
              </w:rPr>
              <w:t>-0.01</w:t>
            </w:r>
          </w:p>
        </w:tc>
        <w:tc>
          <w:tcPr>
            <w:tcW w:w="851" w:type="dxa"/>
            <w:tcBorders>
              <w:right w:val="thinThickThinLargeGap" w:sz="24" w:space="0" w:color="auto"/>
            </w:tcBorders>
            <w:noWrap/>
            <w:vAlign w:val="center"/>
          </w:tcPr>
          <w:p w14:paraId="53C143E1" w14:textId="77777777" w:rsidR="00A84742" w:rsidRPr="00414E72" w:rsidRDefault="00A84742" w:rsidP="00A84742">
            <w:pPr>
              <w:jc w:val="center"/>
              <w:rPr>
                <w:rFonts w:ascii="Arial Narrow" w:hAnsi="Arial Narrow"/>
              </w:rPr>
            </w:pPr>
            <w:r w:rsidRPr="00414E72">
              <w:rPr>
                <w:rFonts w:ascii="Arial Narrow" w:hAnsi="Arial Narrow"/>
              </w:rPr>
              <w:t>-0.073</w:t>
            </w:r>
          </w:p>
        </w:tc>
        <w:tc>
          <w:tcPr>
            <w:tcW w:w="2069" w:type="dxa"/>
            <w:tcBorders>
              <w:left w:val="thinThickThinLargeGap" w:sz="24" w:space="0" w:color="auto"/>
            </w:tcBorders>
          </w:tcPr>
          <w:p w14:paraId="53C143E2" w14:textId="77777777" w:rsidR="00A84742" w:rsidRPr="00414E72" w:rsidRDefault="00A84742" w:rsidP="00A84742">
            <w:pPr>
              <w:jc w:val="left"/>
              <w:rPr>
                <w:rFonts w:ascii="Arial Narrow" w:hAnsi="Arial Narrow"/>
              </w:rPr>
            </w:pPr>
            <w:r w:rsidRPr="00414E72">
              <w:rPr>
                <w:rFonts w:ascii="Arial Narrow" w:hAnsi="Arial Narrow"/>
              </w:rPr>
              <w:t xml:space="preserve">Bottlebrush </w:t>
            </w:r>
            <w:r w:rsidRPr="00414E72">
              <w:rPr>
                <w:rFonts w:ascii="Arial Narrow" w:hAnsi="Arial Narrow"/>
                <w:i/>
              </w:rPr>
              <w:t>Acropora</w:t>
            </w:r>
          </w:p>
        </w:tc>
        <w:tc>
          <w:tcPr>
            <w:tcW w:w="766" w:type="dxa"/>
            <w:vAlign w:val="center"/>
          </w:tcPr>
          <w:p w14:paraId="53C143E3" w14:textId="77777777" w:rsidR="00A84742" w:rsidRPr="00414E72" w:rsidRDefault="00A84742" w:rsidP="00A84742">
            <w:pPr>
              <w:jc w:val="center"/>
              <w:rPr>
                <w:rFonts w:ascii="Arial Narrow" w:hAnsi="Arial Narrow"/>
              </w:rPr>
            </w:pPr>
            <w:r w:rsidRPr="00414E72">
              <w:rPr>
                <w:rFonts w:ascii="Arial Narrow" w:hAnsi="Arial Narrow"/>
              </w:rPr>
              <w:t>0.153</w:t>
            </w:r>
          </w:p>
        </w:tc>
        <w:tc>
          <w:tcPr>
            <w:tcW w:w="851" w:type="dxa"/>
            <w:vAlign w:val="center"/>
          </w:tcPr>
          <w:p w14:paraId="53C143E4" w14:textId="77777777" w:rsidR="00A84742" w:rsidRPr="00414E72" w:rsidRDefault="00A84742" w:rsidP="00A84742">
            <w:pPr>
              <w:jc w:val="center"/>
              <w:rPr>
                <w:rFonts w:ascii="Arial Narrow" w:hAnsi="Arial Narrow"/>
              </w:rPr>
            </w:pPr>
            <w:r w:rsidRPr="00414E72">
              <w:rPr>
                <w:rFonts w:ascii="Arial Narrow" w:hAnsi="Arial Narrow"/>
              </w:rPr>
              <w:t>0.070</w:t>
            </w:r>
          </w:p>
        </w:tc>
      </w:tr>
      <w:tr w:rsidR="00CE4E0F" w:rsidRPr="00414E72" w14:paraId="53C143EC" w14:textId="77777777" w:rsidTr="004F16D3">
        <w:trPr>
          <w:trHeight w:val="255"/>
        </w:trPr>
        <w:tc>
          <w:tcPr>
            <w:tcW w:w="2093" w:type="dxa"/>
            <w:noWrap/>
            <w:hideMark/>
          </w:tcPr>
          <w:p w14:paraId="53C143E6" w14:textId="77777777" w:rsidR="00A84742" w:rsidRPr="00414E72" w:rsidRDefault="00A84742" w:rsidP="00A84742">
            <w:pPr>
              <w:jc w:val="left"/>
              <w:rPr>
                <w:rFonts w:ascii="Arial Narrow" w:hAnsi="Arial Narrow"/>
                <w:i/>
              </w:rPr>
            </w:pPr>
            <w:r w:rsidRPr="00414E72">
              <w:rPr>
                <w:rFonts w:ascii="Arial Narrow" w:hAnsi="Arial Narrow"/>
                <w:i/>
              </w:rPr>
              <w:t>Coscinaraea</w:t>
            </w:r>
          </w:p>
        </w:tc>
        <w:tc>
          <w:tcPr>
            <w:tcW w:w="850" w:type="dxa"/>
            <w:noWrap/>
            <w:vAlign w:val="center"/>
            <w:hideMark/>
          </w:tcPr>
          <w:p w14:paraId="53C143E7" w14:textId="77777777" w:rsidR="00A84742" w:rsidRPr="00414E72" w:rsidRDefault="00A84742" w:rsidP="00A84742">
            <w:pPr>
              <w:jc w:val="center"/>
              <w:rPr>
                <w:rFonts w:ascii="Arial Narrow" w:hAnsi="Arial Narrow"/>
              </w:rPr>
            </w:pPr>
            <w:r w:rsidRPr="00414E72">
              <w:rPr>
                <w:rFonts w:ascii="Arial Narrow" w:hAnsi="Arial Narrow"/>
              </w:rPr>
              <w:t>-0.011</w:t>
            </w:r>
          </w:p>
        </w:tc>
        <w:tc>
          <w:tcPr>
            <w:tcW w:w="851" w:type="dxa"/>
            <w:tcBorders>
              <w:right w:val="thinThickThinLargeGap" w:sz="24" w:space="0" w:color="auto"/>
            </w:tcBorders>
            <w:noWrap/>
            <w:vAlign w:val="center"/>
            <w:hideMark/>
          </w:tcPr>
          <w:p w14:paraId="53C143E8" w14:textId="77777777" w:rsidR="00A84742" w:rsidRPr="00414E72" w:rsidRDefault="00A84742" w:rsidP="00A84742">
            <w:pPr>
              <w:jc w:val="center"/>
              <w:rPr>
                <w:rFonts w:ascii="Arial Narrow" w:hAnsi="Arial Narrow"/>
              </w:rPr>
            </w:pPr>
            <w:r w:rsidRPr="00414E72">
              <w:rPr>
                <w:rFonts w:ascii="Arial Narrow" w:hAnsi="Arial Narrow"/>
              </w:rPr>
              <w:t>-0.062</w:t>
            </w:r>
          </w:p>
        </w:tc>
        <w:tc>
          <w:tcPr>
            <w:tcW w:w="2069" w:type="dxa"/>
            <w:tcBorders>
              <w:left w:val="thinThickThinLargeGap" w:sz="24" w:space="0" w:color="auto"/>
            </w:tcBorders>
          </w:tcPr>
          <w:p w14:paraId="53C143E9" w14:textId="77777777" w:rsidR="00A84742" w:rsidRPr="00414E72" w:rsidRDefault="00A84742" w:rsidP="00A84742">
            <w:pPr>
              <w:jc w:val="left"/>
              <w:rPr>
                <w:rFonts w:ascii="Arial Narrow" w:hAnsi="Arial Narrow"/>
              </w:rPr>
            </w:pPr>
            <w:r w:rsidRPr="00414E72">
              <w:rPr>
                <w:rFonts w:ascii="Arial Narrow" w:hAnsi="Arial Narrow"/>
                <w:i/>
              </w:rPr>
              <w:t>Pocillopora</w:t>
            </w:r>
          </w:p>
        </w:tc>
        <w:tc>
          <w:tcPr>
            <w:tcW w:w="766" w:type="dxa"/>
            <w:vAlign w:val="center"/>
          </w:tcPr>
          <w:p w14:paraId="53C143EA" w14:textId="77777777" w:rsidR="00A84742" w:rsidRPr="00414E72" w:rsidRDefault="00A84742" w:rsidP="00A84742">
            <w:pPr>
              <w:jc w:val="center"/>
              <w:rPr>
                <w:rFonts w:ascii="Arial Narrow" w:hAnsi="Arial Narrow"/>
              </w:rPr>
            </w:pPr>
            <w:r w:rsidRPr="00414E72">
              <w:rPr>
                <w:rFonts w:ascii="Arial Narrow" w:hAnsi="Arial Narrow"/>
              </w:rPr>
              <w:t>0.058</w:t>
            </w:r>
          </w:p>
        </w:tc>
        <w:tc>
          <w:tcPr>
            <w:tcW w:w="851" w:type="dxa"/>
            <w:vAlign w:val="center"/>
          </w:tcPr>
          <w:p w14:paraId="53C143EB" w14:textId="77777777" w:rsidR="00A84742" w:rsidRPr="00414E72" w:rsidRDefault="00A84742" w:rsidP="00A84742">
            <w:pPr>
              <w:jc w:val="center"/>
              <w:rPr>
                <w:rFonts w:ascii="Arial Narrow" w:hAnsi="Arial Narrow"/>
              </w:rPr>
            </w:pPr>
            <w:r w:rsidRPr="00414E72">
              <w:rPr>
                <w:rFonts w:ascii="Arial Narrow" w:hAnsi="Arial Narrow"/>
              </w:rPr>
              <w:t>0.074</w:t>
            </w:r>
          </w:p>
        </w:tc>
      </w:tr>
      <w:tr w:rsidR="00CE4E0F" w:rsidRPr="00414E72" w14:paraId="53C143F3" w14:textId="77777777" w:rsidTr="004F16D3">
        <w:trPr>
          <w:trHeight w:val="255"/>
        </w:trPr>
        <w:tc>
          <w:tcPr>
            <w:tcW w:w="2093" w:type="dxa"/>
            <w:noWrap/>
          </w:tcPr>
          <w:p w14:paraId="53C143ED" w14:textId="77777777" w:rsidR="00A84742" w:rsidRPr="00414E72" w:rsidRDefault="00A84742" w:rsidP="00A84742">
            <w:pPr>
              <w:jc w:val="left"/>
              <w:rPr>
                <w:rFonts w:ascii="Arial Narrow" w:hAnsi="Arial Narrow"/>
                <w:i/>
              </w:rPr>
            </w:pPr>
            <w:r w:rsidRPr="00414E72">
              <w:rPr>
                <w:rFonts w:ascii="Arial Narrow" w:hAnsi="Arial Narrow"/>
                <w:i/>
              </w:rPr>
              <w:t>Duncanopsammia *</w:t>
            </w:r>
          </w:p>
        </w:tc>
        <w:tc>
          <w:tcPr>
            <w:tcW w:w="850" w:type="dxa"/>
            <w:noWrap/>
            <w:vAlign w:val="center"/>
          </w:tcPr>
          <w:p w14:paraId="53C143EE" w14:textId="77777777" w:rsidR="00A84742" w:rsidRPr="00414E72" w:rsidRDefault="00A84742" w:rsidP="00A84742">
            <w:pPr>
              <w:jc w:val="center"/>
              <w:rPr>
                <w:rFonts w:ascii="Arial Narrow" w:hAnsi="Arial Narrow"/>
              </w:rPr>
            </w:pPr>
          </w:p>
        </w:tc>
        <w:tc>
          <w:tcPr>
            <w:tcW w:w="851" w:type="dxa"/>
            <w:tcBorders>
              <w:right w:val="thinThickThinLargeGap" w:sz="24" w:space="0" w:color="auto"/>
            </w:tcBorders>
            <w:noWrap/>
            <w:vAlign w:val="center"/>
          </w:tcPr>
          <w:p w14:paraId="53C143EF" w14:textId="77777777" w:rsidR="00A84742" w:rsidRPr="00414E72" w:rsidRDefault="00A84742" w:rsidP="00A84742">
            <w:pPr>
              <w:jc w:val="center"/>
              <w:rPr>
                <w:rFonts w:ascii="Arial Narrow" w:hAnsi="Arial Narrow"/>
              </w:rPr>
            </w:pPr>
            <w:r w:rsidRPr="00414E72">
              <w:rPr>
                <w:rFonts w:ascii="Arial Narrow" w:hAnsi="Arial Narrow"/>
              </w:rPr>
              <w:t>-0.042</w:t>
            </w:r>
          </w:p>
        </w:tc>
        <w:tc>
          <w:tcPr>
            <w:tcW w:w="2069" w:type="dxa"/>
            <w:tcBorders>
              <w:left w:val="thinThickThinLargeGap" w:sz="24" w:space="0" w:color="auto"/>
            </w:tcBorders>
          </w:tcPr>
          <w:p w14:paraId="53C143F0" w14:textId="77777777" w:rsidR="00A84742" w:rsidRPr="00414E72" w:rsidRDefault="00A84742" w:rsidP="00A84742">
            <w:pPr>
              <w:jc w:val="left"/>
              <w:rPr>
                <w:rFonts w:ascii="Arial Narrow" w:hAnsi="Arial Narrow"/>
              </w:rPr>
            </w:pPr>
            <w:r w:rsidRPr="00414E72">
              <w:rPr>
                <w:rFonts w:ascii="Arial Narrow" w:hAnsi="Arial Narrow"/>
              </w:rPr>
              <w:t xml:space="preserve">Branching </w:t>
            </w:r>
            <w:r w:rsidRPr="00414E72">
              <w:rPr>
                <w:rFonts w:ascii="Arial Narrow" w:hAnsi="Arial Narrow"/>
                <w:i/>
              </w:rPr>
              <w:t>Porites</w:t>
            </w:r>
          </w:p>
        </w:tc>
        <w:tc>
          <w:tcPr>
            <w:tcW w:w="766" w:type="dxa"/>
            <w:vAlign w:val="center"/>
          </w:tcPr>
          <w:p w14:paraId="53C143F1" w14:textId="77777777" w:rsidR="00A84742" w:rsidRPr="00414E72" w:rsidRDefault="00A84742" w:rsidP="00A84742">
            <w:pPr>
              <w:jc w:val="center"/>
              <w:rPr>
                <w:rFonts w:ascii="Arial Narrow" w:hAnsi="Arial Narrow"/>
              </w:rPr>
            </w:pPr>
            <w:r w:rsidRPr="00414E72">
              <w:rPr>
                <w:rFonts w:ascii="Arial Narrow" w:hAnsi="Arial Narrow"/>
              </w:rPr>
              <w:t>0.059</w:t>
            </w:r>
          </w:p>
        </w:tc>
        <w:tc>
          <w:tcPr>
            <w:tcW w:w="851" w:type="dxa"/>
            <w:vAlign w:val="center"/>
          </w:tcPr>
          <w:p w14:paraId="53C143F2" w14:textId="77777777" w:rsidR="00A84742" w:rsidRPr="00414E72" w:rsidRDefault="00A84742" w:rsidP="00A84742">
            <w:pPr>
              <w:jc w:val="center"/>
              <w:rPr>
                <w:rFonts w:ascii="Arial Narrow" w:hAnsi="Arial Narrow"/>
              </w:rPr>
            </w:pPr>
            <w:r w:rsidRPr="00414E72">
              <w:rPr>
                <w:rFonts w:ascii="Arial Narrow" w:hAnsi="Arial Narrow"/>
              </w:rPr>
              <w:t>0.075</w:t>
            </w:r>
          </w:p>
        </w:tc>
      </w:tr>
      <w:tr w:rsidR="00CE4E0F" w:rsidRPr="00414E72" w14:paraId="53C143FA" w14:textId="77777777" w:rsidTr="004F16D3">
        <w:trPr>
          <w:trHeight w:val="255"/>
        </w:trPr>
        <w:tc>
          <w:tcPr>
            <w:tcW w:w="2093" w:type="dxa"/>
            <w:noWrap/>
            <w:hideMark/>
          </w:tcPr>
          <w:p w14:paraId="53C143F4" w14:textId="77777777" w:rsidR="00A84742" w:rsidRPr="00414E72" w:rsidRDefault="00A84742" w:rsidP="00A84742">
            <w:pPr>
              <w:jc w:val="left"/>
              <w:rPr>
                <w:rFonts w:ascii="Arial Narrow" w:hAnsi="Arial Narrow"/>
                <w:i/>
              </w:rPr>
            </w:pPr>
            <w:r w:rsidRPr="00414E72">
              <w:rPr>
                <w:rFonts w:ascii="Arial Narrow" w:hAnsi="Arial Narrow"/>
                <w:i/>
              </w:rPr>
              <w:t>Caulastrea</w:t>
            </w:r>
          </w:p>
        </w:tc>
        <w:tc>
          <w:tcPr>
            <w:tcW w:w="850" w:type="dxa"/>
            <w:noWrap/>
            <w:vAlign w:val="center"/>
            <w:hideMark/>
          </w:tcPr>
          <w:p w14:paraId="53C143F5" w14:textId="77777777" w:rsidR="00A84742" w:rsidRPr="00414E72" w:rsidRDefault="00A84742" w:rsidP="00A84742">
            <w:pPr>
              <w:jc w:val="center"/>
              <w:rPr>
                <w:rFonts w:ascii="Arial Narrow" w:hAnsi="Arial Narrow"/>
              </w:rPr>
            </w:pPr>
            <w:r w:rsidRPr="00414E72">
              <w:rPr>
                <w:rFonts w:ascii="Arial Narrow" w:hAnsi="Arial Narrow"/>
              </w:rPr>
              <w:t>7</w:t>
            </w:r>
          </w:p>
        </w:tc>
        <w:tc>
          <w:tcPr>
            <w:tcW w:w="851" w:type="dxa"/>
            <w:tcBorders>
              <w:right w:val="thinThickThinLargeGap" w:sz="24" w:space="0" w:color="auto"/>
            </w:tcBorders>
            <w:noWrap/>
            <w:vAlign w:val="center"/>
            <w:hideMark/>
          </w:tcPr>
          <w:p w14:paraId="53C143F6" w14:textId="77777777" w:rsidR="00A84742" w:rsidRPr="00414E72" w:rsidRDefault="00A84742" w:rsidP="00A84742">
            <w:pPr>
              <w:jc w:val="center"/>
              <w:rPr>
                <w:rFonts w:ascii="Arial Narrow" w:hAnsi="Arial Narrow"/>
              </w:rPr>
            </w:pPr>
            <w:r w:rsidRPr="00414E72">
              <w:rPr>
                <w:rFonts w:ascii="Arial Narrow" w:hAnsi="Arial Narrow"/>
              </w:rPr>
              <w:t>-0.041</w:t>
            </w:r>
          </w:p>
        </w:tc>
        <w:tc>
          <w:tcPr>
            <w:tcW w:w="2069" w:type="dxa"/>
            <w:tcBorders>
              <w:left w:val="thinThickThinLargeGap" w:sz="24" w:space="0" w:color="auto"/>
            </w:tcBorders>
          </w:tcPr>
          <w:p w14:paraId="53C143F7" w14:textId="77777777" w:rsidR="00A84742" w:rsidRPr="00414E72" w:rsidRDefault="00A84742" w:rsidP="00A84742">
            <w:pPr>
              <w:jc w:val="left"/>
              <w:rPr>
                <w:rFonts w:ascii="Arial Narrow" w:hAnsi="Arial Narrow"/>
              </w:rPr>
            </w:pPr>
            <w:r w:rsidRPr="00414E72">
              <w:rPr>
                <w:rFonts w:ascii="Arial Narrow" w:hAnsi="Arial Narrow"/>
                <w:i/>
              </w:rPr>
              <w:t>Leptoria</w:t>
            </w:r>
          </w:p>
        </w:tc>
        <w:tc>
          <w:tcPr>
            <w:tcW w:w="766" w:type="dxa"/>
            <w:vAlign w:val="center"/>
          </w:tcPr>
          <w:p w14:paraId="53C143F8" w14:textId="77777777" w:rsidR="00A84742" w:rsidRPr="00414E72" w:rsidRDefault="00A84742" w:rsidP="00A84742">
            <w:pPr>
              <w:jc w:val="center"/>
              <w:rPr>
                <w:rFonts w:ascii="Arial Narrow" w:hAnsi="Arial Narrow"/>
              </w:rPr>
            </w:pPr>
            <w:r w:rsidRPr="00414E72">
              <w:rPr>
                <w:rFonts w:ascii="Arial Narrow" w:hAnsi="Arial Narrow"/>
              </w:rPr>
              <w:t>0.054</w:t>
            </w:r>
          </w:p>
        </w:tc>
        <w:tc>
          <w:tcPr>
            <w:tcW w:w="851" w:type="dxa"/>
            <w:vAlign w:val="center"/>
          </w:tcPr>
          <w:p w14:paraId="53C143F9" w14:textId="77777777" w:rsidR="00A84742" w:rsidRPr="00414E72" w:rsidRDefault="00A84742" w:rsidP="00A84742">
            <w:pPr>
              <w:jc w:val="center"/>
              <w:rPr>
                <w:rFonts w:ascii="Arial Narrow" w:hAnsi="Arial Narrow"/>
              </w:rPr>
            </w:pPr>
            <w:r w:rsidRPr="00414E72">
              <w:rPr>
                <w:rFonts w:ascii="Arial Narrow" w:hAnsi="Arial Narrow"/>
              </w:rPr>
              <w:t>0.077</w:t>
            </w:r>
          </w:p>
        </w:tc>
      </w:tr>
      <w:tr w:rsidR="00CE4E0F" w:rsidRPr="00414E72" w14:paraId="53C14401" w14:textId="77777777" w:rsidTr="004F16D3">
        <w:trPr>
          <w:trHeight w:val="255"/>
        </w:trPr>
        <w:tc>
          <w:tcPr>
            <w:tcW w:w="2093" w:type="dxa"/>
            <w:noWrap/>
            <w:hideMark/>
          </w:tcPr>
          <w:p w14:paraId="53C143FB" w14:textId="77777777" w:rsidR="00A84742" w:rsidRPr="00414E72" w:rsidRDefault="00A84742" w:rsidP="00A84742">
            <w:pPr>
              <w:jc w:val="left"/>
              <w:rPr>
                <w:rFonts w:ascii="Arial Narrow" w:hAnsi="Arial Narrow"/>
                <w:i/>
              </w:rPr>
            </w:pPr>
            <w:r w:rsidRPr="00414E72">
              <w:rPr>
                <w:rFonts w:ascii="Arial Narrow" w:hAnsi="Arial Narrow"/>
                <w:i/>
              </w:rPr>
              <w:t>Platygyra</w:t>
            </w:r>
          </w:p>
        </w:tc>
        <w:tc>
          <w:tcPr>
            <w:tcW w:w="850" w:type="dxa"/>
            <w:noWrap/>
            <w:vAlign w:val="center"/>
            <w:hideMark/>
          </w:tcPr>
          <w:p w14:paraId="53C143FC" w14:textId="77777777" w:rsidR="00A84742" w:rsidRPr="00414E72" w:rsidRDefault="00A84742" w:rsidP="00A84742">
            <w:pPr>
              <w:jc w:val="center"/>
              <w:rPr>
                <w:rFonts w:ascii="Arial Narrow" w:hAnsi="Arial Narrow"/>
              </w:rPr>
            </w:pPr>
            <w:r w:rsidRPr="00414E72">
              <w:rPr>
                <w:rFonts w:ascii="Arial Narrow" w:hAnsi="Arial Narrow"/>
              </w:rPr>
              <w:t>0.048</w:t>
            </w:r>
          </w:p>
        </w:tc>
        <w:tc>
          <w:tcPr>
            <w:tcW w:w="851" w:type="dxa"/>
            <w:tcBorders>
              <w:right w:val="thinThickThinLargeGap" w:sz="24" w:space="0" w:color="auto"/>
            </w:tcBorders>
            <w:noWrap/>
            <w:vAlign w:val="center"/>
            <w:hideMark/>
          </w:tcPr>
          <w:p w14:paraId="53C143FD" w14:textId="77777777" w:rsidR="00A84742" w:rsidRPr="00414E72" w:rsidRDefault="00A84742" w:rsidP="00A84742">
            <w:pPr>
              <w:jc w:val="center"/>
              <w:rPr>
                <w:rFonts w:ascii="Arial Narrow" w:hAnsi="Arial Narrow"/>
              </w:rPr>
            </w:pPr>
            <w:r w:rsidRPr="00414E72">
              <w:rPr>
                <w:rFonts w:ascii="Arial Narrow" w:hAnsi="Arial Narrow"/>
              </w:rPr>
              <w:t>-0.040</w:t>
            </w:r>
          </w:p>
        </w:tc>
        <w:tc>
          <w:tcPr>
            <w:tcW w:w="2069" w:type="dxa"/>
            <w:tcBorders>
              <w:left w:val="thinThickThinLargeGap" w:sz="24" w:space="0" w:color="auto"/>
            </w:tcBorders>
          </w:tcPr>
          <w:p w14:paraId="53C143FE" w14:textId="77777777" w:rsidR="00A84742" w:rsidRPr="00414E72" w:rsidRDefault="00A84742" w:rsidP="00A84742">
            <w:pPr>
              <w:jc w:val="left"/>
              <w:rPr>
                <w:rFonts w:ascii="Arial Narrow" w:hAnsi="Arial Narrow"/>
                <w:i/>
              </w:rPr>
            </w:pPr>
            <w:r w:rsidRPr="00414E72">
              <w:rPr>
                <w:rFonts w:ascii="Arial Narrow" w:hAnsi="Arial Narrow"/>
                <w:i/>
              </w:rPr>
              <w:t>Porites rus</w:t>
            </w:r>
          </w:p>
        </w:tc>
        <w:tc>
          <w:tcPr>
            <w:tcW w:w="766" w:type="dxa"/>
            <w:vAlign w:val="center"/>
          </w:tcPr>
          <w:p w14:paraId="53C143FF" w14:textId="77777777" w:rsidR="00A84742" w:rsidRPr="00414E72" w:rsidRDefault="00A84742" w:rsidP="00A84742">
            <w:pPr>
              <w:jc w:val="center"/>
              <w:rPr>
                <w:rFonts w:ascii="Arial Narrow" w:hAnsi="Arial Narrow"/>
              </w:rPr>
            </w:pPr>
            <w:r w:rsidRPr="00414E72">
              <w:rPr>
                <w:rFonts w:ascii="Arial Narrow" w:hAnsi="Arial Narrow"/>
              </w:rPr>
              <w:t>0.122</w:t>
            </w:r>
          </w:p>
        </w:tc>
        <w:tc>
          <w:tcPr>
            <w:tcW w:w="851" w:type="dxa"/>
            <w:vAlign w:val="center"/>
          </w:tcPr>
          <w:p w14:paraId="53C14400" w14:textId="77777777" w:rsidR="00A84742" w:rsidRPr="00414E72" w:rsidRDefault="00A84742" w:rsidP="00A84742">
            <w:pPr>
              <w:jc w:val="center"/>
              <w:rPr>
                <w:rFonts w:ascii="Arial Narrow" w:hAnsi="Arial Narrow"/>
              </w:rPr>
            </w:pPr>
            <w:r w:rsidRPr="00414E72">
              <w:rPr>
                <w:rFonts w:ascii="Arial Narrow" w:hAnsi="Arial Narrow"/>
              </w:rPr>
              <w:t>0.087</w:t>
            </w:r>
          </w:p>
        </w:tc>
      </w:tr>
      <w:tr w:rsidR="00CE4E0F" w:rsidRPr="00414E72" w14:paraId="53C14408" w14:textId="77777777" w:rsidTr="004F16D3">
        <w:trPr>
          <w:trHeight w:val="255"/>
        </w:trPr>
        <w:tc>
          <w:tcPr>
            <w:tcW w:w="2093" w:type="dxa"/>
            <w:noWrap/>
            <w:hideMark/>
          </w:tcPr>
          <w:p w14:paraId="53C14402" w14:textId="77777777" w:rsidR="00A84742" w:rsidRPr="00414E72" w:rsidRDefault="00A84742" w:rsidP="00A84742">
            <w:pPr>
              <w:jc w:val="left"/>
              <w:rPr>
                <w:rFonts w:ascii="Arial Narrow" w:hAnsi="Arial Narrow"/>
                <w:i/>
              </w:rPr>
            </w:pPr>
            <w:r w:rsidRPr="00414E72">
              <w:rPr>
                <w:rFonts w:ascii="Arial Narrow" w:hAnsi="Arial Narrow"/>
                <w:i/>
              </w:rPr>
              <w:t>Herpolitha</w:t>
            </w:r>
          </w:p>
        </w:tc>
        <w:tc>
          <w:tcPr>
            <w:tcW w:w="850" w:type="dxa"/>
            <w:noWrap/>
            <w:vAlign w:val="center"/>
            <w:hideMark/>
          </w:tcPr>
          <w:p w14:paraId="53C14403" w14:textId="77777777" w:rsidR="00A84742" w:rsidRPr="00414E72" w:rsidRDefault="00A84742" w:rsidP="00A84742">
            <w:pPr>
              <w:jc w:val="center"/>
              <w:rPr>
                <w:rFonts w:ascii="Arial Narrow" w:hAnsi="Arial Narrow"/>
              </w:rPr>
            </w:pPr>
            <w:r w:rsidRPr="00414E72">
              <w:rPr>
                <w:rFonts w:ascii="Arial Narrow" w:hAnsi="Arial Narrow"/>
              </w:rPr>
              <w:t>-0.013</w:t>
            </w:r>
          </w:p>
        </w:tc>
        <w:tc>
          <w:tcPr>
            <w:tcW w:w="851" w:type="dxa"/>
            <w:tcBorders>
              <w:right w:val="thinThickThinLargeGap" w:sz="24" w:space="0" w:color="auto"/>
            </w:tcBorders>
            <w:noWrap/>
            <w:vAlign w:val="center"/>
            <w:hideMark/>
          </w:tcPr>
          <w:p w14:paraId="53C14404" w14:textId="77777777" w:rsidR="00A84742" w:rsidRPr="00414E72" w:rsidRDefault="00A84742" w:rsidP="00A84742">
            <w:pPr>
              <w:jc w:val="center"/>
              <w:rPr>
                <w:rFonts w:ascii="Arial Narrow" w:hAnsi="Arial Narrow"/>
              </w:rPr>
            </w:pPr>
            <w:r w:rsidRPr="00414E72">
              <w:rPr>
                <w:rFonts w:ascii="Arial Narrow" w:hAnsi="Arial Narrow"/>
              </w:rPr>
              <w:t>-0.034</w:t>
            </w:r>
          </w:p>
        </w:tc>
        <w:tc>
          <w:tcPr>
            <w:tcW w:w="2069" w:type="dxa"/>
            <w:tcBorders>
              <w:left w:val="thinThickThinLargeGap" w:sz="24" w:space="0" w:color="auto"/>
            </w:tcBorders>
          </w:tcPr>
          <w:p w14:paraId="53C14405" w14:textId="77777777" w:rsidR="00A84742" w:rsidRPr="00414E72" w:rsidRDefault="00A84742" w:rsidP="00A84742">
            <w:pPr>
              <w:jc w:val="left"/>
              <w:rPr>
                <w:rFonts w:ascii="Arial Narrow" w:hAnsi="Arial Narrow"/>
                <w:i/>
              </w:rPr>
            </w:pPr>
            <w:r w:rsidRPr="00414E72">
              <w:rPr>
                <w:rFonts w:ascii="Arial Narrow" w:hAnsi="Arial Narrow"/>
                <w:i/>
              </w:rPr>
              <w:t>Echinopora</w:t>
            </w:r>
          </w:p>
        </w:tc>
        <w:tc>
          <w:tcPr>
            <w:tcW w:w="766" w:type="dxa"/>
            <w:vAlign w:val="center"/>
          </w:tcPr>
          <w:p w14:paraId="53C14406" w14:textId="77777777" w:rsidR="00A84742" w:rsidRPr="00414E72" w:rsidRDefault="00A84742" w:rsidP="00A84742">
            <w:pPr>
              <w:jc w:val="center"/>
              <w:rPr>
                <w:rFonts w:ascii="Arial Narrow" w:hAnsi="Arial Narrow"/>
              </w:rPr>
            </w:pPr>
            <w:r w:rsidRPr="00414E72">
              <w:rPr>
                <w:rFonts w:ascii="Arial Narrow" w:hAnsi="Arial Narrow"/>
              </w:rPr>
              <w:t>0.076</w:t>
            </w:r>
          </w:p>
        </w:tc>
        <w:tc>
          <w:tcPr>
            <w:tcW w:w="851" w:type="dxa"/>
            <w:vAlign w:val="center"/>
          </w:tcPr>
          <w:p w14:paraId="53C14407" w14:textId="77777777" w:rsidR="00A84742" w:rsidRPr="00414E72" w:rsidRDefault="00A84742" w:rsidP="00A84742">
            <w:pPr>
              <w:jc w:val="center"/>
              <w:rPr>
                <w:rFonts w:ascii="Arial Narrow" w:hAnsi="Arial Narrow"/>
              </w:rPr>
            </w:pPr>
            <w:r w:rsidRPr="00414E72">
              <w:rPr>
                <w:rFonts w:ascii="Arial Narrow" w:hAnsi="Arial Narrow"/>
              </w:rPr>
              <w:t>0.096</w:t>
            </w:r>
          </w:p>
        </w:tc>
      </w:tr>
      <w:tr w:rsidR="00CE4E0F" w:rsidRPr="00414E72" w14:paraId="53C1440F" w14:textId="77777777" w:rsidTr="004F16D3">
        <w:trPr>
          <w:trHeight w:val="255"/>
        </w:trPr>
        <w:tc>
          <w:tcPr>
            <w:tcW w:w="2093" w:type="dxa"/>
            <w:noWrap/>
            <w:hideMark/>
          </w:tcPr>
          <w:p w14:paraId="53C14409" w14:textId="77777777" w:rsidR="00A84742" w:rsidRPr="00414E72" w:rsidRDefault="00A84742" w:rsidP="00A84742">
            <w:pPr>
              <w:jc w:val="left"/>
              <w:rPr>
                <w:rFonts w:ascii="Arial Narrow" w:hAnsi="Arial Narrow"/>
                <w:i/>
              </w:rPr>
            </w:pPr>
            <w:r w:rsidRPr="00414E72">
              <w:rPr>
                <w:rFonts w:ascii="Arial Narrow" w:hAnsi="Arial Narrow"/>
                <w:i/>
              </w:rPr>
              <w:t>Lobophyllia</w:t>
            </w:r>
          </w:p>
        </w:tc>
        <w:tc>
          <w:tcPr>
            <w:tcW w:w="850" w:type="dxa"/>
            <w:noWrap/>
            <w:vAlign w:val="center"/>
            <w:hideMark/>
          </w:tcPr>
          <w:p w14:paraId="53C1440A" w14:textId="77777777" w:rsidR="00A84742" w:rsidRPr="00414E72" w:rsidRDefault="00A84742" w:rsidP="00A84742">
            <w:pPr>
              <w:jc w:val="center"/>
              <w:rPr>
                <w:rFonts w:ascii="Arial Narrow" w:hAnsi="Arial Narrow"/>
              </w:rPr>
            </w:pPr>
            <w:r w:rsidRPr="00414E72">
              <w:rPr>
                <w:rFonts w:ascii="Arial Narrow" w:hAnsi="Arial Narrow"/>
              </w:rPr>
              <w:t>0.018</w:t>
            </w:r>
          </w:p>
        </w:tc>
        <w:tc>
          <w:tcPr>
            <w:tcW w:w="851" w:type="dxa"/>
            <w:tcBorders>
              <w:right w:val="thinThickThinLargeGap" w:sz="24" w:space="0" w:color="auto"/>
            </w:tcBorders>
            <w:noWrap/>
            <w:vAlign w:val="center"/>
            <w:hideMark/>
          </w:tcPr>
          <w:p w14:paraId="53C1440B" w14:textId="77777777" w:rsidR="00A84742" w:rsidRPr="00414E72" w:rsidRDefault="00A84742" w:rsidP="00A84742">
            <w:pPr>
              <w:jc w:val="center"/>
              <w:rPr>
                <w:rFonts w:ascii="Arial Narrow" w:hAnsi="Arial Narrow"/>
              </w:rPr>
            </w:pPr>
            <w:r w:rsidRPr="00414E72">
              <w:rPr>
                <w:rFonts w:ascii="Arial Narrow" w:hAnsi="Arial Narrow"/>
              </w:rPr>
              <w:t>-0.034</w:t>
            </w:r>
          </w:p>
        </w:tc>
        <w:tc>
          <w:tcPr>
            <w:tcW w:w="2069" w:type="dxa"/>
            <w:tcBorders>
              <w:left w:val="thinThickThinLargeGap" w:sz="24" w:space="0" w:color="auto"/>
            </w:tcBorders>
          </w:tcPr>
          <w:p w14:paraId="53C1440C" w14:textId="77777777" w:rsidR="00A84742" w:rsidRPr="00414E72" w:rsidRDefault="00A84742" w:rsidP="00A84742">
            <w:pPr>
              <w:jc w:val="left"/>
              <w:rPr>
                <w:rFonts w:ascii="Arial Narrow" w:hAnsi="Arial Narrow"/>
                <w:i/>
              </w:rPr>
            </w:pPr>
            <w:r w:rsidRPr="00414E72">
              <w:rPr>
                <w:rFonts w:ascii="Arial Narrow" w:hAnsi="Arial Narrow"/>
              </w:rPr>
              <w:t xml:space="preserve">Massive </w:t>
            </w:r>
            <w:r w:rsidRPr="00414E72">
              <w:rPr>
                <w:rFonts w:ascii="Arial Narrow" w:hAnsi="Arial Narrow"/>
                <w:i/>
              </w:rPr>
              <w:t>Porites</w:t>
            </w:r>
          </w:p>
        </w:tc>
        <w:tc>
          <w:tcPr>
            <w:tcW w:w="766" w:type="dxa"/>
            <w:vAlign w:val="center"/>
          </w:tcPr>
          <w:p w14:paraId="53C1440D" w14:textId="77777777" w:rsidR="00A84742" w:rsidRPr="00414E72" w:rsidRDefault="00A84742" w:rsidP="00A84742">
            <w:pPr>
              <w:jc w:val="center"/>
              <w:rPr>
                <w:rFonts w:ascii="Arial Narrow" w:hAnsi="Arial Narrow"/>
              </w:rPr>
            </w:pPr>
            <w:r w:rsidRPr="00414E72">
              <w:rPr>
                <w:rFonts w:ascii="Arial Narrow" w:hAnsi="Arial Narrow"/>
              </w:rPr>
              <w:t>-0.054</w:t>
            </w:r>
          </w:p>
        </w:tc>
        <w:tc>
          <w:tcPr>
            <w:tcW w:w="851" w:type="dxa"/>
            <w:vAlign w:val="center"/>
          </w:tcPr>
          <w:p w14:paraId="53C1440E" w14:textId="77777777" w:rsidR="00A84742" w:rsidRPr="00414E72" w:rsidRDefault="00A84742" w:rsidP="00A84742">
            <w:pPr>
              <w:jc w:val="center"/>
              <w:rPr>
                <w:rFonts w:ascii="Arial Narrow" w:hAnsi="Arial Narrow"/>
              </w:rPr>
            </w:pPr>
            <w:r w:rsidRPr="00414E72">
              <w:rPr>
                <w:rFonts w:ascii="Arial Narrow" w:hAnsi="Arial Narrow"/>
              </w:rPr>
              <w:t>0.122</w:t>
            </w:r>
          </w:p>
        </w:tc>
      </w:tr>
      <w:tr w:rsidR="00CE4E0F" w:rsidRPr="00414E72" w14:paraId="53C14416" w14:textId="77777777" w:rsidTr="004F16D3">
        <w:trPr>
          <w:trHeight w:val="255"/>
        </w:trPr>
        <w:tc>
          <w:tcPr>
            <w:tcW w:w="2093" w:type="dxa"/>
            <w:noWrap/>
            <w:hideMark/>
          </w:tcPr>
          <w:p w14:paraId="53C14410" w14:textId="77777777" w:rsidR="00A84742" w:rsidRPr="00414E72" w:rsidRDefault="00A84742" w:rsidP="00A84742">
            <w:pPr>
              <w:jc w:val="left"/>
              <w:rPr>
                <w:rFonts w:ascii="Arial Narrow" w:hAnsi="Arial Narrow"/>
                <w:i/>
              </w:rPr>
            </w:pPr>
            <w:r w:rsidRPr="00414E72">
              <w:rPr>
                <w:rFonts w:ascii="Arial Narrow" w:hAnsi="Arial Narrow"/>
                <w:i/>
              </w:rPr>
              <w:t>Pavona</w:t>
            </w:r>
          </w:p>
        </w:tc>
        <w:tc>
          <w:tcPr>
            <w:tcW w:w="850" w:type="dxa"/>
            <w:noWrap/>
            <w:vAlign w:val="center"/>
            <w:hideMark/>
          </w:tcPr>
          <w:p w14:paraId="53C14411" w14:textId="77777777" w:rsidR="00A84742" w:rsidRPr="00414E72" w:rsidRDefault="00A84742" w:rsidP="00A84742">
            <w:pPr>
              <w:jc w:val="center"/>
              <w:rPr>
                <w:rFonts w:ascii="Arial Narrow" w:hAnsi="Arial Narrow"/>
              </w:rPr>
            </w:pPr>
            <w:r w:rsidRPr="00414E72">
              <w:rPr>
                <w:rFonts w:ascii="Arial Narrow" w:hAnsi="Arial Narrow"/>
              </w:rPr>
              <w:t>-0.152</w:t>
            </w:r>
          </w:p>
        </w:tc>
        <w:tc>
          <w:tcPr>
            <w:tcW w:w="851" w:type="dxa"/>
            <w:tcBorders>
              <w:right w:val="thinThickThinLargeGap" w:sz="24" w:space="0" w:color="auto"/>
            </w:tcBorders>
            <w:noWrap/>
            <w:vAlign w:val="center"/>
            <w:hideMark/>
          </w:tcPr>
          <w:p w14:paraId="53C14412" w14:textId="77777777" w:rsidR="00A84742" w:rsidRPr="00414E72" w:rsidRDefault="00A84742" w:rsidP="00A84742">
            <w:pPr>
              <w:jc w:val="center"/>
              <w:rPr>
                <w:rFonts w:ascii="Arial Narrow" w:hAnsi="Arial Narrow"/>
              </w:rPr>
            </w:pPr>
            <w:r w:rsidRPr="00414E72">
              <w:rPr>
                <w:rFonts w:ascii="Arial Narrow" w:hAnsi="Arial Narrow"/>
              </w:rPr>
              <w:t>-0.024</w:t>
            </w:r>
          </w:p>
        </w:tc>
        <w:tc>
          <w:tcPr>
            <w:tcW w:w="2069" w:type="dxa"/>
            <w:tcBorders>
              <w:left w:val="thinThickThinLargeGap" w:sz="24" w:space="0" w:color="auto"/>
            </w:tcBorders>
          </w:tcPr>
          <w:p w14:paraId="53C14413" w14:textId="77777777" w:rsidR="00A84742" w:rsidRPr="00414E72" w:rsidRDefault="00A84742" w:rsidP="00A84742">
            <w:pPr>
              <w:jc w:val="left"/>
              <w:rPr>
                <w:rFonts w:ascii="Arial Narrow" w:hAnsi="Arial Narrow"/>
              </w:rPr>
            </w:pPr>
            <w:r w:rsidRPr="00414E72">
              <w:rPr>
                <w:rFonts w:ascii="Arial Narrow" w:hAnsi="Arial Narrow"/>
                <w:i/>
              </w:rPr>
              <w:t>Diploastrea</w:t>
            </w:r>
          </w:p>
        </w:tc>
        <w:tc>
          <w:tcPr>
            <w:tcW w:w="766" w:type="dxa"/>
            <w:vAlign w:val="center"/>
          </w:tcPr>
          <w:p w14:paraId="53C14414" w14:textId="77777777" w:rsidR="00A84742" w:rsidRPr="00414E72" w:rsidRDefault="00A84742" w:rsidP="00A84742">
            <w:pPr>
              <w:jc w:val="center"/>
              <w:rPr>
                <w:rFonts w:ascii="Arial Narrow" w:hAnsi="Arial Narrow"/>
              </w:rPr>
            </w:pPr>
            <w:r w:rsidRPr="00414E72">
              <w:rPr>
                <w:rFonts w:ascii="Arial Narrow" w:hAnsi="Arial Narrow"/>
              </w:rPr>
              <w:t>3</w:t>
            </w:r>
          </w:p>
        </w:tc>
        <w:tc>
          <w:tcPr>
            <w:tcW w:w="851" w:type="dxa"/>
            <w:vAlign w:val="center"/>
          </w:tcPr>
          <w:p w14:paraId="53C14415" w14:textId="77777777" w:rsidR="00A84742" w:rsidRPr="00414E72" w:rsidRDefault="00A84742" w:rsidP="00A84742">
            <w:pPr>
              <w:jc w:val="center"/>
              <w:rPr>
                <w:rFonts w:ascii="Arial Narrow" w:hAnsi="Arial Narrow"/>
              </w:rPr>
            </w:pPr>
            <w:r w:rsidRPr="00414E72">
              <w:rPr>
                <w:rFonts w:ascii="Arial Narrow" w:hAnsi="Arial Narrow"/>
              </w:rPr>
              <w:t>0.173</w:t>
            </w:r>
          </w:p>
        </w:tc>
      </w:tr>
      <w:tr w:rsidR="00CE4E0F" w:rsidRPr="00414E72" w14:paraId="53C1441D" w14:textId="77777777" w:rsidTr="004F16D3">
        <w:trPr>
          <w:trHeight w:val="255"/>
        </w:trPr>
        <w:tc>
          <w:tcPr>
            <w:tcW w:w="2093" w:type="dxa"/>
            <w:noWrap/>
            <w:hideMark/>
          </w:tcPr>
          <w:p w14:paraId="53C14417" w14:textId="77777777" w:rsidR="00A84742" w:rsidRPr="00414E72" w:rsidRDefault="00A84742" w:rsidP="00A84742">
            <w:pPr>
              <w:jc w:val="left"/>
              <w:rPr>
                <w:rFonts w:ascii="Arial Narrow" w:hAnsi="Arial Narrow"/>
                <w:i/>
              </w:rPr>
            </w:pPr>
            <w:r w:rsidRPr="00414E72">
              <w:rPr>
                <w:rFonts w:ascii="Arial Narrow" w:hAnsi="Arial Narrow"/>
                <w:i/>
              </w:rPr>
              <w:t>Astreopora</w:t>
            </w:r>
          </w:p>
        </w:tc>
        <w:tc>
          <w:tcPr>
            <w:tcW w:w="850" w:type="dxa"/>
            <w:noWrap/>
            <w:vAlign w:val="center"/>
            <w:hideMark/>
          </w:tcPr>
          <w:p w14:paraId="53C14418" w14:textId="77777777" w:rsidR="00A84742" w:rsidRPr="00414E72" w:rsidRDefault="00A84742" w:rsidP="00A84742">
            <w:pPr>
              <w:jc w:val="center"/>
              <w:rPr>
                <w:rFonts w:ascii="Arial Narrow" w:hAnsi="Arial Narrow"/>
              </w:rPr>
            </w:pPr>
            <w:r w:rsidRPr="00414E72">
              <w:rPr>
                <w:rFonts w:ascii="Arial Narrow" w:hAnsi="Arial Narrow"/>
              </w:rPr>
              <w:t>0.031</w:t>
            </w:r>
          </w:p>
        </w:tc>
        <w:tc>
          <w:tcPr>
            <w:tcW w:w="851" w:type="dxa"/>
            <w:tcBorders>
              <w:right w:val="thinThickThinLargeGap" w:sz="24" w:space="0" w:color="auto"/>
            </w:tcBorders>
            <w:noWrap/>
            <w:vAlign w:val="center"/>
            <w:hideMark/>
          </w:tcPr>
          <w:p w14:paraId="53C14419" w14:textId="77777777" w:rsidR="00A84742" w:rsidRPr="00414E72" w:rsidRDefault="00A84742" w:rsidP="00A84742">
            <w:pPr>
              <w:jc w:val="center"/>
              <w:rPr>
                <w:rFonts w:ascii="Arial Narrow" w:hAnsi="Arial Narrow"/>
              </w:rPr>
            </w:pPr>
            <w:r w:rsidRPr="00414E72">
              <w:rPr>
                <w:rFonts w:ascii="Arial Narrow" w:hAnsi="Arial Narrow"/>
              </w:rPr>
              <w:t>-0.023</w:t>
            </w:r>
          </w:p>
        </w:tc>
        <w:tc>
          <w:tcPr>
            <w:tcW w:w="2069" w:type="dxa"/>
            <w:tcBorders>
              <w:left w:val="thinThickThinLargeGap" w:sz="24" w:space="0" w:color="auto"/>
            </w:tcBorders>
          </w:tcPr>
          <w:p w14:paraId="53C1441A" w14:textId="77777777" w:rsidR="00A84742" w:rsidRPr="00414E72" w:rsidRDefault="00A84742" w:rsidP="00A84742">
            <w:pPr>
              <w:jc w:val="left"/>
              <w:rPr>
                <w:rFonts w:ascii="Arial Narrow" w:hAnsi="Arial Narrow"/>
                <w:i/>
              </w:rPr>
            </w:pPr>
            <w:r w:rsidRPr="00414E72">
              <w:rPr>
                <w:rFonts w:ascii="Arial Narrow" w:hAnsi="Arial Narrow"/>
              </w:rPr>
              <w:t xml:space="preserve">Tabulate </w:t>
            </w:r>
            <w:r w:rsidRPr="00414E72">
              <w:rPr>
                <w:rFonts w:ascii="Arial Narrow" w:hAnsi="Arial Narrow"/>
                <w:i/>
              </w:rPr>
              <w:t>Acropora</w:t>
            </w:r>
          </w:p>
        </w:tc>
        <w:tc>
          <w:tcPr>
            <w:tcW w:w="766" w:type="dxa"/>
            <w:vAlign w:val="center"/>
          </w:tcPr>
          <w:p w14:paraId="53C1441B" w14:textId="77777777" w:rsidR="00A84742" w:rsidRPr="00414E72" w:rsidRDefault="00A84742" w:rsidP="00A84742">
            <w:pPr>
              <w:jc w:val="center"/>
              <w:rPr>
                <w:rFonts w:ascii="Arial Narrow" w:hAnsi="Arial Narrow"/>
              </w:rPr>
            </w:pPr>
            <w:r w:rsidRPr="00414E72">
              <w:rPr>
                <w:rFonts w:ascii="Arial Narrow" w:hAnsi="Arial Narrow"/>
              </w:rPr>
              <w:t>0.052</w:t>
            </w:r>
          </w:p>
        </w:tc>
        <w:tc>
          <w:tcPr>
            <w:tcW w:w="851" w:type="dxa"/>
            <w:vAlign w:val="center"/>
          </w:tcPr>
          <w:p w14:paraId="53C1441C" w14:textId="77777777" w:rsidR="00A84742" w:rsidRPr="00414E72" w:rsidRDefault="00A84742" w:rsidP="00A84742">
            <w:pPr>
              <w:jc w:val="center"/>
              <w:rPr>
                <w:rFonts w:ascii="Arial Narrow" w:hAnsi="Arial Narrow"/>
              </w:rPr>
            </w:pPr>
            <w:r w:rsidRPr="00414E72">
              <w:rPr>
                <w:rFonts w:ascii="Arial Narrow" w:hAnsi="Arial Narrow"/>
              </w:rPr>
              <w:t>0.224</w:t>
            </w:r>
          </w:p>
        </w:tc>
      </w:tr>
      <w:tr w:rsidR="00CE4E0F" w:rsidRPr="00414E72" w14:paraId="53C14424" w14:textId="77777777" w:rsidTr="004F16D3">
        <w:trPr>
          <w:trHeight w:val="255"/>
        </w:trPr>
        <w:tc>
          <w:tcPr>
            <w:tcW w:w="2093" w:type="dxa"/>
            <w:noWrap/>
            <w:hideMark/>
          </w:tcPr>
          <w:p w14:paraId="53C1441E" w14:textId="77777777" w:rsidR="00A84742" w:rsidRPr="00414E72" w:rsidRDefault="00A84742" w:rsidP="00A84742">
            <w:pPr>
              <w:jc w:val="left"/>
              <w:rPr>
                <w:rFonts w:ascii="Arial Narrow" w:hAnsi="Arial Narrow"/>
                <w:i/>
              </w:rPr>
            </w:pPr>
            <w:r w:rsidRPr="00414E72">
              <w:rPr>
                <w:rFonts w:ascii="Arial Narrow" w:hAnsi="Arial Narrow"/>
                <w:i/>
              </w:rPr>
              <w:t xml:space="preserve">Euphyllia </w:t>
            </w:r>
          </w:p>
        </w:tc>
        <w:tc>
          <w:tcPr>
            <w:tcW w:w="850" w:type="dxa"/>
            <w:noWrap/>
            <w:vAlign w:val="center"/>
            <w:hideMark/>
          </w:tcPr>
          <w:p w14:paraId="53C1441F" w14:textId="77777777" w:rsidR="00A84742" w:rsidRPr="00414E72" w:rsidRDefault="00A84742" w:rsidP="00A84742">
            <w:pPr>
              <w:jc w:val="center"/>
              <w:rPr>
                <w:rFonts w:ascii="Arial Narrow" w:hAnsi="Arial Narrow"/>
              </w:rPr>
            </w:pPr>
            <w:r w:rsidRPr="00414E72">
              <w:rPr>
                <w:rFonts w:ascii="Arial Narrow" w:hAnsi="Arial Narrow"/>
              </w:rPr>
              <w:t>-0.012</w:t>
            </w:r>
          </w:p>
        </w:tc>
        <w:tc>
          <w:tcPr>
            <w:tcW w:w="851" w:type="dxa"/>
            <w:tcBorders>
              <w:right w:val="thinThickThinLargeGap" w:sz="24" w:space="0" w:color="auto"/>
            </w:tcBorders>
            <w:noWrap/>
            <w:vAlign w:val="center"/>
            <w:hideMark/>
          </w:tcPr>
          <w:p w14:paraId="53C14420" w14:textId="77777777" w:rsidR="00A84742" w:rsidRPr="00414E72" w:rsidRDefault="00A84742" w:rsidP="00A84742">
            <w:pPr>
              <w:jc w:val="center"/>
              <w:rPr>
                <w:rFonts w:ascii="Arial Narrow" w:hAnsi="Arial Narrow"/>
              </w:rPr>
            </w:pPr>
            <w:r w:rsidRPr="00414E72">
              <w:rPr>
                <w:rFonts w:ascii="Arial Narrow" w:hAnsi="Arial Narrow"/>
              </w:rPr>
              <w:t>-0.023</w:t>
            </w:r>
          </w:p>
        </w:tc>
        <w:tc>
          <w:tcPr>
            <w:tcW w:w="2069" w:type="dxa"/>
            <w:tcBorders>
              <w:left w:val="thinThickThinLargeGap" w:sz="24" w:space="0" w:color="auto"/>
            </w:tcBorders>
          </w:tcPr>
          <w:p w14:paraId="53C14421" w14:textId="77777777" w:rsidR="00A84742" w:rsidRPr="00414E72" w:rsidRDefault="00A84742" w:rsidP="00A84742">
            <w:pPr>
              <w:jc w:val="left"/>
              <w:rPr>
                <w:rFonts w:ascii="Arial Narrow" w:hAnsi="Arial Narrow"/>
              </w:rPr>
            </w:pPr>
            <w:r w:rsidRPr="00414E72">
              <w:rPr>
                <w:rFonts w:ascii="Arial Narrow" w:hAnsi="Arial Narrow"/>
              </w:rPr>
              <w:t xml:space="preserve">Corymbose </w:t>
            </w:r>
            <w:r w:rsidRPr="00414E72">
              <w:rPr>
                <w:rFonts w:ascii="Arial Narrow" w:hAnsi="Arial Narrow"/>
                <w:i/>
              </w:rPr>
              <w:t>Acropora</w:t>
            </w:r>
          </w:p>
        </w:tc>
        <w:tc>
          <w:tcPr>
            <w:tcW w:w="766" w:type="dxa"/>
            <w:vAlign w:val="center"/>
          </w:tcPr>
          <w:p w14:paraId="53C14422" w14:textId="77777777" w:rsidR="00A84742" w:rsidRPr="00414E72" w:rsidRDefault="00A84742" w:rsidP="00A84742">
            <w:pPr>
              <w:jc w:val="center"/>
              <w:rPr>
                <w:rFonts w:ascii="Arial Narrow" w:hAnsi="Arial Narrow"/>
              </w:rPr>
            </w:pPr>
            <w:r w:rsidRPr="00414E72">
              <w:rPr>
                <w:rFonts w:ascii="Arial Narrow" w:hAnsi="Arial Narrow"/>
              </w:rPr>
              <w:t>0.060</w:t>
            </w:r>
          </w:p>
        </w:tc>
        <w:tc>
          <w:tcPr>
            <w:tcW w:w="851" w:type="dxa"/>
            <w:vAlign w:val="center"/>
          </w:tcPr>
          <w:p w14:paraId="53C14423" w14:textId="77777777" w:rsidR="00A84742" w:rsidRPr="00414E72" w:rsidRDefault="00A84742" w:rsidP="00A84742">
            <w:pPr>
              <w:jc w:val="center"/>
              <w:rPr>
                <w:rFonts w:ascii="Arial Narrow" w:hAnsi="Arial Narrow"/>
              </w:rPr>
            </w:pPr>
            <w:r w:rsidRPr="00414E72">
              <w:rPr>
                <w:rFonts w:ascii="Arial Narrow" w:hAnsi="Arial Narrow"/>
              </w:rPr>
              <w:t>0.240</w:t>
            </w:r>
          </w:p>
        </w:tc>
      </w:tr>
      <w:tr w:rsidR="00CE4E0F" w:rsidRPr="00414E72" w14:paraId="53C1442B" w14:textId="77777777" w:rsidTr="004F16D3">
        <w:trPr>
          <w:trHeight w:val="255"/>
        </w:trPr>
        <w:tc>
          <w:tcPr>
            <w:tcW w:w="2093" w:type="dxa"/>
            <w:noWrap/>
            <w:hideMark/>
          </w:tcPr>
          <w:p w14:paraId="53C14425" w14:textId="77777777" w:rsidR="00A84742" w:rsidRPr="00414E72" w:rsidRDefault="00A84742" w:rsidP="00A84742">
            <w:pPr>
              <w:jc w:val="left"/>
              <w:rPr>
                <w:rFonts w:ascii="Arial Narrow" w:hAnsi="Arial Narrow"/>
              </w:rPr>
            </w:pPr>
            <w:r w:rsidRPr="00414E72">
              <w:rPr>
                <w:rFonts w:ascii="Arial Narrow" w:hAnsi="Arial Narrow"/>
                <w:i/>
              </w:rPr>
              <w:t>Leptoseris</w:t>
            </w:r>
          </w:p>
        </w:tc>
        <w:tc>
          <w:tcPr>
            <w:tcW w:w="850" w:type="dxa"/>
            <w:noWrap/>
            <w:vAlign w:val="center"/>
            <w:hideMark/>
          </w:tcPr>
          <w:p w14:paraId="53C14426" w14:textId="77777777" w:rsidR="00A84742" w:rsidRPr="00414E72" w:rsidRDefault="00A84742" w:rsidP="00A84742">
            <w:pPr>
              <w:jc w:val="center"/>
              <w:rPr>
                <w:rFonts w:ascii="Arial Narrow" w:hAnsi="Arial Narrow"/>
              </w:rPr>
            </w:pPr>
            <w:r w:rsidRPr="00414E72">
              <w:rPr>
                <w:rFonts w:ascii="Arial Narrow" w:hAnsi="Arial Narrow"/>
              </w:rPr>
              <w:t>-0.011</w:t>
            </w:r>
          </w:p>
        </w:tc>
        <w:tc>
          <w:tcPr>
            <w:tcW w:w="851" w:type="dxa"/>
            <w:tcBorders>
              <w:right w:val="thinThickThinLargeGap" w:sz="24" w:space="0" w:color="auto"/>
            </w:tcBorders>
            <w:noWrap/>
            <w:vAlign w:val="center"/>
            <w:hideMark/>
          </w:tcPr>
          <w:p w14:paraId="53C14427" w14:textId="77777777" w:rsidR="00A84742" w:rsidRPr="00414E72" w:rsidRDefault="00A84742" w:rsidP="00A84742">
            <w:pPr>
              <w:jc w:val="center"/>
              <w:rPr>
                <w:rFonts w:ascii="Arial Narrow" w:hAnsi="Arial Narrow"/>
              </w:rPr>
            </w:pPr>
            <w:r w:rsidRPr="00414E72">
              <w:rPr>
                <w:rFonts w:ascii="Arial Narrow" w:hAnsi="Arial Narrow"/>
              </w:rPr>
              <w:t>-0.021</w:t>
            </w:r>
          </w:p>
        </w:tc>
        <w:tc>
          <w:tcPr>
            <w:tcW w:w="2069" w:type="dxa"/>
            <w:tcBorders>
              <w:left w:val="thinThickThinLargeGap" w:sz="24" w:space="0" w:color="auto"/>
            </w:tcBorders>
          </w:tcPr>
          <w:p w14:paraId="53C14428" w14:textId="77777777" w:rsidR="00A84742" w:rsidRPr="00414E72" w:rsidRDefault="00A84742" w:rsidP="00A84742">
            <w:pPr>
              <w:jc w:val="left"/>
              <w:rPr>
                <w:rFonts w:ascii="Arial Narrow" w:hAnsi="Arial Narrow"/>
              </w:rPr>
            </w:pPr>
            <w:r w:rsidRPr="00414E72">
              <w:rPr>
                <w:rFonts w:ascii="Arial Narrow" w:hAnsi="Arial Narrow"/>
              </w:rPr>
              <w:t xml:space="preserve">Branching </w:t>
            </w:r>
            <w:r w:rsidRPr="00414E72">
              <w:rPr>
                <w:rFonts w:ascii="Arial Narrow" w:hAnsi="Arial Narrow"/>
                <w:i/>
              </w:rPr>
              <w:t>Acropora</w:t>
            </w:r>
          </w:p>
        </w:tc>
        <w:tc>
          <w:tcPr>
            <w:tcW w:w="766" w:type="dxa"/>
            <w:vAlign w:val="center"/>
          </w:tcPr>
          <w:p w14:paraId="53C14429" w14:textId="77777777" w:rsidR="00A84742" w:rsidRPr="00414E72" w:rsidRDefault="00A84742" w:rsidP="00A84742">
            <w:pPr>
              <w:jc w:val="center"/>
              <w:rPr>
                <w:rFonts w:ascii="Arial Narrow" w:hAnsi="Arial Narrow"/>
              </w:rPr>
            </w:pPr>
            <w:r w:rsidRPr="00414E72">
              <w:rPr>
                <w:rFonts w:ascii="Arial Narrow" w:hAnsi="Arial Narrow"/>
              </w:rPr>
              <w:t>0.657</w:t>
            </w:r>
          </w:p>
        </w:tc>
        <w:tc>
          <w:tcPr>
            <w:tcW w:w="851" w:type="dxa"/>
            <w:vAlign w:val="center"/>
          </w:tcPr>
          <w:p w14:paraId="53C1442A" w14:textId="77777777" w:rsidR="00A84742" w:rsidRPr="00414E72" w:rsidRDefault="00A84742" w:rsidP="00A84742">
            <w:pPr>
              <w:jc w:val="center"/>
              <w:rPr>
                <w:rFonts w:ascii="Arial Narrow" w:hAnsi="Arial Narrow"/>
              </w:rPr>
            </w:pPr>
            <w:r w:rsidRPr="00414E72">
              <w:rPr>
                <w:rFonts w:ascii="Arial Narrow" w:hAnsi="Arial Narrow"/>
              </w:rPr>
              <w:t>0.810</w:t>
            </w:r>
          </w:p>
        </w:tc>
      </w:tr>
      <w:tr w:rsidR="00CE4E0F" w:rsidRPr="00414E72" w14:paraId="53C14432" w14:textId="77777777" w:rsidTr="004F16D3">
        <w:trPr>
          <w:trHeight w:val="255"/>
        </w:trPr>
        <w:tc>
          <w:tcPr>
            <w:tcW w:w="2093" w:type="dxa"/>
            <w:noWrap/>
          </w:tcPr>
          <w:p w14:paraId="53C1442C" w14:textId="77777777" w:rsidR="00A84742" w:rsidRPr="00414E72" w:rsidRDefault="00A84742" w:rsidP="00A84742">
            <w:pPr>
              <w:jc w:val="left"/>
              <w:rPr>
                <w:rFonts w:ascii="Arial Narrow" w:hAnsi="Arial Narrow"/>
                <w:i/>
              </w:rPr>
            </w:pPr>
            <w:r w:rsidRPr="00414E72">
              <w:rPr>
                <w:rFonts w:ascii="Arial Narrow" w:hAnsi="Arial Narrow"/>
                <w:i/>
              </w:rPr>
              <w:t>Palauastrea *</w:t>
            </w:r>
          </w:p>
        </w:tc>
        <w:tc>
          <w:tcPr>
            <w:tcW w:w="850" w:type="dxa"/>
            <w:noWrap/>
            <w:vAlign w:val="center"/>
          </w:tcPr>
          <w:p w14:paraId="53C1442D" w14:textId="77777777" w:rsidR="00A84742" w:rsidRPr="00414E72" w:rsidRDefault="00A84742" w:rsidP="00A84742">
            <w:pPr>
              <w:jc w:val="center"/>
              <w:rPr>
                <w:rFonts w:ascii="Arial Narrow" w:hAnsi="Arial Narrow"/>
              </w:rPr>
            </w:pPr>
            <w:r w:rsidRPr="00414E72">
              <w:rPr>
                <w:rFonts w:ascii="Arial Narrow" w:hAnsi="Arial Narrow"/>
              </w:rPr>
              <w:t>2</w:t>
            </w:r>
          </w:p>
        </w:tc>
        <w:tc>
          <w:tcPr>
            <w:tcW w:w="851" w:type="dxa"/>
            <w:tcBorders>
              <w:right w:val="thinThickThinLargeGap" w:sz="24" w:space="0" w:color="auto"/>
            </w:tcBorders>
            <w:noWrap/>
            <w:vAlign w:val="center"/>
          </w:tcPr>
          <w:p w14:paraId="53C1442E" w14:textId="77777777" w:rsidR="00A84742" w:rsidRPr="00414E72" w:rsidRDefault="00A84742" w:rsidP="00A84742">
            <w:pPr>
              <w:jc w:val="center"/>
              <w:rPr>
                <w:rFonts w:ascii="Arial Narrow" w:hAnsi="Arial Narrow"/>
              </w:rPr>
            </w:pPr>
            <w:r w:rsidRPr="00414E72">
              <w:rPr>
                <w:rFonts w:ascii="Arial Narrow" w:hAnsi="Arial Narrow"/>
              </w:rPr>
              <w:t>-0.021</w:t>
            </w:r>
          </w:p>
        </w:tc>
        <w:tc>
          <w:tcPr>
            <w:tcW w:w="2069" w:type="dxa"/>
            <w:tcBorders>
              <w:left w:val="thinThickThinLargeGap" w:sz="24" w:space="0" w:color="auto"/>
            </w:tcBorders>
          </w:tcPr>
          <w:p w14:paraId="53C1442F" w14:textId="77777777" w:rsidR="00A84742" w:rsidRPr="00414E72" w:rsidRDefault="00A84742" w:rsidP="00A84742">
            <w:pPr>
              <w:jc w:val="left"/>
              <w:rPr>
                <w:rFonts w:ascii="Arial Narrow" w:hAnsi="Arial Narrow"/>
              </w:rPr>
            </w:pPr>
          </w:p>
        </w:tc>
        <w:tc>
          <w:tcPr>
            <w:tcW w:w="766" w:type="dxa"/>
          </w:tcPr>
          <w:p w14:paraId="53C14430" w14:textId="77777777" w:rsidR="00A84742" w:rsidRPr="00414E72" w:rsidRDefault="00A84742" w:rsidP="00A84742">
            <w:pPr>
              <w:jc w:val="left"/>
              <w:rPr>
                <w:rFonts w:ascii="Arial Narrow" w:hAnsi="Arial Narrow"/>
              </w:rPr>
            </w:pPr>
          </w:p>
        </w:tc>
        <w:tc>
          <w:tcPr>
            <w:tcW w:w="851" w:type="dxa"/>
          </w:tcPr>
          <w:p w14:paraId="53C14431" w14:textId="77777777" w:rsidR="00A84742" w:rsidRPr="00414E72" w:rsidRDefault="00A84742" w:rsidP="00A84742">
            <w:pPr>
              <w:jc w:val="left"/>
              <w:rPr>
                <w:rFonts w:ascii="Arial Narrow" w:hAnsi="Arial Narrow"/>
              </w:rPr>
            </w:pPr>
          </w:p>
        </w:tc>
      </w:tr>
      <w:tr w:rsidR="00CE4E0F" w:rsidRPr="00414E72" w14:paraId="53C14439" w14:textId="77777777" w:rsidTr="004F16D3">
        <w:trPr>
          <w:trHeight w:val="255"/>
        </w:trPr>
        <w:tc>
          <w:tcPr>
            <w:tcW w:w="2093" w:type="dxa"/>
            <w:noWrap/>
          </w:tcPr>
          <w:p w14:paraId="53C14433" w14:textId="77777777" w:rsidR="00A84742" w:rsidRPr="00414E72" w:rsidRDefault="00A84742" w:rsidP="00A84742">
            <w:pPr>
              <w:jc w:val="left"/>
              <w:rPr>
                <w:rFonts w:ascii="Arial Narrow" w:hAnsi="Arial Narrow"/>
                <w:i/>
              </w:rPr>
            </w:pPr>
            <w:r w:rsidRPr="00414E72">
              <w:rPr>
                <w:rFonts w:ascii="Arial Narrow" w:hAnsi="Arial Narrow"/>
                <w:i/>
              </w:rPr>
              <w:t>Polyphyllia *</w:t>
            </w:r>
          </w:p>
        </w:tc>
        <w:tc>
          <w:tcPr>
            <w:tcW w:w="850" w:type="dxa"/>
            <w:noWrap/>
            <w:vAlign w:val="center"/>
          </w:tcPr>
          <w:p w14:paraId="53C14434" w14:textId="77777777" w:rsidR="00A84742" w:rsidRPr="00414E72" w:rsidRDefault="00A84742" w:rsidP="00A84742">
            <w:pPr>
              <w:jc w:val="center"/>
              <w:rPr>
                <w:rFonts w:ascii="Arial Narrow" w:hAnsi="Arial Narrow"/>
              </w:rPr>
            </w:pPr>
            <w:r w:rsidRPr="00414E72">
              <w:rPr>
                <w:rFonts w:ascii="Arial Narrow" w:hAnsi="Arial Narrow"/>
              </w:rPr>
              <w:t>0</w:t>
            </w:r>
          </w:p>
        </w:tc>
        <w:tc>
          <w:tcPr>
            <w:tcW w:w="851" w:type="dxa"/>
            <w:tcBorders>
              <w:right w:val="thinThickThinLargeGap" w:sz="24" w:space="0" w:color="auto"/>
            </w:tcBorders>
            <w:noWrap/>
            <w:vAlign w:val="center"/>
          </w:tcPr>
          <w:p w14:paraId="53C14435" w14:textId="77777777" w:rsidR="00A84742" w:rsidRPr="00414E72" w:rsidRDefault="00A84742" w:rsidP="00A84742">
            <w:pPr>
              <w:jc w:val="center"/>
              <w:rPr>
                <w:rFonts w:ascii="Arial Narrow" w:hAnsi="Arial Narrow"/>
              </w:rPr>
            </w:pPr>
            <w:r w:rsidRPr="00414E72">
              <w:rPr>
                <w:rFonts w:ascii="Arial Narrow" w:hAnsi="Arial Narrow"/>
              </w:rPr>
              <w:t>-0.020</w:t>
            </w:r>
          </w:p>
        </w:tc>
        <w:tc>
          <w:tcPr>
            <w:tcW w:w="2069" w:type="dxa"/>
            <w:tcBorders>
              <w:left w:val="thinThickThinLargeGap" w:sz="24" w:space="0" w:color="auto"/>
            </w:tcBorders>
          </w:tcPr>
          <w:p w14:paraId="53C14436" w14:textId="77777777" w:rsidR="00A84742" w:rsidRPr="00414E72" w:rsidRDefault="00A84742" w:rsidP="00A84742">
            <w:pPr>
              <w:jc w:val="left"/>
              <w:rPr>
                <w:rFonts w:ascii="Arial Narrow" w:hAnsi="Arial Narrow"/>
                <w:i/>
              </w:rPr>
            </w:pPr>
          </w:p>
        </w:tc>
        <w:tc>
          <w:tcPr>
            <w:tcW w:w="766" w:type="dxa"/>
          </w:tcPr>
          <w:p w14:paraId="53C14437" w14:textId="77777777" w:rsidR="00A84742" w:rsidRPr="00414E72" w:rsidRDefault="00A84742" w:rsidP="00A84742">
            <w:pPr>
              <w:jc w:val="left"/>
              <w:rPr>
                <w:rFonts w:ascii="Arial Narrow" w:hAnsi="Arial Narrow"/>
              </w:rPr>
            </w:pPr>
          </w:p>
        </w:tc>
        <w:tc>
          <w:tcPr>
            <w:tcW w:w="851" w:type="dxa"/>
          </w:tcPr>
          <w:p w14:paraId="53C14438" w14:textId="77777777" w:rsidR="00A84742" w:rsidRPr="00414E72" w:rsidRDefault="00A84742" w:rsidP="00A84742">
            <w:pPr>
              <w:jc w:val="left"/>
              <w:rPr>
                <w:rFonts w:ascii="Arial Narrow" w:hAnsi="Arial Narrow"/>
              </w:rPr>
            </w:pPr>
          </w:p>
        </w:tc>
      </w:tr>
      <w:tr w:rsidR="00CE4E0F" w:rsidRPr="00414E72" w14:paraId="53C14440" w14:textId="77777777" w:rsidTr="004F16D3">
        <w:trPr>
          <w:trHeight w:val="255"/>
        </w:trPr>
        <w:tc>
          <w:tcPr>
            <w:tcW w:w="2093" w:type="dxa"/>
            <w:noWrap/>
            <w:hideMark/>
          </w:tcPr>
          <w:p w14:paraId="53C1443A" w14:textId="77777777" w:rsidR="00A84742" w:rsidRPr="00414E72" w:rsidRDefault="00A84742" w:rsidP="00A84742">
            <w:pPr>
              <w:jc w:val="left"/>
              <w:rPr>
                <w:rFonts w:ascii="Arial Narrow" w:hAnsi="Arial Narrow"/>
                <w:i/>
              </w:rPr>
            </w:pPr>
            <w:r w:rsidRPr="00414E72">
              <w:rPr>
                <w:rFonts w:ascii="Arial Narrow" w:hAnsi="Arial Narrow"/>
                <w:i/>
              </w:rPr>
              <w:t>Heliofungia</w:t>
            </w:r>
          </w:p>
        </w:tc>
        <w:tc>
          <w:tcPr>
            <w:tcW w:w="850" w:type="dxa"/>
            <w:noWrap/>
            <w:vAlign w:val="center"/>
            <w:hideMark/>
          </w:tcPr>
          <w:p w14:paraId="53C1443B" w14:textId="77777777" w:rsidR="00A84742" w:rsidRPr="00414E72" w:rsidRDefault="00A84742" w:rsidP="00A84742">
            <w:pPr>
              <w:jc w:val="center"/>
              <w:rPr>
                <w:rFonts w:ascii="Arial Narrow" w:hAnsi="Arial Narrow"/>
              </w:rPr>
            </w:pPr>
            <w:r w:rsidRPr="00414E72">
              <w:rPr>
                <w:rFonts w:ascii="Arial Narrow" w:hAnsi="Arial Narrow"/>
              </w:rPr>
              <w:t>0.015</w:t>
            </w:r>
          </w:p>
        </w:tc>
        <w:tc>
          <w:tcPr>
            <w:tcW w:w="851" w:type="dxa"/>
            <w:tcBorders>
              <w:right w:val="thinThickThinLargeGap" w:sz="24" w:space="0" w:color="auto"/>
            </w:tcBorders>
            <w:noWrap/>
            <w:vAlign w:val="center"/>
            <w:hideMark/>
          </w:tcPr>
          <w:p w14:paraId="53C1443C" w14:textId="77777777" w:rsidR="00A84742" w:rsidRPr="00414E72" w:rsidRDefault="00A84742" w:rsidP="00A84742">
            <w:pPr>
              <w:jc w:val="center"/>
              <w:rPr>
                <w:rFonts w:ascii="Arial Narrow" w:hAnsi="Arial Narrow"/>
              </w:rPr>
            </w:pPr>
            <w:r w:rsidRPr="00414E72">
              <w:rPr>
                <w:rFonts w:ascii="Arial Narrow" w:hAnsi="Arial Narrow"/>
              </w:rPr>
              <w:t>-7</w:t>
            </w:r>
          </w:p>
        </w:tc>
        <w:tc>
          <w:tcPr>
            <w:tcW w:w="2069" w:type="dxa"/>
            <w:tcBorders>
              <w:left w:val="thinThickThinLargeGap" w:sz="24" w:space="0" w:color="auto"/>
            </w:tcBorders>
          </w:tcPr>
          <w:p w14:paraId="53C1443D" w14:textId="77777777" w:rsidR="00A84742" w:rsidRPr="00414E72" w:rsidRDefault="00A84742" w:rsidP="00A84742">
            <w:pPr>
              <w:jc w:val="left"/>
              <w:rPr>
                <w:rFonts w:ascii="Arial Narrow" w:hAnsi="Arial Narrow"/>
              </w:rPr>
            </w:pPr>
          </w:p>
        </w:tc>
        <w:tc>
          <w:tcPr>
            <w:tcW w:w="766" w:type="dxa"/>
          </w:tcPr>
          <w:p w14:paraId="53C1443E" w14:textId="77777777" w:rsidR="00A84742" w:rsidRPr="00414E72" w:rsidRDefault="00A84742" w:rsidP="00A84742">
            <w:pPr>
              <w:jc w:val="left"/>
              <w:rPr>
                <w:rFonts w:ascii="Arial Narrow" w:hAnsi="Arial Narrow"/>
              </w:rPr>
            </w:pPr>
          </w:p>
        </w:tc>
        <w:tc>
          <w:tcPr>
            <w:tcW w:w="851" w:type="dxa"/>
          </w:tcPr>
          <w:p w14:paraId="53C1443F" w14:textId="77777777" w:rsidR="00A84742" w:rsidRPr="00414E72" w:rsidRDefault="00A84742" w:rsidP="00A84742">
            <w:pPr>
              <w:jc w:val="left"/>
              <w:rPr>
                <w:rFonts w:ascii="Arial Narrow" w:hAnsi="Arial Narrow"/>
              </w:rPr>
            </w:pPr>
          </w:p>
        </w:tc>
      </w:tr>
      <w:tr w:rsidR="00CE4E0F" w:rsidRPr="00414E72" w14:paraId="53C14447" w14:textId="77777777" w:rsidTr="004F16D3">
        <w:trPr>
          <w:trHeight w:val="255"/>
        </w:trPr>
        <w:tc>
          <w:tcPr>
            <w:tcW w:w="2093" w:type="dxa"/>
            <w:noWrap/>
          </w:tcPr>
          <w:p w14:paraId="53C14441" w14:textId="77777777" w:rsidR="00A84742" w:rsidRPr="00414E72" w:rsidRDefault="00A84742" w:rsidP="00A84742">
            <w:pPr>
              <w:jc w:val="left"/>
              <w:rPr>
                <w:rFonts w:ascii="Arial Narrow" w:hAnsi="Arial Narrow"/>
                <w:i/>
              </w:rPr>
            </w:pPr>
            <w:r w:rsidRPr="00414E72">
              <w:rPr>
                <w:rFonts w:ascii="Arial Narrow" w:hAnsi="Arial Narrow"/>
                <w:i/>
              </w:rPr>
              <w:t>Catalaphyllia *</w:t>
            </w:r>
          </w:p>
        </w:tc>
        <w:tc>
          <w:tcPr>
            <w:tcW w:w="850" w:type="dxa"/>
            <w:noWrap/>
            <w:vAlign w:val="center"/>
          </w:tcPr>
          <w:p w14:paraId="53C14442" w14:textId="77777777" w:rsidR="00A84742" w:rsidRPr="00414E72" w:rsidRDefault="00A84742" w:rsidP="00A84742">
            <w:pPr>
              <w:jc w:val="center"/>
              <w:rPr>
                <w:rFonts w:ascii="Arial Narrow" w:hAnsi="Arial Narrow"/>
              </w:rPr>
            </w:pPr>
            <w:r w:rsidRPr="00414E72">
              <w:rPr>
                <w:rFonts w:ascii="Arial Narrow" w:hAnsi="Arial Narrow"/>
              </w:rPr>
              <w:t>-2</w:t>
            </w:r>
          </w:p>
        </w:tc>
        <w:tc>
          <w:tcPr>
            <w:tcW w:w="851" w:type="dxa"/>
            <w:tcBorders>
              <w:right w:val="thinThickThinLargeGap" w:sz="24" w:space="0" w:color="auto"/>
            </w:tcBorders>
            <w:noWrap/>
            <w:vAlign w:val="center"/>
          </w:tcPr>
          <w:p w14:paraId="53C14443" w14:textId="77777777" w:rsidR="00A84742" w:rsidRPr="00414E72" w:rsidRDefault="00A84742" w:rsidP="00A84742">
            <w:pPr>
              <w:jc w:val="center"/>
              <w:rPr>
                <w:rFonts w:ascii="Arial Narrow" w:hAnsi="Arial Narrow"/>
              </w:rPr>
            </w:pPr>
            <w:r w:rsidRPr="00414E72">
              <w:rPr>
                <w:rFonts w:ascii="Arial Narrow" w:hAnsi="Arial Narrow"/>
              </w:rPr>
              <w:t>-6</w:t>
            </w:r>
          </w:p>
        </w:tc>
        <w:tc>
          <w:tcPr>
            <w:tcW w:w="2069" w:type="dxa"/>
            <w:tcBorders>
              <w:left w:val="thinThickThinLargeGap" w:sz="24" w:space="0" w:color="auto"/>
            </w:tcBorders>
          </w:tcPr>
          <w:p w14:paraId="53C14444" w14:textId="77777777" w:rsidR="00A84742" w:rsidRPr="00414E72" w:rsidRDefault="00A84742" w:rsidP="00A84742">
            <w:pPr>
              <w:jc w:val="left"/>
              <w:rPr>
                <w:rFonts w:ascii="Arial Narrow" w:hAnsi="Arial Narrow"/>
                <w:i/>
              </w:rPr>
            </w:pPr>
          </w:p>
        </w:tc>
        <w:tc>
          <w:tcPr>
            <w:tcW w:w="766" w:type="dxa"/>
          </w:tcPr>
          <w:p w14:paraId="53C14445" w14:textId="77777777" w:rsidR="00A84742" w:rsidRPr="00414E72" w:rsidRDefault="00A84742" w:rsidP="00A84742">
            <w:pPr>
              <w:jc w:val="left"/>
              <w:rPr>
                <w:rFonts w:ascii="Arial Narrow" w:hAnsi="Arial Narrow"/>
              </w:rPr>
            </w:pPr>
          </w:p>
        </w:tc>
        <w:tc>
          <w:tcPr>
            <w:tcW w:w="851" w:type="dxa"/>
          </w:tcPr>
          <w:p w14:paraId="53C14446" w14:textId="77777777" w:rsidR="00A84742" w:rsidRPr="00414E72" w:rsidRDefault="00A84742" w:rsidP="00A84742">
            <w:pPr>
              <w:jc w:val="left"/>
              <w:rPr>
                <w:rFonts w:ascii="Arial Narrow" w:hAnsi="Arial Narrow"/>
              </w:rPr>
            </w:pPr>
          </w:p>
        </w:tc>
      </w:tr>
      <w:tr w:rsidR="00CE4E0F" w:rsidRPr="00414E72" w14:paraId="53C1444E" w14:textId="77777777" w:rsidTr="004F16D3">
        <w:trPr>
          <w:trHeight w:val="255"/>
        </w:trPr>
        <w:tc>
          <w:tcPr>
            <w:tcW w:w="2093" w:type="dxa"/>
            <w:noWrap/>
          </w:tcPr>
          <w:p w14:paraId="53C14448" w14:textId="77777777" w:rsidR="00A84742" w:rsidRPr="00414E72" w:rsidRDefault="00A84742" w:rsidP="00A84742">
            <w:pPr>
              <w:jc w:val="left"/>
              <w:rPr>
                <w:rFonts w:ascii="Arial Narrow" w:hAnsi="Arial Narrow"/>
                <w:i/>
              </w:rPr>
            </w:pPr>
            <w:r w:rsidRPr="00414E72">
              <w:rPr>
                <w:rFonts w:ascii="Arial Narrow" w:hAnsi="Arial Narrow"/>
                <w:i/>
              </w:rPr>
              <w:t>Stylocoeniella *</w:t>
            </w:r>
          </w:p>
        </w:tc>
        <w:tc>
          <w:tcPr>
            <w:tcW w:w="850" w:type="dxa"/>
            <w:noWrap/>
            <w:vAlign w:val="center"/>
          </w:tcPr>
          <w:p w14:paraId="53C14449" w14:textId="77777777" w:rsidR="00A84742" w:rsidRPr="00414E72" w:rsidRDefault="00A84742" w:rsidP="00A84742">
            <w:pPr>
              <w:jc w:val="center"/>
              <w:rPr>
                <w:rFonts w:ascii="Arial Narrow" w:hAnsi="Arial Narrow"/>
              </w:rPr>
            </w:pPr>
            <w:r w:rsidRPr="00414E72">
              <w:rPr>
                <w:rFonts w:ascii="Arial Narrow" w:hAnsi="Arial Narrow"/>
              </w:rPr>
              <w:t>4</w:t>
            </w:r>
          </w:p>
        </w:tc>
        <w:tc>
          <w:tcPr>
            <w:tcW w:w="851" w:type="dxa"/>
            <w:tcBorders>
              <w:right w:val="thinThickThinLargeGap" w:sz="24" w:space="0" w:color="auto"/>
            </w:tcBorders>
            <w:noWrap/>
            <w:vAlign w:val="center"/>
          </w:tcPr>
          <w:p w14:paraId="53C1444A" w14:textId="77777777" w:rsidR="00A84742" w:rsidRPr="00414E72" w:rsidRDefault="00A84742" w:rsidP="00A84742">
            <w:pPr>
              <w:jc w:val="center"/>
              <w:rPr>
                <w:rFonts w:ascii="Arial Narrow" w:hAnsi="Arial Narrow"/>
              </w:rPr>
            </w:pPr>
            <w:r w:rsidRPr="00414E72">
              <w:rPr>
                <w:rFonts w:ascii="Arial Narrow" w:hAnsi="Arial Narrow"/>
              </w:rPr>
              <w:t>-6</w:t>
            </w:r>
          </w:p>
        </w:tc>
        <w:tc>
          <w:tcPr>
            <w:tcW w:w="2069" w:type="dxa"/>
            <w:tcBorders>
              <w:left w:val="thinThickThinLargeGap" w:sz="24" w:space="0" w:color="auto"/>
            </w:tcBorders>
          </w:tcPr>
          <w:p w14:paraId="53C1444B" w14:textId="77777777" w:rsidR="00A84742" w:rsidRPr="00414E72" w:rsidRDefault="00A84742" w:rsidP="00A84742">
            <w:pPr>
              <w:jc w:val="left"/>
              <w:rPr>
                <w:rFonts w:ascii="Arial Narrow" w:hAnsi="Arial Narrow"/>
                <w:i/>
              </w:rPr>
            </w:pPr>
          </w:p>
        </w:tc>
        <w:tc>
          <w:tcPr>
            <w:tcW w:w="766" w:type="dxa"/>
          </w:tcPr>
          <w:p w14:paraId="53C1444C" w14:textId="77777777" w:rsidR="00A84742" w:rsidRPr="00414E72" w:rsidRDefault="00A84742" w:rsidP="00A84742">
            <w:pPr>
              <w:jc w:val="left"/>
              <w:rPr>
                <w:rFonts w:ascii="Arial Narrow" w:hAnsi="Arial Narrow"/>
              </w:rPr>
            </w:pPr>
          </w:p>
        </w:tc>
        <w:tc>
          <w:tcPr>
            <w:tcW w:w="851" w:type="dxa"/>
          </w:tcPr>
          <w:p w14:paraId="53C1444D" w14:textId="77777777" w:rsidR="00A84742" w:rsidRPr="00414E72" w:rsidRDefault="00A84742" w:rsidP="00A84742">
            <w:pPr>
              <w:jc w:val="left"/>
              <w:rPr>
                <w:rFonts w:ascii="Arial Narrow" w:hAnsi="Arial Narrow"/>
              </w:rPr>
            </w:pPr>
          </w:p>
        </w:tc>
      </w:tr>
      <w:tr w:rsidR="00CE4E0F" w:rsidRPr="00414E72" w14:paraId="53C14455" w14:textId="77777777" w:rsidTr="004F16D3">
        <w:trPr>
          <w:trHeight w:val="255"/>
        </w:trPr>
        <w:tc>
          <w:tcPr>
            <w:tcW w:w="2093" w:type="dxa"/>
            <w:noWrap/>
          </w:tcPr>
          <w:p w14:paraId="53C1444F" w14:textId="77777777" w:rsidR="00A84742" w:rsidRPr="00414E72" w:rsidRDefault="00A84742" w:rsidP="00A84742">
            <w:pPr>
              <w:jc w:val="left"/>
              <w:rPr>
                <w:rFonts w:ascii="Arial Narrow" w:hAnsi="Arial Narrow"/>
                <w:i/>
              </w:rPr>
            </w:pPr>
            <w:r w:rsidRPr="00414E72">
              <w:rPr>
                <w:rFonts w:ascii="Arial Narrow" w:hAnsi="Arial Narrow"/>
                <w:i/>
              </w:rPr>
              <w:t>Pseudosiderastrea *</w:t>
            </w:r>
          </w:p>
        </w:tc>
        <w:tc>
          <w:tcPr>
            <w:tcW w:w="850" w:type="dxa"/>
            <w:noWrap/>
            <w:vAlign w:val="center"/>
          </w:tcPr>
          <w:p w14:paraId="53C14450" w14:textId="77777777" w:rsidR="00A84742" w:rsidRPr="00414E72" w:rsidRDefault="00A84742" w:rsidP="00A84742">
            <w:pPr>
              <w:jc w:val="center"/>
              <w:rPr>
                <w:rFonts w:ascii="Arial Narrow" w:hAnsi="Arial Narrow"/>
              </w:rPr>
            </w:pPr>
            <w:r w:rsidRPr="00414E72">
              <w:rPr>
                <w:rFonts w:ascii="Arial Narrow" w:hAnsi="Arial Narrow"/>
              </w:rPr>
              <w:t>-1</w:t>
            </w:r>
          </w:p>
        </w:tc>
        <w:tc>
          <w:tcPr>
            <w:tcW w:w="851" w:type="dxa"/>
            <w:tcBorders>
              <w:right w:val="thinThickThinLargeGap" w:sz="24" w:space="0" w:color="auto"/>
            </w:tcBorders>
            <w:noWrap/>
            <w:vAlign w:val="center"/>
          </w:tcPr>
          <w:p w14:paraId="53C14451" w14:textId="77777777" w:rsidR="00A84742" w:rsidRPr="00414E72" w:rsidRDefault="00A84742" w:rsidP="00A84742">
            <w:pPr>
              <w:jc w:val="center"/>
              <w:rPr>
                <w:rFonts w:ascii="Arial Narrow" w:hAnsi="Arial Narrow"/>
              </w:rPr>
            </w:pPr>
            <w:r w:rsidRPr="00414E72">
              <w:rPr>
                <w:rFonts w:ascii="Arial Narrow" w:hAnsi="Arial Narrow"/>
              </w:rPr>
              <w:t>-6</w:t>
            </w:r>
          </w:p>
        </w:tc>
        <w:tc>
          <w:tcPr>
            <w:tcW w:w="2069" w:type="dxa"/>
            <w:tcBorders>
              <w:left w:val="thinThickThinLargeGap" w:sz="24" w:space="0" w:color="auto"/>
            </w:tcBorders>
          </w:tcPr>
          <w:p w14:paraId="53C14452" w14:textId="77777777" w:rsidR="00A84742" w:rsidRPr="00414E72" w:rsidRDefault="00A84742" w:rsidP="00A84742">
            <w:pPr>
              <w:jc w:val="left"/>
              <w:rPr>
                <w:rFonts w:ascii="Arial Narrow" w:hAnsi="Arial Narrow"/>
                <w:i/>
              </w:rPr>
            </w:pPr>
          </w:p>
        </w:tc>
        <w:tc>
          <w:tcPr>
            <w:tcW w:w="766" w:type="dxa"/>
          </w:tcPr>
          <w:p w14:paraId="53C14453" w14:textId="77777777" w:rsidR="00A84742" w:rsidRPr="00414E72" w:rsidRDefault="00A84742" w:rsidP="00A84742">
            <w:pPr>
              <w:jc w:val="left"/>
              <w:rPr>
                <w:rFonts w:ascii="Arial Narrow" w:hAnsi="Arial Narrow"/>
              </w:rPr>
            </w:pPr>
          </w:p>
        </w:tc>
        <w:tc>
          <w:tcPr>
            <w:tcW w:w="851" w:type="dxa"/>
          </w:tcPr>
          <w:p w14:paraId="53C14454" w14:textId="77777777" w:rsidR="00A84742" w:rsidRPr="00414E72" w:rsidRDefault="00A84742" w:rsidP="00A84742">
            <w:pPr>
              <w:jc w:val="left"/>
              <w:rPr>
                <w:rFonts w:ascii="Arial Narrow" w:hAnsi="Arial Narrow"/>
              </w:rPr>
            </w:pPr>
          </w:p>
        </w:tc>
      </w:tr>
      <w:tr w:rsidR="00CE4E0F" w:rsidRPr="00414E72" w14:paraId="53C1445C" w14:textId="77777777" w:rsidTr="004F16D3">
        <w:trPr>
          <w:trHeight w:val="255"/>
        </w:trPr>
        <w:tc>
          <w:tcPr>
            <w:tcW w:w="2093" w:type="dxa"/>
            <w:noWrap/>
          </w:tcPr>
          <w:p w14:paraId="53C14456" w14:textId="77777777" w:rsidR="00A84742" w:rsidRPr="00414E72" w:rsidRDefault="00A84742" w:rsidP="00A84742">
            <w:pPr>
              <w:jc w:val="left"/>
              <w:rPr>
                <w:rFonts w:ascii="Arial Narrow" w:hAnsi="Arial Narrow"/>
                <w:i/>
              </w:rPr>
            </w:pPr>
            <w:r w:rsidRPr="00414E72">
              <w:rPr>
                <w:rFonts w:ascii="Arial Narrow" w:hAnsi="Arial Narrow"/>
                <w:i/>
              </w:rPr>
              <w:t>Gardineroseris *</w:t>
            </w:r>
          </w:p>
        </w:tc>
        <w:tc>
          <w:tcPr>
            <w:tcW w:w="850" w:type="dxa"/>
            <w:noWrap/>
            <w:vAlign w:val="center"/>
          </w:tcPr>
          <w:p w14:paraId="53C14457" w14:textId="77777777" w:rsidR="00A84742" w:rsidRPr="00414E72" w:rsidRDefault="00A84742" w:rsidP="00A84742">
            <w:pPr>
              <w:jc w:val="center"/>
              <w:rPr>
                <w:rFonts w:ascii="Arial Narrow" w:hAnsi="Arial Narrow"/>
              </w:rPr>
            </w:pPr>
            <w:r w:rsidRPr="00414E72">
              <w:rPr>
                <w:rFonts w:ascii="Arial Narrow" w:hAnsi="Arial Narrow"/>
              </w:rPr>
              <w:t>-4</w:t>
            </w:r>
          </w:p>
        </w:tc>
        <w:tc>
          <w:tcPr>
            <w:tcW w:w="851" w:type="dxa"/>
            <w:tcBorders>
              <w:right w:val="thinThickThinLargeGap" w:sz="24" w:space="0" w:color="auto"/>
            </w:tcBorders>
            <w:noWrap/>
            <w:vAlign w:val="center"/>
          </w:tcPr>
          <w:p w14:paraId="53C14458" w14:textId="77777777" w:rsidR="00A84742" w:rsidRPr="00414E72" w:rsidRDefault="00A84742" w:rsidP="00A84742">
            <w:pPr>
              <w:jc w:val="center"/>
              <w:rPr>
                <w:rFonts w:ascii="Arial Narrow" w:hAnsi="Arial Narrow"/>
              </w:rPr>
            </w:pPr>
          </w:p>
        </w:tc>
        <w:tc>
          <w:tcPr>
            <w:tcW w:w="2069" w:type="dxa"/>
            <w:tcBorders>
              <w:left w:val="thinThickThinLargeGap" w:sz="24" w:space="0" w:color="auto"/>
            </w:tcBorders>
          </w:tcPr>
          <w:p w14:paraId="53C14459" w14:textId="77777777" w:rsidR="00A84742" w:rsidRPr="00414E72" w:rsidRDefault="00A84742" w:rsidP="00A84742">
            <w:pPr>
              <w:jc w:val="left"/>
              <w:rPr>
                <w:rFonts w:ascii="Arial Narrow" w:hAnsi="Arial Narrow"/>
                <w:i/>
              </w:rPr>
            </w:pPr>
          </w:p>
        </w:tc>
        <w:tc>
          <w:tcPr>
            <w:tcW w:w="766" w:type="dxa"/>
          </w:tcPr>
          <w:p w14:paraId="53C1445A" w14:textId="77777777" w:rsidR="00A84742" w:rsidRPr="00414E72" w:rsidRDefault="00A84742" w:rsidP="00A84742">
            <w:pPr>
              <w:jc w:val="left"/>
              <w:rPr>
                <w:rFonts w:ascii="Arial Narrow" w:hAnsi="Arial Narrow"/>
              </w:rPr>
            </w:pPr>
          </w:p>
        </w:tc>
        <w:tc>
          <w:tcPr>
            <w:tcW w:w="851" w:type="dxa"/>
          </w:tcPr>
          <w:p w14:paraId="53C1445B" w14:textId="77777777" w:rsidR="00A84742" w:rsidRPr="00414E72" w:rsidRDefault="00A84742" w:rsidP="00A84742">
            <w:pPr>
              <w:jc w:val="left"/>
              <w:rPr>
                <w:rFonts w:ascii="Arial Narrow" w:hAnsi="Arial Narrow"/>
              </w:rPr>
            </w:pPr>
          </w:p>
        </w:tc>
      </w:tr>
      <w:tr w:rsidR="00CE4E0F" w:rsidRPr="00414E72" w14:paraId="53C14463" w14:textId="77777777" w:rsidTr="004F16D3">
        <w:trPr>
          <w:trHeight w:val="255"/>
        </w:trPr>
        <w:tc>
          <w:tcPr>
            <w:tcW w:w="2093" w:type="dxa"/>
            <w:noWrap/>
            <w:hideMark/>
          </w:tcPr>
          <w:p w14:paraId="53C1445D" w14:textId="77777777" w:rsidR="00A84742" w:rsidRPr="00414E72" w:rsidRDefault="00A84742" w:rsidP="00A84742">
            <w:pPr>
              <w:jc w:val="left"/>
              <w:rPr>
                <w:rFonts w:ascii="Arial Narrow" w:hAnsi="Arial Narrow"/>
                <w:i/>
              </w:rPr>
            </w:pPr>
            <w:r w:rsidRPr="00414E72">
              <w:rPr>
                <w:rFonts w:ascii="Arial Narrow" w:hAnsi="Arial Narrow"/>
              </w:rPr>
              <w:t xml:space="preserve">Submassive </w:t>
            </w:r>
            <w:r w:rsidRPr="00414E72">
              <w:rPr>
                <w:rFonts w:ascii="Arial Narrow" w:hAnsi="Arial Narrow"/>
                <w:i/>
              </w:rPr>
              <w:t>Porites</w:t>
            </w:r>
          </w:p>
        </w:tc>
        <w:tc>
          <w:tcPr>
            <w:tcW w:w="850" w:type="dxa"/>
            <w:noWrap/>
            <w:vAlign w:val="center"/>
            <w:hideMark/>
          </w:tcPr>
          <w:p w14:paraId="53C1445E" w14:textId="77777777" w:rsidR="00A84742" w:rsidRPr="00414E72" w:rsidRDefault="00A84742" w:rsidP="00A84742">
            <w:pPr>
              <w:jc w:val="center"/>
              <w:rPr>
                <w:rFonts w:ascii="Arial Narrow" w:hAnsi="Arial Narrow"/>
              </w:rPr>
            </w:pPr>
            <w:r w:rsidRPr="00414E72">
              <w:rPr>
                <w:rFonts w:ascii="Arial Narrow" w:hAnsi="Arial Narrow"/>
              </w:rPr>
              <w:t>-0.047</w:t>
            </w:r>
          </w:p>
        </w:tc>
        <w:tc>
          <w:tcPr>
            <w:tcW w:w="851" w:type="dxa"/>
            <w:tcBorders>
              <w:right w:val="thinThickThinLargeGap" w:sz="24" w:space="0" w:color="auto"/>
            </w:tcBorders>
            <w:noWrap/>
            <w:vAlign w:val="center"/>
            <w:hideMark/>
          </w:tcPr>
          <w:p w14:paraId="53C1445F" w14:textId="77777777" w:rsidR="00A84742" w:rsidRPr="00414E72" w:rsidRDefault="00A84742" w:rsidP="00A84742">
            <w:pPr>
              <w:jc w:val="center"/>
              <w:rPr>
                <w:rFonts w:ascii="Arial Narrow" w:hAnsi="Arial Narrow"/>
              </w:rPr>
            </w:pPr>
            <w:r w:rsidRPr="00414E72">
              <w:rPr>
                <w:rFonts w:ascii="Arial Narrow" w:hAnsi="Arial Narrow"/>
              </w:rPr>
              <w:t>-5</w:t>
            </w:r>
          </w:p>
        </w:tc>
        <w:tc>
          <w:tcPr>
            <w:tcW w:w="2069" w:type="dxa"/>
            <w:tcBorders>
              <w:left w:val="thinThickThinLargeGap" w:sz="24" w:space="0" w:color="auto"/>
            </w:tcBorders>
          </w:tcPr>
          <w:p w14:paraId="53C14460" w14:textId="77777777" w:rsidR="00A84742" w:rsidRPr="00414E72" w:rsidRDefault="00A84742" w:rsidP="00A84742">
            <w:pPr>
              <w:jc w:val="left"/>
              <w:rPr>
                <w:rFonts w:ascii="Arial Narrow" w:hAnsi="Arial Narrow"/>
                <w:i/>
              </w:rPr>
            </w:pPr>
          </w:p>
        </w:tc>
        <w:tc>
          <w:tcPr>
            <w:tcW w:w="766" w:type="dxa"/>
          </w:tcPr>
          <w:p w14:paraId="53C14461" w14:textId="77777777" w:rsidR="00A84742" w:rsidRPr="00414E72" w:rsidRDefault="00A84742" w:rsidP="00A84742">
            <w:pPr>
              <w:jc w:val="left"/>
              <w:rPr>
                <w:rFonts w:ascii="Arial Narrow" w:hAnsi="Arial Narrow"/>
              </w:rPr>
            </w:pPr>
          </w:p>
        </w:tc>
        <w:tc>
          <w:tcPr>
            <w:tcW w:w="851" w:type="dxa"/>
          </w:tcPr>
          <w:p w14:paraId="53C14462" w14:textId="77777777" w:rsidR="00A84742" w:rsidRPr="00414E72" w:rsidRDefault="00A84742" w:rsidP="00A84742">
            <w:pPr>
              <w:jc w:val="left"/>
              <w:rPr>
                <w:rFonts w:ascii="Arial Narrow" w:hAnsi="Arial Narrow"/>
              </w:rPr>
            </w:pPr>
          </w:p>
        </w:tc>
      </w:tr>
      <w:tr w:rsidR="00CE4E0F" w:rsidRPr="00414E72" w14:paraId="53C1446A" w14:textId="77777777" w:rsidTr="004F16D3">
        <w:trPr>
          <w:trHeight w:val="255"/>
        </w:trPr>
        <w:tc>
          <w:tcPr>
            <w:tcW w:w="2093" w:type="dxa"/>
            <w:noWrap/>
            <w:hideMark/>
          </w:tcPr>
          <w:p w14:paraId="53C14464" w14:textId="77777777" w:rsidR="00A84742" w:rsidRPr="00414E72" w:rsidRDefault="00A84742" w:rsidP="00A84742">
            <w:pPr>
              <w:jc w:val="left"/>
              <w:rPr>
                <w:rFonts w:ascii="Arial Narrow" w:hAnsi="Arial Narrow"/>
                <w:i/>
              </w:rPr>
            </w:pPr>
            <w:r w:rsidRPr="00414E72">
              <w:rPr>
                <w:rFonts w:ascii="Arial Narrow" w:hAnsi="Arial Narrow"/>
              </w:rPr>
              <w:t xml:space="preserve">Submassive </w:t>
            </w:r>
            <w:r w:rsidRPr="00414E72">
              <w:rPr>
                <w:rFonts w:ascii="Arial Narrow" w:hAnsi="Arial Narrow"/>
                <w:i/>
              </w:rPr>
              <w:t>Acropora</w:t>
            </w:r>
          </w:p>
        </w:tc>
        <w:tc>
          <w:tcPr>
            <w:tcW w:w="850" w:type="dxa"/>
            <w:noWrap/>
            <w:vAlign w:val="center"/>
            <w:hideMark/>
          </w:tcPr>
          <w:p w14:paraId="53C14465" w14:textId="77777777" w:rsidR="00A84742" w:rsidRPr="00414E72" w:rsidRDefault="00A84742" w:rsidP="00A84742">
            <w:pPr>
              <w:jc w:val="center"/>
              <w:rPr>
                <w:rFonts w:ascii="Arial Narrow" w:hAnsi="Arial Narrow"/>
              </w:rPr>
            </w:pPr>
            <w:r w:rsidRPr="00414E72">
              <w:rPr>
                <w:rFonts w:ascii="Arial Narrow" w:hAnsi="Arial Narrow"/>
              </w:rPr>
              <w:t>0.043</w:t>
            </w:r>
          </w:p>
        </w:tc>
        <w:tc>
          <w:tcPr>
            <w:tcW w:w="851" w:type="dxa"/>
            <w:tcBorders>
              <w:right w:val="thinThickThinLargeGap" w:sz="24" w:space="0" w:color="auto"/>
            </w:tcBorders>
            <w:noWrap/>
            <w:vAlign w:val="center"/>
            <w:hideMark/>
          </w:tcPr>
          <w:p w14:paraId="53C14466" w14:textId="77777777" w:rsidR="00A84742" w:rsidRPr="00414E72" w:rsidRDefault="00A84742" w:rsidP="00A84742">
            <w:pPr>
              <w:jc w:val="center"/>
              <w:rPr>
                <w:rFonts w:ascii="Arial Narrow" w:hAnsi="Arial Narrow"/>
              </w:rPr>
            </w:pPr>
            <w:r w:rsidRPr="00414E72">
              <w:rPr>
                <w:rFonts w:ascii="Arial Narrow" w:hAnsi="Arial Narrow"/>
              </w:rPr>
              <w:t>-4</w:t>
            </w:r>
          </w:p>
        </w:tc>
        <w:tc>
          <w:tcPr>
            <w:tcW w:w="2069" w:type="dxa"/>
            <w:tcBorders>
              <w:left w:val="thinThickThinLargeGap" w:sz="24" w:space="0" w:color="auto"/>
            </w:tcBorders>
          </w:tcPr>
          <w:p w14:paraId="53C14467" w14:textId="77777777" w:rsidR="00A84742" w:rsidRPr="00414E72" w:rsidRDefault="00A84742" w:rsidP="00A84742">
            <w:pPr>
              <w:jc w:val="left"/>
              <w:rPr>
                <w:rFonts w:ascii="Arial Narrow" w:hAnsi="Arial Narrow"/>
                <w:i/>
              </w:rPr>
            </w:pPr>
          </w:p>
        </w:tc>
        <w:tc>
          <w:tcPr>
            <w:tcW w:w="766" w:type="dxa"/>
          </w:tcPr>
          <w:p w14:paraId="53C14468" w14:textId="77777777" w:rsidR="00A84742" w:rsidRPr="00414E72" w:rsidRDefault="00A84742" w:rsidP="00A84742">
            <w:pPr>
              <w:jc w:val="left"/>
              <w:rPr>
                <w:rFonts w:ascii="Arial Narrow" w:hAnsi="Arial Narrow"/>
              </w:rPr>
            </w:pPr>
          </w:p>
        </w:tc>
        <w:tc>
          <w:tcPr>
            <w:tcW w:w="851" w:type="dxa"/>
          </w:tcPr>
          <w:p w14:paraId="53C14469" w14:textId="77777777" w:rsidR="00A84742" w:rsidRPr="00414E72" w:rsidRDefault="00A84742" w:rsidP="00A84742">
            <w:pPr>
              <w:jc w:val="left"/>
              <w:rPr>
                <w:rFonts w:ascii="Arial Narrow" w:hAnsi="Arial Narrow"/>
              </w:rPr>
            </w:pPr>
          </w:p>
        </w:tc>
      </w:tr>
      <w:tr w:rsidR="00CE4E0F" w:rsidRPr="00414E72" w14:paraId="53C14471" w14:textId="77777777" w:rsidTr="004F16D3">
        <w:trPr>
          <w:trHeight w:val="255"/>
        </w:trPr>
        <w:tc>
          <w:tcPr>
            <w:tcW w:w="2093" w:type="dxa"/>
            <w:noWrap/>
          </w:tcPr>
          <w:p w14:paraId="53C1446B" w14:textId="77777777" w:rsidR="00A84742" w:rsidRPr="00414E72" w:rsidRDefault="00A84742" w:rsidP="00A84742">
            <w:pPr>
              <w:jc w:val="left"/>
              <w:rPr>
                <w:rFonts w:ascii="Arial Narrow" w:hAnsi="Arial Narrow"/>
                <w:i/>
              </w:rPr>
            </w:pPr>
            <w:r w:rsidRPr="00414E72">
              <w:rPr>
                <w:rFonts w:ascii="Arial Narrow" w:hAnsi="Arial Narrow"/>
                <w:i/>
              </w:rPr>
              <w:t>Halomitra *</w:t>
            </w:r>
          </w:p>
        </w:tc>
        <w:tc>
          <w:tcPr>
            <w:tcW w:w="850" w:type="dxa"/>
            <w:noWrap/>
            <w:vAlign w:val="center"/>
          </w:tcPr>
          <w:p w14:paraId="53C1446C" w14:textId="77777777" w:rsidR="00A84742" w:rsidRPr="00414E72" w:rsidRDefault="00A84742" w:rsidP="00A84742">
            <w:pPr>
              <w:jc w:val="center"/>
              <w:rPr>
                <w:rFonts w:ascii="Arial Narrow" w:hAnsi="Arial Narrow"/>
              </w:rPr>
            </w:pPr>
          </w:p>
        </w:tc>
        <w:tc>
          <w:tcPr>
            <w:tcW w:w="851" w:type="dxa"/>
            <w:tcBorders>
              <w:right w:val="thinThickThinLargeGap" w:sz="24" w:space="0" w:color="auto"/>
            </w:tcBorders>
            <w:noWrap/>
            <w:vAlign w:val="center"/>
          </w:tcPr>
          <w:p w14:paraId="53C1446D" w14:textId="77777777" w:rsidR="00A84742" w:rsidRPr="00414E72" w:rsidRDefault="00A84742" w:rsidP="00A84742">
            <w:pPr>
              <w:jc w:val="center"/>
              <w:rPr>
                <w:rFonts w:ascii="Arial Narrow" w:hAnsi="Arial Narrow"/>
              </w:rPr>
            </w:pPr>
            <w:r w:rsidRPr="00414E72">
              <w:rPr>
                <w:rFonts w:ascii="Arial Narrow" w:hAnsi="Arial Narrow"/>
              </w:rPr>
              <w:t>-2</w:t>
            </w:r>
          </w:p>
        </w:tc>
        <w:tc>
          <w:tcPr>
            <w:tcW w:w="2069" w:type="dxa"/>
            <w:tcBorders>
              <w:left w:val="thinThickThinLargeGap" w:sz="24" w:space="0" w:color="auto"/>
            </w:tcBorders>
          </w:tcPr>
          <w:p w14:paraId="53C1446E" w14:textId="77777777" w:rsidR="00A84742" w:rsidRPr="00414E72" w:rsidRDefault="00A84742" w:rsidP="00A84742">
            <w:pPr>
              <w:jc w:val="left"/>
              <w:rPr>
                <w:rFonts w:ascii="Arial Narrow" w:hAnsi="Arial Narrow"/>
                <w:i/>
              </w:rPr>
            </w:pPr>
          </w:p>
        </w:tc>
        <w:tc>
          <w:tcPr>
            <w:tcW w:w="766" w:type="dxa"/>
          </w:tcPr>
          <w:p w14:paraId="53C1446F" w14:textId="77777777" w:rsidR="00A84742" w:rsidRPr="00414E72" w:rsidRDefault="00A84742" w:rsidP="00A84742">
            <w:pPr>
              <w:jc w:val="left"/>
              <w:rPr>
                <w:rFonts w:ascii="Arial Narrow" w:hAnsi="Arial Narrow"/>
              </w:rPr>
            </w:pPr>
          </w:p>
        </w:tc>
        <w:tc>
          <w:tcPr>
            <w:tcW w:w="851" w:type="dxa"/>
          </w:tcPr>
          <w:p w14:paraId="53C14470" w14:textId="77777777" w:rsidR="00A84742" w:rsidRPr="00414E72" w:rsidRDefault="00A84742" w:rsidP="00A84742">
            <w:pPr>
              <w:jc w:val="left"/>
              <w:rPr>
                <w:rFonts w:ascii="Arial Narrow" w:hAnsi="Arial Narrow"/>
              </w:rPr>
            </w:pPr>
          </w:p>
        </w:tc>
      </w:tr>
      <w:tr w:rsidR="00CE4E0F" w:rsidRPr="00414E72" w14:paraId="53C14478" w14:textId="77777777" w:rsidTr="004F16D3">
        <w:trPr>
          <w:trHeight w:val="255"/>
        </w:trPr>
        <w:tc>
          <w:tcPr>
            <w:tcW w:w="2093" w:type="dxa"/>
            <w:noWrap/>
          </w:tcPr>
          <w:p w14:paraId="53C14472" w14:textId="77777777" w:rsidR="00A84742" w:rsidRPr="00414E72" w:rsidRDefault="00A84742" w:rsidP="00A84742">
            <w:pPr>
              <w:jc w:val="left"/>
              <w:rPr>
                <w:rFonts w:ascii="Arial Narrow" w:hAnsi="Arial Narrow"/>
                <w:i/>
              </w:rPr>
            </w:pPr>
            <w:r w:rsidRPr="00414E72">
              <w:rPr>
                <w:rFonts w:ascii="Arial Narrow" w:hAnsi="Arial Narrow"/>
                <w:i/>
              </w:rPr>
              <w:t>Plerogyra</w:t>
            </w:r>
          </w:p>
        </w:tc>
        <w:tc>
          <w:tcPr>
            <w:tcW w:w="850" w:type="dxa"/>
            <w:noWrap/>
            <w:vAlign w:val="center"/>
          </w:tcPr>
          <w:p w14:paraId="53C14473" w14:textId="77777777" w:rsidR="00A84742" w:rsidRPr="00414E72" w:rsidRDefault="00A84742" w:rsidP="00A84742">
            <w:pPr>
              <w:jc w:val="center"/>
              <w:rPr>
                <w:rFonts w:ascii="Arial Narrow" w:hAnsi="Arial Narrow"/>
              </w:rPr>
            </w:pPr>
            <w:r w:rsidRPr="00414E72">
              <w:rPr>
                <w:rFonts w:ascii="Arial Narrow" w:hAnsi="Arial Narrow"/>
              </w:rPr>
              <w:t>2</w:t>
            </w:r>
          </w:p>
        </w:tc>
        <w:tc>
          <w:tcPr>
            <w:tcW w:w="851" w:type="dxa"/>
            <w:tcBorders>
              <w:right w:val="thinThickThinLargeGap" w:sz="24" w:space="0" w:color="auto"/>
            </w:tcBorders>
            <w:noWrap/>
            <w:vAlign w:val="center"/>
          </w:tcPr>
          <w:p w14:paraId="53C14474" w14:textId="77777777" w:rsidR="00A84742" w:rsidRPr="00414E72" w:rsidRDefault="00A84742" w:rsidP="00A84742">
            <w:pPr>
              <w:jc w:val="center"/>
              <w:rPr>
                <w:rFonts w:ascii="Arial Narrow" w:hAnsi="Arial Narrow"/>
              </w:rPr>
            </w:pPr>
            <w:r w:rsidRPr="00414E72">
              <w:rPr>
                <w:rFonts w:ascii="Arial Narrow" w:hAnsi="Arial Narrow"/>
              </w:rPr>
              <w:t>-1</w:t>
            </w:r>
          </w:p>
        </w:tc>
        <w:tc>
          <w:tcPr>
            <w:tcW w:w="2069" w:type="dxa"/>
            <w:tcBorders>
              <w:left w:val="thinThickThinLargeGap" w:sz="24" w:space="0" w:color="auto"/>
            </w:tcBorders>
          </w:tcPr>
          <w:p w14:paraId="53C14475" w14:textId="77777777" w:rsidR="00A84742" w:rsidRPr="00414E72" w:rsidRDefault="00A84742" w:rsidP="00A84742">
            <w:pPr>
              <w:jc w:val="left"/>
              <w:rPr>
                <w:rFonts w:ascii="Arial Narrow" w:hAnsi="Arial Narrow"/>
                <w:i/>
              </w:rPr>
            </w:pPr>
          </w:p>
        </w:tc>
        <w:tc>
          <w:tcPr>
            <w:tcW w:w="766" w:type="dxa"/>
          </w:tcPr>
          <w:p w14:paraId="53C14476" w14:textId="77777777" w:rsidR="00A84742" w:rsidRPr="00414E72" w:rsidRDefault="00A84742" w:rsidP="00A84742">
            <w:pPr>
              <w:jc w:val="left"/>
              <w:rPr>
                <w:rFonts w:ascii="Arial Narrow" w:hAnsi="Arial Narrow"/>
              </w:rPr>
            </w:pPr>
          </w:p>
        </w:tc>
        <w:tc>
          <w:tcPr>
            <w:tcW w:w="851" w:type="dxa"/>
          </w:tcPr>
          <w:p w14:paraId="53C14477" w14:textId="77777777" w:rsidR="00A84742" w:rsidRPr="00414E72" w:rsidRDefault="00A84742" w:rsidP="00A84742">
            <w:pPr>
              <w:jc w:val="left"/>
              <w:rPr>
                <w:rFonts w:ascii="Arial Narrow" w:hAnsi="Arial Narrow"/>
              </w:rPr>
            </w:pPr>
          </w:p>
        </w:tc>
      </w:tr>
      <w:tr w:rsidR="00CE4E0F" w:rsidRPr="00414E72" w14:paraId="53C1447F" w14:textId="77777777" w:rsidTr="004F16D3">
        <w:trPr>
          <w:trHeight w:val="255"/>
        </w:trPr>
        <w:tc>
          <w:tcPr>
            <w:tcW w:w="2093" w:type="dxa"/>
            <w:noWrap/>
          </w:tcPr>
          <w:p w14:paraId="53C14479" w14:textId="77777777" w:rsidR="00A84742" w:rsidRPr="00414E72" w:rsidRDefault="00A84742" w:rsidP="00A84742">
            <w:pPr>
              <w:jc w:val="left"/>
              <w:rPr>
                <w:rFonts w:ascii="Arial Narrow" w:hAnsi="Arial Narrow"/>
                <w:i/>
              </w:rPr>
            </w:pPr>
            <w:r w:rsidRPr="00414E72">
              <w:rPr>
                <w:rFonts w:ascii="Arial Narrow" w:hAnsi="Arial Narrow"/>
                <w:i/>
              </w:rPr>
              <w:t>Lithophyllon*</w:t>
            </w:r>
          </w:p>
        </w:tc>
        <w:tc>
          <w:tcPr>
            <w:tcW w:w="850" w:type="dxa"/>
            <w:noWrap/>
            <w:vAlign w:val="center"/>
          </w:tcPr>
          <w:p w14:paraId="53C1447A" w14:textId="77777777" w:rsidR="00A84742" w:rsidRPr="00414E72" w:rsidRDefault="00A84742" w:rsidP="00A84742">
            <w:pPr>
              <w:jc w:val="center"/>
              <w:rPr>
                <w:rFonts w:ascii="Arial Narrow" w:hAnsi="Arial Narrow"/>
              </w:rPr>
            </w:pPr>
          </w:p>
        </w:tc>
        <w:tc>
          <w:tcPr>
            <w:tcW w:w="851" w:type="dxa"/>
            <w:tcBorders>
              <w:right w:val="thinThickThinLargeGap" w:sz="24" w:space="0" w:color="auto"/>
            </w:tcBorders>
            <w:noWrap/>
            <w:vAlign w:val="center"/>
          </w:tcPr>
          <w:p w14:paraId="53C1447B" w14:textId="77777777" w:rsidR="00A84742" w:rsidRPr="00414E72" w:rsidRDefault="00A84742" w:rsidP="00A84742">
            <w:pPr>
              <w:jc w:val="center"/>
              <w:rPr>
                <w:rFonts w:ascii="Arial Narrow" w:hAnsi="Arial Narrow"/>
              </w:rPr>
            </w:pPr>
            <w:r w:rsidRPr="00414E72">
              <w:rPr>
                <w:rFonts w:ascii="Arial Narrow" w:hAnsi="Arial Narrow"/>
              </w:rPr>
              <w:t>-1</w:t>
            </w:r>
          </w:p>
        </w:tc>
        <w:tc>
          <w:tcPr>
            <w:tcW w:w="2069" w:type="dxa"/>
            <w:tcBorders>
              <w:left w:val="thinThickThinLargeGap" w:sz="24" w:space="0" w:color="auto"/>
            </w:tcBorders>
          </w:tcPr>
          <w:p w14:paraId="53C1447C" w14:textId="77777777" w:rsidR="00A84742" w:rsidRPr="00414E72" w:rsidRDefault="00A84742" w:rsidP="00A84742">
            <w:pPr>
              <w:jc w:val="left"/>
              <w:rPr>
                <w:rFonts w:ascii="Arial Narrow" w:hAnsi="Arial Narrow"/>
                <w:i/>
              </w:rPr>
            </w:pPr>
          </w:p>
        </w:tc>
        <w:tc>
          <w:tcPr>
            <w:tcW w:w="766" w:type="dxa"/>
          </w:tcPr>
          <w:p w14:paraId="53C1447D" w14:textId="77777777" w:rsidR="00A84742" w:rsidRPr="00414E72" w:rsidRDefault="00A84742" w:rsidP="00A84742">
            <w:pPr>
              <w:jc w:val="left"/>
              <w:rPr>
                <w:rFonts w:ascii="Arial Narrow" w:hAnsi="Arial Narrow"/>
              </w:rPr>
            </w:pPr>
          </w:p>
        </w:tc>
        <w:tc>
          <w:tcPr>
            <w:tcW w:w="851" w:type="dxa"/>
          </w:tcPr>
          <w:p w14:paraId="53C1447E" w14:textId="77777777" w:rsidR="00A84742" w:rsidRPr="00414E72" w:rsidRDefault="00A84742" w:rsidP="00A84742">
            <w:pPr>
              <w:jc w:val="left"/>
              <w:rPr>
                <w:rFonts w:ascii="Arial Narrow" w:hAnsi="Arial Narrow"/>
              </w:rPr>
            </w:pPr>
          </w:p>
        </w:tc>
      </w:tr>
      <w:tr w:rsidR="00CE4E0F" w:rsidRPr="00414E72" w14:paraId="53C14486" w14:textId="77777777" w:rsidTr="004F16D3">
        <w:trPr>
          <w:trHeight w:val="255"/>
        </w:trPr>
        <w:tc>
          <w:tcPr>
            <w:tcW w:w="2093" w:type="dxa"/>
            <w:noWrap/>
          </w:tcPr>
          <w:p w14:paraId="53C14480" w14:textId="77777777" w:rsidR="00A84742" w:rsidRPr="00414E72" w:rsidRDefault="00A84742" w:rsidP="00A84742">
            <w:pPr>
              <w:jc w:val="left"/>
              <w:rPr>
                <w:rFonts w:ascii="Arial Narrow" w:hAnsi="Arial Narrow"/>
                <w:i/>
              </w:rPr>
            </w:pPr>
            <w:r w:rsidRPr="00414E72">
              <w:rPr>
                <w:rFonts w:ascii="Arial Narrow" w:hAnsi="Arial Narrow"/>
                <w:i/>
              </w:rPr>
              <w:t>Tubastrea*</w:t>
            </w:r>
          </w:p>
        </w:tc>
        <w:tc>
          <w:tcPr>
            <w:tcW w:w="850" w:type="dxa"/>
            <w:noWrap/>
            <w:vAlign w:val="center"/>
          </w:tcPr>
          <w:p w14:paraId="53C14481" w14:textId="77777777" w:rsidR="00A84742" w:rsidRPr="00414E72" w:rsidRDefault="00A84742" w:rsidP="00A84742">
            <w:pPr>
              <w:jc w:val="center"/>
              <w:rPr>
                <w:rFonts w:ascii="Arial Narrow" w:hAnsi="Arial Narrow"/>
              </w:rPr>
            </w:pPr>
            <w:r w:rsidRPr="00414E72">
              <w:rPr>
                <w:rFonts w:ascii="Arial Narrow" w:hAnsi="Arial Narrow"/>
              </w:rPr>
              <w:t>5</w:t>
            </w:r>
          </w:p>
        </w:tc>
        <w:tc>
          <w:tcPr>
            <w:tcW w:w="851" w:type="dxa"/>
            <w:tcBorders>
              <w:right w:val="thinThickThinLargeGap" w:sz="24" w:space="0" w:color="auto"/>
            </w:tcBorders>
            <w:noWrap/>
            <w:vAlign w:val="center"/>
          </w:tcPr>
          <w:p w14:paraId="53C14482" w14:textId="77777777" w:rsidR="00A84742" w:rsidRPr="00414E72" w:rsidRDefault="00A84742" w:rsidP="00A84742">
            <w:pPr>
              <w:jc w:val="center"/>
              <w:rPr>
                <w:rFonts w:ascii="Arial Narrow" w:hAnsi="Arial Narrow"/>
              </w:rPr>
            </w:pPr>
            <w:r w:rsidRPr="00414E72">
              <w:rPr>
                <w:rFonts w:ascii="Arial Narrow" w:hAnsi="Arial Narrow"/>
              </w:rPr>
              <w:t>-0</w:t>
            </w:r>
          </w:p>
        </w:tc>
        <w:tc>
          <w:tcPr>
            <w:tcW w:w="2069" w:type="dxa"/>
            <w:tcBorders>
              <w:left w:val="thinThickThinLargeGap" w:sz="24" w:space="0" w:color="auto"/>
            </w:tcBorders>
          </w:tcPr>
          <w:p w14:paraId="53C14483" w14:textId="77777777" w:rsidR="00A84742" w:rsidRPr="00414E72" w:rsidRDefault="00A84742" w:rsidP="00A84742">
            <w:pPr>
              <w:jc w:val="left"/>
              <w:rPr>
                <w:rFonts w:ascii="Arial Narrow" w:hAnsi="Arial Narrow"/>
                <w:i/>
              </w:rPr>
            </w:pPr>
          </w:p>
        </w:tc>
        <w:tc>
          <w:tcPr>
            <w:tcW w:w="766" w:type="dxa"/>
          </w:tcPr>
          <w:p w14:paraId="53C14484" w14:textId="77777777" w:rsidR="00A84742" w:rsidRPr="00414E72" w:rsidRDefault="00A84742" w:rsidP="00A84742">
            <w:pPr>
              <w:jc w:val="left"/>
              <w:rPr>
                <w:rFonts w:ascii="Arial Narrow" w:hAnsi="Arial Narrow"/>
              </w:rPr>
            </w:pPr>
          </w:p>
        </w:tc>
        <w:tc>
          <w:tcPr>
            <w:tcW w:w="851" w:type="dxa"/>
          </w:tcPr>
          <w:p w14:paraId="53C14485" w14:textId="77777777" w:rsidR="00A84742" w:rsidRPr="00414E72" w:rsidRDefault="00A84742" w:rsidP="00A84742">
            <w:pPr>
              <w:jc w:val="left"/>
              <w:rPr>
                <w:rFonts w:ascii="Arial Narrow" w:hAnsi="Arial Narrow"/>
              </w:rPr>
            </w:pPr>
          </w:p>
        </w:tc>
      </w:tr>
    </w:tbl>
    <w:p w14:paraId="53C14487" w14:textId="77777777" w:rsidR="00A84742" w:rsidRPr="00414E72" w:rsidRDefault="00A84742" w:rsidP="00A84742">
      <w:pPr>
        <w:keepNext/>
        <w:spacing w:after="0"/>
        <w:jc w:val="left"/>
        <w:sectPr w:rsidR="00A84742" w:rsidRPr="00414E72" w:rsidSect="00C83247">
          <w:footerReference w:type="default" r:id="rId86"/>
          <w:pgSz w:w="11907" w:h="16840" w:code="9"/>
          <w:pgMar w:top="1440" w:right="1134" w:bottom="1440" w:left="1134" w:header="709" w:footer="709" w:gutter="0"/>
          <w:cols w:space="708"/>
          <w:docGrid w:linePitch="360"/>
        </w:sectPr>
      </w:pPr>
    </w:p>
    <w:p w14:paraId="53C14488" w14:textId="0C210063" w:rsidR="006902D1" w:rsidRPr="002A0078" w:rsidRDefault="003D3C1E" w:rsidP="002B5296">
      <w:pPr>
        <w:pStyle w:val="Caption"/>
        <w:rPr>
          <w:rFonts w:ascii="Arial" w:hAnsi="Arial" w:cs="Arial"/>
          <w:i/>
          <w:vanish/>
          <w:specVanish/>
        </w:rPr>
      </w:pPr>
      <w:bookmarkStart w:id="598" w:name="_Ref30587128"/>
      <w:bookmarkStart w:id="599" w:name="_Toc35519354"/>
      <w:bookmarkStart w:id="600" w:name="_Toc527701049"/>
      <w:bookmarkStart w:id="601" w:name="_Toc530654880"/>
      <w:r>
        <w:lastRenderedPageBreak/>
        <w:t xml:space="preserve">Table A </w:t>
      </w:r>
      <w:r>
        <w:fldChar w:fldCharType="begin"/>
      </w:r>
      <w:r>
        <w:instrText xml:space="preserve"> SEQ Table_A \* ARABIC </w:instrText>
      </w:r>
      <w:r>
        <w:fldChar w:fldCharType="separate"/>
      </w:r>
      <w:r w:rsidR="003053D1">
        <w:rPr>
          <w:noProof/>
        </w:rPr>
        <w:t>6</w:t>
      </w:r>
      <w:r>
        <w:fldChar w:fldCharType="end"/>
      </w:r>
      <w:bookmarkEnd w:id="598"/>
      <w:r>
        <w:t xml:space="preserve"> </w:t>
      </w:r>
      <w:r w:rsidR="00A84742" w:rsidRPr="002A0078">
        <w:t>Annual freshwater discharge for the major Reef Catchments</w:t>
      </w:r>
      <w:bookmarkEnd w:id="599"/>
    </w:p>
    <w:p w14:paraId="53C14489" w14:textId="77777777" w:rsidR="003633DF" w:rsidRPr="00EE76B9" w:rsidRDefault="006902D1">
      <w:pPr>
        <w:pStyle w:val="Caption"/>
        <w:rPr>
          <w:rStyle w:val="IntenseReference"/>
        </w:rPr>
      </w:pPr>
      <w:r w:rsidRPr="00EE76B9">
        <w:rPr>
          <w:rStyle w:val="IntenseReference"/>
        </w:rPr>
        <w:t>.</w:t>
      </w:r>
      <w:r w:rsidR="00A84742" w:rsidRPr="00EE76B9">
        <w:rPr>
          <w:rStyle w:val="IntenseReference"/>
        </w:rPr>
        <w:t xml:space="preserve"> Values represented as proportional to the median (1986-2016). Flows corrected for ungauged area of catchments as per </w:t>
      </w:r>
      <w:r w:rsidR="004C3F8F" w:rsidRPr="00EE76B9">
        <w:rPr>
          <w:rStyle w:val="IntenseReference"/>
        </w:rPr>
        <w:t>Gruber</w:t>
      </w:r>
      <w:r w:rsidR="00A84742" w:rsidRPr="00EE76B9">
        <w:rPr>
          <w:rStyle w:val="IntenseReference"/>
        </w:rPr>
        <w:t xml:space="preserve"> et al. </w:t>
      </w:r>
      <w:r w:rsidR="00254A36" w:rsidRPr="00EE76B9">
        <w:rPr>
          <w:rStyle w:val="IntenseReference"/>
        </w:rPr>
        <w:t>(</w:t>
      </w:r>
      <w:r w:rsidR="00A84742" w:rsidRPr="00EE76B9">
        <w:rPr>
          <w:rStyle w:val="IntenseReference"/>
        </w:rPr>
        <w:t>20</w:t>
      </w:r>
      <w:r w:rsidR="00833F3D" w:rsidRPr="00EE76B9">
        <w:rPr>
          <w:rStyle w:val="IntenseReference"/>
        </w:rPr>
        <w:t>20</w:t>
      </w:r>
      <w:r w:rsidR="004C3F8F" w:rsidRPr="00EE76B9">
        <w:rPr>
          <w:rStyle w:val="IntenseReference"/>
        </w:rPr>
        <w:t>)</w:t>
      </w:r>
      <w:r w:rsidR="00A84742" w:rsidRPr="00EE76B9">
        <w:rPr>
          <w:rStyle w:val="IntenseReference"/>
        </w:rPr>
        <w:t>. Levels of exceedance of median flow expressed as multiples of median flow: Yellow = 1.5-1.9, Orange = 2.0-2.9, Red = 3.0 and above</w:t>
      </w:r>
      <w:bookmarkEnd w:id="600"/>
      <w:bookmarkEnd w:id="601"/>
      <w:r w:rsidR="00A84742" w:rsidRPr="00EE76B9">
        <w:rPr>
          <w:rStyle w:val="IntenseReference"/>
        </w:rPr>
        <w:t>.</w:t>
      </w:r>
      <w:r w:rsidR="003633DF" w:rsidRPr="00EE76B9">
        <w:rPr>
          <w:rStyle w:val="IntenseReference"/>
        </w:rPr>
        <w:t xml:space="preserve"> </w:t>
      </w:r>
    </w:p>
    <w:tbl>
      <w:tblPr>
        <w:tblW w:w="13002" w:type="dxa"/>
        <w:tblLayout w:type="fixed"/>
        <w:tblCellMar>
          <w:left w:w="0" w:type="dxa"/>
          <w:right w:w="0" w:type="dxa"/>
        </w:tblCellMar>
        <w:tblLook w:val="04A0" w:firstRow="1" w:lastRow="0" w:firstColumn="1" w:lastColumn="0" w:noHBand="0" w:noVBand="1"/>
        <w:tblCaption w:val="Table A 3 Annual freshwater discharge for the major Reef Catchments. "/>
        <w:tblDescription w:val="A table listing the annual discharge of major rivers between 2001 and 2018. Values are expressed as a proportion of median flow."/>
      </w:tblPr>
      <w:tblGrid>
        <w:gridCol w:w="1291"/>
        <w:gridCol w:w="2107"/>
        <w:gridCol w:w="972"/>
        <w:gridCol w:w="606"/>
        <w:gridCol w:w="605"/>
        <w:gridCol w:w="606"/>
        <w:gridCol w:w="606"/>
        <w:gridCol w:w="605"/>
        <w:gridCol w:w="606"/>
        <w:gridCol w:w="606"/>
        <w:gridCol w:w="605"/>
        <w:gridCol w:w="606"/>
        <w:gridCol w:w="606"/>
        <w:gridCol w:w="605"/>
        <w:gridCol w:w="606"/>
        <w:gridCol w:w="606"/>
        <w:gridCol w:w="758"/>
      </w:tblGrid>
      <w:tr w:rsidR="00E34AA4" w:rsidRPr="002A0078" w14:paraId="53C1449B" w14:textId="77777777" w:rsidTr="00D85D4E">
        <w:trPr>
          <w:cantSplit/>
          <w:trHeight w:hRule="exact" w:val="369"/>
          <w:tblHeader/>
        </w:trPr>
        <w:tc>
          <w:tcPr>
            <w:tcW w:w="12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C1448A" w14:textId="77777777" w:rsidR="00E34AA4" w:rsidRPr="002A0078" w:rsidRDefault="00E34AA4" w:rsidP="00A84742">
            <w:pPr>
              <w:jc w:val="center"/>
              <w:rPr>
                <w:sz w:val="18"/>
                <w:szCs w:val="18"/>
              </w:rPr>
            </w:pPr>
            <w:r w:rsidRPr="002A0078">
              <w:rPr>
                <w:rFonts w:ascii="Arial Narrow Bold" w:hAnsi="Arial Narrow Bold" w:cs="Arial Narrow Bold"/>
                <w:sz w:val="18"/>
                <w:szCs w:val="18"/>
              </w:rPr>
              <w:t>Region</w:t>
            </w:r>
          </w:p>
        </w:tc>
        <w:tc>
          <w:tcPr>
            <w:tcW w:w="21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C1448B" w14:textId="77777777" w:rsidR="00E34AA4" w:rsidRPr="002A0078" w:rsidRDefault="00E34AA4" w:rsidP="00A84742">
            <w:pPr>
              <w:jc w:val="center"/>
              <w:rPr>
                <w:sz w:val="18"/>
                <w:szCs w:val="18"/>
              </w:rPr>
            </w:pPr>
            <w:r w:rsidRPr="002A0078">
              <w:rPr>
                <w:rFonts w:ascii="Arial Narrow Bold" w:hAnsi="Arial Narrow Bold" w:cs="Arial Narrow Bold"/>
                <w:sz w:val="18"/>
                <w:szCs w:val="18"/>
              </w:rPr>
              <w:t>River</w:t>
            </w:r>
          </w:p>
        </w:tc>
        <w:tc>
          <w:tcPr>
            <w:tcW w:w="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C1448C" w14:textId="77777777" w:rsidR="00E34AA4" w:rsidRPr="002A0078" w:rsidRDefault="00E34AA4" w:rsidP="00A84742">
            <w:pPr>
              <w:jc w:val="center"/>
              <w:rPr>
                <w:sz w:val="18"/>
                <w:szCs w:val="18"/>
              </w:rPr>
            </w:pPr>
            <w:r w:rsidRPr="002A0078">
              <w:rPr>
                <w:rFonts w:ascii="Arial Narrow Bold" w:hAnsi="Arial Narrow Bold" w:cs="Arial Narrow Bold"/>
                <w:sz w:val="18"/>
                <w:szCs w:val="18"/>
              </w:rPr>
              <w:t>Median</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C1448D" w14:textId="77777777" w:rsidR="00E34AA4" w:rsidRPr="002A0078" w:rsidRDefault="00E34AA4" w:rsidP="00A84742">
            <w:pPr>
              <w:jc w:val="center"/>
              <w:rPr>
                <w:sz w:val="18"/>
                <w:szCs w:val="18"/>
              </w:rPr>
            </w:pPr>
            <w:r w:rsidRPr="002A0078">
              <w:rPr>
                <w:rFonts w:ascii="Arial Narrow Bold" w:hAnsi="Arial Narrow Bold" w:cs="Arial Narrow Bold"/>
                <w:sz w:val="18"/>
                <w:szCs w:val="18"/>
              </w:rPr>
              <w:t>2006</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C1448E" w14:textId="77777777" w:rsidR="00E34AA4" w:rsidRPr="002A0078" w:rsidRDefault="00E34AA4" w:rsidP="00A84742">
            <w:pPr>
              <w:jc w:val="center"/>
              <w:rPr>
                <w:sz w:val="18"/>
                <w:szCs w:val="18"/>
              </w:rPr>
            </w:pPr>
            <w:r w:rsidRPr="002A0078">
              <w:rPr>
                <w:rFonts w:ascii="Arial Narrow Bold" w:hAnsi="Arial Narrow Bold" w:cs="Arial Narrow Bold"/>
                <w:sz w:val="18"/>
                <w:szCs w:val="18"/>
              </w:rPr>
              <w:t>2007</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C1448F" w14:textId="77777777" w:rsidR="00E34AA4" w:rsidRPr="002A0078" w:rsidRDefault="00E34AA4" w:rsidP="00A84742">
            <w:pPr>
              <w:jc w:val="center"/>
              <w:rPr>
                <w:sz w:val="18"/>
                <w:szCs w:val="18"/>
              </w:rPr>
            </w:pPr>
            <w:r w:rsidRPr="002A0078">
              <w:rPr>
                <w:rFonts w:ascii="Arial Narrow Bold" w:hAnsi="Arial Narrow Bold" w:cs="Arial Narrow Bold"/>
                <w:sz w:val="18"/>
                <w:szCs w:val="18"/>
              </w:rPr>
              <w:t>2008</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C14490" w14:textId="77777777" w:rsidR="00E34AA4" w:rsidRPr="002A0078" w:rsidRDefault="00E34AA4" w:rsidP="00A84742">
            <w:pPr>
              <w:jc w:val="center"/>
              <w:rPr>
                <w:sz w:val="18"/>
                <w:szCs w:val="18"/>
              </w:rPr>
            </w:pPr>
            <w:r w:rsidRPr="002A0078">
              <w:rPr>
                <w:rFonts w:ascii="Arial Narrow Bold" w:hAnsi="Arial Narrow Bold" w:cs="Arial Narrow Bold"/>
                <w:sz w:val="18"/>
                <w:szCs w:val="18"/>
              </w:rPr>
              <w:t>2009</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C14491" w14:textId="77777777" w:rsidR="00E34AA4" w:rsidRPr="002A0078" w:rsidRDefault="00E34AA4" w:rsidP="00A84742">
            <w:pPr>
              <w:jc w:val="center"/>
              <w:rPr>
                <w:sz w:val="18"/>
                <w:szCs w:val="18"/>
              </w:rPr>
            </w:pPr>
            <w:r w:rsidRPr="002A0078">
              <w:rPr>
                <w:rFonts w:ascii="Arial Narrow Bold" w:hAnsi="Arial Narrow Bold" w:cs="Arial Narrow Bold"/>
                <w:sz w:val="18"/>
                <w:szCs w:val="18"/>
              </w:rPr>
              <w:t>2010</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C14492" w14:textId="77777777" w:rsidR="00E34AA4" w:rsidRPr="002A0078" w:rsidRDefault="00E34AA4" w:rsidP="00A84742">
            <w:pPr>
              <w:jc w:val="center"/>
              <w:rPr>
                <w:sz w:val="18"/>
                <w:szCs w:val="18"/>
              </w:rPr>
            </w:pPr>
            <w:r w:rsidRPr="002A0078">
              <w:rPr>
                <w:rFonts w:ascii="Arial Narrow Bold" w:hAnsi="Arial Narrow Bold" w:cs="Arial Narrow Bold"/>
                <w:sz w:val="18"/>
                <w:szCs w:val="18"/>
              </w:rPr>
              <w:t>2011</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C14493" w14:textId="77777777" w:rsidR="00E34AA4" w:rsidRPr="002A0078" w:rsidRDefault="00E34AA4" w:rsidP="00A84742">
            <w:pPr>
              <w:jc w:val="center"/>
              <w:rPr>
                <w:sz w:val="18"/>
                <w:szCs w:val="18"/>
              </w:rPr>
            </w:pPr>
            <w:r w:rsidRPr="002A0078">
              <w:rPr>
                <w:rFonts w:ascii="Arial Narrow Bold" w:hAnsi="Arial Narrow Bold" w:cs="Arial Narrow Bold"/>
                <w:sz w:val="18"/>
                <w:szCs w:val="18"/>
              </w:rPr>
              <w:t>2012</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C14494" w14:textId="77777777" w:rsidR="00E34AA4" w:rsidRPr="002A0078" w:rsidRDefault="00E34AA4" w:rsidP="00A84742">
            <w:pPr>
              <w:jc w:val="center"/>
              <w:rPr>
                <w:sz w:val="18"/>
                <w:szCs w:val="18"/>
              </w:rPr>
            </w:pPr>
            <w:r w:rsidRPr="002A0078">
              <w:rPr>
                <w:rFonts w:ascii="Arial Narrow Bold" w:hAnsi="Arial Narrow Bold" w:cs="Arial Narrow Bold"/>
                <w:sz w:val="18"/>
                <w:szCs w:val="18"/>
              </w:rPr>
              <w:t>2013</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C14495" w14:textId="77777777" w:rsidR="00E34AA4" w:rsidRPr="002A0078" w:rsidRDefault="00E34AA4" w:rsidP="00A84742">
            <w:pPr>
              <w:jc w:val="center"/>
              <w:rPr>
                <w:sz w:val="18"/>
                <w:szCs w:val="18"/>
              </w:rPr>
            </w:pPr>
            <w:r w:rsidRPr="002A0078">
              <w:rPr>
                <w:rFonts w:ascii="Arial Narrow Bold" w:hAnsi="Arial Narrow Bold" w:cs="Arial Narrow Bold"/>
                <w:sz w:val="18"/>
                <w:szCs w:val="18"/>
              </w:rPr>
              <w:t>2014</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C14496" w14:textId="77777777" w:rsidR="00E34AA4" w:rsidRPr="002A0078" w:rsidRDefault="00E34AA4" w:rsidP="00A84742">
            <w:pPr>
              <w:jc w:val="center"/>
              <w:rPr>
                <w:sz w:val="18"/>
                <w:szCs w:val="18"/>
              </w:rPr>
            </w:pPr>
            <w:r w:rsidRPr="002A0078">
              <w:rPr>
                <w:rFonts w:ascii="Arial Narrow Bold" w:hAnsi="Arial Narrow Bold" w:cs="Arial Narrow Bold"/>
                <w:sz w:val="18"/>
                <w:szCs w:val="18"/>
              </w:rPr>
              <w:t>2015</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C14497" w14:textId="77777777" w:rsidR="00E34AA4" w:rsidRPr="002A0078" w:rsidRDefault="00E34AA4" w:rsidP="00A84742">
            <w:pPr>
              <w:jc w:val="center"/>
              <w:rPr>
                <w:rFonts w:ascii="Arial Narrow Bold" w:hAnsi="Arial Narrow Bold" w:cs="Arial Narrow Bold"/>
                <w:sz w:val="18"/>
                <w:szCs w:val="18"/>
              </w:rPr>
            </w:pPr>
            <w:r w:rsidRPr="002A0078">
              <w:rPr>
                <w:rFonts w:ascii="Arial Narrow Bold" w:hAnsi="Arial Narrow Bold" w:cs="Arial Narrow Bold"/>
                <w:sz w:val="18"/>
                <w:szCs w:val="18"/>
              </w:rPr>
              <w:t>2016</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53C14498" w14:textId="77777777" w:rsidR="00E34AA4" w:rsidRPr="002A0078" w:rsidRDefault="00E34AA4" w:rsidP="00A84742">
            <w:pPr>
              <w:jc w:val="center"/>
              <w:rPr>
                <w:rFonts w:ascii="Arial Narrow Bold" w:hAnsi="Arial Narrow Bold" w:cs="Arial Narrow Bold"/>
                <w:sz w:val="18"/>
                <w:szCs w:val="18"/>
              </w:rPr>
            </w:pPr>
            <w:r w:rsidRPr="002A0078">
              <w:rPr>
                <w:rFonts w:ascii="Arial Narrow Bold" w:hAnsi="Arial Narrow Bold" w:cs="Arial Narrow Bold"/>
                <w:sz w:val="18"/>
                <w:szCs w:val="18"/>
              </w:rPr>
              <w:t>2017</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53C14499" w14:textId="77777777" w:rsidR="00E34AA4" w:rsidRPr="002A0078" w:rsidRDefault="00E34AA4" w:rsidP="00A84742">
            <w:pPr>
              <w:jc w:val="center"/>
              <w:rPr>
                <w:rFonts w:ascii="Arial Narrow Bold" w:hAnsi="Arial Narrow Bold" w:cs="Arial Narrow Bold"/>
                <w:sz w:val="18"/>
                <w:szCs w:val="18"/>
              </w:rPr>
            </w:pPr>
            <w:r w:rsidRPr="002A0078">
              <w:rPr>
                <w:rFonts w:ascii="Arial Narrow Bold" w:hAnsi="Arial Narrow Bold" w:cs="Arial Narrow Bold"/>
                <w:sz w:val="18"/>
                <w:szCs w:val="18"/>
              </w:rPr>
              <w:t>2018</w:t>
            </w:r>
          </w:p>
        </w:tc>
        <w:tc>
          <w:tcPr>
            <w:tcW w:w="7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53C1449A" w14:textId="77777777" w:rsidR="00E34AA4" w:rsidRPr="002A0078" w:rsidRDefault="00E34AA4" w:rsidP="00A84742">
            <w:pPr>
              <w:jc w:val="center"/>
              <w:rPr>
                <w:rFonts w:ascii="Arial Narrow Bold" w:hAnsi="Arial Narrow Bold" w:cs="Arial Narrow Bold"/>
                <w:sz w:val="18"/>
                <w:szCs w:val="18"/>
              </w:rPr>
            </w:pPr>
            <w:r w:rsidRPr="002A0078">
              <w:rPr>
                <w:rFonts w:ascii="Arial Narrow Bold" w:hAnsi="Arial Narrow Bold" w:cs="Arial Narrow Bold"/>
                <w:sz w:val="18"/>
                <w:szCs w:val="18"/>
              </w:rPr>
              <w:t>2019</w:t>
            </w:r>
          </w:p>
        </w:tc>
      </w:tr>
      <w:tr w:rsidR="00E34AA4" w:rsidRPr="002A0078" w14:paraId="53C144AD" w14:textId="77777777" w:rsidTr="00E34AA4">
        <w:trPr>
          <w:cantSplit/>
          <w:trHeight w:hRule="exact" w:val="369"/>
        </w:trPr>
        <w:tc>
          <w:tcPr>
            <w:tcW w:w="1291"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40" w:type="dxa"/>
              <w:left w:w="40" w:type="dxa"/>
              <w:bottom w:w="40" w:type="dxa"/>
              <w:right w:w="40" w:type="dxa"/>
            </w:tcMar>
            <w:vAlign w:val="center"/>
          </w:tcPr>
          <w:p w14:paraId="53C1449C" w14:textId="77777777" w:rsidR="00E34AA4" w:rsidRPr="002A0078" w:rsidRDefault="00E34AA4" w:rsidP="00E34AA4">
            <w:pPr>
              <w:jc w:val="center"/>
              <w:rPr>
                <w:sz w:val="20"/>
                <w:szCs w:val="20"/>
              </w:rPr>
            </w:pPr>
            <w:r w:rsidRPr="002A0078">
              <w:rPr>
                <w:rFonts w:ascii="Arial Narrow" w:hAnsi="Arial Narrow" w:cs="Arial Narrow"/>
                <w:sz w:val="20"/>
                <w:szCs w:val="20"/>
              </w:rPr>
              <w:t>Wet Tropics</w:t>
            </w:r>
          </w:p>
        </w:tc>
        <w:tc>
          <w:tcPr>
            <w:tcW w:w="21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40" w:type="dxa"/>
              <w:left w:w="40" w:type="dxa"/>
              <w:bottom w:w="40" w:type="dxa"/>
              <w:right w:w="40" w:type="dxa"/>
            </w:tcMar>
            <w:vAlign w:val="center"/>
          </w:tcPr>
          <w:p w14:paraId="53C1449D" w14:textId="77777777" w:rsidR="00E34AA4" w:rsidRPr="002A0078" w:rsidRDefault="00E34AA4" w:rsidP="00E34AA4">
            <w:pPr>
              <w:rPr>
                <w:sz w:val="20"/>
                <w:szCs w:val="20"/>
              </w:rPr>
            </w:pPr>
            <w:r w:rsidRPr="002A0078">
              <w:rPr>
                <w:rFonts w:ascii="Arial Narrow" w:hAnsi="Arial Narrow" w:cs="Arial Narrow"/>
                <w:sz w:val="20"/>
                <w:szCs w:val="20"/>
              </w:rPr>
              <w:t>Daintree River</w:t>
            </w:r>
          </w:p>
        </w:tc>
        <w:tc>
          <w:tcPr>
            <w:tcW w:w="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40" w:type="dxa"/>
              <w:left w:w="40" w:type="dxa"/>
              <w:bottom w:w="40" w:type="dxa"/>
              <w:right w:w="40" w:type="dxa"/>
            </w:tcMar>
            <w:vAlign w:val="bottom"/>
          </w:tcPr>
          <w:p w14:paraId="53C1449E" w14:textId="77777777" w:rsidR="00E34AA4" w:rsidRPr="002A0078" w:rsidRDefault="00E34AA4" w:rsidP="00E34AA4">
            <w:pPr>
              <w:jc w:val="center"/>
              <w:rPr>
                <w:rFonts w:ascii="Arial Narrow" w:hAnsi="Arial Narrow"/>
                <w:sz w:val="20"/>
                <w:szCs w:val="20"/>
              </w:rPr>
            </w:pPr>
            <w:r w:rsidRPr="002A0078">
              <w:rPr>
                <w:rFonts w:ascii="Arial Narrow" w:hAnsi="Arial Narrow"/>
                <w:sz w:val="20"/>
                <w:szCs w:val="20"/>
              </w:rPr>
              <w:t>1512054</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Mar>
              <w:top w:w="40" w:type="dxa"/>
              <w:left w:w="40" w:type="dxa"/>
              <w:bottom w:w="40" w:type="dxa"/>
              <w:right w:w="40" w:type="dxa"/>
            </w:tcMar>
            <w:vAlign w:val="bottom"/>
          </w:tcPr>
          <w:p w14:paraId="53C1449F"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1.8</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40" w:type="dxa"/>
              <w:left w:w="40" w:type="dxa"/>
              <w:bottom w:w="40" w:type="dxa"/>
              <w:right w:w="40" w:type="dxa"/>
            </w:tcMar>
            <w:vAlign w:val="bottom"/>
          </w:tcPr>
          <w:p w14:paraId="53C144A0"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4A1"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1.3</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4A2"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0.9</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Mar>
              <w:top w:w="40" w:type="dxa"/>
              <w:left w:w="40" w:type="dxa"/>
              <w:bottom w:w="40" w:type="dxa"/>
              <w:right w:w="40" w:type="dxa"/>
            </w:tcMar>
            <w:vAlign w:val="bottom"/>
          </w:tcPr>
          <w:p w14:paraId="53C144A3"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1.6</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9646" w:themeFill="accent6"/>
            <w:tcMar>
              <w:top w:w="40" w:type="dxa"/>
              <w:left w:w="40" w:type="dxa"/>
              <w:bottom w:w="40" w:type="dxa"/>
              <w:right w:w="40" w:type="dxa"/>
            </w:tcMar>
            <w:vAlign w:val="bottom"/>
          </w:tcPr>
          <w:p w14:paraId="53C144A4"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2.2</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4A5"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1.3</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4A6"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9646" w:themeFill="accent6"/>
            <w:tcMar>
              <w:top w:w="40" w:type="dxa"/>
              <w:left w:w="40" w:type="dxa"/>
              <w:bottom w:w="40" w:type="dxa"/>
              <w:right w:w="40" w:type="dxa"/>
            </w:tcMar>
            <w:vAlign w:val="bottom"/>
          </w:tcPr>
          <w:p w14:paraId="53C144A7"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2.4</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4A8"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1.1</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4A9"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0.9</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4AA"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1.1</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4AB"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w:t>
            </w:r>
          </w:p>
        </w:tc>
        <w:tc>
          <w:tcPr>
            <w:tcW w:w="7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vAlign w:val="bottom"/>
          </w:tcPr>
          <w:p w14:paraId="53C144AC"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3.1</w:t>
            </w:r>
          </w:p>
        </w:tc>
      </w:tr>
      <w:tr w:rsidR="00E34AA4" w:rsidRPr="002A0078" w14:paraId="53C144BF" w14:textId="77777777" w:rsidTr="00E34AA4">
        <w:trPr>
          <w:cantSplit/>
          <w:trHeight w:hRule="exact" w:val="369"/>
        </w:trPr>
        <w:tc>
          <w:tcPr>
            <w:tcW w:w="1291" w:type="dxa"/>
            <w:vMerge/>
            <w:tcBorders>
              <w:top w:val="single" w:sz="4" w:space="0" w:color="000000"/>
              <w:left w:val="single" w:sz="4" w:space="0" w:color="000000"/>
              <w:bottom w:val="single" w:sz="4" w:space="0" w:color="000000"/>
              <w:right w:val="single" w:sz="4" w:space="0" w:color="000000"/>
            </w:tcBorders>
            <w:shd w:val="clear" w:color="auto" w:fill="FFFFFF"/>
            <w:tcMar>
              <w:top w:w="40" w:type="dxa"/>
              <w:left w:w="40" w:type="dxa"/>
              <w:bottom w:w="40" w:type="dxa"/>
              <w:right w:w="40" w:type="dxa"/>
            </w:tcMar>
            <w:vAlign w:val="center"/>
          </w:tcPr>
          <w:p w14:paraId="53C144AE" w14:textId="77777777" w:rsidR="00E34AA4" w:rsidRPr="002A0078" w:rsidRDefault="00E34AA4" w:rsidP="00E34AA4">
            <w:pPr>
              <w:jc w:val="center"/>
              <w:rPr>
                <w:sz w:val="20"/>
                <w:szCs w:val="20"/>
              </w:rPr>
            </w:pPr>
          </w:p>
        </w:tc>
        <w:tc>
          <w:tcPr>
            <w:tcW w:w="21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40" w:type="dxa"/>
              <w:left w:w="40" w:type="dxa"/>
              <w:bottom w:w="40" w:type="dxa"/>
              <w:right w:w="40" w:type="dxa"/>
            </w:tcMar>
            <w:vAlign w:val="center"/>
          </w:tcPr>
          <w:p w14:paraId="53C144AF" w14:textId="77777777" w:rsidR="00E34AA4" w:rsidRPr="002A0078" w:rsidRDefault="00E34AA4" w:rsidP="00E34AA4">
            <w:pPr>
              <w:rPr>
                <w:rFonts w:ascii="Arial Narrow" w:hAnsi="Arial Narrow" w:cs="Arial Narrow"/>
                <w:sz w:val="20"/>
                <w:szCs w:val="20"/>
              </w:rPr>
            </w:pPr>
            <w:r w:rsidRPr="002A0078">
              <w:rPr>
                <w:rFonts w:ascii="Arial Narrow" w:hAnsi="Arial Narrow" w:cs="Arial Narrow"/>
                <w:sz w:val="20"/>
                <w:szCs w:val="20"/>
              </w:rPr>
              <w:t>Mossman River</w:t>
            </w:r>
          </w:p>
        </w:tc>
        <w:tc>
          <w:tcPr>
            <w:tcW w:w="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40" w:type="dxa"/>
              <w:left w:w="40" w:type="dxa"/>
              <w:bottom w:w="40" w:type="dxa"/>
              <w:right w:w="40" w:type="dxa"/>
            </w:tcMar>
            <w:vAlign w:val="bottom"/>
          </w:tcPr>
          <w:p w14:paraId="53C144B0" w14:textId="77777777" w:rsidR="00E34AA4" w:rsidRPr="002A0078" w:rsidRDefault="00E34AA4" w:rsidP="00E34AA4">
            <w:pPr>
              <w:jc w:val="center"/>
              <w:rPr>
                <w:rFonts w:ascii="Arial Narrow" w:hAnsi="Arial Narrow"/>
                <w:sz w:val="20"/>
                <w:szCs w:val="20"/>
              </w:rPr>
            </w:pPr>
            <w:r w:rsidRPr="002A0078">
              <w:rPr>
                <w:rFonts w:ascii="Arial Narrow" w:hAnsi="Arial Narrow"/>
                <w:sz w:val="20"/>
                <w:szCs w:val="20"/>
              </w:rPr>
              <w:t>858320</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Mar>
              <w:top w:w="40" w:type="dxa"/>
              <w:left w:w="40" w:type="dxa"/>
              <w:bottom w:w="40" w:type="dxa"/>
              <w:right w:w="40" w:type="dxa"/>
            </w:tcMar>
            <w:vAlign w:val="bottom"/>
          </w:tcPr>
          <w:p w14:paraId="53C144B1"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1.5</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40" w:type="dxa"/>
              <w:left w:w="40" w:type="dxa"/>
              <w:bottom w:w="40" w:type="dxa"/>
              <w:right w:w="40" w:type="dxa"/>
            </w:tcMar>
            <w:vAlign w:val="bottom"/>
          </w:tcPr>
          <w:p w14:paraId="53C144B2"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4B3"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1.1</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4B4"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0.9</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4B5"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1.3</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Mar>
              <w:top w:w="40" w:type="dxa"/>
              <w:left w:w="40" w:type="dxa"/>
              <w:bottom w:w="40" w:type="dxa"/>
              <w:right w:w="40" w:type="dxa"/>
            </w:tcMar>
            <w:vAlign w:val="bottom"/>
          </w:tcPr>
          <w:p w14:paraId="53C144B6"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1.7</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4B7"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1.3</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4B8"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Mar>
              <w:top w:w="40" w:type="dxa"/>
              <w:left w:w="40" w:type="dxa"/>
              <w:bottom w:w="40" w:type="dxa"/>
              <w:right w:w="40" w:type="dxa"/>
            </w:tcMar>
            <w:vAlign w:val="bottom"/>
          </w:tcPr>
          <w:p w14:paraId="53C144B9"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1.6</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4BA"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0.7</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4BB"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4BC"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0.9</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4BD"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1.2</w:t>
            </w:r>
          </w:p>
        </w:tc>
        <w:tc>
          <w:tcPr>
            <w:tcW w:w="7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9646"/>
            <w:vAlign w:val="bottom"/>
          </w:tcPr>
          <w:p w14:paraId="53C144BE"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2.2</w:t>
            </w:r>
          </w:p>
        </w:tc>
      </w:tr>
      <w:tr w:rsidR="00E34AA4" w:rsidRPr="002A0078" w14:paraId="53C144D1" w14:textId="77777777" w:rsidTr="00E34AA4">
        <w:trPr>
          <w:cantSplit/>
          <w:trHeight w:hRule="exact" w:val="369"/>
        </w:trPr>
        <w:tc>
          <w:tcPr>
            <w:tcW w:w="1291" w:type="dxa"/>
            <w:vMerge/>
            <w:tcBorders>
              <w:top w:val="single" w:sz="4" w:space="0" w:color="000000"/>
              <w:left w:val="single" w:sz="4" w:space="0" w:color="000000"/>
              <w:bottom w:val="single" w:sz="4" w:space="0" w:color="000000"/>
              <w:right w:val="single" w:sz="4" w:space="0" w:color="000000"/>
            </w:tcBorders>
            <w:shd w:val="clear" w:color="auto" w:fill="FFFFFF"/>
            <w:tcMar>
              <w:top w:w="40" w:type="dxa"/>
              <w:left w:w="40" w:type="dxa"/>
              <w:bottom w:w="40" w:type="dxa"/>
              <w:right w:w="40" w:type="dxa"/>
            </w:tcMar>
            <w:vAlign w:val="center"/>
          </w:tcPr>
          <w:p w14:paraId="53C144C0" w14:textId="77777777" w:rsidR="00E34AA4" w:rsidRPr="002A0078" w:rsidRDefault="00E34AA4" w:rsidP="00E34AA4">
            <w:pPr>
              <w:jc w:val="center"/>
              <w:rPr>
                <w:sz w:val="20"/>
                <w:szCs w:val="20"/>
              </w:rPr>
            </w:pPr>
          </w:p>
        </w:tc>
        <w:tc>
          <w:tcPr>
            <w:tcW w:w="21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40" w:type="dxa"/>
              <w:left w:w="40" w:type="dxa"/>
              <w:bottom w:w="40" w:type="dxa"/>
              <w:right w:w="40" w:type="dxa"/>
            </w:tcMar>
            <w:vAlign w:val="center"/>
          </w:tcPr>
          <w:p w14:paraId="53C144C1" w14:textId="77777777" w:rsidR="00E34AA4" w:rsidRPr="002A0078" w:rsidRDefault="00E34AA4" w:rsidP="00E34AA4">
            <w:pPr>
              <w:rPr>
                <w:sz w:val="20"/>
                <w:szCs w:val="20"/>
              </w:rPr>
            </w:pPr>
            <w:r w:rsidRPr="002A0078">
              <w:rPr>
                <w:rFonts w:ascii="Arial Narrow" w:hAnsi="Arial Narrow" w:cs="Arial Narrow"/>
                <w:sz w:val="20"/>
                <w:szCs w:val="20"/>
              </w:rPr>
              <w:t>Barron River</w:t>
            </w:r>
          </w:p>
        </w:tc>
        <w:tc>
          <w:tcPr>
            <w:tcW w:w="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40" w:type="dxa"/>
              <w:left w:w="40" w:type="dxa"/>
              <w:bottom w:w="40" w:type="dxa"/>
              <w:right w:w="40" w:type="dxa"/>
            </w:tcMar>
            <w:vAlign w:val="bottom"/>
          </w:tcPr>
          <w:p w14:paraId="53C144C2" w14:textId="77777777" w:rsidR="00E34AA4" w:rsidRPr="002A0078" w:rsidRDefault="00E34AA4" w:rsidP="00E34AA4">
            <w:pPr>
              <w:jc w:val="center"/>
              <w:rPr>
                <w:rFonts w:ascii="Arial Narrow" w:hAnsi="Arial Narrow"/>
                <w:sz w:val="20"/>
                <w:szCs w:val="20"/>
              </w:rPr>
            </w:pPr>
            <w:r w:rsidRPr="002A0078">
              <w:rPr>
                <w:rFonts w:ascii="Arial Narrow" w:hAnsi="Arial Narrow"/>
                <w:sz w:val="20"/>
                <w:szCs w:val="20"/>
              </w:rPr>
              <w:t>574567</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Mar>
              <w:top w:w="40" w:type="dxa"/>
              <w:left w:w="40" w:type="dxa"/>
              <w:bottom w:w="40" w:type="dxa"/>
              <w:right w:w="40" w:type="dxa"/>
            </w:tcMar>
            <w:vAlign w:val="bottom"/>
          </w:tcPr>
          <w:p w14:paraId="53C144C3"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1.6</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4C4"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0.9</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top w:w="40" w:type="dxa"/>
              <w:left w:w="40" w:type="dxa"/>
              <w:bottom w:w="40" w:type="dxa"/>
              <w:right w:w="40" w:type="dxa"/>
            </w:tcMar>
            <w:vAlign w:val="bottom"/>
          </w:tcPr>
          <w:p w14:paraId="53C144C5"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3.4</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Mar>
              <w:top w:w="40" w:type="dxa"/>
              <w:left w:w="40" w:type="dxa"/>
              <w:bottom w:w="40" w:type="dxa"/>
              <w:right w:w="40" w:type="dxa"/>
            </w:tcMar>
            <w:vAlign w:val="bottom"/>
          </w:tcPr>
          <w:p w14:paraId="53C144C6"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1.6</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4C7"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top w:w="40" w:type="dxa"/>
              <w:left w:w="40" w:type="dxa"/>
              <w:bottom w:w="40" w:type="dxa"/>
              <w:right w:w="40" w:type="dxa"/>
            </w:tcMar>
            <w:vAlign w:val="bottom"/>
          </w:tcPr>
          <w:p w14:paraId="53C144C8"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4</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Mar>
              <w:top w:w="40" w:type="dxa"/>
              <w:left w:w="40" w:type="dxa"/>
              <w:bottom w:w="40" w:type="dxa"/>
              <w:right w:w="40" w:type="dxa"/>
            </w:tcMar>
            <w:vAlign w:val="bottom"/>
          </w:tcPr>
          <w:p w14:paraId="53C144C9"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1.6</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4CA"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0.6</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4CB"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1.3</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4CC"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0.7</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4CD"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0.3</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4CE"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0.5</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vAlign w:val="bottom"/>
          </w:tcPr>
          <w:p w14:paraId="53C144CF"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1.6</w:t>
            </w:r>
          </w:p>
        </w:tc>
        <w:tc>
          <w:tcPr>
            <w:tcW w:w="7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9646" w:themeFill="accent6"/>
            <w:vAlign w:val="bottom"/>
          </w:tcPr>
          <w:p w14:paraId="53C144D0"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2.7</w:t>
            </w:r>
          </w:p>
        </w:tc>
      </w:tr>
      <w:tr w:rsidR="00E34AA4" w:rsidRPr="002A0078" w14:paraId="53C144E3" w14:textId="77777777" w:rsidTr="00E34AA4">
        <w:trPr>
          <w:cantSplit/>
          <w:trHeight w:hRule="exact" w:val="369"/>
        </w:trPr>
        <w:tc>
          <w:tcPr>
            <w:tcW w:w="1291" w:type="dxa"/>
            <w:vMerge/>
            <w:tcBorders>
              <w:top w:val="single" w:sz="4" w:space="0" w:color="000000"/>
              <w:left w:val="single" w:sz="4" w:space="0" w:color="000000"/>
              <w:bottom w:val="single" w:sz="4" w:space="0" w:color="000000"/>
              <w:right w:val="single" w:sz="4" w:space="0" w:color="000000"/>
            </w:tcBorders>
            <w:shd w:val="clear" w:color="auto" w:fill="FFFFFF"/>
            <w:tcMar>
              <w:top w:w="40" w:type="dxa"/>
              <w:left w:w="40" w:type="dxa"/>
              <w:bottom w:w="40" w:type="dxa"/>
              <w:right w:w="40" w:type="dxa"/>
            </w:tcMar>
            <w:vAlign w:val="center"/>
          </w:tcPr>
          <w:p w14:paraId="53C144D2" w14:textId="77777777" w:rsidR="00E34AA4" w:rsidRPr="002A0078" w:rsidRDefault="00E34AA4" w:rsidP="00E34AA4">
            <w:pPr>
              <w:jc w:val="center"/>
              <w:rPr>
                <w:sz w:val="20"/>
                <w:szCs w:val="20"/>
              </w:rPr>
            </w:pPr>
          </w:p>
        </w:tc>
        <w:tc>
          <w:tcPr>
            <w:tcW w:w="21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40" w:type="dxa"/>
              <w:left w:w="40" w:type="dxa"/>
              <w:bottom w:w="40" w:type="dxa"/>
              <w:right w:w="40" w:type="dxa"/>
            </w:tcMar>
            <w:vAlign w:val="center"/>
          </w:tcPr>
          <w:p w14:paraId="53C144D3" w14:textId="77777777" w:rsidR="00E34AA4" w:rsidRPr="002A0078" w:rsidRDefault="00E34AA4" w:rsidP="00E34AA4">
            <w:pPr>
              <w:rPr>
                <w:sz w:val="20"/>
                <w:szCs w:val="20"/>
              </w:rPr>
            </w:pPr>
            <w:r w:rsidRPr="002A0078">
              <w:rPr>
                <w:rFonts w:ascii="Arial Narrow" w:hAnsi="Arial Narrow" w:cs="Arial Narrow"/>
                <w:sz w:val="20"/>
                <w:szCs w:val="20"/>
              </w:rPr>
              <w:t>Russell - Mulgrave River</w:t>
            </w:r>
          </w:p>
        </w:tc>
        <w:tc>
          <w:tcPr>
            <w:tcW w:w="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40" w:type="dxa"/>
              <w:left w:w="40" w:type="dxa"/>
              <w:bottom w:w="40" w:type="dxa"/>
              <w:right w:w="40" w:type="dxa"/>
            </w:tcMar>
            <w:vAlign w:val="bottom"/>
          </w:tcPr>
          <w:p w14:paraId="53C144D4" w14:textId="77777777" w:rsidR="00E34AA4" w:rsidRPr="002A0078" w:rsidRDefault="00E34AA4" w:rsidP="00E34AA4">
            <w:pPr>
              <w:jc w:val="center"/>
              <w:rPr>
                <w:rFonts w:ascii="Arial Narrow" w:hAnsi="Arial Narrow"/>
                <w:sz w:val="20"/>
                <w:szCs w:val="20"/>
              </w:rPr>
            </w:pPr>
            <w:r w:rsidRPr="002A0078">
              <w:rPr>
                <w:rFonts w:ascii="Arial Narrow" w:hAnsi="Arial Narrow"/>
                <w:sz w:val="20"/>
                <w:szCs w:val="20"/>
              </w:rPr>
              <w:t>2600465</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4D5"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1.2</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4D6"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1.1</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4D7"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1.1</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4D8"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4D9"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1.1</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Mar>
              <w:top w:w="40" w:type="dxa"/>
              <w:left w:w="40" w:type="dxa"/>
              <w:bottom w:w="40" w:type="dxa"/>
              <w:right w:w="40" w:type="dxa"/>
            </w:tcMar>
            <w:vAlign w:val="bottom"/>
          </w:tcPr>
          <w:p w14:paraId="53C144DA"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1.8</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4DB"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1.3</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4DC"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0.8</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4DD"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1.2</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4DE"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0.7</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4DF"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0.7</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4E0"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0.7</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4E1"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1.3</w:t>
            </w:r>
          </w:p>
        </w:tc>
        <w:tc>
          <w:tcPr>
            <w:tcW w:w="7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4E2" w14:textId="77777777" w:rsidR="00E34AA4" w:rsidRPr="00E34AA4" w:rsidRDefault="00E34AA4" w:rsidP="00E34AA4">
            <w:pPr>
              <w:jc w:val="center"/>
              <w:rPr>
                <w:rFonts w:ascii="Arial Narrow" w:hAnsi="Arial Narrow"/>
                <w:sz w:val="18"/>
                <w:szCs w:val="18"/>
              </w:rPr>
            </w:pPr>
            <w:r w:rsidRPr="00E34AA4">
              <w:rPr>
                <w:rFonts w:ascii="Arial Narrow" w:hAnsi="Arial Narrow"/>
                <w:color w:val="000000"/>
                <w:sz w:val="18"/>
                <w:szCs w:val="18"/>
              </w:rPr>
              <w:t>1.4</w:t>
            </w:r>
          </w:p>
        </w:tc>
      </w:tr>
      <w:tr w:rsidR="00E34AA4" w:rsidRPr="002A0078" w14:paraId="53C144F5" w14:textId="77777777" w:rsidTr="00E34AA4">
        <w:trPr>
          <w:cantSplit/>
          <w:trHeight w:hRule="exact" w:val="369"/>
        </w:trPr>
        <w:tc>
          <w:tcPr>
            <w:tcW w:w="1291" w:type="dxa"/>
            <w:vMerge/>
            <w:tcBorders>
              <w:top w:val="single" w:sz="4" w:space="0" w:color="000000"/>
              <w:left w:val="single" w:sz="4" w:space="0" w:color="000000"/>
              <w:bottom w:val="single" w:sz="4" w:space="0" w:color="000000"/>
              <w:right w:val="single" w:sz="4" w:space="0" w:color="000000"/>
            </w:tcBorders>
            <w:shd w:val="clear" w:color="auto" w:fill="FFFFFF"/>
            <w:tcMar>
              <w:top w:w="40" w:type="dxa"/>
              <w:left w:w="40" w:type="dxa"/>
              <w:bottom w:w="40" w:type="dxa"/>
              <w:right w:w="40" w:type="dxa"/>
            </w:tcMar>
            <w:vAlign w:val="center"/>
          </w:tcPr>
          <w:p w14:paraId="53C144E4" w14:textId="77777777" w:rsidR="00E34AA4" w:rsidRPr="002A0078" w:rsidRDefault="00E34AA4" w:rsidP="00E34AA4">
            <w:pPr>
              <w:jc w:val="center"/>
              <w:rPr>
                <w:sz w:val="20"/>
                <w:szCs w:val="20"/>
              </w:rPr>
            </w:pPr>
          </w:p>
        </w:tc>
        <w:tc>
          <w:tcPr>
            <w:tcW w:w="21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40" w:type="dxa"/>
              <w:left w:w="40" w:type="dxa"/>
              <w:bottom w:w="40" w:type="dxa"/>
              <w:right w:w="40" w:type="dxa"/>
            </w:tcMar>
            <w:vAlign w:val="center"/>
          </w:tcPr>
          <w:p w14:paraId="53C144E5" w14:textId="77777777" w:rsidR="00E34AA4" w:rsidRPr="002A0078" w:rsidRDefault="00E34AA4" w:rsidP="00E34AA4">
            <w:pPr>
              <w:rPr>
                <w:sz w:val="20"/>
                <w:szCs w:val="20"/>
              </w:rPr>
            </w:pPr>
            <w:r w:rsidRPr="002A0078">
              <w:rPr>
                <w:rFonts w:ascii="Arial Narrow" w:hAnsi="Arial Narrow" w:cs="Arial Narrow"/>
                <w:sz w:val="20"/>
                <w:szCs w:val="20"/>
              </w:rPr>
              <w:t>Johnstone River</w:t>
            </w:r>
          </w:p>
        </w:tc>
        <w:tc>
          <w:tcPr>
            <w:tcW w:w="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40" w:type="dxa"/>
              <w:left w:w="40" w:type="dxa"/>
              <w:bottom w:w="40" w:type="dxa"/>
              <w:right w:w="40" w:type="dxa"/>
            </w:tcMar>
            <w:vAlign w:val="bottom"/>
          </w:tcPr>
          <w:p w14:paraId="53C144E6" w14:textId="77777777" w:rsidR="00E34AA4" w:rsidRPr="002A0078" w:rsidRDefault="00E34AA4" w:rsidP="00E34AA4">
            <w:pPr>
              <w:jc w:val="center"/>
              <w:rPr>
                <w:rFonts w:ascii="Arial Narrow" w:hAnsi="Arial Narrow"/>
                <w:sz w:val="20"/>
                <w:szCs w:val="20"/>
              </w:rPr>
            </w:pPr>
            <w:r w:rsidRPr="002A0078">
              <w:rPr>
                <w:rFonts w:ascii="Arial Narrow" w:hAnsi="Arial Narrow"/>
                <w:sz w:val="20"/>
                <w:szCs w:val="20"/>
              </w:rPr>
              <w:t>3953262</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4E7"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1.2</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4E8"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1.1</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4E9"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4EA"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1.1</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4EB"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9646" w:themeFill="accent6"/>
            <w:tcMar>
              <w:top w:w="40" w:type="dxa"/>
              <w:left w:w="40" w:type="dxa"/>
              <w:bottom w:w="40" w:type="dxa"/>
              <w:right w:w="40" w:type="dxa"/>
            </w:tcMar>
            <w:vAlign w:val="bottom"/>
          </w:tcPr>
          <w:p w14:paraId="53C144EC"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2</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4ED"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1.1</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4EE"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0.8</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4EF"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1.1</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4F0"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0.6</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4F1"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0.7</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4F2"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0.8</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4F3"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1.3</w:t>
            </w:r>
          </w:p>
        </w:tc>
        <w:tc>
          <w:tcPr>
            <w:tcW w:w="7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4F4" w14:textId="77777777" w:rsidR="00E34AA4" w:rsidRPr="00E34AA4" w:rsidRDefault="00E34AA4" w:rsidP="00E34AA4">
            <w:pPr>
              <w:jc w:val="center"/>
              <w:rPr>
                <w:rFonts w:ascii="Arial Narrow" w:hAnsi="Arial Narrow"/>
                <w:sz w:val="18"/>
                <w:szCs w:val="18"/>
              </w:rPr>
            </w:pPr>
            <w:r w:rsidRPr="00E34AA4">
              <w:rPr>
                <w:rFonts w:ascii="Arial Narrow" w:hAnsi="Arial Narrow"/>
                <w:color w:val="000000"/>
                <w:sz w:val="18"/>
                <w:szCs w:val="18"/>
              </w:rPr>
              <w:t>1.2</w:t>
            </w:r>
          </w:p>
        </w:tc>
      </w:tr>
      <w:tr w:rsidR="00E34AA4" w:rsidRPr="002A0078" w14:paraId="53C14507" w14:textId="77777777" w:rsidTr="00E34AA4">
        <w:trPr>
          <w:cantSplit/>
          <w:trHeight w:hRule="exact" w:val="369"/>
        </w:trPr>
        <w:tc>
          <w:tcPr>
            <w:tcW w:w="1291" w:type="dxa"/>
            <w:vMerge/>
            <w:tcBorders>
              <w:top w:val="single" w:sz="4" w:space="0" w:color="000000"/>
              <w:left w:val="single" w:sz="4" w:space="0" w:color="000000"/>
              <w:bottom w:val="single" w:sz="4" w:space="0" w:color="000000"/>
              <w:right w:val="single" w:sz="4" w:space="0" w:color="000000"/>
            </w:tcBorders>
            <w:shd w:val="clear" w:color="auto" w:fill="FFFFFF"/>
            <w:tcMar>
              <w:top w:w="40" w:type="dxa"/>
              <w:left w:w="40" w:type="dxa"/>
              <w:bottom w:w="40" w:type="dxa"/>
              <w:right w:w="40" w:type="dxa"/>
            </w:tcMar>
            <w:vAlign w:val="center"/>
          </w:tcPr>
          <w:p w14:paraId="53C144F6" w14:textId="77777777" w:rsidR="00E34AA4" w:rsidRPr="002A0078" w:rsidRDefault="00E34AA4" w:rsidP="00E34AA4">
            <w:pPr>
              <w:jc w:val="center"/>
              <w:rPr>
                <w:sz w:val="20"/>
                <w:szCs w:val="20"/>
              </w:rPr>
            </w:pPr>
          </w:p>
        </w:tc>
        <w:tc>
          <w:tcPr>
            <w:tcW w:w="21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40" w:type="dxa"/>
              <w:left w:w="40" w:type="dxa"/>
              <w:bottom w:w="40" w:type="dxa"/>
              <w:right w:w="40" w:type="dxa"/>
            </w:tcMar>
            <w:vAlign w:val="center"/>
          </w:tcPr>
          <w:p w14:paraId="53C144F7" w14:textId="77777777" w:rsidR="00E34AA4" w:rsidRPr="002A0078" w:rsidRDefault="00E34AA4" w:rsidP="00E34AA4">
            <w:pPr>
              <w:rPr>
                <w:sz w:val="20"/>
                <w:szCs w:val="20"/>
              </w:rPr>
            </w:pPr>
            <w:r w:rsidRPr="002A0078">
              <w:rPr>
                <w:rFonts w:ascii="Arial Narrow" w:hAnsi="Arial Narrow" w:cs="Arial Narrow"/>
                <w:sz w:val="20"/>
                <w:szCs w:val="20"/>
              </w:rPr>
              <w:t>Tully River</w:t>
            </w:r>
          </w:p>
        </w:tc>
        <w:tc>
          <w:tcPr>
            <w:tcW w:w="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40" w:type="dxa"/>
              <w:left w:w="40" w:type="dxa"/>
              <w:bottom w:w="40" w:type="dxa"/>
              <w:right w:w="40" w:type="dxa"/>
            </w:tcMar>
            <w:vAlign w:val="bottom"/>
          </w:tcPr>
          <w:p w14:paraId="53C144F8" w14:textId="77777777" w:rsidR="00E34AA4" w:rsidRPr="002A0078" w:rsidRDefault="00E34AA4" w:rsidP="00E34AA4">
            <w:pPr>
              <w:jc w:val="center"/>
              <w:rPr>
                <w:rFonts w:ascii="Arial Narrow" w:hAnsi="Arial Narrow"/>
                <w:sz w:val="20"/>
                <w:szCs w:val="20"/>
              </w:rPr>
            </w:pPr>
            <w:r w:rsidRPr="002A0078">
              <w:rPr>
                <w:rFonts w:ascii="Arial Narrow" w:hAnsi="Arial Narrow"/>
                <w:sz w:val="20"/>
                <w:szCs w:val="20"/>
              </w:rPr>
              <w:t>3241383</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4F9"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1.2</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4FA"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1.3</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4FB"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1.1</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4FC"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1.2</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4FD"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9646"/>
            <w:tcMar>
              <w:top w:w="40" w:type="dxa"/>
              <w:left w:w="40" w:type="dxa"/>
              <w:bottom w:w="40" w:type="dxa"/>
              <w:right w:w="40" w:type="dxa"/>
            </w:tcMar>
            <w:vAlign w:val="bottom"/>
          </w:tcPr>
          <w:p w14:paraId="53C144FE"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2.1</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4FF"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00"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0.9</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01"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1.2</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02"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0.8</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503"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0.8</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504" w14:textId="77777777" w:rsidR="00E34AA4" w:rsidRPr="00E34AA4" w:rsidRDefault="00E34AA4" w:rsidP="00E34AA4">
            <w:pPr>
              <w:tabs>
                <w:tab w:val="center" w:pos="264"/>
              </w:tabs>
              <w:jc w:val="center"/>
              <w:rPr>
                <w:rFonts w:ascii="Arial Narrow" w:hAnsi="Arial Narrow" w:cs="Calibri"/>
                <w:sz w:val="18"/>
                <w:szCs w:val="18"/>
              </w:rPr>
            </w:pPr>
            <w:r w:rsidRPr="00E34AA4">
              <w:rPr>
                <w:rFonts w:ascii="Arial Narrow" w:hAnsi="Arial Narrow"/>
                <w:color w:val="000000"/>
                <w:sz w:val="18"/>
                <w:szCs w:val="18"/>
              </w:rPr>
              <w:t>0.9</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505"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1.2</w:t>
            </w:r>
          </w:p>
        </w:tc>
        <w:tc>
          <w:tcPr>
            <w:tcW w:w="7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506" w14:textId="77777777" w:rsidR="00E34AA4" w:rsidRPr="00E34AA4" w:rsidRDefault="00E34AA4" w:rsidP="00E34AA4">
            <w:pPr>
              <w:jc w:val="center"/>
              <w:rPr>
                <w:rFonts w:ascii="Arial Narrow" w:hAnsi="Arial Narrow"/>
                <w:sz w:val="18"/>
                <w:szCs w:val="18"/>
              </w:rPr>
            </w:pPr>
            <w:r w:rsidRPr="00E34AA4">
              <w:rPr>
                <w:rFonts w:ascii="Arial Narrow" w:hAnsi="Arial Narrow"/>
                <w:color w:val="000000"/>
                <w:sz w:val="18"/>
                <w:szCs w:val="18"/>
              </w:rPr>
              <w:t>1.2</w:t>
            </w:r>
          </w:p>
        </w:tc>
      </w:tr>
      <w:tr w:rsidR="00E34AA4" w:rsidRPr="002A0078" w14:paraId="53C14519" w14:textId="77777777" w:rsidTr="00E34AA4">
        <w:trPr>
          <w:cantSplit/>
          <w:trHeight w:hRule="exact" w:val="369"/>
        </w:trPr>
        <w:tc>
          <w:tcPr>
            <w:tcW w:w="1291" w:type="dxa"/>
            <w:vMerge/>
            <w:tcBorders>
              <w:top w:val="single" w:sz="4" w:space="0" w:color="000000"/>
              <w:left w:val="single" w:sz="4" w:space="0" w:color="000000"/>
              <w:bottom w:val="single" w:sz="4" w:space="0" w:color="000000"/>
              <w:right w:val="single" w:sz="4" w:space="0" w:color="000000"/>
            </w:tcBorders>
            <w:shd w:val="clear" w:color="auto" w:fill="FFFFFF"/>
            <w:tcMar>
              <w:top w:w="40" w:type="dxa"/>
              <w:left w:w="40" w:type="dxa"/>
              <w:bottom w:w="40" w:type="dxa"/>
              <w:right w:w="40" w:type="dxa"/>
            </w:tcMar>
            <w:vAlign w:val="center"/>
          </w:tcPr>
          <w:p w14:paraId="53C14508" w14:textId="77777777" w:rsidR="00E34AA4" w:rsidRPr="002A0078" w:rsidRDefault="00E34AA4" w:rsidP="00E34AA4">
            <w:pPr>
              <w:jc w:val="center"/>
              <w:rPr>
                <w:sz w:val="20"/>
                <w:szCs w:val="20"/>
              </w:rPr>
            </w:pPr>
          </w:p>
        </w:tc>
        <w:tc>
          <w:tcPr>
            <w:tcW w:w="21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40" w:type="dxa"/>
              <w:left w:w="40" w:type="dxa"/>
              <w:bottom w:w="40" w:type="dxa"/>
              <w:right w:w="40" w:type="dxa"/>
            </w:tcMar>
            <w:vAlign w:val="center"/>
          </w:tcPr>
          <w:p w14:paraId="53C14509" w14:textId="77777777" w:rsidR="00E34AA4" w:rsidRPr="002A0078" w:rsidRDefault="00E34AA4" w:rsidP="00E34AA4">
            <w:pPr>
              <w:rPr>
                <w:sz w:val="20"/>
                <w:szCs w:val="20"/>
              </w:rPr>
            </w:pPr>
            <w:r w:rsidRPr="002A0078">
              <w:rPr>
                <w:rFonts w:ascii="Arial Narrow" w:hAnsi="Arial Narrow" w:cs="Arial Narrow"/>
                <w:sz w:val="20"/>
                <w:szCs w:val="20"/>
              </w:rPr>
              <w:t>Murray River</w:t>
            </w:r>
          </w:p>
        </w:tc>
        <w:tc>
          <w:tcPr>
            <w:tcW w:w="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40" w:type="dxa"/>
              <w:left w:w="40" w:type="dxa"/>
              <w:bottom w:w="40" w:type="dxa"/>
              <w:right w:w="40" w:type="dxa"/>
            </w:tcMar>
            <w:vAlign w:val="bottom"/>
          </w:tcPr>
          <w:p w14:paraId="53C1450A" w14:textId="77777777" w:rsidR="00E34AA4" w:rsidRPr="002A0078" w:rsidRDefault="00E34AA4" w:rsidP="00E34AA4">
            <w:pPr>
              <w:jc w:val="center"/>
              <w:rPr>
                <w:rFonts w:ascii="Arial Narrow" w:hAnsi="Arial Narrow"/>
                <w:sz w:val="20"/>
                <w:szCs w:val="20"/>
              </w:rPr>
            </w:pPr>
            <w:r w:rsidRPr="002A0078">
              <w:rPr>
                <w:rFonts w:ascii="Arial Narrow" w:hAnsi="Arial Narrow"/>
                <w:sz w:val="20"/>
                <w:szCs w:val="20"/>
              </w:rPr>
              <w:t>380472</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0B"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1.4</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0C"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1.1</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0D"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Mar>
              <w:top w:w="40" w:type="dxa"/>
              <w:left w:w="40" w:type="dxa"/>
              <w:bottom w:w="40" w:type="dxa"/>
              <w:right w:w="40" w:type="dxa"/>
            </w:tcMar>
            <w:vAlign w:val="bottom"/>
          </w:tcPr>
          <w:p w14:paraId="53C1450E"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1.5</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0F"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0.8</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top w:w="40" w:type="dxa"/>
              <w:left w:w="40" w:type="dxa"/>
              <w:bottom w:w="40" w:type="dxa"/>
              <w:right w:w="40" w:type="dxa"/>
            </w:tcMar>
            <w:vAlign w:val="bottom"/>
          </w:tcPr>
          <w:p w14:paraId="53C14510"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3.5</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Mar>
              <w:top w:w="40" w:type="dxa"/>
              <w:left w:w="40" w:type="dxa"/>
              <w:bottom w:w="40" w:type="dxa"/>
              <w:right w:w="40" w:type="dxa"/>
            </w:tcMar>
            <w:vAlign w:val="bottom"/>
          </w:tcPr>
          <w:p w14:paraId="53C14511"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1.7</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12"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0.8</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13"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1.2</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14"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0.3</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515"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0.8</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516"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0.8</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517"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1.4</w:t>
            </w:r>
          </w:p>
        </w:tc>
        <w:tc>
          <w:tcPr>
            <w:tcW w:w="7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518" w14:textId="77777777" w:rsidR="00E34AA4" w:rsidRPr="00E34AA4" w:rsidRDefault="00E34AA4" w:rsidP="00E34AA4">
            <w:pPr>
              <w:jc w:val="center"/>
              <w:rPr>
                <w:rFonts w:ascii="Arial Narrow" w:hAnsi="Arial Narrow"/>
                <w:sz w:val="18"/>
                <w:szCs w:val="18"/>
              </w:rPr>
            </w:pPr>
            <w:r w:rsidRPr="00E34AA4">
              <w:rPr>
                <w:rFonts w:ascii="Arial Narrow" w:hAnsi="Arial Narrow"/>
                <w:color w:val="000000"/>
                <w:sz w:val="18"/>
                <w:szCs w:val="18"/>
              </w:rPr>
              <w:t>1.4</w:t>
            </w:r>
          </w:p>
        </w:tc>
      </w:tr>
      <w:tr w:rsidR="00E34AA4" w:rsidRPr="002A0078" w14:paraId="53C1452B" w14:textId="77777777" w:rsidTr="00E34AA4">
        <w:trPr>
          <w:cantSplit/>
          <w:trHeight w:hRule="exact" w:val="369"/>
        </w:trPr>
        <w:tc>
          <w:tcPr>
            <w:tcW w:w="1291" w:type="dxa"/>
            <w:vMerge/>
            <w:tcBorders>
              <w:top w:val="single" w:sz="4" w:space="0" w:color="000000"/>
              <w:left w:val="single" w:sz="4" w:space="0" w:color="000000"/>
              <w:bottom w:val="single" w:sz="4" w:space="0" w:color="000000"/>
              <w:right w:val="single" w:sz="4" w:space="0" w:color="000000"/>
            </w:tcBorders>
            <w:shd w:val="clear" w:color="auto" w:fill="FFFFFF"/>
            <w:tcMar>
              <w:top w:w="40" w:type="dxa"/>
              <w:left w:w="40" w:type="dxa"/>
              <w:bottom w:w="40" w:type="dxa"/>
              <w:right w:w="40" w:type="dxa"/>
            </w:tcMar>
            <w:vAlign w:val="center"/>
          </w:tcPr>
          <w:p w14:paraId="53C1451A" w14:textId="77777777" w:rsidR="00E34AA4" w:rsidRPr="002A0078" w:rsidRDefault="00E34AA4" w:rsidP="00E34AA4">
            <w:pPr>
              <w:jc w:val="center"/>
              <w:rPr>
                <w:sz w:val="20"/>
                <w:szCs w:val="20"/>
              </w:rPr>
            </w:pPr>
          </w:p>
        </w:tc>
        <w:tc>
          <w:tcPr>
            <w:tcW w:w="21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40" w:type="dxa"/>
              <w:left w:w="40" w:type="dxa"/>
              <w:bottom w:w="40" w:type="dxa"/>
              <w:right w:w="40" w:type="dxa"/>
            </w:tcMar>
            <w:vAlign w:val="center"/>
          </w:tcPr>
          <w:p w14:paraId="53C1451B" w14:textId="77777777" w:rsidR="00E34AA4" w:rsidRPr="002A0078" w:rsidRDefault="00E34AA4" w:rsidP="00E34AA4">
            <w:pPr>
              <w:rPr>
                <w:sz w:val="20"/>
                <w:szCs w:val="20"/>
              </w:rPr>
            </w:pPr>
            <w:r w:rsidRPr="002A0078">
              <w:rPr>
                <w:rFonts w:ascii="Arial Narrow" w:hAnsi="Arial Narrow" w:cs="Arial Narrow"/>
                <w:sz w:val="20"/>
                <w:szCs w:val="20"/>
              </w:rPr>
              <w:t>Herbert River</w:t>
            </w:r>
          </w:p>
        </w:tc>
        <w:tc>
          <w:tcPr>
            <w:tcW w:w="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40" w:type="dxa"/>
              <w:left w:w="40" w:type="dxa"/>
              <w:bottom w:w="40" w:type="dxa"/>
              <w:right w:w="40" w:type="dxa"/>
            </w:tcMar>
            <w:vAlign w:val="bottom"/>
          </w:tcPr>
          <w:p w14:paraId="53C1451C" w14:textId="77777777" w:rsidR="00E34AA4" w:rsidRPr="002A0078" w:rsidRDefault="00E34AA4" w:rsidP="00E34AA4">
            <w:pPr>
              <w:jc w:val="center"/>
              <w:rPr>
                <w:rFonts w:ascii="Arial Narrow" w:hAnsi="Arial Narrow"/>
                <w:sz w:val="20"/>
                <w:szCs w:val="20"/>
              </w:rPr>
            </w:pPr>
            <w:r w:rsidRPr="002A0078">
              <w:rPr>
                <w:rFonts w:ascii="Arial Narrow" w:hAnsi="Arial Narrow"/>
                <w:sz w:val="20"/>
                <w:szCs w:val="20"/>
              </w:rPr>
              <w:t>3556376</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1D"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1.2</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1E"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1.2</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1F"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9646" w:themeFill="accent6"/>
            <w:tcMar>
              <w:top w:w="40" w:type="dxa"/>
              <w:left w:w="40" w:type="dxa"/>
              <w:bottom w:w="40" w:type="dxa"/>
              <w:right w:w="40" w:type="dxa"/>
            </w:tcMar>
            <w:vAlign w:val="bottom"/>
          </w:tcPr>
          <w:p w14:paraId="53C14520"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2.9</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21"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top w:w="40" w:type="dxa"/>
              <w:left w:w="40" w:type="dxa"/>
              <w:bottom w:w="40" w:type="dxa"/>
              <w:right w:w="40" w:type="dxa"/>
            </w:tcMar>
            <w:vAlign w:val="bottom"/>
          </w:tcPr>
          <w:p w14:paraId="53C14522"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3.5</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23"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1.3</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24"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0.9</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25"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1.2</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26"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0.3</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527"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0.5</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528"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0.6</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vAlign w:val="bottom"/>
          </w:tcPr>
          <w:p w14:paraId="53C14529"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1.8</w:t>
            </w:r>
          </w:p>
        </w:tc>
        <w:tc>
          <w:tcPr>
            <w:tcW w:w="7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vAlign w:val="bottom"/>
          </w:tcPr>
          <w:p w14:paraId="53C1452A" w14:textId="77777777" w:rsidR="00E34AA4" w:rsidRPr="00E34AA4" w:rsidRDefault="00E34AA4" w:rsidP="00E34AA4">
            <w:pPr>
              <w:jc w:val="center"/>
              <w:rPr>
                <w:rFonts w:ascii="Arial Narrow" w:hAnsi="Arial Narrow"/>
                <w:sz w:val="18"/>
                <w:szCs w:val="18"/>
              </w:rPr>
            </w:pPr>
            <w:r w:rsidRPr="00E34AA4">
              <w:rPr>
                <w:rFonts w:ascii="Arial Narrow" w:hAnsi="Arial Narrow"/>
                <w:color w:val="000000"/>
                <w:sz w:val="18"/>
                <w:szCs w:val="18"/>
              </w:rPr>
              <w:t>1.6</w:t>
            </w:r>
          </w:p>
        </w:tc>
      </w:tr>
      <w:tr w:rsidR="00E34AA4" w:rsidRPr="002A0078" w14:paraId="53C1453D" w14:textId="77777777" w:rsidTr="00E34AA4">
        <w:trPr>
          <w:cantSplit/>
          <w:trHeight w:hRule="exact" w:val="369"/>
        </w:trPr>
        <w:tc>
          <w:tcPr>
            <w:tcW w:w="1291"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tcMar>
              <w:top w:w="40" w:type="dxa"/>
              <w:left w:w="40" w:type="dxa"/>
              <w:bottom w:w="40" w:type="dxa"/>
              <w:right w:w="40" w:type="dxa"/>
            </w:tcMar>
            <w:vAlign w:val="center"/>
          </w:tcPr>
          <w:p w14:paraId="53C1452C" w14:textId="77777777" w:rsidR="00E34AA4" w:rsidRPr="002A0078" w:rsidRDefault="00E34AA4" w:rsidP="00E34AA4">
            <w:pPr>
              <w:jc w:val="center"/>
              <w:rPr>
                <w:rFonts w:ascii="Arial Narrow" w:hAnsi="Arial Narrow" w:cs="Arial Narrow"/>
                <w:sz w:val="20"/>
                <w:szCs w:val="20"/>
              </w:rPr>
            </w:pPr>
            <w:r w:rsidRPr="002A0078">
              <w:rPr>
                <w:rFonts w:ascii="Arial Narrow" w:hAnsi="Arial Narrow" w:cs="Arial Narrow"/>
                <w:sz w:val="20"/>
                <w:szCs w:val="20"/>
              </w:rPr>
              <w:t>Burdekin</w:t>
            </w:r>
          </w:p>
        </w:tc>
        <w:tc>
          <w:tcPr>
            <w:tcW w:w="21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40" w:type="dxa"/>
              <w:left w:w="40" w:type="dxa"/>
              <w:bottom w:w="40" w:type="dxa"/>
              <w:right w:w="40" w:type="dxa"/>
            </w:tcMar>
            <w:vAlign w:val="center"/>
          </w:tcPr>
          <w:p w14:paraId="53C1452D" w14:textId="77777777" w:rsidR="00E34AA4" w:rsidRPr="002A0078" w:rsidRDefault="00E34AA4" w:rsidP="00E34AA4">
            <w:pPr>
              <w:rPr>
                <w:rFonts w:ascii="Arial Narrow" w:hAnsi="Arial Narrow" w:cs="Arial Narrow"/>
                <w:sz w:val="20"/>
                <w:szCs w:val="20"/>
              </w:rPr>
            </w:pPr>
            <w:r w:rsidRPr="002A0078">
              <w:rPr>
                <w:rFonts w:ascii="Arial Narrow" w:hAnsi="Arial Narrow" w:cs="Arial Narrow"/>
                <w:sz w:val="20"/>
                <w:szCs w:val="20"/>
              </w:rPr>
              <w:t>Black River</w:t>
            </w:r>
          </w:p>
        </w:tc>
        <w:tc>
          <w:tcPr>
            <w:tcW w:w="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40" w:type="dxa"/>
              <w:left w:w="40" w:type="dxa"/>
              <w:bottom w:w="40" w:type="dxa"/>
              <w:right w:w="40" w:type="dxa"/>
            </w:tcMar>
            <w:vAlign w:val="bottom"/>
          </w:tcPr>
          <w:p w14:paraId="53C1452E" w14:textId="77777777" w:rsidR="00E34AA4" w:rsidRPr="002A0078" w:rsidRDefault="00E34AA4" w:rsidP="00E34AA4">
            <w:pPr>
              <w:jc w:val="center"/>
              <w:rPr>
                <w:rFonts w:ascii="Arial Narrow" w:hAnsi="Arial Narrow"/>
                <w:sz w:val="20"/>
                <w:szCs w:val="20"/>
              </w:rPr>
            </w:pPr>
            <w:r w:rsidRPr="002A0078">
              <w:rPr>
                <w:rFonts w:ascii="Arial Narrow" w:hAnsi="Arial Narrow"/>
                <w:sz w:val="20"/>
                <w:szCs w:val="20"/>
              </w:rPr>
              <w:t>208308</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2F"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9646" w:themeFill="accent6"/>
            <w:tcMar>
              <w:top w:w="40" w:type="dxa"/>
              <w:left w:w="40" w:type="dxa"/>
              <w:bottom w:w="40" w:type="dxa"/>
              <w:right w:w="40" w:type="dxa"/>
            </w:tcMar>
            <w:vAlign w:val="bottom"/>
          </w:tcPr>
          <w:p w14:paraId="53C14530"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2.2</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9646" w:themeFill="accent6"/>
            <w:tcMar>
              <w:top w:w="40" w:type="dxa"/>
              <w:left w:w="40" w:type="dxa"/>
              <w:bottom w:w="40" w:type="dxa"/>
              <w:right w:w="40" w:type="dxa"/>
            </w:tcMar>
            <w:vAlign w:val="bottom"/>
          </w:tcPr>
          <w:p w14:paraId="53C14531"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2.5</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top w:w="40" w:type="dxa"/>
              <w:left w:w="40" w:type="dxa"/>
              <w:bottom w:w="40" w:type="dxa"/>
              <w:right w:w="40" w:type="dxa"/>
            </w:tcMar>
            <w:vAlign w:val="bottom"/>
          </w:tcPr>
          <w:p w14:paraId="53C14532"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4.6</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9646" w:themeFill="accent6"/>
            <w:tcMar>
              <w:top w:w="40" w:type="dxa"/>
              <w:left w:w="40" w:type="dxa"/>
              <w:bottom w:w="40" w:type="dxa"/>
              <w:right w:w="40" w:type="dxa"/>
            </w:tcMar>
            <w:vAlign w:val="bottom"/>
          </w:tcPr>
          <w:p w14:paraId="53C14533"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2.2</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top w:w="40" w:type="dxa"/>
              <w:left w:w="40" w:type="dxa"/>
              <w:bottom w:w="40" w:type="dxa"/>
              <w:right w:w="40" w:type="dxa"/>
            </w:tcMar>
            <w:vAlign w:val="bottom"/>
          </w:tcPr>
          <w:p w14:paraId="53C14534"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5.5</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top w:w="40" w:type="dxa"/>
              <w:left w:w="40" w:type="dxa"/>
              <w:bottom w:w="40" w:type="dxa"/>
              <w:right w:w="40" w:type="dxa"/>
            </w:tcMar>
            <w:vAlign w:val="bottom"/>
          </w:tcPr>
          <w:p w14:paraId="53C14535"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3.2</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36"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0.8</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Mar>
              <w:top w:w="40" w:type="dxa"/>
              <w:left w:w="40" w:type="dxa"/>
              <w:bottom w:w="40" w:type="dxa"/>
              <w:right w:w="40" w:type="dxa"/>
            </w:tcMar>
            <w:vAlign w:val="bottom"/>
          </w:tcPr>
          <w:p w14:paraId="53C14537"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1.8</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38"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0.1</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539"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0.5</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53A"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0.3</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vAlign w:val="bottom"/>
          </w:tcPr>
          <w:p w14:paraId="53C1453B"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1.9</w:t>
            </w:r>
          </w:p>
        </w:tc>
        <w:tc>
          <w:tcPr>
            <w:tcW w:w="7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vAlign w:val="bottom"/>
          </w:tcPr>
          <w:p w14:paraId="53C1453C" w14:textId="77777777" w:rsidR="00E34AA4" w:rsidRPr="00E34AA4" w:rsidRDefault="00E34AA4" w:rsidP="00E34AA4">
            <w:pPr>
              <w:jc w:val="center"/>
              <w:rPr>
                <w:rFonts w:ascii="Arial Narrow" w:hAnsi="Arial Narrow"/>
                <w:sz w:val="18"/>
                <w:szCs w:val="18"/>
              </w:rPr>
            </w:pPr>
            <w:r w:rsidRPr="00E34AA4">
              <w:rPr>
                <w:rFonts w:ascii="Arial Narrow" w:hAnsi="Arial Narrow"/>
                <w:color w:val="000000"/>
                <w:sz w:val="18"/>
                <w:szCs w:val="18"/>
              </w:rPr>
              <w:t>4.6</w:t>
            </w:r>
          </w:p>
        </w:tc>
      </w:tr>
      <w:tr w:rsidR="00E34AA4" w:rsidRPr="002A0078" w14:paraId="53C1454F" w14:textId="77777777" w:rsidTr="00E34AA4">
        <w:trPr>
          <w:cantSplit/>
          <w:trHeight w:hRule="exact" w:val="369"/>
        </w:trPr>
        <w:tc>
          <w:tcPr>
            <w:tcW w:w="1291" w:type="dxa"/>
            <w:vMerge/>
            <w:tcBorders>
              <w:left w:val="single" w:sz="4" w:space="0" w:color="000000"/>
              <w:right w:val="single" w:sz="4" w:space="0" w:color="000000"/>
            </w:tcBorders>
            <w:shd w:val="clear" w:color="auto" w:fill="FFFFFF"/>
            <w:tcMar>
              <w:top w:w="40" w:type="dxa"/>
              <w:left w:w="40" w:type="dxa"/>
              <w:bottom w:w="40" w:type="dxa"/>
              <w:right w:w="40" w:type="dxa"/>
            </w:tcMar>
            <w:vAlign w:val="center"/>
          </w:tcPr>
          <w:p w14:paraId="53C1453E" w14:textId="77777777" w:rsidR="00E34AA4" w:rsidRPr="002A0078" w:rsidRDefault="00E34AA4" w:rsidP="00E34AA4">
            <w:pPr>
              <w:jc w:val="center"/>
              <w:rPr>
                <w:rFonts w:ascii="Arial Narrow" w:hAnsi="Arial Narrow" w:cs="Arial Narrow"/>
                <w:sz w:val="20"/>
                <w:szCs w:val="20"/>
              </w:rPr>
            </w:pPr>
          </w:p>
        </w:tc>
        <w:tc>
          <w:tcPr>
            <w:tcW w:w="21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40" w:type="dxa"/>
              <w:left w:w="40" w:type="dxa"/>
              <w:bottom w:w="40" w:type="dxa"/>
              <w:right w:w="40" w:type="dxa"/>
            </w:tcMar>
            <w:vAlign w:val="center"/>
          </w:tcPr>
          <w:p w14:paraId="53C1453F" w14:textId="77777777" w:rsidR="00E34AA4" w:rsidRPr="002A0078" w:rsidRDefault="00E34AA4" w:rsidP="00E34AA4">
            <w:pPr>
              <w:rPr>
                <w:rFonts w:ascii="Arial Narrow" w:hAnsi="Arial Narrow" w:cs="Arial Narrow"/>
                <w:sz w:val="20"/>
                <w:szCs w:val="20"/>
              </w:rPr>
            </w:pPr>
            <w:r w:rsidRPr="002A0078">
              <w:rPr>
                <w:rFonts w:ascii="Arial Narrow" w:hAnsi="Arial Narrow" w:cs="Arial Narrow"/>
                <w:sz w:val="20"/>
                <w:szCs w:val="20"/>
              </w:rPr>
              <w:t>Ross River</w:t>
            </w:r>
          </w:p>
        </w:tc>
        <w:tc>
          <w:tcPr>
            <w:tcW w:w="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40" w:type="dxa"/>
              <w:left w:w="40" w:type="dxa"/>
              <w:bottom w:w="40" w:type="dxa"/>
              <w:right w:w="40" w:type="dxa"/>
            </w:tcMar>
            <w:vAlign w:val="bottom"/>
          </w:tcPr>
          <w:p w14:paraId="53C14540" w14:textId="77777777" w:rsidR="00E34AA4" w:rsidRPr="002A0078" w:rsidRDefault="00E34AA4" w:rsidP="00E34AA4">
            <w:pPr>
              <w:jc w:val="center"/>
              <w:rPr>
                <w:rFonts w:ascii="Arial Narrow" w:hAnsi="Arial Narrow"/>
                <w:sz w:val="20"/>
                <w:szCs w:val="20"/>
              </w:rPr>
            </w:pPr>
            <w:r w:rsidRPr="002A0078">
              <w:rPr>
                <w:rFonts w:ascii="Arial Narrow" w:hAnsi="Arial Narrow"/>
                <w:sz w:val="20"/>
                <w:szCs w:val="20"/>
              </w:rPr>
              <w:t>261907</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41"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0.7</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42"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1.1</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43"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1.2</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top w:w="40" w:type="dxa"/>
              <w:left w:w="40" w:type="dxa"/>
              <w:bottom w:w="40" w:type="dxa"/>
              <w:right w:w="40" w:type="dxa"/>
            </w:tcMar>
            <w:vAlign w:val="bottom"/>
          </w:tcPr>
          <w:p w14:paraId="53C14544"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3.3</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45"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1.3</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top w:w="40" w:type="dxa"/>
              <w:left w:w="40" w:type="dxa"/>
              <w:bottom w:w="40" w:type="dxa"/>
              <w:right w:w="40" w:type="dxa"/>
            </w:tcMar>
            <w:vAlign w:val="bottom"/>
          </w:tcPr>
          <w:p w14:paraId="53C14546"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3.5</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47"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1.1</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9646"/>
            <w:tcMar>
              <w:top w:w="40" w:type="dxa"/>
              <w:left w:w="40" w:type="dxa"/>
              <w:bottom w:w="40" w:type="dxa"/>
              <w:right w:w="40" w:type="dxa"/>
            </w:tcMar>
            <w:vAlign w:val="bottom"/>
          </w:tcPr>
          <w:p w14:paraId="53C14548"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2.8</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49"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0.4</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4A"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0.1</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54B"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0.1</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54C"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0.1</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54D"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0.2</w:t>
            </w:r>
          </w:p>
        </w:tc>
        <w:tc>
          <w:tcPr>
            <w:tcW w:w="7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vAlign w:val="bottom"/>
          </w:tcPr>
          <w:p w14:paraId="53C1454E" w14:textId="77777777" w:rsidR="00E34AA4" w:rsidRPr="00E34AA4" w:rsidRDefault="00E34AA4" w:rsidP="00E34AA4">
            <w:pPr>
              <w:jc w:val="center"/>
              <w:rPr>
                <w:rFonts w:ascii="Arial Narrow" w:hAnsi="Arial Narrow"/>
                <w:sz w:val="18"/>
                <w:szCs w:val="18"/>
              </w:rPr>
            </w:pPr>
            <w:r w:rsidRPr="00E34AA4">
              <w:rPr>
                <w:rFonts w:ascii="Arial Narrow" w:hAnsi="Arial Narrow"/>
                <w:color w:val="000000"/>
                <w:sz w:val="18"/>
                <w:szCs w:val="18"/>
              </w:rPr>
              <w:t>6.3</w:t>
            </w:r>
          </w:p>
        </w:tc>
      </w:tr>
      <w:tr w:rsidR="00E34AA4" w:rsidRPr="002A0078" w14:paraId="53C14561" w14:textId="77777777" w:rsidTr="00E34AA4">
        <w:trPr>
          <w:cantSplit/>
          <w:trHeight w:hRule="exact" w:val="369"/>
        </w:trPr>
        <w:tc>
          <w:tcPr>
            <w:tcW w:w="1291" w:type="dxa"/>
            <w:vMerge/>
            <w:tcBorders>
              <w:left w:val="single" w:sz="4" w:space="0" w:color="000000"/>
              <w:right w:val="single" w:sz="4" w:space="0" w:color="000000"/>
            </w:tcBorders>
            <w:shd w:val="clear" w:color="auto" w:fill="FFFFFF"/>
            <w:tcMar>
              <w:top w:w="40" w:type="dxa"/>
              <w:left w:w="40" w:type="dxa"/>
              <w:bottom w:w="40" w:type="dxa"/>
              <w:right w:w="40" w:type="dxa"/>
            </w:tcMar>
            <w:vAlign w:val="center"/>
          </w:tcPr>
          <w:p w14:paraId="53C14550" w14:textId="77777777" w:rsidR="00E34AA4" w:rsidRPr="002A0078" w:rsidRDefault="00E34AA4" w:rsidP="00E34AA4">
            <w:pPr>
              <w:jc w:val="center"/>
              <w:rPr>
                <w:rFonts w:ascii="Arial Narrow" w:hAnsi="Arial Narrow" w:cs="Arial Narrow"/>
                <w:sz w:val="20"/>
                <w:szCs w:val="20"/>
              </w:rPr>
            </w:pPr>
          </w:p>
        </w:tc>
        <w:tc>
          <w:tcPr>
            <w:tcW w:w="21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40" w:type="dxa"/>
              <w:left w:w="40" w:type="dxa"/>
              <w:bottom w:w="40" w:type="dxa"/>
              <w:right w:w="40" w:type="dxa"/>
            </w:tcMar>
            <w:vAlign w:val="center"/>
          </w:tcPr>
          <w:p w14:paraId="53C14551" w14:textId="77777777" w:rsidR="00E34AA4" w:rsidRPr="002A0078" w:rsidRDefault="00E34AA4" w:rsidP="00E34AA4">
            <w:pPr>
              <w:rPr>
                <w:rFonts w:ascii="Arial Narrow" w:hAnsi="Arial Narrow" w:cs="Arial Narrow"/>
                <w:sz w:val="20"/>
                <w:szCs w:val="20"/>
              </w:rPr>
            </w:pPr>
            <w:r w:rsidRPr="002A0078">
              <w:rPr>
                <w:rFonts w:ascii="Arial Narrow" w:hAnsi="Arial Narrow" w:cs="Arial Narrow"/>
                <w:sz w:val="20"/>
                <w:szCs w:val="20"/>
              </w:rPr>
              <w:t>Haughton River</w:t>
            </w:r>
          </w:p>
        </w:tc>
        <w:tc>
          <w:tcPr>
            <w:tcW w:w="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40" w:type="dxa"/>
              <w:left w:w="40" w:type="dxa"/>
              <w:bottom w:w="40" w:type="dxa"/>
              <w:right w:w="40" w:type="dxa"/>
            </w:tcMar>
            <w:vAlign w:val="bottom"/>
          </w:tcPr>
          <w:p w14:paraId="53C14552" w14:textId="77777777" w:rsidR="00E34AA4" w:rsidRPr="002A0078" w:rsidRDefault="00E34AA4" w:rsidP="00E34AA4">
            <w:pPr>
              <w:jc w:val="center"/>
              <w:rPr>
                <w:rFonts w:ascii="Arial Narrow" w:hAnsi="Arial Narrow"/>
                <w:sz w:val="20"/>
                <w:szCs w:val="20"/>
              </w:rPr>
            </w:pPr>
            <w:r w:rsidRPr="002A0078">
              <w:rPr>
                <w:rFonts w:ascii="Arial Narrow" w:hAnsi="Arial Narrow"/>
                <w:sz w:val="20"/>
                <w:szCs w:val="20"/>
              </w:rPr>
              <w:t>419051</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53"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1.1</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9646" w:themeFill="accent6"/>
            <w:tcMar>
              <w:top w:w="40" w:type="dxa"/>
              <w:left w:w="40" w:type="dxa"/>
              <w:bottom w:w="40" w:type="dxa"/>
              <w:right w:w="40" w:type="dxa"/>
            </w:tcMar>
            <w:vAlign w:val="bottom"/>
          </w:tcPr>
          <w:p w14:paraId="53C14554"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2.2</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top w:w="40" w:type="dxa"/>
              <w:left w:w="40" w:type="dxa"/>
              <w:bottom w:w="40" w:type="dxa"/>
              <w:right w:w="40" w:type="dxa"/>
            </w:tcMar>
            <w:vAlign w:val="bottom"/>
          </w:tcPr>
          <w:p w14:paraId="53C14555"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3.3</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top w:w="40" w:type="dxa"/>
              <w:left w:w="40" w:type="dxa"/>
              <w:bottom w:w="40" w:type="dxa"/>
              <w:right w:w="40" w:type="dxa"/>
            </w:tcMar>
            <w:vAlign w:val="bottom"/>
          </w:tcPr>
          <w:p w14:paraId="53C14556"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4.4</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9646" w:themeFill="accent6"/>
            <w:tcMar>
              <w:top w:w="40" w:type="dxa"/>
              <w:left w:w="40" w:type="dxa"/>
              <w:bottom w:w="40" w:type="dxa"/>
              <w:right w:w="40" w:type="dxa"/>
            </w:tcMar>
            <w:vAlign w:val="bottom"/>
          </w:tcPr>
          <w:p w14:paraId="53C14557"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2.1</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top w:w="40" w:type="dxa"/>
              <w:left w:w="40" w:type="dxa"/>
              <w:bottom w:w="40" w:type="dxa"/>
              <w:right w:w="40" w:type="dxa"/>
            </w:tcMar>
            <w:vAlign w:val="bottom"/>
          </w:tcPr>
          <w:p w14:paraId="53C14558"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4.7</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top w:w="40" w:type="dxa"/>
              <w:left w:w="40" w:type="dxa"/>
              <w:bottom w:w="40" w:type="dxa"/>
              <w:right w:w="40" w:type="dxa"/>
            </w:tcMar>
            <w:vAlign w:val="bottom"/>
          </w:tcPr>
          <w:p w14:paraId="53C14559"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3.2</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5A"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5B"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5C"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0.3</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55D"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0.5</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55E"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0.7</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55F"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1.4</w:t>
            </w:r>
          </w:p>
        </w:tc>
        <w:tc>
          <w:tcPr>
            <w:tcW w:w="7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vAlign w:val="bottom"/>
          </w:tcPr>
          <w:p w14:paraId="53C14560" w14:textId="77777777" w:rsidR="00E34AA4" w:rsidRPr="00E34AA4" w:rsidRDefault="00E34AA4" w:rsidP="00E34AA4">
            <w:pPr>
              <w:jc w:val="center"/>
              <w:rPr>
                <w:rFonts w:ascii="Arial Narrow" w:hAnsi="Arial Narrow"/>
                <w:sz w:val="18"/>
                <w:szCs w:val="18"/>
              </w:rPr>
            </w:pPr>
            <w:r w:rsidRPr="00E34AA4">
              <w:rPr>
                <w:rFonts w:ascii="Arial Narrow" w:hAnsi="Arial Narrow"/>
                <w:color w:val="000000"/>
                <w:sz w:val="18"/>
                <w:szCs w:val="18"/>
              </w:rPr>
              <w:t>5.6</w:t>
            </w:r>
          </w:p>
        </w:tc>
      </w:tr>
      <w:tr w:rsidR="00E34AA4" w:rsidRPr="002A0078" w14:paraId="53C14573" w14:textId="77777777" w:rsidTr="00E34AA4">
        <w:trPr>
          <w:cantSplit/>
          <w:trHeight w:hRule="exact" w:val="369"/>
        </w:trPr>
        <w:tc>
          <w:tcPr>
            <w:tcW w:w="1291" w:type="dxa"/>
            <w:vMerge/>
            <w:tcBorders>
              <w:left w:val="single" w:sz="4" w:space="0" w:color="000000"/>
              <w:right w:val="single" w:sz="4" w:space="0" w:color="000000"/>
            </w:tcBorders>
            <w:shd w:val="clear" w:color="auto" w:fill="FFFFFF"/>
            <w:tcMar>
              <w:top w:w="40" w:type="dxa"/>
              <w:left w:w="40" w:type="dxa"/>
              <w:bottom w:w="40" w:type="dxa"/>
              <w:right w:w="40" w:type="dxa"/>
            </w:tcMar>
            <w:vAlign w:val="center"/>
          </w:tcPr>
          <w:p w14:paraId="53C14562" w14:textId="77777777" w:rsidR="00E34AA4" w:rsidRPr="002A0078" w:rsidRDefault="00E34AA4" w:rsidP="00E34AA4">
            <w:pPr>
              <w:jc w:val="center"/>
              <w:rPr>
                <w:sz w:val="20"/>
                <w:szCs w:val="20"/>
              </w:rPr>
            </w:pPr>
          </w:p>
        </w:tc>
        <w:tc>
          <w:tcPr>
            <w:tcW w:w="21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40" w:type="dxa"/>
              <w:left w:w="40" w:type="dxa"/>
              <w:bottom w:w="40" w:type="dxa"/>
              <w:right w:w="40" w:type="dxa"/>
            </w:tcMar>
            <w:vAlign w:val="center"/>
          </w:tcPr>
          <w:p w14:paraId="53C14563" w14:textId="77777777" w:rsidR="00E34AA4" w:rsidRPr="002A0078" w:rsidRDefault="00E34AA4" w:rsidP="00E34AA4">
            <w:pPr>
              <w:rPr>
                <w:sz w:val="20"/>
                <w:szCs w:val="20"/>
              </w:rPr>
            </w:pPr>
            <w:r w:rsidRPr="002A0078">
              <w:rPr>
                <w:rFonts w:ascii="Arial Narrow" w:hAnsi="Arial Narrow" w:cs="Arial Narrow"/>
                <w:sz w:val="20"/>
                <w:szCs w:val="20"/>
              </w:rPr>
              <w:t>Burdekin River</w:t>
            </w:r>
          </w:p>
        </w:tc>
        <w:tc>
          <w:tcPr>
            <w:tcW w:w="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40" w:type="dxa"/>
              <w:left w:w="40" w:type="dxa"/>
              <w:bottom w:w="40" w:type="dxa"/>
              <w:right w:w="40" w:type="dxa"/>
            </w:tcMar>
            <w:vAlign w:val="bottom"/>
          </w:tcPr>
          <w:p w14:paraId="53C14564" w14:textId="77777777" w:rsidR="00E34AA4" w:rsidRPr="002A0078" w:rsidRDefault="00E34AA4" w:rsidP="00E34AA4">
            <w:pPr>
              <w:jc w:val="center"/>
              <w:rPr>
                <w:rFonts w:ascii="Arial Narrow" w:hAnsi="Arial Narrow"/>
                <w:sz w:val="20"/>
                <w:szCs w:val="20"/>
              </w:rPr>
            </w:pPr>
            <w:r w:rsidRPr="002A0078">
              <w:rPr>
                <w:rFonts w:ascii="Arial Narrow" w:hAnsi="Arial Narrow"/>
                <w:sz w:val="20"/>
                <w:szCs w:val="20"/>
              </w:rPr>
              <w:t>4406780</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65"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0.5</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9646" w:themeFill="accent6"/>
            <w:tcMar>
              <w:top w:w="40" w:type="dxa"/>
              <w:left w:w="40" w:type="dxa"/>
              <w:bottom w:w="40" w:type="dxa"/>
              <w:right w:w="40" w:type="dxa"/>
            </w:tcMar>
            <w:vAlign w:val="bottom"/>
          </w:tcPr>
          <w:p w14:paraId="53C14566"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2.2</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top w:w="40" w:type="dxa"/>
              <w:left w:w="40" w:type="dxa"/>
              <w:bottom w:w="40" w:type="dxa"/>
              <w:right w:w="40" w:type="dxa"/>
            </w:tcMar>
            <w:vAlign w:val="bottom"/>
          </w:tcPr>
          <w:p w14:paraId="53C14567"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6.2</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top w:w="40" w:type="dxa"/>
              <w:left w:w="40" w:type="dxa"/>
              <w:bottom w:w="40" w:type="dxa"/>
              <w:right w:w="40" w:type="dxa"/>
            </w:tcMar>
            <w:vAlign w:val="bottom"/>
          </w:tcPr>
          <w:p w14:paraId="53C14568"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6.7</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Mar>
              <w:top w:w="40" w:type="dxa"/>
              <w:left w:w="40" w:type="dxa"/>
              <w:bottom w:w="40" w:type="dxa"/>
              <w:right w:w="40" w:type="dxa"/>
            </w:tcMar>
            <w:vAlign w:val="bottom"/>
          </w:tcPr>
          <w:p w14:paraId="53C14569"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1.8</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top w:w="40" w:type="dxa"/>
              <w:left w:w="40" w:type="dxa"/>
              <w:bottom w:w="40" w:type="dxa"/>
              <w:right w:w="40" w:type="dxa"/>
            </w:tcMar>
            <w:vAlign w:val="bottom"/>
          </w:tcPr>
          <w:p w14:paraId="53C1456A"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7.9</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top w:w="40" w:type="dxa"/>
              <w:left w:w="40" w:type="dxa"/>
              <w:bottom w:w="40" w:type="dxa"/>
              <w:right w:w="40" w:type="dxa"/>
            </w:tcMar>
            <w:vAlign w:val="bottom"/>
          </w:tcPr>
          <w:p w14:paraId="53C1456B"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3.5</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6C"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0.8</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6D"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0.3</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6E"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0.2</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56F"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0.4</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570"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0.9</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571"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1.3</w:t>
            </w:r>
          </w:p>
        </w:tc>
        <w:tc>
          <w:tcPr>
            <w:tcW w:w="7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vAlign w:val="bottom"/>
          </w:tcPr>
          <w:p w14:paraId="53C14572" w14:textId="77777777" w:rsidR="00E34AA4" w:rsidRPr="00E34AA4" w:rsidRDefault="00E34AA4" w:rsidP="00E34AA4">
            <w:pPr>
              <w:jc w:val="center"/>
              <w:rPr>
                <w:rFonts w:ascii="Arial Narrow" w:hAnsi="Arial Narrow"/>
                <w:sz w:val="18"/>
                <w:szCs w:val="18"/>
              </w:rPr>
            </w:pPr>
            <w:r w:rsidRPr="00E34AA4">
              <w:rPr>
                <w:rFonts w:ascii="Arial Narrow" w:hAnsi="Arial Narrow"/>
                <w:color w:val="000000"/>
                <w:sz w:val="18"/>
                <w:szCs w:val="18"/>
              </w:rPr>
              <w:t>4</w:t>
            </w:r>
          </w:p>
        </w:tc>
      </w:tr>
      <w:tr w:rsidR="00E34AA4" w:rsidRPr="002A0078" w14:paraId="53C14585" w14:textId="77777777" w:rsidTr="00E34AA4">
        <w:trPr>
          <w:cantSplit/>
          <w:trHeight w:hRule="exact" w:val="369"/>
        </w:trPr>
        <w:tc>
          <w:tcPr>
            <w:tcW w:w="1291" w:type="dxa"/>
            <w:vMerge/>
            <w:tcBorders>
              <w:left w:val="single" w:sz="4" w:space="0" w:color="000000"/>
              <w:bottom w:val="single" w:sz="4" w:space="0" w:color="000000"/>
              <w:right w:val="single" w:sz="4" w:space="0" w:color="000000"/>
            </w:tcBorders>
            <w:shd w:val="clear" w:color="auto" w:fill="FFFFFF"/>
            <w:tcMar>
              <w:top w:w="40" w:type="dxa"/>
              <w:left w:w="40" w:type="dxa"/>
              <w:bottom w:w="40" w:type="dxa"/>
              <w:right w:w="40" w:type="dxa"/>
            </w:tcMar>
            <w:vAlign w:val="center"/>
          </w:tcPr>
          <w:p w14:paraId="53C14574" w14:textId="77777777" w:rsidR="00E34AA4" w:rsidRPr="002A0078" w:rsidRDefault="00E34AA4" w:rsidP="00E34AA4">
            <w:pPr>
              <w:jc w:val="center"/>
              <w:rPr>
                <w:rFonts w:ascii="Arial Narrow" w:hAnsi="Arial Narrow" w:cs="Arial Narrow"/>
                <w:sz w:val="20"/>
                <w:szCs w:val="20"/>
              </w:rPr>
            </w:pPr>
          </w:p>
        </w:tc>
        <w:tc>
          <w:tcPr>
            <w:tcW w:w="21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40" w:type="dxa"/>
              <w:left w:w="40" w:type="dxa"/>
              <w:bottom w:w="40" w:type="dxa"/>
              <w:right w:w="40" w:type="dxa"/>
            </w:tcMar>
            <w:vAlign w:val="center"/>
          </w:tcPr>
          <w:p w14:paraId="53C14575" w14:textId="77777777" w:rsidR="00E34AA4" w:rsidRPr="002A0078" w:rsidRDefault="00E34AA4" w:rsidP="00E34AA4">
            <w:pPr>
              <w:rPr>
                <w:rFonts w:ascii="Arial Narrow" w:hAnsi="Arial Narrow" w:cs="Arial Narrow"/>
                <w:sz w:val="20"/>
                <w:szCs w:val="20"/>
              </w:rPr>
            </w:pPr>
            <w:r w:rsidRPr="002A0078">
              <w:rPr>
                <w:rFonts w:ascii="Arial Narrow" w:hAnsi="Arial Narrow" w:cs="Arial Narrow"/>
                <w:sz w:val="20"/>
                <w:szCs w:val="20"/>
              </w:rPr>
              <w:t>Don River</w:t>
            </w:r>
          </w:p>
        </w:tc>
        <w:tc>
          <w:tcPr>
            <w:tcW w:w="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40" w:type="dxa"/>
              <w:left w:w="40" w:type="dxa"/>
              <w:bottom w:w="40" w:type="dxa"/>
              <w:right w:w="40" w:type="dxa"/>
            </w:tcMar>
            <w:vAlign w:val="bottom"/>
          </w:tcPr>
          <w:p w14:paraId="53C14576" w14:textId="77777777" w:rsidR="00E34AA4" w:rsidRPr="002A0078" w:rsidRDefault="00E34AA4" w:rsidP="00E34AA4">
            <w:pPr>
              <w:jc w:val="center"/>
              <w:rPr>
                <w:rFonts w:ascii="Arial Narrow" w:hAnsi="Arial Narrow"/>
                <w:sz w:val="20"/>
                <w:szCs w:val="20"/>
              </w:rPr>
            </w:pPr>
            <w:r w:rsidRPr="002A0078">
              <w:rPr>
                <w:rFonts w:ascii="Arial Narrow" w:hAnsi="Arial Narrow"/>
                <w:sz w:val="20"/>
                <w:szCs w:val="20"/>
              </w:rPr>
              <w:t>508117</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77"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0.9</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9646" w:themeFill="accent6"/>
            <w:tcMar>
              <w:top w:w="40" w:type="dxa"/>
              <w:left w:w="40" w:type="dxa"/>
              <w:bottom w:w="40" w:type="dxa"/>
              <w:right w:w="40" w:type="dxa"/>
            </w:tcMar>
            <w:vAlign w:val="bottom"/>
          </w:tcPr>
          <w:p w14:paraId="53C14578"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2.1</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top w:w="40" w:type="dxa"/>
              <w:left w:w="40" w:type="dxa"/>
              <w:bottom w:w="40" w:type="dxa"/>
              <w:right w:w="40" w:type="dxa"/>
            </w:tcMar>
            <w:vAlign w:val="bottom"/>
          </w:tcPr>
          <w:p w14:paraId="53C14579"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4.8</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top w:w="40" w:type="dxa"/>
              <w:left w:w="40" w:type="dxa"/>
              <w:bottom w:w="40" w:type="dxa"/>
              <w:right w:w="40" w:type="dxa"/>
            </w:tcMar>
            <w:vAlign w:val="bottom"/>
          </w:tcPr>
          <w:p w14:paraId="53C1457A"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3.8</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Mar>
              <w:top w:w="40" w:type="dxa"/>
              <w:left w:w="40" w:type="dxa"/>
              <w:bottom w:w="40" w:type="dxa"/>
              <w:right w:w="40" w:type="dxa"/>
            </w:tcMar>
            <w:vAlign w:val="bottom"/>
          </w:tcPr>
          <w:p w14:paraId="53C1457B"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1.6</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top w:w="40" w:type="dxa"/>
              <w:left w:w="40" w:type="dxa"/>
              <w:bottom w:w="40" w:type="dxa"/>
              <w:right w:w="40" w:type="dxa"/>
            </w:tcMar>
            <w:vAlign w:val="bottom"/>
          </w:tcPr>
          <w:p w14:paraId="53C1457C"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7.1</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9646" w:themeFill="accent6"/>
            <w:tcMar>
              <w:top w:w="40" w:type="dxa"/>
              <w:left w:w="40" w:type="dxa"/>
              <w:bottom w:w="40" w:type="dxa"/>
              <w:right w:w="40" w:type="dxa"/>
            </w:tcMar>
            <w:vAlign w:val="bottom"/>
          </w:tcPr>
          <w:p w14:paraId="53C1457D"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2.2</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7E"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1.4</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7F"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0.8</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80"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0.4</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581"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0.3</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9646" w:themeFill="accent6"/>
            <w:vAlign w:val="bottom"/>
          </w:tcPr>
          <w:p w14:paraId="53C14582"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2.1</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583"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0.6</w:t>
            </w:r>
          </w:p>
        </w:tc>
        <w:tc>
          <w:tcPr>
            <w:tcW w:w="7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9646" w:themeFill="accent6"/>
            <w:vAlign w:val="bottom"/>
          </w:tcPr>
          <w:p w14:paraId="53C14584" w14:textId="77777777" w:rsidR="00E34AA4" w:rsidRPr="00E34AA4" w:rsidRDefault="00E34AA4" w:rsidP="00E34AA4">
            <w:pPr>
              <w:jc w:val="center"/>
              <w:rPr>
                <w:rFonts w:ascii="Arial Narrow" w:hAnsi="Arial Narrow"/>
                <w:sz w:val="18"/>
                <w:szCs w:val="18"/>
              </w:rPr>
            </w:pPr>
            <w:r w:rsidRPr="00E34AA4">
              <w:rPr>
                <w:rFonts w:ascii="Arial Narrow" w:hAnsi="Arial Narrow"/>
                <w:color w:val="000000"/>
                <w:sz w:val="18"/>
                <w:szCs w:val="18"/>
              </w:rPr>
              <w:t>2.7</w:t>
            </w:r>
          </w:p>
        </w:tc>
      </w:tr>
      <w:tr w:rsidR="00E34AA4" w:rsidRPr="002A0078" w14:paraId="53C14597" w14:textId="77777777" w:rsidTr="00E34AA4">
        <w:trPr>
          <w:cantSplit/>
          <w:trHeight w:hRule="exact" w:val="369"/>
        </w:trPr>
        <w:tc>
          <w:tcPr>
            <w:tcW w:w="1291" w:type="dxa"/>
            <w:vMerge w:val="restart"/>
            <w:tcBorders>
              <w:top w:val="single" w:sz="4" w:space="0" w:color="auto"/>
              <w:left w:val="single" w:sz="4" w:space="0" w:color="000000"/>
              <w:right w:val="single" w:sz="4" w:space="0" w:color="000000"/>
            </w:tcBorders>
            <w:shd w:val="clear" w:color="auto" w:fill="FFFFFF"/>
            <w:tcMar>
              <w:top w:w="40" w:type="dxa"/>
              <w:left w:w="40" w:type="dxa"/>
              <w:bottom w:w="40" w:type="dxa"/>
              <w:right w:w="40" w:type="dxa"/>
            </w:tcMar>
            <w:vAlign w:val="center"/>
          </w:tcPr>
          <w:p w14:paraId="53C14586" w14:textId="77777777" w:rsidR="00E34AA4" w:rsidRPr="002A0078" w:rsidRDefault="005F2B5B" w:rsidP="00E34AA4">
            <w:pPr>
              <w:jc w:val="center"/>
              <w:rPr>
                <w:rFonts w:ascii="Arial Narrow" w:hAnsi="Arial Narrow" w:cs="Arial Narrow"/>
                <w:sz w:val="20"/>
                <w:szCs w:val="20"/>
              </w:rPr>
            </w:pPr>
            <w:r>
              <w:rPr>
                <w:rFonts w:ascii="Arial Narrow" w:hAnsi="Arial Narrow" w:cs="Arial Narrow"/>
                <w:sz w:val="20"/>
                <w:szCs w:val="20"/>
              </w:rPr>
              <w:t>Mackay-Whitsunday</w:t>
            </w:r>
          </w:p>
        </w:tc>
        <w:tc>
          <w:tcPr>
            <w:tcW w:w="21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40" w:type="dxa"/>
              <w:left w:w="40" w:type="dxa"/>
              <w:bottom w:w="40" w:type="dxa"/>
              <w:right w:w="40" w:type="dxa"/>
            </w:tcMar>
            <w:vAlign w:val="center"/>
          </w:tcPr>
          <w:p w14:paraId="53C14587" w14:textId="77777777" w:rsidR="00E34AA4" w:rsidRPr="002A0078" w:rsidRDefault="00E34AA4" w:rsidP="00E34AA4">
            <w:pPr>
              <w:rPr>
                <w:rFonts w:ascii="Arial Narrow" w:hAnsi="Arial Narrow" w:cs="Arial Narrow"/>
                <w:sz w:val="20"/>
                <w:szCs w:val="20"/>
              </w:rPr>
            </w:pPr>
            <w:r>
              <w:rPr>
                <w:rFonts w:ascii="Arial Narrow" w:hAnsi="Arial Narrow" w:cs="Arial Narrow"/>
                <w:sz w:val="20"/>
                <w:szCs w:val="20"/>
              </w:rPr>
              <w:t>Proserpine River</w:t>
            </w:r>
          </w:p>
        </w:tc>
        <w:tc>
          <w:tcPr>
            <w:tcW w:w="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40" w:type="dxa"/>
              <w:left w:w="40" w:type="dxa"/>
              <w:bottom w:w="40" w:type="dxa"/>
              <w:right w:w="40" w:type="dxa"/>
            </w:tcMar>
            <w:vAlign w:val="bottom"/>
          </w:tcPr>
          <w:p w14:paraId="53C14588" w14:textId="77777777" w:rsidR="00E34AA4" w:rsidRPr="002A0078" w:rsidRDefault="00E34AA4" w:rsidP="00E34AA4">
            <w:pPr>
              <w:jc w:val="center"/>
              <w:rPr>
                <w:rFonts w:ascii="Arial Narrow" w:hAnsi="Arial Narrow"/>
                <w:sz w:val="20"/>
                <w:szCs w:val="20"/>
              </w:rPr>
            </w:pPr>
            <w:r>
              <w:rPr>
                <w:rFonts w:ascii="Arial Narrow" w:hAnsi="Arial Narrow"/>
                <w:sz w:val="20"/>
                <w:szCs w:val="20"/>
              </w:rPr>
              <w:t>284542</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89" w14:textId="77777777" w:rsidR="00E34AA4" w:rsidRPr="00E34AA4" w:rsidRDefault="00E34AA4" w:rsidP="00E34AA4">
            <w:pPr>
              <w:jc w:val="center"/>
              <w:rPr>
                <w:rFonts w:ascii="Arial Narrow" w:hAnsi="Arial Narrow"/>
                <w:sz w:val="18"/>
                <w:szCs w:val="18"/>
              </w:rPr>
            </w:pPr>
            <w:r w:rsidRPr="00E34AA4">
              <w:rPr>
                <w:rFonts w:ascii="Arial Narrow" w:hAnsi="Arial Narrow"/>
                <w:color w:val="000000"/>
                <w:sz w:val="18"/>
                <w:szCs w:val="18"/>
              </w:rPr>
              <w:t>0.8</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Mar>
              <w:top w:w="40" w:type="dxa"/>
              <w:left w:w="40" w:type="dxa"/>
              <w:bottom w:w="40" w:type="dxa"/>
              <w:right w:w="40" w:type="dxa"/>
            </w:tcMar>
            <w:vAlign w:val="bottom"/>
          </w:tcPr>
          <w:p w14:paraId="53C1458A" w14:textId="77777777" w:rsidR="00E34AA4" w:rsidRPr="00E34AA4" w:rsidRDefault="00E34AA4" w:rsidP="00E34AA4">
            <w:pPr>
              <w:jc w:val="center"/>
              <w:rPr>
                <w:rFonts w:ascii="Arial Narrow" w:hAnsi="Arial Narrow"/>
                <w:sz w:val="18"/>
                <w:szCs w:val="18"/>
              </w:rPr>
            </w:pPr>
            <w:r w:rsidRPr="00E34AA4">
              <w:rPr>
                <w:rFonts w:ascii="Arial Narrow" w:hAnsi="Arial Narrow"/>
                <w:color w:val="000000"/>
                <w:sz w:val="18"/>
                <w:szCs w:val="18"/>
              </w:rPr>
              <w:t>1.6</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9646" w:themeFill="accent6"/>
            <w:tcMar>
              <w:top w:w="40" w:type="dxa"/>
              <w:left w:w="40" w:type="dxa"/>
              <w:bottom w:w="40" w:type="dxa"/>
              <w:right w:w="40" w:type="dxa"/>
            </w:tcMar>
            <w:vAlign w:val="bottom"/>
          </w:tcPr>
          <w:p w14:paraId="53C1458B" w14:textId="77777777" w:rsidR="00E34AA4" w:rsidRPr="00E34AA4" w:rsidRDefault="00E34AA4" w:rsidP="00E34AA4">
            <w:pPr>
              <w:jc w:val="center"/>
              <w:rPr>
                <w:rFonts w:ascii="Arial Narrow" w:hAnsi="Arial Narrow"/>
                <w:sz w:val="18"/>
                <w:szCs w:val="18"/>
              </w:rPr>
            </w:pPr>
            <w:r w:rsidRPr="00E34AA4">
              <w:rPr>
                <w:rFonts w:ascii="Arial Narrow" w:hAnsi="Arial Narrow"/>
                <w:color w:val="000000"/>
                <w:sz w:val="18"/>
                <w:szCs w:val="18"/>
              </w:rPr>
              <w:t>2.3</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Mar>
              <w:top w:w="40" w:type="dxa"/>
              <w:left w:w="40" w:type="dxa"/>
              <w:bottom w:w="40" w:type="dxa"/>
              <w:right w:w="40" w:type="dxa"/>
            </w:tcMar>
            <w:vAlign w:val="bottom"/>
          </w:tcPr>
          <w:p w14:paraId="53C1458C" w14:textId="77777777" w:rsidR="00E34AA4" w:rsidRPr="00E34AA4" w:rsidRDefault="00E34AA4" w:rsidP="00E34AA4">
            <w:pPr>
              <w:jc w:val="center"/>
              <w:rPr>
                <w:rFonts w:ascii="Arial Narrow" w:hAnsi="Arial Narrow"/>
                <w:sz w:val="18"/>
                <w:szCs w:val="18"/>
              </w:rPr>
            </w:pPr>
            <w:r w:rsidRPr="00E34AA4">
              <w:rPr>
                <w:rFonts w:ascii="Arial Narrow" w:hAnsi="Arial Narrow"/>
                <w:color w:val="000000"/>
                <w:sz w:val="18"/>
                <w:szCs w:val="18"/>
              </w:rPr>
              <w:t>1.7</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9646" w:themeFill="accent6"/>
            <w:tcMar>
              <w:top w:w="40" w:type="dxa"/>
              <w:left w:w="40" w:type="dxa"/>
              <w:bottom w:w="40" w:type="dxa"/>
              <w:right w:w="40" w:type="dxa"/>
            </w:tcMar>
            <w:vAlign w:val="bottom"/>
          </w:tcPr>
          <w:p w14:paraId="53C1458D" w14:textId="77777777" w:rsidR="00E34AA4" w:rsidRPr="00E34AA4" w:rsidRDefault="00E34AA4" w:rsidP="00E34AA4">
            <w:pPr>
              <w:jc w:val="center"/>
              <w:rPr>
                <w:rFonts w:ascii="Arial Narrow" w:hAnsi="Arial Narrow"/>
                <w:sz w:val="18"/>
                <w:szCs w:val="18"/>
              </w:rPr>
            </w:pPr>
            <w:r w:rsidRPr="00E34AA4">
              <w:rPr>
                <w:rFonts w:ascii="Arial Narrow" w:hAnsi="Arial Narrow"/>
                <w:color w:val="000000"/>
                <w:sz w:val="18"/>
                <w:szCs w:val="18"/>
              </w:rPr>
              <w:t>2.9</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top w:w="40" w:type="dxa"/>
              <w:left w:w="40" w:type="dxa"/>
              <w:bottom w:w="40" w:type="dxa"/>
              <w:right w:w="40" w:type="dxa"/>
            </w:tcMar>
            <w:vAlign w:val="bottom"/>
          </w:tcPr>
          <w:p w14:paraId="53C1458E" w14:textId="77777777" w:rsidR="00E34AA4" w:rsidRPr="00E34AA4" w:rsidRDefault="00E34AA4" w:rsidP="00E34AA4">
            <w:pPr>
              <w:jc w:val="center"/>
              <w:rPr>
                <w:rFonts w:ascii="Arial Narrow" w:hAnsi="Arial Narrow"/>
                <w:sz w:val="18"/>
                <w:szCs w:val="18"/>
              </w:rPr>
            </w:pPr>
            <w:r w:rsidRPr="00E34AA4">
              <w:rPr>
                <w:rFonts w:ascii="Arial Narrow" w:hAnsi="Arial Narrow"/>
                <w:color w:val="000000"/>
                <w:sz w:val="18"/>
                <w:szCs w:val="18"/>
              </w:rPr>
              <w:t>5.2</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9646" w:themeFill="accent6"/>
            <w:tcMar>
              <w:top w:w="40" w:type="dxa"/>
              <w:left w:w="40" w:type="dxa"/>
              <w:bottom w:w="40" w:type="dxa"/>
              <w:right w:w="40" w:type="dxa"/>
            </w:tcMar>
            <w:vAlign w:val="bottom"/>
          </w:tcPr>
          <w:p w14:paraId="53C1458F" w14:textId="77777777" w:rsidR="00E34AA4" w:rsidRPr="00E34AA4" w:rsidRDefault="00E34AA4" w:rsidP="00E34AA4">
            <w:pPr>
              <w:jc w:val="center"/>
              <w:rPr>
                <w:rFonts w:ascii="Arial Narrow" w:hAnsi="Arial Narrow"/>
                <w:sz w:val="18"/>
                <w:szCs w:val="18"/>
              </w:rPr>
            </w:pPr>
            <w:r w:rsidRPr="00E34AA4">
              <w:rPr>
                <w:rFonts w:ascii="Arial Narrow" w:hAnsi="Arial Narrow"/>
                <w:color w:val="000000"/>
                <w:sz w:val="18"/>
                <w:szCs w:val="18"/>
              </w:rPr>
              <w:t>2.4</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90" w14:textId="77777777" w:rsidR="00E34AA4" w:rsidRPr="00E34AA4" w:rsidRDefault="00E34AA4" w:rsidP="00E34AA4">
            <w:pPr>
              <w:jc w:val="center"/>
              <w:rPr>
                <w:rFonts w:ascii="Arial Narrow" w:hAnsi="Arial Narrow"/>
                <w:sz w:val="18"/>
                <w:szCs w:val="18"/>
              </w:rPr>
            </w:pPr>
            <w:r w:rsidRPr="00E34AA4">
              <w:rPr>
                <w:rFonts w:ascii="Arial Narrow" w:hAnsi="Arial Narrow"/>
                <w:color w:val="000000"/>
                <w:sz w:val="18"/>
                <w:szCs w:val="18"/>
              </w:rPr>
              <w:t>1</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91" w14:textId="77777777" w:rsidR="00E34AA4" w:rsidRPr="00E34AA4" w:rsidRDefault="00E34AA4" w:rsidP="00E34AA4">
            <w:pPr>
              <w:jc w:val="center"/>
              <w:rPr>
                <w:rFonts w:ascii="Arial Narrow" w:hAnsi="Arial Narrow"/>
                <w:sz w:val="18"/>
                <w:szCs w:val="18"/>
              </w:rPr>
            </w:pPr>
            <w:r w:rsidRPr="00E34AA4">
              <w:rPr>
                <w:rFonts w:ascii="Arial Narrow" w:hAnsi="Arial Narrow"/>
                <w:color w:val="000000"/>
                <w:sz w:val="18"/>
                <w:szCs w:val="18"/>
              </w:rPr>
              <w:t>0.8</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92" w14:textId="77777777" w:rsidR="00E34AA4" w:rsidRPr="00E34AA4" w:rsidRDefault="00E34AA4" w:rsidP="00E34AA4">
            <w:pPr>
              <w:jc w:val="center"/>
              <w:rPr>
                <w:rFonts w:ascii="Arial Narrow" w:hAnsi="Arial Narrow"/>
                <w:sz w:val="18"/>
                <w:szCs w:val="18"/>
              </w:rPr>
            </w:pPr>
            <w:r w:rsidRPr="00E34AA4">
              <w:rPr>
                <w:rFonts w:ascii="Arial Narrow" w:hAnsi="Arial Narrow"/>
                <w:color w:val="000000"/>
                <w:sz w:val="18"/>
                <w:szCs w:val="18"/>
              </w:rPr>
              <w:t>0.2</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593" w14:textId="77777777" w:rsidR="00E34AA4" w:rsidRPr="00E34AA4" w:rsidRDefault="00E34AA4" w:rsidP="00E34AA4">
            <w:pPr>
              <w:jc w:val="center"/>
              <w:rPr>
                <w:rFonts w:ascii="Arial Narrow" w:hAnsi="Arial Narrow"/>
                <w:sz w:val="18"/>
                <w:szCs w:val="18"/>
              </w:rPr>
            </w:pPr>
            <w:r w:rsidRPr="00E34AA4">
              <w:rPr>
                <w:rFonts w:ascii="Arial Narrow" w:hAnsi="Arial Narrow"/>
                <w:color w:val="000000"/>
                <w:sz w:val="18"/>
                <w:szCs w:val="18"/>
              </w:rPr>
              <w:t>0.4</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vAlign w:val="bottom"/>
          </w:tcPr>
          <w:p w14:paraId="53C14594" w14:textId="77777777" w:rsidR="00E34AA4" w:rsidRPr="00E34AA4" w:rsidRDefault="00E34AA4" w:rsidP="00E34AA4">
            <w:pPr>
              <w:jc w:val="center"/>
              <w:rPr>
                <w:rFonts w:ascii="Arial Narrow" w:hAnsi="Arial Narrow"/>
                <w:sz w:val="18"/>
                <w:szCs w:val="18"/>
              </w:rPr>
            </w:pPr>
            <w:r w:rsidRPr="00E34AA4">
              <w:rPr>
                <w:rFonts w:ascii="Arial Narrow" w:hAnsi="Arial Narrow"/>
                <w:color w:val="000000"/>
                <w:sz w:val="18"/>
                <w:szCs w:val="18"/>
              </w:rPr>
              <w:t>1.9</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595" w14:textId="77777777" w:rsidR="00E34AA4" w:rsidRPr="00E34AA4" w:rsidRDefault="00E34AA4" w:rsidP="00E34AA4">
            <w:pPr>
              <w:jc w:val="center"/>
              <w:rPr>
                <w:rFonts w:ascii="Arial Narrow" w:hAnsi="Arial Narrow"/>
                <w:sz w:val="18"/>
                <w:szCs w:val="18"/>
              </w:rPr>
            </w:pPr>
            <w:r w:rsidRPr="00E34AA4">
              <w:rPr>
                <w:rFonts w:ascii="Arial Narrow" w:hAnsi="Arial Narrow"/>
                <w:color w:val="000000"/>
                <w:sz w:val="18"/>
                <w:szCs w:val="18"/>
              </w:rPr>
              <w:t>0.6</w:t>
            </w:r>
          </w:p>
        </w:tc>
        <w:tc>
          <w:tcPr>
            <w:tcW w:w="7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596" w14:textId="77777777" w:rsidR="00E34AA4" w:rsidRPr="00E34AA4" w:rsidRDefault="00E34AA4" w:rsidP="00E34AA4">
            <w:pPr>
              <w:jc w:val="center"/>
              <w:rPr>
                <w:rFonts w:ascii="Arial Narrow" w:hAnsi="Arial Narrow"/>
                <w:sz w:val="18"/>
                <w:szCs w:val="18"/>
              </w:rPr>
            </w:pPr>
            <w:r w:rsidRPr="00E34AA4">
              <w:rPr>
                <w:rFonts w:ascii="Arial Narrow" w:hAnsi="Arial Narrow"/>
                <w:color w:val="000000"/>
                <w:sz w:val="18"/>
                <w:szCs w:val="18"/>
              </w:rPr>
              <w:t>2.9</w:t>
            </w:r>
          </w:p>
        </w:tc>
      </w:tr>
      <w:tr w:rsidR="00E34AA4" w:rsidRPr="002A0078" w14:paraId="53C145A9" w14:textId="77777777" w:rsidTr="00E34AA4">
        <w:trPr>
          <w:cantSplit/>
          <w:trHeight w:hRule="exact" w:val="369"/>
        </w:trPr>
        <w:tc>
          <w:tcPr>
            <w:tcW w:w="1291" w:type="dxa"/>
            <w:vMerge/>
            <w:tcBorders>
              <w:left w:val="single" w:sz="4" w:space="0" w:color="000000"/>
              <w:right w:val="single" w:sz="4" w:space="0" w:color="000000"/>
            </w:tcBorders>
            <w:shd w:val="clear" w:color="auto" w:fill="FFFFFF"/>
            <w:tcMar>
              <w:top w:w="40" w:type="dxa"/>
              <w:left w:w="40" w:type="dxa"/>
              <w:bottom w:w="40" w:type="dxa"/>
              <w:right w:w="40" w:type="dxa"/>
            </w:tcMar>
            <w:vAlign w:val="center"/>
          </w:tcPr>
          <w:p w14:paraId="53C14598" w14:textId="77777777" w:rsidR="00E34AA4" w:rsidRPr="002A0078" w:rsidRDefault="00E34AA4" w:rsidP="00E34AA4">
            <w:pPr>
              <w:jc w:val="center"/>
              <w:rPr>
                <w:sz w:val="20"/>
                <w:szCs w:val="20"/>
              </w:rPr>
            </w:pPr>
          </w:p>
        </w:tc>
        <w:tc>
          <w:tcPr>
            <w:tcW w:w="21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40" w:type="dxa"/>
              <w:left w:w="40" w:type="dxa"/>
              <w:bottom w:w="40" w:type="dxa"/>
              <w:right w:w="40" w:type="dxa"/>
            </w:tcMar>
            <w:vAlign w:val="center"/>
          </w:tcPr>
          <w:p w14:paraId="53C14599" w14:textId="77777777" w:rsidR="00E34AA4" w:rsidRPr="002A0078" w:rsidRDefault="00E34AA4" w:rsidP="00E34AA4">
            <w:pPr>
              <w:rPr>
                <w:sz w:val="20"/>
                <w:szCs w:val="20"/>
              </w:rPr>
            </w:pPr>
            <w:r w:rsidRPr="002A0078">
              <w:rPr>
                <w:rFonts w:ascii="Arial Narrow" w:hAnsi="Arial Narrow" w:cs="Arial Narrow"/>
                <w:sz w:val="20"/>
                <w:szCs w:val="20"/>
              </w:rPr>
              <w:t>O’Connell River</w:t>
            </w:r>
          </w:p>
        </w:tc>
        <w:tc>
          <w:tcPr>
            <w:tcW w:w="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40" w:type="dxa"/>
              <w:left w:w="40" w:type="dxa"/>
              <w:bottom w:w="40" w:type="dxa"/>
              <w:right w:w="40" w:type="dxa"/>
            </w:tcMar>
            <w:vAlign w:val="bottom"/>
          </w:tcPr>
          <w:p w14:paraId="53C1459A" w14:textId="77777777" w:rsidR="00E34AA4" w:rsidRPr="002A0078" w:rsidRDefault="00E34AA4" w:rsidP="00E34AA4">
            <w:pPr>
              <w:jc w:val="center"/>
              <w:rPr>
                <w:rFonts w:ascii="Arial Narrow" w:hAnsi="Arial Narrow"/>
                <w:sz w:val="20"/>
                <w:szCs w:val="20"/>
              </w:rPr>
            </w:pPr>
            <w:r w:rsidRPr="002A0078">
              <w:rPr>
                <w:rFonts w:ascii="Arial Narrow" w:hAnsi="Arial Narrow"/>
                <w:sz w:val="20"/>
                <w:szCs w:val="20"/>
              </w:rPr>
              <w:t>478097</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9B"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0.5</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Mar>
              <w:top w:w="40" w:type="dxa"/>
              <w:left w:w="40" w:type="dxa"/>
              <w:bottom w:w="40" w:type="dxa"/>
              <w:right w:w="40" w:type="dxa"/>
            </w:tcMar>
            <w:vAlign w:val="bottom"/>
          </w:tcPr>
          <w:p w14:paraId="53C1459C"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1.7</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9646" w:themeFill="accent6"/>
            <w:tcMar>
              <w:top w:w="40" w:type="dxa"/>
              <w:left w:w="40" w:type="dxa"/>
              <w:bottom w:w="40" w:type="dxa"/>
              <w:right w:w="40" w:type="dxa"/>
            </w:tcMar>
            <w:vAlign w:val="bottom"/>
          </w:tcPr>
          <w:p w14:paraId="53C1459D"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2.2</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Mar>
              <w:top w:w="40" w:type="dxa"/>
              <w:left w:w="40" w:type="dxa"/>
              <w:bottom w:w="40" w:type="dxa"/>
              <w:right w:w="40" w:type="dxa"/>
            </w:tcMar>
            <w:vAlign w:val="bottom"/>
          </w:tcPr>
          <w:p w14:paraId="53C1459E"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1.5</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9646" w:themeFill="accent6"/>
            <w:tcMar>
              <w:top w:w="40" w:type="dxa"/>
              <w:left w:w="40" w:type="dxa"/>
              <w:bottom w:w="40" w:type="dxa"/>
              <w:right w:w="40" w:type="dxa"/>
            </w:tcMar>
            <w:vAlign w:val="bottom"/>
          </w:tcPr>
          <w:p w14:paraId="53C1459F"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2.5</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top w:w="40" w:type="dxa"/>
              <w:left w:w="40" w:type="dxa"/>
              <w:bottom w:w="40" w:type="dxa"/>
              <w:right w:w="40" w:type="dxa"/>
            </w:tcMar>
            <w:vAlign w:val="bottom"/>
          </w:tcPr>
          <w:p w14:paraId="53C145A0"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4.8</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9646" w:themeFill="accent6"/>
            <w:tcMar>
              <w:top w:w="40" w:type="dxa"/>
              <w:left w:w="40" w:type="dxa"/>
              <w:bottom w:w="40" w:type="dxa"/>
              <w:right w:w="40" w:type="dxa"/>
            </w:tcMar>
            <w:vAlign w:val="bottom"/>
          </w:tcPr>
          <w:p w14:paraId="53C145A1"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2</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A2"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1.1</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A3"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0.8</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A4"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0.2</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5A5"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0.6</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vAlign w:val="bottom"/>
          </w:tcPr>
          <w:p w14:paraId="53C145A6"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1.9</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5A7"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0.5</w:t>
            </w:r>
          </w:p>
        </w:tc>
        <w:tc>
          <w:tcPr>
            <w:tcW w:w="7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5A8" w14:textId="77777777" w:rsidR="00E34AA4" w:rsidRPr="00E34AA4" w:rsidRDefault="00E34AA4" w:rsidP="00E34AA4">
            <w:pPr>
              <w:jc w:val="center"/>
              <w:rPr>
                <w:rFonts w:ascii="Arial Narrow" w:hAnsi="Arial Narrow"/>
                <w:sz w:val="18"/>
                <w:szCs w:val="18"/>
              </w:rPr>
            </w:pPr>
            <w:r w:rsidRPr="00E34AA4">
              <w:rPr>
                <w:rFonts w:ascii="Arial Narrow" w:hAnsi="Arial Narrow"/>
                <w:color w:val="000000"/>
                <w:sz w:val="18"/>
                <w:szCs w:val="18"/>
              </w:rPr>
              <w:t>2.6</w:t>
            </w:r>
          </w:p>
        </w:tc>
      </w:tr>
      <w:tr w:rsidR="00E34AA4" w:rsidRPr="002A0078" w14:paraId="53C145BB" w14:textId="77777777" w:rsidTr="00E34AA4">
        <w:trPr>
          <w:cantSplit/>
          <w:trHeight w:hRule="exact" w:val="369"/>
        </w:trPr>
        <w:tc>
          <w:tcPr>
            <w:tcW w:w="1291" w:type="dxa"/>
            <w:vMerge/>
            <w:tcBorders>
              <w:left w:val="single" w:sz="4" w:space="0" w:color="000000"/>
              <w:right w:val="single" w:sz="4" w:space="0" w:color="000000"/>
            </w:tcBorders>
            <w:shd w:val="clear" w:color="auto" w:fill="FFFFFF"/>
            <w:tcMar>
              <w:top w:w="40" w:type="dxa"/>
              <w:left w:w="40" w:type="dxa"/>
              <w:bottom w:w="40" w:type="dxa"/>
              <w:right w:w="40" w:type="dxa"/>
            </w:tcMar>
            <w:vAlign w:val="center"/>
          </w:tcPr>
          <w:p w14:paraId="53C145AA" w14:textId="77777777" w:rsidR="00E34AA4" w:rsidRPr="002A0078" w:rsidRDefault="00E34AA4" w:rsidP="00E34AA4">
            <w:pPr>
              <w:jc w:val="center"/>
              <w:rPr>
                <w:rFonts w:ascii="Arial Narrow" w:hAnsi="Arial Narrow" w:cs="Arial Narrow"/>
                <w:sz w:val="20"/>
                <w:szCs w:val="20"/>
              </w:rPr>
            </w:pPr>
          </w:p>
        </w:tc>
        <w:tc>
          <w:tcPr>
            <w:tcW w:w="21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40" w:type="dxa"/>
              <w:left w:w="40" w:type="dxa"/>
              <w:bottom w:w="40" w:type="dxa"/>
              <w:right w:w="40" w:type="dxa"/>
            </w:tcMar>
            <w:vAlign w:val="center"/>
          </w:tcPr>
          <w:p w14:paraId="53C145AB" w14:textId="77777777" w:rsidR="00E34AA4" w:rsidRPr="002A0078" w:rsidRDefault="00E34AA4" w:rsidP="00E34AA4">
            <w:pPr>
              <w:rPr>
                <w:rFonts w:ascii="Arial Narrow" w:hAnsi="Arial Narrow" w:cs="Arial Narrow"/>
                <w:sz w:val="20"/>
                <w:szCs w:val="20"/>
              </w:rPr>
            </w:pPr>
            <w:r w:rsidRPr="002A0078">
              <w:rPr>
                <w:rFonts w:ascii="Arial Narrow" w:hAnsi="Arial Narrow" w:cs="Arial Narrow"/>
                <w:sz w:val="20"/>
                <w:szCs w:val="20"/>
              </w:rPr>
              <w:t>Pioneer River</w:t>
            </w:r>
          </w:p>
        </w:tc>
        <w:tc>
          <w:tcPr>
            <w:tcW w:w="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40" w:type="dxa"/>
              <w:left w:w="40" w:type="dxa"/>
              <w:bottom w:w="40" w:type="dxa"/>
              <w:right w:w="40" w:type="dxa"/>
            </w:tcMar>
            <w:vAlign w:val="bottom"/>
          </w:tcPr>
          <w:p w14:paraId="53C145AC" w14:textId="77777777" w:rsidR="00E34AA4" w:rsidRPr="002A0078" w:rsidRDefault="00E34AA4" w:rsidP="00E34AA4">
            <w:pPr>
              <w:jc w:val="center"/>
              <w:rPr>
                <w:rFonts w:ascii="Arial Narrow" w:hAnsi="Arial Narrow"/>
                <w:sz w:val="20"/>
                <w:szCs w:val="20"/>
              </w:rPr>
            </w:pPr>
            <w:r w:rsidRPr="002A0078">
              <w:rPr>
                <w:rFonts w:ascii="Arial Narrow" w:hAnsi="Arial Narrow"/>
                <w:sz w:val="20"/>
                <w:szCs w:val="20"/>
              </w:rPr>
              <w:t>692342</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AD" w14:textId="77777777" w:rsidR="00E34AA4" w:rsidRPr="00E34AA4" w:rsidRDefault="00E34AA4" w:rsidP="00E34AA4">
            <w:pPr>
              <w:jc w:val="center"/>
              <w:rPr>
                <w:rFonts w:ascii="Arial Narrow" w:hAnsi="Arial Narrow"/>
                <w:sz w:val="18"/>
                <w:szCs w:val="18"/>
              </w:rPr>
            </w:pPr>
            <w:r w:rsidRPr="00E34AA4">
              <w:rPr>
                <w:rFonts w:ascii="Arial Narrow" w:hAnsi="Arial Narrow"/>
                <w:color w:val="000000"/>
                <w:sz w:val="18"/>
                <w:szCs w:val="18"/>
              </w:rPr>
              <w:t>0.1</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AE" w14:textId="77777777" w:rsidR="00E34AA4" w:rsidRPr="00E34AA4" w:rsidRDefault="00E34AA4" w:rsidP="00E34AA4">
            <w:pPr>
              <w:jc w:val="center"/>
              <w:rPr>
                <w:rFonts w:ascii="Arial Narrow" w:hAnsi="Arial Narrow"/>
                <w:sz w:val="18"/>
                <w:szCs w:val="18"/>
              </w:rPr>
            </w:pPr>
            <w:r w:rsidRPr="00E34AA4">
              <w:rPr>
                <w:rFonts w:ascii="Arial Narrow" w:hAnsi="Arial Narrow"/>
                <w:color w:val="000000"/>
                <w:sz w:val="18"/>
                <w:szCs w:val="18"/>
              </w:rPr>
              <w:t>1.4</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9646" w:themeFill="accent6"/>
            <w:tcMar>
              <w:top w:w="40" w:type="dxa"/>
              <w:left w:w="40" w:type="dxa"/>
              <w:bottom w:w="40" w:type="dxa"/>
              <w:right w:w="40" w:type="dxa"/>
            </w:tcMar>
            <w:vAlign w:val="bottom"/>
          </w:tcPr>
          <w:p w14:paraId="53C145AF" w14:textId="77777777" w:rsidR="00E34AA4" w:rsidRPr="00E34AA4" w:rsidRDefault="00E34AA4" w:rsidP="00E34AA4">
            <w:pPr>
              <w:jc w:val="center"/>
              <w:rPr>
                <w:rFonts w:ascii="Arial Narrow" w:hAnsi="Arial Narrow"/>
                <w:sz w:val="18"/>
                <w:szCs w:val="18"/>
              </w:rPr>
            </w:pPr>
            <w:r w:rsidRPr="00E34AA4">
              <w:rPr>
                <w:rFonts w:ascii="Arial Narrow" w:hAnsi="Arial Narrow"/>
                <w:color w:val="000000"/>
                <w:sz w:val="18"/>
                <w:szCs w:val="18"/>
              </w:rPr>
              <w:t>2.2</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B0" w14:textId="77777777" w:rsidR="00E34AA4" w:rsidRPr="00E34AA4" w:rsidRDefault="00E34AA4" w:rsidP="00E34AA4">
            <w:pPr>
              <w:jc w:val="center"/>
              <w:rPr>
                <w:rFonts w:ascii="Arial Narrow" w:hAnsi="Arial Narrow"/>
                <w:sz w:val="18"/>
                <w:szCs w:val="18"/>
              </w:rPr>
            </w:pPr>
            <w:r w:rsidRPr="00E34AA4">
              <w:rPr>
                <w:rFonts w:ascii="Arial Narrow" w:hAnsi="Arial Narrow"/>
                <w:color w:val="000000"/>
                <w:sz w:val="18"/>
                <w:szCs w:val="18"/>
              </w:rPr>
              <w:t>1.4</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9646" w:themeFill="accent6"/>
            <w:tcMar>
              <w:top w:w="40" w:type="dxa"/>
              <w:left w:w="40" w:type="dxa"/>
              <w:bottom w:w="40" w:type="dxa"/>
              <w:right w:w="40" w:type="dxa"/>
            </w:tcMar>
            <w:vAlign w:val="bottom"/>
          </w:tcPr>
          <w:p w14:paraId="53C145B1" w14:textId="77777777" w:rsidR="00E34AA4" w:rsidRPr="00E34AA4" w:rsidRDefault="00E34AA4" w:rsidP="00E34AA4">
            <w:pPr>
              <w:jc w:val="center"/>
              <w:rPr>
                <w:rFonts w:ascii="Arial Narrow" w:hAnsi="Arial Narrow"/>
                <w:sz w:val="18"/>
                <w:szCs w:val="18"/>
              </w:rPr>
            </w:pPr>
            <w:r w:rsidRPr="00E34AA4">
              <w:rPr>
                <w:rFonts w:ascii="Arial Narrow" w:hAnsi="Arial Narrow"/>
                <w:color w:val="000000"/>
                <w:sz w:val="18"/>
                <w:szCs w:val="18"/>
              </w:rPr>
              <w:t>2.3</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top w:w="40" w:type="dxa"/>
              <w:left w:w="40" w:type="dxa"/>
              <w:bottom w:w="40" w:type="dxa"/>
              <w:right w:w="40" w:type="dxa"/>
            </w:tcMar>
            <w:vAlign w:val="bottom"/>
          </w:tcPr>
          <w:p w14:paraId="53C145B2" w14:textId="77777777" w:rsidR="00E34AA4" w:rsidRPr="00E34AA4" w:rsidRDefault="00E34AA4" w:rsidP="00E34AA4">
            <w:pPr>
              <w:jc w:val="center"/>
              <w:rPr>
                <w:rFonts w:ascii="Arial Narrow" w:hAnsi="Arial Narrow"/>
                <w:sz w:val="18"/>
                <w:szCs w:val="18"/>
              </w:rPr>
            </w:pPr>
            <w:r w:rsidRPr="00E34AA4">
              <w:rPr>
                <w:rFonts w:ascii="Arial Narrow" w:hAnsi="Arial Narrow"/>
                <w:color w:val="000000"/>
                <w:sz w:val="18"/>
                <w:szCs w:val="18"/>
              </w:rPr>
              <w:t>5.2</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9646" w:themeFill="accent6"/>
            <w:tcMar>
              <w:top w:w="40" w:type="dxa"/>
              <w:left w:w="40" w:type="dxa"/>
              <w:bottom w:w="40" w:type="dxa"/>
              <w:right w:w="40" w:type="dxa"/>
            </w:tcMar>
            <w:vAlign w:val="bottom"/>
          </w:tcPr>
          <w:p w14:paraId="53C145B3" w14:textId="77777777" w:rsidR="00E34AA4" w:rsidRPr="00E34AA4" w:rsidRDefault="00E34AA4" w:rsidP="00E34AA4">
            <w:pPr>
              <w:jc w:val="center"/>
              <w:rPr>
                <w:rFonts w:ascii="Arial Narrow" w:hAnsi="Arial Narrow"/>
                <w:sz w:val="18"/>
                <w:szCs w:val="18"/>
              </w:rPr>
            </w:pPr>
            <w:r w:rsidRPr="00E34AA4">
              <w:rPr>
                <w:rFonts w:ascii="Arial Narrow" w:hAnsi="Arial Narrow"/>
                <w:color w:val="000000"/>
                <w:sz w:val="18"/>
                <w:szCs w:val="18"/>
              </w:rPr>
              <w:t>2.3</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Mar>
              <w:top w:w="40" w:type="dxa"/>
              <w:left w:w="40" w:type="dxa"/>
              <w:bottom w:w="40" w:type="dxa"/>
              <w:right w:w="40" w:type="dxa"/>
            </w:tcMar>
            <w:vAlign w:val="bottom"/>
          </w:tcPr>
          <w:p w14:paraId="53C145B4" w14:textId="77777777" w:rsidR="00E34AA4" w:rsidRPr="00E34AA4" w:rsidRDefault="00E34AA4" w:rsidP="00E34AA4">
            <w:pPr>
              <w:jc w:val="center"/>
              <w:rPr>
                <w:rFonts w:ascii="Arial Narrow" w:hAnsi="Arial Narrow"/>
                <w:sz w:val="18"/>
                <w:szCs w:val="18"/>
              </w:rPr>
            </w:pPr>
            <w:r w:rsidRPr="00E34AA4">
              <w:rPr>
                <w:rFonts w:ascii="Arial Narrow" w:hAnsi="Arial Narrow"/>
                <w:color w:val="000000"/>
                <w:sz w:val="18"/>
                <w:szCs w:val="18"/>
              </w:rPr>
              <w:t>1.7</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B5" w14:textId="77777777" w:rsidR="00E34AA4" w:rsidRPr="00E34AA4" w:rsidRDefault="00E34AA4" w:rsidP="00E34AA4">
            <w:pPr>
              <w:jc w:val="center"/>
              <w:rPr>
                <w:rFonts w:ascii="Arial Narrow" w:hAnsi="Arial Narrow"/>
                <w:sz w:val="18"/>
                <w:szCs w:val="18"/>
              </w:rPr>
            </w:pPr>
            <w:r w:rsidRPr="00E34AA4">
              <w:rPr>
                <w:rFonts w:ascii="Arial Narrow" w:hAnsi="Arial Narrow"/>
                <w:color w:val="000000"/>
                <w:sz w:val="18"/>
                <w:szCs w:val="18"/>
              </w:rPr>
              <w:t>0.9</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B6" w14:textId="77777777" w:rsidR="00E34AA4" w:rsidRPr="00E34AA4" w:rsidRDefault="00E34AA4" w:rsidP="00E34AA4">
            <w:pPr>
              <w:jc w:val="center"/>
              <w:rPr>
                <w:rFonts w:ascii="Arial Narrow" w:hAnsi="Arial Narrow"/>
                <w:sz w:val="18"/>
                <w:szCs w:val="18"/>
              </w:rPr>
            </w:pPr>
            <w:r w:rsidRPr="00E34AA4">
              <w:rPr>
                <w:rFonts w:ascii="Arial Narrow" w:hAnsi="Arial Narrow"/>
                <w:color w:val="000000"/>
                <w:sz w:val="18"/>
                <w:szCs w:val="18"/>
              </w:rPr>
              <w:t>0.2</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5B7" w14:textId="77777777" w:rsidR="00E34AA4" w:rsidRPr="00E34AA4" w:rsidRDefault="00E34AA4" w:rsidP="00E34AA4">
            <w:pPr>
              <w:jc w:val="center"/>
              <w:rPr>
                <w:rFonts w:ascii="Arial Narrow" w:hAnsi="Arial Narrow"/>
                <w:sz w:val="18"/>
                <w:szCs w:val="18"/>
              </w:rPr>
            </w:pPr>
            <w:r w:rsidRPr="00E34AA4">
              <w:rPr>
                <w:rFonts w:ascii="Arial Narrow" w:hAnsi="Arial Narrow"/>
                <w:color w:val="000000"/>
                <w:sz w:val="18"/>
                <w:szCs w:val="18"/>
              </w:rPr>
              <w:t>0.9</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9646"/>
            <w:vAlign w:val="bottom"/>
          </w:tcPr>
          <w:p w14:paraId="53C145B8" w14:textId="77777777" w:rsidR="00E34AA4" w:rsidRPr="00E34AA4" w:rsidRDefault="00E34AA4" w:rsidP="00E34AA4">
            <w:pPr>
              <w:jc w:val="center"/>
              <w:rPr>
                <w:rFonts w:ascii="Arial Narrow" w:hAnsi="Arial Narrow"/>
                <w:sz w:val="18"/>
                <w:szCs w:val="18"/>
              </w:rPr>
            </w:pPr>
            <w:r w:rsidRPr="00E34AA4">
              <w:rPr>
                <w:rFonts w:ascii="Arial Narrow" w:hAnsi="Arial Narrow"/>
                <w:color w:val="000000"/>
                <w:sz w:val="18"/>
                <w:szCs w:val="18"/>
              </w:rPr>
              <w:t>2</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5B9" w14:textId="77777777" w:rsidR="00E34AA4" w:rsidRPr="00E34AA4" w:rsidRDefault="00E34AA4" w:rsidP="00E34AA4">
            <w:pPr>
              <w:jc w:val="center"/>
              <w:rPr>
                <w:rFonts w:ascii="Arial Narrow" w:hAnsi="Arial Narrow"/>
                <w:sz w:val="18"/>
                <w:szCs w:val="18"/>
              </w:rPr>
            </w:pPr>
            <w:r w:rsidRPr="00E34AA4">
              <w:rPr>
                <w:rFonts w:ascii="Arial Narrow" w:hAnsi="Arial Narrow"/>
                <w:color w:val="000000"/>
                <w:sz w:val="18"/>
                <w:szCs w:val="18"/>
              </w:rPr>
              <w:t>0.4</w:t>
            </w:r>
          </w:p>
        </w:tc>
        <w:tc>
          <w:tcPr>
            <w:tcW w:w="7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vAlign w:val="bottom"/>
          </w:tcPr>
          <w:p w14:paraId="53C145BA" w14:textId="77777777" w:rsidR="00E34AA4" w:rsidRPr="00E34AA4" w:rsidRDefault="00E34AA4" w:rsidP="00E34AA4">
            <w:pPr>
              <w:jc w:val="center"/>
              <w:rPr>
                <w:rFonts w:ascii="Arial Narrow" w:hAnsi="Arial Narrow"/>
                <w:sz w:val="18"/>
                <w:szCs w:val="18"/>
              </w:rPr>
            </w:pPr>
            <w:r w:rsidRPr="00E34AA4">
              <w:rPr>
                <w:rFonts w:ascii="Arial Narrow" w:hAnsi="Arial Narrow"/>
                <w:color w:val="000000"/>
                <w:sz w:val="18"/>
                <w:szCs w:val="18"/>
              </w:rPr>
              <w:t>1.7</w:t>
            </w:r>
          </w:p>
        </w:tc>
      </w:tr>
      <w:tr w:rsidR="00E34AA4" w:rsidRPr="002A0078" w14:paraId="53C145CD" w14:textId="77777777" w:rsidTr="00E34AA4">
        <w:trPr>
          <w:cantSplit/>
          <w:trHeight w:hRule="exact" w:val="369"/>
        </w:trPr>
        <w:tc>
          <w:tcPr>
            <w:tcW w:w="1291" w:type="dxa"/>
            <w:vMerge/>
            <w:tcBorders>
              <w:left w:val="single" w:sz="4" w:space="0" w:color="000000"/>
              <w:bottom w:val="single" w:sz="4" w:space="0" w:color="000000"/>
              <w:right w:val="single" w:sz="4" w:space="0" w:color="000000"/>
            </w:tcBorders>
            <w:shd w:val="clear" w:color="auto" w:fill="FFFFFF"/>
            <w:tcMar>
              <w:top w:w="40" w:type="dxa"/>
              <w:left w:w="40" w:type="dxa"/>
              <w:bottom w:w="40" w:type="dxa"/>
              <w:right w:w="40" w:type="dxa"/>
            </w:tcMar>
            <w:vAlign w:val="center"/>
          </w:tcPr>
          <w:p w14:paraId="53C145BC" w14:textId="77777777" w:rsidR="00E34AA4" w:rsidRPr="002A0078" w:rsidRDefault="00E34AA4" w:rsidP="00E34AA4">
            <w:pPr>
              <w:jc w:val="center"/>
              <w:rPr>
                <w:sz w:val="20"/>
                <w:szCs w:val="20"/>
              </w:rPr>
            </w:pPr>
          </w:p>
        </w:tc>
        <w:tc>
          <w:tcPr>
            <w:tcW w:w="21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40" w:type="dxa"/>
              <w:left w:w="40" w:type="dxa"/>
              <w:bottom w:w="40" w:type="dxa"/>
              <w:right w:w="40" w:type="dxa"/>
            </w:tcMar>
            <w:vAlign w:val="center"/>
          </w:tcPr>
          <w:p w14:paraId="53C145BD" w14:textId="77777777" w:rsidR="00E34AA4" w:rsidRPr="002A0078" w:rsidRDefault="00E34AA4" w:rsidP="00E34AA4">
            <w:pPr>
              <w:rPr>
                <w:rFonts w:ascii="Arial Narrow" w:hAnsi="Arial Narrow" w:cs="Arial Narrow"/>
                <w:sz w:val="20"/>
                <w:szCs w:val="20"/>
              </w:rPr>
            </w:pPr>
            <w:r w:rsidRPr="002A0078">
              <w:rPr>
                <w:rFonts w:ascii="Arial Narrow" w:hAnsi="Arial Narrow" w:cs="Arial Narrow"/>
                <w:sz w:val="20"/>
                <w:szCs w:val="20"/>
              </w:rPr>
              <w:t>Plane Creek</w:t>
            </w:r>
          </w:p>
        </w:tc>
        <w:tc>
          <w:tcPr>
            <w:tcW w:w="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40" w:type="dxa"/>
              <w:left w:w="40" w:type="dxa"/>
              <w:bottom w:w="40" w:type="dxa"/>
              <w:right w:w="40" w:type="dxa"/>
            </w:tcMar>
            <w:vAlign w:val="bottom"/>
          </w:tcPr>
          <w:p w14:paraId="53C145BE" w14:textId="77777777" w:rsidR="00E34AA4" w:rsidRPr="002A0078" w:rsidRDefault="00E34AA4" w:rsidP="00E34AA4">
            <w:pPr>
              <w:jc w:val="center"/>
              <w:rPr>
                <w:rFonts w:ascii="Arial Narrow" w:hAnsi="Arial Narrow"/>
                <w:sz w:val="20"/>
                <w:szCs w:val="20"/>
              </w:rPr>
            </w:pPr>
            <w:r w:rsidRPr="002A0078">
              <w:rPr>
                <w:rFonts w:ascii="Arial Narrow" w:hAnsi="Arial Narrow"/>
                <w:sz w:val="20"/>
                <w:szCs w:val="20"/>
              </w:rPr>
              <w:t>309931</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BF"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0.1</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C0"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1.4</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9646" w:themeFill="accent6"/>
            <w:tcMar>
              <w:top w:w="40" w:type="dxa"/>
              <w:left w:w="40" w:type="dxa"/>
              <w:bottom w:w="40" w:type="dxa"/>
              <w:right w:w="40" w:type="dxa"/>
            </w:tcMar>
            <w:vAlign w:val="bottom"/>
          </w:tcPr>
          <w:p w14:paraId="53C145C1"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2.7</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C2"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1.2</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9646" w:themeFill="accent6"/>
            <w:tcMar>
              <w:top w:w="40" w:type="dxa"/>
              <w:left w:w="40" w:type="dxa"/>
              <w:bottom w:w="40" w:type="dxa"/>
              <w:right w:w="40" w:type="dxa"/>
            </w:tcMar>
            <w:vAlign w:val="bottom"/>
          </w:tcPr>
          <w:p w14:paraId="53C145C3"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2.7</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top w:w="40" w:type="dxa"/>
              <w:left w:w="40" w:type="dxa"/>
              <w:bottom w:w="40" w:type="dxa"/>
              <w:right w:w="40" w:type="dxa"/>
            </w:tcMar>
            <w:vAlign w:val="bottom"/>
          </w:tcPr>
          <w:p w14:paraId="53C145C4"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4.1</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9646" w:themeFill="accent6"/>
            <w:tcMar>
              <w:top w:w="40" w:type="dxa"/>
              <w:left w:w="40" w:type="dxa"/>
              <w:bottom w:w="40" w:type="dxa"/>
              <w:right w:w="40" w:type="dxa"/>
            </w:tcMar>
            <w:vAlign w:val="bottom"/>
          </w:tcPr>
          <w:p w14:paraId="53C145C5"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2.5</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Mar>
              <w:top w:w="40" w:type="dxa"/>
              <w:left w:w="40" w:type="dxa"/>
              <w:bottom w:w="40" w:type="dxa"/>
              <w:right w:w="40" w:type="dxa"/>
            </w:tcMar>
            <w:vAlign w:val="bottom"/>
          </w:tcPr>
          <w:p w14:paraId="53C145C6"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1.7</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C7"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0.7</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C8"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0.2</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5C9"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0.8</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9646"/>
            <w:vAlign w:val="bottom"/>
          </w:tcPr>
          <w:p w14:paraId="53C145CA"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2.5</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5CB"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0.2</w:t>
            </w:r>
          </w:p>
        </w:tc>
        <w:tc>
          <w:tcPr>
            <w:tcW w:w="7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5CC" w14:textId="77777777" w:rsidR="00E34AA4" w:rsidRPr="00E34AA4" w:rsidRDefault="00E34AA4" w:rsidP="00E34AA4">
            <w:pPr>
              <w:jc w:val="center"/>
              <w:rPr>
                <w:rFonts w:ascii="Arial Narrow" w:hAnsi="Arial Narrow"/>
                <w:sz w:val="18"/>
                <w:szCs w:val="18"/>
              </w:rPr>
            </w:pPr>
            <w:r w:rsidRPr="00E34AA4">
              <w:rPr>
                <w:rFonts w:ascii="Arial Narrow" w:hAnsi="Arial Narrow"/>
                <w:color w:val="000000"/>
                <w:sz w:val="18"/>
                <w:szCs w:val="18"/>
              </w:rPr>
              <w:t>1.1</w:t>
            </w:r>
          </w:p>
        </w:tc>
      </w:tr>
      <w:tr w:rsidR="00E34AA4" w:rsidRPr="002A0078" w14:paraId="53C145DF" w14:textId="77777777" w:rsidTr="00E34AA4">
        <w:trPr>
          <w:cantSplit/>
          <w:trHeight w:hRule="exact" w:val="369"/>
        </w:trPr>
        <w:tc>
          <w:tcPr>
            <w:tcW w:w="1291"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tcMar>
              <w:top w:w="40" w:type="dxa"/>
              <w:left w:w="40" w:type="dxa"/>
              <w:bottom w:w="40" w:type="dxa"/>
              <w:right w:w="40" w:type="dxa"/>
            </w:tcMar>
            <w:vAlign w:val="center"/>
          </w:tcPr>
          <w:p w14:paraId="53C145CE" w14:textId="77777777" w:rsidR="00E34AA4" w:rsidRPr="002A0078" w:rsidRDefault="00E34AA4" w:rsidP="00E34AA4">
            <w:pPr>
              <w:jc w:val="center"/>
              <w:rPr>
                <w:rFonts w:ascii="Arial Narrow" w:hAnsi="Arial Narrow" w:cs="Arial Narrow"/>
                <w:sz w:val="20"/>
                <w:szCs w:val="20"/>
              </w:rPr>
            </w:pPr>
            <w:r w:rsidRPr="002A0078">
              <w:rPr>
                <w:rFonts w:ascii="Arial Narrow" w:hAnsi="Arial Narrow" w:cs="Arial Narrow"/>
                <w:sz w:val="20"/>
                <w:szCs w:val="20"/>
              </w:rPr>
              <w:t>Fitzroy</w:t>
            </w:r>
          </w:p>
        </w:tc>
        <w:tc>
          <w:tcPr>
            <w:tcW w:w="21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40" w:type="dxa"/>
              <w:left w:w="40" w:type="dxa"/>
              <w:bottom w:w="40" w:type="dxa"/>
              <w:right w:w="40" w:type="dxa"/>
            </w:tcMar>
            <w:vAlign w:val="center"/>
          </w:tcPr>
          <w:p w14:paraId="53C145CF" w14:textId="77777777" w:rsidR="00E34AA4" w:rsidRPr="002A0078" w:rsidRDefault="00E34AA4" w:rsidP="00E34AA4">
            <w:pPr>
              <w:rPr>
                <w:rFonts w:ascii="Arial Narrow" w:hAnsi="Arial Narrow" w:cs="Arial Narrow"/>
                <w:sz w:val="20"/>
                <w:szCs w:val="20"/>
              </w:rPr>
            </w:pPr>
            <w:r w:rsidRPr="002A0078">
              <w:rPr>
                <w:rFonts w:ascii="Arial Narrow" w:hAnsi="Arial Narrow" w:cs="Arial Narrow"/>
                <w:sz w:val="20"/>
                <w:szCs w:val="20"/>
              </w:rPr>
              <w:t>Water Park Creek</w:t>
            </w:r>
          </w:p>
        </w:tc>
        <w:tc>
          <w:tcPr>
            <w:tcW w:w="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40" w:type="dxa"/>
              <w:left w:w="40" w:type="dxa"/>
              <w:bottom w:w="40" w:type="dxa"/>
              <w:right w:w="40" w:type="dxa"/>
            </w:tcMar>
            <w:vAlign w:val="bottom"/>
          </w:tcPr>
          <w:p w14:paraId="53C145D0" w14:textId="77777777" w:rsidR="00E34AA4" w:rsidRPr="002A0078" w:rsidRDefault="00E34AA4" w:rsidP="00E34AA4">
            <w:pPr>
              <w:jc w:val="center"/>
              <w:rPr>
                <w:rFonts w:ascii="Arial Narrow" w:hAnsi="Arial Narrow" w:cs="Arial Narrow"/>
                <w:sz w:val="20"/>
                <w:szCs w:val="20"/>
              </w:rPr>
            </w:pPr>
            <w:r w:rsidRPr="002A0078">
              <w:rPr>
                <w:rFonts w:ascii="Arial Narrow" w:hAnsi="Arial Narrow"/>
                <w:sz w:val="20"/>
                <w:szCs w:val="20"/>
              </w:rPr>
              <w:t>97115</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D1"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0.2</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D2"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0.5</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9646"/>
            <w:tcMar>
              <w:top w:w="40" w:type="dxa"/>
              <w:left w:w="40" w:type="dxa"/>
              <w:bottom w:w="40" w:type="dxa"/>
              <w:right w:w="40" w:type="dxa"/>
            </w:tcMar>
            <w:vAlign w:val="bottom"/>
          </w:tcPr>
          <w:p w14:paraId="53C145D3"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2.5</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D4"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9646"/>
            <w:tcMar>
              <w:top w:w="40" w:type="dxa"/>
              <w:left w:w="40" w:type="dxa"/>
              <w:bottom w:w="40" w:type="dxa"/>
              <w:right w:w="40" w:type="dxa"/>
            </w:tcMar>
            <w:vAlign w:val="bottom"/>
          </w:tcPr>
          <w:p w14:paraId="53C145D5"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2.8</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top w:w="40" w:type="dxa"/>
              <w:left w:w="40" w:type="dxa"/>
              <w:bottom w:w="40" w:type="dxa"/>
              <w:right w:w="40" w:type="dxa"/>
            </w:tcMar>
            <w:vAlign w:val="bottom"/>
          </w:tcPr>
          <w:p w14:paraId="53C145D6"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4.8</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Mar>
              <w:top w:w="40" w:type="dxa"/>
              <w:left w:w="40" w:type="dxa"/>
              <w:bottom w:w="40" w:type="dxa"/>
              <w:right w:w="40" w:type="dxa"/>
            </w:tcMar>
            <w:vAlign w:val="bottom"/>
          </w:tcPr>
          <w:p w14:paraId="53C145D7"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1.5</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top w:w="40" w:type="dxa"/>
              <w:left w:w="40" w:type="dxa"/>
              <w:bottom w:w="40" w:type="dxa"/>
              <w:right w:w="40" w:type="dxa"/>
            </w:tcMar>
            <w:vAlign w:val="bottom"/>
          </w:tcPr>
          <w:p w14:paraId="53C145D8"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5.2</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9646"/>
            <w:tcMar>
              <w:top w:w="40" w:type="dxa"/>
              <w:left w:w="40" w:type="dxa"/>
              <w:bottom w:w="40" w:type="dxa"/>
              <w:right w:w="40" w:type="dxa"/>
            </w:tcMar>
            <w:vAlign w:val="bottom"/>
          </w:tcPr>
          <w:p w14:paraId="53C145D9"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2.9</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9646"/>
            <w:tcMar>
              <w:top w:w="40" w:type="dxa"/>
              <w:left w:w="40" w:type="dxa"/>
              <w:bottom w:w="40" w:type="dxa"/>
              <w:right w:w="40" w:type="dxa"/>
            </w:tcMar>
            <w:vAlign w:val="bottom"/>
          </w:tcPr>
          <w:p w14:paraId="53C145DA"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2</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vAlign w:val="bottom"/>
          </w:tcPr>
          <w:p w14:paraId="53C145DB"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1.8</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9646"/>
            <w:vAlign w:val="bottom"/>
          </w:tcPr>
          <w:p w14:paraId="53C145DC"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2.7</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5DD"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1.4</w:t>
            </w:r>
          </w:p>
        </w:tc>
        <w:tc>
          <w:tcPr>
            <w:tcW w:w="7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5DE" w14:textId="77777777" w:rsidR="00E34AA4" w:rsidRPr="00E34AA4" w:rsidRDefault="00E34AA4" w:rsidP="00E34AA4">
            <w:pPr>
              <w:jc w:val="center"/>
              <w:rPr>
                <w:rFonts w:ascii="Arial Narrow" w:hAnsi="Arial Narrow"/>
                <w:sz w:val="18"/>
                <w:szCs w:val="18"/>
              </w:rPr>
            </w:pPr>
            <w:r w:rsidRPr="00E34AA4">
              <w:rPr>
                <w:rFonts w:ascii="Arial Narrow" w:hAnsi="Arial Narrow"/>
                <w:color w:val="000000"/>
                <w:sz w:val="18"/>
                <w:szCs w:val="18"/>
              </w:rPr>
              <w:t>0.7</w:t>
            </w:r>
          </w:p>
        </w:tc>
      </w:tr>
      <w:tr w:rsidR="00E34AA4" w:rsidRPr="002A0078" w14:paraId="53C145F1" w14:textId="77777777" w:rsidTr="00E34AA4">
        <w:trPr>
          <w:cantSplit/>
          <w:trHeight w:hRule="exact" w:val="369"/>
        </w:trPr>
        <w:tc>
          <w:tcPr>
            <w:tcW w:w="1291" w:type="dxa"/>
            <w:vMerge/>
            <w:tcBorders>
              <w:left w:val="single" w:sz="4" w:space="0" w:color="000000"/>
              <w:bottom w:val="single" w:sz="4" w:space="0" w:color="auto"/>
              <w:right w:val="single" w:sz="4" w:space="0" w:color="000000"/>
            </w:tcBorders>
            <w:shd w:val="clear" w:color="auto" w:fill="FFFFFF"/>
            <w:tcMar>
              <w:top w:w="40" w:type="dxa"/>
              <w:left w:w="40" w:type="dxa"/>
              <w:bottom w:w="40" w:type="dxa"/>
              <w:right w:w="40" w:type="dxa"/>
            </w:tcMar>
            <w:vAlign w:val="center"/>
          </w:tcPr>
          <w:p w14:paraId="53C145E0" w14:textId="77777777" w:rsidR="00E34AA4" w:rsidRPr="002A0078" w:rsidRDefault="00E34AA4" w:rsidP="00E34AA4"/>
        </w:tc>
        <w:tc>
          <w:tcPr>
            <w:tcW w:w="21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40" w:type="dxa"/>
              <w:left w:w="40" w:type="dxa"/>
              <w:bottom w:w="40" w:type="dxa"/>
              <w:right w:w="40" w:type="dxa"/>
            </w:tcMar>
            <w:vAlign w:val="center"/>
          </w:tcPr>
          <w:p w14:paraId="53C145E1" w14:textId="77777777" w:rsidR="00E34AA4" w:rsidRPr="002A0078" w:rsidRDefault="00E34AA4" w:rsidP="00E34AA4">
            <w:pPr>
              <w:rPr>
                <w:sz w:val="20"/>
                <w:szCs w:val="20"/>
              </w:rPr>
            </w:pPr>
            <w:r w:rsidRPr="002A0078">
              <w:rPr>
                <w:rFonts w:ascii="Arial Narrow" w:hAnsi="Arial Narrow" w:cs="Arial Narrow"/>
                <w:sz w:val="20"/>
                <w:szCs w:val="20"/>
              </w:rPr>
              <w:t>Fitzroy River</w:t>
            </w:r>
          </w:p>
        </w:tc>
        <w:tc>
          <w:tcPr>
            <w:tcW w:w="9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40" w:type="dxa"/>
              <w:left w:w="40" w:type="dxa"/>
              <w:bottom w:w="40" w:type="dxa"/>
              <w:right w:w="40" w:type="dxa"/>
            </w:tcMar>
            <w:vAlign w:val="bottom"/>
          </w:tcPr>
          <w:p w14:paraId="53C145E2" w14:textId="77777777" w:rsidR="00E34AA4" w:rsidRPr="002A0078" w:rsidRDefault="00E34AA4" w:rsidP="00E34AA4">
            <w:pPr>
              <w:jc w:val="center"/>
              <w:rPr>
                <w:rFonts w:ascii="Arial Narrow" w:hAnsi="Arial Narrow"/>
                <w:sz w:val="20"/>
                <w:szCs w:val="20"/>
              </w:rPr>
            </w:pPr>
            <w:r w:rsidRPr="002A0078">
              <w:rPr>
                <w:rFonts w:ascii="Arial Narrow" w:hAnsi="Arial Narrow"/>
                <w:sz w:val="20"/>
                <w:szCs w:val="20"/>
              </w:rPr>
              <w:t>2852307</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E3"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0.2</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E4"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0.4</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top w:w="40" w:type="dxa"/>
              <w:left w:w="40" w:type="dxa"/>
              <w:bottom w:w="40" w:type="dxa"/>
              <w:right w:w="40" w:type="dxa"/>
            </w:tcMar>
            <w:vAlign w:val="bottom"/>
          </w:tcPr>
          <w:p w14:paraId="53C145E5"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4.4</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E6"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0.7</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top w:w="40" w:type="dxa"/>
              <w:left w:w="40" w:type="dxa"/>
              <w:bottom w:w="40" w:type="dxa"/>
              <w:right w:w="40" w:type="dxa"/>
            </w:tcMar>
            <w:vAlign w:val="bottom"/>
          </w:tcPr>
          <w:p w14:paraId="53C145E7"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4.1</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top w:w="40" w:type="dxa"/>
              <w:left w:w="40" w:type="dxa"/>
              <w:bottom w:w="40" w:type="dxa"/>
              <w:right w:w="40" w:type="dxa"/>
            </w:tcMar>
            <w:vAlign w:val="bottom"/>
          </w:tcPr>
          <w:p w14:paraId="53C145E8"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13.3</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9646" w:themeFill="accent6"/>
            <w:tcMar>
              <w:top w:w="40" w:type="dxa"/>
              <w:left w:w="40" w:type="dxa"/>
              <w:bottom w:w="40" w:type="dxa"/>
              <w:right w:w="40" w:type="dxa"/>
            </w:tcMar>
            <w:vAlign w:val="bottom"/>
          </w:tcPr>
          <w:p w14:paraId="53C145E9"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2.8</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Mar>
              <w:top w:w="40" w:type="dxa"/>
              <w:left w:w="40" w:type="dxa"/>
              <w:bottom w:w="40" w:type="dxa"/>
              <w:right w:w="40" w:type="dxa"/>
            </w:tcMar>
            <w:vAlign w:val="bottom"/>
          </w:tcPr>
          <w:p w14:paraId="53C145EA"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3</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EB"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0.6</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40" w:type="dxa"/>
              <w:left w:w="40" w:type="dxa"/>
              <w:bottom w:w="40" w:type="dxa"/>
              <w:right w:w="40" w:type="dxa"/>
            </w:tcMar>
            <w:vAlign w:val="bottom"/>
          </w:tcPr>
          <w:p w14:paraId="53C145EC"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0.9</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5ED"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1.3</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9646"/>
            <w:vAlign w:val="bottom"/>
          </w:tcPr>
          <w:p w14:paraId="53C145EE"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2.2</w:t>
            </w:r>
          </w:p>
        </w:tc>
        <w:tc>
          <w:tcPr>
            <w:tcW w:w="6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5EF" w14:textId="77777777" w:rsidR="00E34AA4" w:rsidRPr="00E34AA4" w:rsidRDefault="00E34AA4" w:rsidP="00E34AA4">
            <w:pPr>
              <w:jc w:val="center"/>
              <w:rPr>
                <w:rFonts w:ascii="Arial Narrow" w:hAnsi="Arial Narrow" w:cs="Calibri"/>
                <w:sz w:val="18"/>
                <w:szCs w:val="18"/>
              </w:rPr>
            </w:pPr>
            <w:r w:rsidRPr="00E34AA4">
              <w:rPr>
                <w:rFonts w:ascii="Arial Narrow" w:hAnsi="Arial Narrow"/>
                <w:color w:val="000000"/>
                <w:sz w:val="18"/>
                <w:szCs w:val="18"/>
              </w:rPr>
              <w:t>0.3</w:t>
            </w:r>
          </w:p>
        </w:tc>
        <w:tc>
          <w:tcPr>
            <w:tcW w:w="7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3C145F0" w14:textId="77777777" w:rsidR="00E34AA4" w:rsidRPr="00E34AA4" w:rsidRDefault="00E34AA4" w:rsidP="00E34AA4">
            <w:pPr>
              <w:jc w:val="center"/>
              <w:rPr>
                <w:rFonts w:ascii="Arial Narrow" w:hAnsi="Arial Narrow"/>
                <w:sz w:val="18"/>
                <w:szCs w:val="18"/>
              </w:rPr>
            </w:pPr>
            <w:r w:rsidRPr="00E34AA4">
              <w:rPr>
                <w:rFonts w:ascii="Arial Narrow" w:hAnsi="Arial Narrow"/>
                <w:color w:val="000000"/>
                <w:sz w:val="18"/>
                <w:szCs w:val="18"/>
              </w:rPr>
              <w:t>0.5</w:t>
            </w:r>
          </w:p>
        </w:tc>
      </w:tr>
    </w:tbl>
    <w:p w14:paraId="53C145F2" w14:textId="26F9E762" w:rsidR="006902D1" w:rsidRPr="002445C4" w:rsidRDefault="003D3C1E" w:rsidP="002B5296">
      <w:pPr>
        <w:pStyle w:val="Caption"/>
        <w:rPr>
          <w:rFonts w:ascii="Arial" w:hAnsi="Arial" w:cs="Arial"/>
          <w:i/>
          <w:vanish/>
          <w:specVanish/>
        </w:rPr>
      </w:pPr>
      <w:bookmarkStart w:id="602" w:name="_Ref30660433"/>
      <w:bookmarkStart w:id="603" w:name="_Toc35519355"/>
      <w:bookmarkStart w:id="604" w:name="_Toc527701050"/>
      <w:bookmarkStart w:id="605" w:name="_Ref528586098"/>
      <w:bookmarkStart w:id="606" w:name="_Ref528592587"/>
      <w:bookmarkStart w:id="607" w:name="_Toc530654881"/>
      <w:r>
        <w:t xml:space="preserve">Table A </w:t>
      </w:r>
      <w:r>
        <w:fldChar w:fldCharType="begin"/>
      </w:r>
      <w:r>
        <w:instrText xml:space="preserve"> SEQ Table_A \* ARABIC </w:instrText>
      </w:r>
      <w:r>
        <w:fldChar w:fldCharType="separate"/>
      </w:r>
      <w:r w:rsidR="003053D1">
        <w:rPr>
          <w:noProof/>
        </w:rPr>
        <w:t>7</w:t>
      </w:r>
      <w:r>
        <w:fldChar w:fldCharType="end"/>
      </w:r>
      <w:bookmarkEnd w:id="602"/>
      <w:r>
        <w:t xml:space="preserve"> </w:t>
      </w:r>
      <w:r w:rsidR="00A84742" w:rsidRPr="002445C4">
        <w:t>Disturbance records for each reef</w:t>
      </w:r>
      <w:bookmarkEnd w:id="603"/>
    </w:p>
    <w:p w14:paraId="53C145F3" w14:textId="3AC800AA" w:rsidR="00446236" w:rsidRPr="00EE76B9" w:rsidRDefault="006902D1">
      <w:pPr>
        <w:pStyle w:val="Caption"/>
        <w:rPr>
          <w:rStyle w:val="IntenseReference"/>
        </w:rPr>
      </w:pPr>
      <w:r w:rsidRPr="00EE76B9">
        <w:rPr>
          <w:rStyle w:val="IntenseReference"/>
        </w:rPr>
        <w:t>.</w:t>
      </w:r>
      <w:r w:rsidR="00A84742" w:rsidRPr="00EE76B9">
        <w:rPr>
          <w:rStyle w:val="IntenseReference"/>
        </w:rPr>
        <w:t xml:space="preserve"> Tabulated losses of coral cover are calculated using the methods described </w:t>
      </w:r>
      <w:r w:rsidR="00F4688B" w:rsidRPr="00EE76B9">
        <w:rPr>
          <w:rStyle w:val="IntenseReference"/>
        </w:rPr>
        <w:t xml:space="preserve">in section </w:t>
      </w:r>
      <w:r w:rsidR="0018215B">
        <w:rPr>
          <w:rStyle w:val="IntenseReference"/>
        </w:rPr>
        <w:fldChar w:fldCharType="begin"/>
      </w:r>
      <w:r w:rsidR="0018215B">
        <w:rPr>
          <w:rStyle w:val="IntenseReference"/>
        </w:rPr>
        <w:instrText xml:space="preserve"> REF _Ref35869096 \n \h </w:instrText>
      </w:r>
      <w:r w:rsidR="0018215B">
        <w:rPr>
          <w:rStyle w:val="IntenseReference"/>
        </w:rPr>
      </w:r>
      <w:r w:rsidR="0018215B">
        <w:rPr>
          <w:rStyle w:val="IntenseReference"/>
        </w:rPr>
        <w:fldChar w:fldCharType="separate"/>
      </w:r>
      <w:r w:rsidR="003053D1">
        <w:rPr>
          <w:rStyle w:val="IntenseReference"/>
        </w:rPr>
        <w:t>2.5.5</w:t>
      </w:r>
      <w:r w:rsidR="0018215B">
        <w:rPr>
          <w:rStyle w:val="IntenseReference"/>
        </w:rPr>
        <w:fldChar w:fldCharType="end"/>
      </w:r>
      <w:r w:rsidR="00F4688B" w:rsidRPr="00EE76B9">
        <w:rPr>
          <w:rStyle w:val="IntenseReference"/>
        </w:rPr>
        <w:t xml:space="preserve"> of this report </w:t>
      </w:r>
      <w:r w:rsidR="00A84742" w:rsidRPr="00EE76B9">
        <w:rPr>
          <w:rStyle w:val="IntenseReference"/>
        </w:rPr>
        <w:t xml:space="preserve">and represent the proportion of hard coral lost compared to projected cover based on previous observations as opposed to reduction in observed cover that does not account for expected increase in cover </w:t>
      </w:r>
      <w:r w:rsidR="00254A36" w:rsidRPr="00EE76B9">
        <w:rPr>
          <w:rStyle w:val="IntenseReference"/>
        </w:rPr>
        <w:t>because of</w:t>
      </w:r>
      <w:r w:rsidR="00A84742" w:rsidRPr="00EE76B9">
        <w:rPr>
          <w:rStyle w:val="IntenseReference"/>
        </w:rPr>
        <w:t xml:space="preserve"> growth between surveys. * represent cases where bleaching was the likely primary cause of loss although other factors </w:t>
      </w:r>
      <w:r w:rsidR="0047252C">
        <w:rPr>
          <w:rStyle w:val="IntenseReference"/>
        </w:rPr>
        <w:t>may have</w:t>
      </w:r>
      <w:r w:rsidR="0047252C" w:rsidRPr="00EE76B9">
        <w:rPr>
          <w:rStyle w:val="IntenseReference"/>
        </w:rPr>
        <w:t xml:space="preserve"> </w:t>
      </w:r>
      <w:r w:rsidR="00A84742" w:rsidRPr="00EE76B9">
        <w:rPr>
          <w:rStyle w:val="IntenseReference"/>
        </w:rPr>
        <w:t>contributed, ** bleaching likely however impact confounded by other severe disturbance. Bleaching events that occurred beyond the span of available time-series indicated by n/a.</w:t>
      </w:r>
      <w:bookmarkEnd w:id="604"/>
      <w:bookmarkEnd w:id="605"/>
      <w:bookmarkEnd w:id="606"/>
      <w:bookmarkEnd w:id="607"/>
    </w:p>
    <w:tbl>
      <w:tblPr>
        <w:tblpPr w:leftFromText="180" w:rightFromText="180" w:vertAnchor="text" w:tblpX="-22" w:tblpY="1"/>
        <w:tblOverlap w:val="never"/>
        <w:tblW w:w="1373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Caption w:val="Table A 4 Disturbance records for each reef. "/>
        <w:tblDescription w:val="A table presenting the proportional loss of coral cover at each monitored reef that has been asigned to an accute disturbance"/>
      </w:tblPr>
      <w:tblGrid>
        <w:gridCol w:w="716"/>
        <w:gridCol w:w="1864"/>
        <w:gridCol w:w="987"/>
        <w:gridCol w:w="860"/>
        <w:gridCol w:w="845"/>
        <w:gridCol w:w="8459"/>
      </w:tblGrid>
      <w:tr w:rsidR="00CE4E0F" w:rsidRPr="00A253EC" w14:paraId="53C145F8" w14:textId="77777777" w:rsidTr="004F16D3">
        <w:trPr>
          <w:cantSplit/>
          <w:trHeight w:val="414"/>
        </w:trPr>
        <w:tc>
          <w:tcPr>
            <w:tcW w:w="716" w:type="dxa"/>
            <w:vMerge w:val="restart"/>
            <w:tcBorders>
              <w:top w:val="single" w:sz="12" w:space="0" w:color="auto"/>
            </w:tcBorders>
            <w:shd w:val="clear" w:color="auto" w:fill="F2F2F2" w:themeFill="background1" w:themeFillShade="F2"/>
            <w:tcMar>
              <w:top w:w="16" w:type="dxa"/>
              <w:left w:w="16" w:type="dxa"/>
              <w:bottom w:w="0" w:type="dxa"/>
              <w:right w:w="16" w:type="dxa"/>
            </w:tcMar>
            <w:textDirection w:val="btLr"/>
            <w:vAlign w:val="center"/>
          </w:tcPr>
          <w:p w14:paraId="53C145F4" w14:textId="77777777" w:rsidR="00A84742" w:rsidRPr="00A253EC" w:rsidRDefault="00A84742" w:rsidP="00A84742">
            <w:pPr>
              <w:jc w:val="center"/>
              <w:rPr>
                <w:rFonts w:ascii="Arial Narrow" w:eastAsia="Arial Unicode MS" w:hAnsi="Arial Narrow"/>
                <w:bCs/>
                <w:sz w:val="20"/>
              </w:rPr>
            </w:pPr>
            <w:r w:rsidRPr="00A253EC">
              <w:rPr>
                <w:rFonts w:ascii="Arial Narrow" w:hAnsi="Arial Narrow"/>
                <w:bCs/>
                <w:sz w:val="20"/>
              </w:rPr>
              <w:t>Sub-Region</w:t>
            </w:r>
          </w:p>
        </w:tc>
        <w:tc>
          <w:tcPr>
            <w:tcW w:w="1864" w:type="dxa"/>
            <w:vMerge w:val="restart"/>
            <w:tcBorders>
              <w:top w:val="single" w:sz="12" w:space="0" w:color="auto"/>
            </w:tcBorders>
            <w:shd w:val="clear" w:color="auto" w:fill="F2F2F2" w:themeFill="background1" w:themeFillShade="F2"/>
            <w:tcMar>
              <w:top w:w="16" w:type="dxa"/>
              <w:left w:w="16" w:type="dxa"/>
              <w:bottom w:w="0" w:type="dxa"/>
              <w:right w:w="16" w:type="dxa"/>
            </w:tcMar>
            <w:vAlign w:val="center"/>
          </w:tcPr>
          <w:p w14:paraId="53C145F5" w14:textId="77777777" w:rsidR="00A84742" w:rsidRPr="00A253EC" w:rsidRDefault="00A84742" w:rsidP="00A84742">
            <w:pPr>
              <w:jc w:val="center"/>
              <w:rPr>
                <w:rFonts w:ascii="Arial Narrow" w:eastAsia="Arial Unicode MS" w:hAnsi="Arial Narrow"/>
                <w:bCs/>
                <w:sz w:val="20"/>
              </w:rPr>
            </w:pPr>
            <w:r w:rsidRPr="00A253EC">
              <w:rPr>
                <w:rFonts w:ascii="Arial Narrow" w:hAnsi="Arial Narrow"/>
                <w:bCs/>
                <w:sz w:val="20"/>
              </w:rPr>
              <w:t>Reef</w:t>
            </w:r>
          </w:p>
        </w:tc>
        <w:tc>
          <w:tcPr>
            <w:tcW w:w="2692" w:type="dxa"/>
            <w:gridSpan w:val="3"/>
            <w:tcBorders>
              <w:top w:val="single" w:sz="12" w:space="0" w:color="auto"/>
            </w:tcBorders>
            <w:shd w:val="clear" w:color="auto" w:fill="F2F2F2" w:themeFill="background1" w:themeFillShade="F2"/>
          </w:tcPr>
          <w:p w14:paraId="53C145F6" w14:textId="77777777" w:rsidR="00A84742" w:rsidRPr="00A253EC" w:rsidRDefault="00A84742" w:rsidP="00A84742">
            <w:pPr>
              <w:jc w:val="center"/>
              <w:rPr>
                <w:rFonts w:ascii="Arial Narrow" w:hAnsi="Arial Narrow"/>
                <w:bCs/>
                <w:sz w:val="20"/>
              </w:rPr>
            </w:pPr>
            <w:r w:rsidRPr="00A253EC">
              <w:rPr>
                <w:rFonts w:ascii="Arial Narrow" w:hAnsi="Arial Narrow"/>
                <w:bCs/>
                <w:sz w:val="20"/>
              </w:rPr>
              <w:t>Bleaching</w:t>
            </w:r>
          </w:p>
        </w:tc>
        <w:tc>
          <w:tcPr>
            <w:tcW w:w="8459" w:type="dxa"/>
            <w:vMerge w:val="restart"/>
            <w:tcBorders>
              <w:top w:val="single" w:sz="12" w:space="0" w:color="auto"/>
            </w:tcBorders>
            <w:shd w:val="clear" w:color="auto" w:fill="F2F2F2" w:themeFill="background1" w:themeFillShade="F2"/>
            <w:tcMar>
              <w:top w:w="16" w:type="dxa"/>
              <w:left w:w="16" w:type="dxa"/>
              <w:bottom w:w="0" w:type="dxa"/>
              <w:right w:w="16" w:type="dxa"/>
            </w:tcMar>
            <w:vAlign w:val="center"/>
          </w:tcPr>
          <w:p w14:paraId="53C145F7" w14:textId="77777777" w:rsidR="00A84742" w:rsidRPr="00A253EC" w:rsidRDefault="00A84742" w:rsidP="00A84742">
            <w:pPr>
              <w:jc w:val="center"/>
              <w:rPr>
                <w:rFonts w:ascii="Arial Narrow" w:eastAsia="Arial Unicode MS" w:hAnsi="Arial Narrow"/>
                <w:bCs/>
                <w:sz w:val="20"/>
              </w:rPr>
            </w:pPr>
            <w:r w:rsidRPr="00A253EC">
              <w:rPr>
                <w:rFonts w:ascii="Arial Narrow" w:hAnsi="Arial Narrow"/>
                <w:bCs/>
                <w:sz w:val="20"/>
              </w:rPr>
              <w:t>Other recorded disturbances</w:t>
            </w:r>
          </w:p>
        </w:tc>
      </w:tr>
      <w:tr w:rsidR="00CE4E0F" w:rsidRPr="00A253EC" w14:paraId="53C145FF" w14:textId="77777777" w:rsidTr="004F16D3">
        <w:trPr>
          <w:cantSplit/>
          <w:trHeight w:val="599"/>
        </w:trPr>
        <w:tc>
          <w:tcPr>
            <w:tcW w:w="716" w:type="dxa"/>
            <w:vMerge/>
            <w:vAlign w:val="center"/>
          </w:tcPr>
          <w:p w14:paraId="53C145F9" w14:textId="77777777" w:rsidR="00A84742" w:rsidRPr="00A253EC" w:rsidRDefault="00A84742" w:rsidP="00A84742">
            <w:pPr>
              <w:rPr>
                <w:rFonts w:ascii="Arial Narrow" w:eastAsia="Arial Unicode MS" w:hAnsi="Arial Narrow"/>
                <w:bCs/>
                <w:sz w:val="20"/>
              </w:rPr>
            </w:pPr>
          </w:p>
        </w:tc>
        <w:tc>
          <w:tcPr>
            <w:tcW w:w="1864" w:type="dxa"/>
            <w:vMerge/>
            <w:vAlign w:val="center"/>
          </w:tcPr>
          <w:p w14:paraId="53C145FA" w14:textId="77777777" w:rsidR="00A84742" w:rsidRPr="00A253EC" w:rsidRDefault="00A84742" w:rsidP="00A84742">
            <w:pPr>
              <w:rPr>
                <w:rFonts w:ascii="Arial Narrow" w:eastAsia="Arial Unicode MS" w:hAnsi="Arial Narrow"/>
                <w:bCs/>
                <w:sz w:val="20"/>
              </w:rPr>
            </w:pPr>
          </w:p>
        </w:tc>
        <w:tc>
          <w:tcPr>
            <w:tcW w:w="987" w:type="dxa"/>
            <w:shd w:val="clear" w:color="auto" w:fill="F2F2F2" w:themeFill="background1" w:themeFillShade="F2"/>
            <w:tcMar>
              <w:top w:w="16" w:type="dxa"/>
              <w:left w:w="16" w:type="dxa"/>
              <w:bottom w:w="0" w:type="dxa"/>
              <w:right w:w="16" w:type="dxa"/>
            </w:tcMar>
            <w:vAlign w:val="center"/>
          </w:tcPr>
          <w:p w14:paraId="53C145FB" w14:textId="77777777" w:rsidR="00A84742" w:rsidRPr="00A253EC" w:rsidRDefault="00A84742" w:rsidP="00A84742">
            <w:pPr>
              <w:jc w:val="center"/>
              <w:rPr>
                <w:rFonts w:ascii="Arial Narrow" w:eastAsia="Arial Unicode MS" w:hAnsi="Arial Narrow"/>
                <w:bCs/>
                <w:sz w:val="20"/>
              </w:rPr>
            </w:pPr>
            <w:r w:rsidRPr="00A253EC">
              <w:rPr>
                <w:rFonts w:ascii="Arial Narrow" w:hAnsi="Arial Narrow"/>
                <w:bCs/>
                <w:sz w:val="20"/>
              </w:rPr>
              <w:t>1998</w:t>
            </w:r>
          </w:p>
        </w:tc>
        <w:tc>
          <w:tcPr>
            <w:tcW w:w="860" w:type="dxa"/>
            <w:shd w:val="clear" w:color="auto" w:fill="F2F2F2" w:themeFill="background1" w:themeFillShade="F2"/>
            <w:vAlign w:val="center"/>
          </w:tcPr>
          <w:p w14:paraId="53C145FC" w14:textId="77777777" w:rsidR="00A84742" w:rsidRPr="00A253EC" w:rsidRDefault="00A84742" w:rsidP="00A84742">
            <w:pPr>
              <w:jc w:val="center"/>
              <w:rPr>
                <w:rFonts w:ascii="Arial Narrow" w:eastAsia="Arial Unicode MS" w:hAnsi="Arial Narrow"/>
                <w:bCs/>
                <w:sz w:val="20"/>
              </w:rPr>
            </w:pPr>
            <w:r w:rsidRPr="00A253EC">
              <w:rPr>
                <w:rFonts w:ascii="Arial Narrow" w:hAnsi="Arial Narrow"/>
                <w:bCs/>
                <w:sz w:val="20"/>
              </w:rPr>
              <w:t>2002</w:t>
            </w:r>
          </w:p>
        </w:tc>
        <w:tc>
          <w:tcPr>
            <w:tcW w:w="844" w:type="dxa"/>
            <w:shd w:val="clear" w:color="auto" w:fill="F2F2F2" w:themeFill="background1" w:themeFillShade="F2"/>
            <w:vAlign w:val="center"/>
          </w:tcPr>
          <w:p w14:paraId="53C145FD" w14:textId="77777777" w:rsidR="00A84742" w:rsidRPr="00A253EC" w:rsidRDefault="00A84742" w:rsidP="00A84742">
            <w:pPr>
              <w:jc w:val="center"/>
              <w:rPr>
                <w:rFonts w:ascii="Arial Narrow" w:eastAsia="Arial Unicode MS" w:hAnsi="Arial Narrow"/>
                <w:bCs/>
                <w:sz w:val="20"/>
              </w:rPr>
            </w:pPr>
            <w:r w:rsidRPr="00A253EC">
              <w:rPr>
                <w:rFonts w:ascii="Arial Narrow" w:eastAsia="Arial Unicode MS" w:hAnsi="Arial Narrow"/>
                <w:bCs/>
                <w:sz w:val="20"/>
              </w:rPr>
              <w:t>2017</w:t>
            </w:r>
          </w:p>
        </w:tc>
        <w:tc>
          <w:tcPr>
            <w:tcW w:w="8459" w:type="dxa"/>
            <w:vMerge/>
            <w:vAlign w:val="center"/>
          </w:tcPr>
          <w:p w14:paraId="53C145FE" w14:textId="77777777" w:rsidR="00A84742" w:rsidRPr="00A253EC" w:rsidRDefault="00A84742" w:rsidP="00A84742">
            <w:pPr>
              <w:rPr>
                <w:rFonts w:ascii="Arial Narrow" w:eastAsia="Arial Unicode MS" w:hAnsi="Arial Narrow"/>
                <w:bCs/>
                <w:sz w:val="20"/>
              </w:rPr>
            </w:pPr>
          </w:p>
        </w:tc>
      </w:tr>
      <w:tr w:rsidR="00CE4E0F" w:rsidRPr="00A253EC" w14:paraId="53C14607" w14:textId="77777777" w:rsidTr="004F16D3">
        <w:trPr>
          <w:cantSplit/>
          <w:trHeight w:val="538"/>
        </w:trPr>
        <w:tc>
          <w:tcPr>
            <w:tcW w:w="716" w:type="dxa"/>
            <w:vMerge w:val="restart"/>
            <w:tcMar>
              <w:top w:w="16" w:type="dxa"/>
              <w:left w:w="16" w:type="dxa"/>
              <w:bottom w:w="0" w:type="dxa"/>
              <w:right w:w="16" w:type="dxa"/>
            </w:tcMar>
            <w:textDirection w:val="btLr"/>
            <w:vAlign w:val="center"/>
          </w:tcPr>
          <w:p w14:paraId="53C14600" w14:textId="77777777" w:rsidR="00A84742" w:rsidRPr="00A253EC" w:rsidRDefault="00A84742" w:rsidP="00A84742">
            <w:pPr>
              <w:jc w:val="center"/>
              <w:rPr>
                <w:rFonts w:ascii="Arial Narrow" w:hAnsi="Arial Narrow"/>
                <w:bCs/>
                <w:sz w:val="20"/>
              </w:rPr>
            </w:pPr>
            <w:r w:rsidRPr="00A253EC">
              <w:rPr>
                <w:rFonts w:ascii="Arial Narrow" w:hAnsi="Arial Narrow"/>
                <w:bCs/>
                <w:sz w:val="20"/>
              </w:rPr>
              <w:t>Barron</w:t>
            </w:r>
          </w:p>
          <w:p w14:paraId="53C14601" w14:textId="77777777" w:rsidR="00A84742" w:rsidRPr="00A253EC" w:rsidRDefault="00A84742" w:rsidP="00A84742">
            <w:pPr>
              <w:jc w:val="center"/>
              <w:rPr>
                <w:rFonts w:ascii="Arial Narrow" w:eastAsia="Arial Unicode MS" w:hAnsi="Arial Narrow"/>
                <w:bCs/>
                <w:sz w:val="20"/>
              </w:rPr>
            </w:pPr>
            <w:r w:rsidRPr="00A253EC">
              <w:rPr>
                <w:rFonts w:ascii="Arial Narrow" w:hAnsi="Arial Narrow"/>
                <w:bCs/>
                <w:sz w:val="20"/>
              </w:rPr>
              <w:t>Daintree</w:t>
            </w:r>
          </w:p>
        </w:tc>
        <w:tc>
          <w:tcPr>
            <w:tcW w:w="1864" w:type="dxa"/>
            <w:tcMar>
              <w:top w:w="16" w:type="dxa"/>
              <w:left w:w="16" w:type="dxa"/>
              <w:bottom w:w="0" w:type="dxa"/>
              <w:right w:w="16" w:type="dxa"/>
            </w:tcMar>
            <w:vAlign w:val="bottom"/>
          </w:tcPr>
          <w:p w14:paraId="53C14602" w14:textId="77777777" w:rsidR="00A84742" w:rsidRPr="00A253EC" w:rsidRDefault="00A84742" w:rsidP="00A84742">
            <w:pPr>
              <w:ind w:left="200"/>
              <w:rPr>
                <w:rFonts w:ascii="Arial Narrow" w:eastAsia="Arial Unicode MS" w:hAnsi="Arial Narrow"/>
                <w:bCs/>
                <w:sz w:val="20"/>
              </w:rPr>
            </w:pPr>
            <w:r w:rsidRPr="00A253EC">
              <w:rPr>
                <w:rFonts w:ascii="Arial Narrow" w:hAnsi="Arial Narrow"/>
                <w:bCs/>
                <w:sz w:val="20"/>
              </w:rPr>
              <w:t>Snapper North</w:t>
            </w:r>
          </w:p>
        </w:tc>
        <w:tc>
          <w:tcPr>
            <w:tcW w:w="987" w:type="dxa"/>
            <w:tcMar>
              <w:top w:w="16" w:type="dxa"/>
              <w:left w:w="16" w:type="dxa"/>
              <w:bottom w:w="0" w:type="dxa"/>
              <w:right w:w="16" w:type="dxa"/>
            </w:tcMar>
            <w:vAlign w:val="center"/>
          </w:tcPr>
          <w:p w14:paraId="53C14603"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0.92 (19%)</w:t>
            </w:r>
          </w:p>
        </w:tc>
        <w:tc>
          <w:tcPr>
            <w:tcW w:w="860" w:type="dxa"/>
            <w:vAlign w:val="center"/>
          </w:tcPr>
          <w:p w14:paraId="53C14604"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0.95 (Nil)</w:t>
            </w:r>
          </w:p>
        </w:tc>
        <w:tc>
          <w:tcPr>
            <w:tcW w:w="844" w:type="dxa"/>
            <w:vAlign w:val="center"/>
          </w:tcPr>
          <w:p w14:paraId="53C14605"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58% (2 m) 38%t (5 m)</w:t>
            </w:r>
          </w:p>
        </w:tc>
        <w:tc>
          <w:tcPr>
            <w:tcW w:w="8459" w:type="dxa"/>
            <w:tcMar>
              <w:top w:w="16" w:type="dxa"/>
              <w:left w:w="16" w:type="dxa"/>
              <w:bottom w:w="0" w:type="dxa"/>
              <w:right w:w="16" w:type="dxa"/>
            </w:tcMar>
            <w:vAlign w:val="bottom"/>
          </w:tcPr>
          <w:p w14:paraId="53C14606" w14:textId="77777777" w:rsidR="00A84742" w:rsidRPr="00A253EC" w:rsidRDefault="00A84742" w:rsidP="00A84742">
            <w:pPr>
              <w:spacing w:after="0"/>
              <w:rPr>
                <w:rFonts w:ascii="Arial Narrow" w:eastAsia="Arial Unicode MS" w:hAnsi="Arial Narrow"/>
                <w:bCs/>
                <w:sz w:val="18"/>
                <w:szCs w:val="18"/>
              </w:rPr>
            </w:pPr>
            <w:r w:rsidRPr="00A253EC">
              <w:rPr>
                <w:rFonts w:ascii="Arial Narrow" w:hAnsi="Arial Narrow"/>
                <w:bCs/>
                <w:sz w:val="18"/>
                <w:szCs w:val="18"/>
              </w:rPr>
              <w:t>Flood 1996 (20%), Cyclone Rona 1999 (74%), Storm 2009 (14% at 2 m 8% at 5 m), Disease 2011 (21% at 2 m, 27% at 5 m), COTS 2012-2013 (78% at 2 m, 66% at 5 m), Cyclone Ita 12</w:t>
            </w:r>
            <w:r w:rsidRPr="00A253EC">
              <w:rPr>
                <w:rFonts w:ascii="Arial Narrow" w:hAnsi="Arial Narrow"/>
                <w:bCs/>
                <w:sz w:val="18"/>
                <w:szCs w:val="18"/>
                <w:vertAlign w:val="superscript"/>
              </w:rPr>
              <w:t>th</w:t>
            </w:r>
            <w:r w:rsidRPr="00A253EC">
              <w:rPr>
                <w:rFonts w:ascii="Arial Narrow" w:hAnsi="Arial Narrow"/>
                <w:bCs/>
                <w:sz w:val="18"/>
                <w:szCs w:val="18"/>
              </w:rPr>
              <w:t xml:space="preserve"> April 2014 (90% at 2 m, 50% at 5 m) – possible flood associated and COTS 2014</w:t>
            </w:r>
          </w:p>
        </w:tc>
      </w:tr>
      <w:tr w:rsidR="00CE4E0F" w:rsidRPr="00A253EC" w14:paraId="53C1460F" w14:textId="77777777" w:rsidTr="004F16D3">
        <w:trPr>
          <w:cantSplit/>
          <w:trHeight w:val="489"/>
        </w:trPr>
        <w:tc>
          <w:tcPr>
            <w:tcW w:w="716" w:type="dxa"/>
            <w:vMerge/>
            <w:vAlign w:val="center"/>
          </w:tcPr>
          <w:p w14:paraId="53C14608" w14:textId="77777777" w:rsidR="00A84742" w:rsidRPr="00A253EC" w:rsidRDefault="00A84742" w:rsidP="00A84742">
            <w:pPr>
              <w:rPr>
                <w:rFonts w:ascii="Arial Narrow" w:eastAsia="Arial Unicode MS" w:hAnsi="Arial Narrow"/>
                <w:bCs/>
                <w:sz w:val="20"/>
              </w:rPr>
            </w:pPr>
          </w:p>
        </w:tc>
        <w:tc>
          <w:tcPr>
            <w:tcW w:w="1864" w:type="dxa"/>
            <w:tcMar>
              <w:top w:w="16" w:type="dxa"/>
              <w:left w:w="16" w:type="dxa"/>
              <w:bottom w:w="0" w:type="dxa"/>
              <w:right w:w="16" w:type="dxa"/>
            </w:tcMar>
            <w:vAlign w:val="bottom"/>
          </w:tcPr>
          <w:p w14:paraId="53C14609" w14:textId="77777777" w:rsidR="00A84742" w:rsidRPr="00A253EC" w:rsidRDefault="00A84742" w:rsidP="00A84742">
            <w:pPr>
              <w:ind w:left="200"/>
              <w:rPr>
                <w:rFonts w:ascii="Arial Narrow" w:eastAsia="Arial Unicode MS" w:hAnsi="Arial Narrow"/>
                <w:bCs/>
                <w:sz w:val="20"/>
              </w:rPr>
            </w:pPr>
            <w:r w:rsidRPr="00A253EC">
              <w:rPr>
                <w:rFonts w:ascii="Arial Narrow" w:hAnsi="Arial Narrow"/>
                <w:bCs/>
                <w:sz w:val="20"/>
              </w:rPr>
              <w:t>Snapper South</w:t>
            </w:r>
          </w:p>
        </w:tc>
        <w:tc>
          <w:tcPr>
            <w:tcW w:w="987" w:type="dxa"/>
            <w:tcMar>
              <w:top w:w="16" w:type="dxa"/>
              <w:left w:w="16" w:type="dxa"/>
              <w:bottom w:w="0" w:type="dxa"/>
              <w:right w:w="16" w:type="dxa"/>
            </w:tcMar>
            <w:vAlign w:val="center"/>
          </w:tcPr>
          <w:p w14:paraId="53C1460A"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0.92 (Nil)</w:t>
            </w:r>
          </w:p>
        </w:tc>
        <w:tc>
          <w:tcPr>
            <w:tcW w:w="860" w:type="dxa"/>
            <w:vAlign w:val="center"/>
          </w:tcPr>
          <w:p w14:paraId="53C1460B"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0.95 (Nil)</w:t>
            </w:r>
          </w:p>
        </w:tc>
        <w:tc>
          <w:tcPr>
            <w:tcW w:w="844" w:type="dxa"/>
            <w:vAlign w:val="center"/>
          </w:tcPr>
          <w:p w14:paraId="53C1460C" w14:textId="77777777" w:rsidR="00A84742" w:rsidRDefault="00F31AE8" w:rsidP="00A84742">
            <w:pPr>
              <w:jc w:val="center"/>
              <w:rPr>
                <w:rFonts w:ascii="Arial Narrow" w:eastAsia="Arial Unicode MS" w:hAnsi="Arial Narrow"/>
                <w:bCs/>
                <w:sz w:val="18"/>
                <w:szCs w:val="18"/>
              </w:rPr>
            </w:pPr>
            <w:r>
              <w:rPr>
                <w:rFonts w:ascii="Arial Narrow" w:eastAsia="Arial Unicode MS" w:hAnsi="Arial Narrow"/>
                <w:bCs/>
                <w:sz w:val="18"/>
                <w:szCs w:val="18"/>
              </w:rPr>
              <w:t>5% (2 m)</w:t>
            </w:r>
          </w:p>
          <w:p w14:paraId="53C1460D" w14:textId="77777777" w:rsidR="00F31AE8" w:rsidRPr="00A253EC" w:rsidRDefault="00F31AE8" w:rsidP="00A84742">
            <w:pPr>
              <w:jc w:val="center"/>
              <w:rPr>
                <w:rFonts w:ascii="Arial Narrow" w:eastAsia="Arial Unicode MS" w:hAnsi="Arial Narrow"/>
                <w:bCs/>
                <w:sz w:val="18"/>
                <w:szCs w:val="18"/>
              </w:rPr>
            </w:pPr>
            <w:r>
              <w:rPr>
                <w:rFonts w:ascii="Arial Narrow" w:eastAsia="Arial Unicode MS" w:hAnsi="Arial Narrow"/>
                <w:bCs/>
                <w:sz w:val="18"/>
                <w:szCs w:val="18"/>
              </w:rPr>
              <w:t>1</w:t>
            </w:r>
            <w:r w:rsidRPr="00A253EC">
              <w:rPr>
                <w:rFonts w:ascii="Arial Narrow" w:eastAsia="Arial Unicode MS" w:hAnsi="Arial Narrow"/>
                <w:bCs/>
                <w:sz w:val="18"/>
                <w:szCs w:val="18"/>
              </w:rPr>
              <w:t>%</w:t>
            </w:r>
            <w:r>
              <w:rPr>
                <w:rFonts w:ascii="Arial Narrow" w:eastAsia="Arial Unicode MS" w:hAnsi="Arial Narrow"/>
                <w:bCs/>
                <w:sz w:val="18"/>
                <w:szCs w:val="18"/>
              </w:rPr>
              <w:t xml:space="preserve"> (5 m)</w:t>
            </w:r>
          </w:p>
        </w:tc>
        <w:tc>
          <w:tcPr>
            <w:tcW w:w="8459" w:type="dxa"/>
            <w:tcMar>
              <w:top w:w="16" w:type="dxa"/>
              <w:left w:w="16" w:type="dxa"/>
              <w:bottom w:w="0" w:type="dxa"/>
              <w:right w:w="16" w:type="dxa"/>
            </w:tcMar>
            <w:vAlign w:val="bottom"/>
          </w:tcPr>
          <w:p w14:paraId="53C1460E" w14:textId="77777777" w:rsidR="00A84742" w:rsidRPr="00A253EC" w:rsidRDefault="00A84742" w:rsidP="00A84742">
            <w:pPr>
              <w:spacing w:after="0"/>
              <w:rPr>
                <w:rFonts w:ascii="Arial Narrow" w:eastAsia="Arial Unicode MS" w:hAnsi="Arial Narrow"/>
                <w:bCs/>
                <w:sz w:val="18"/>
                <w:szCs w:val="18"/>
              </w:rPr>
            </w:pPr>
            <w:r w:rsidRPr="00A253EC">
              <w:rPr>
                <w:rFonts w:ascii="Arial Narrow" w:hAnsi="Arial Narrow"/>
                <w:bCs/>
                <w:sz w:val="18"/>
                <w:szCs w:val="18"/>
              </w:rPr>
              <w:t>Flood 1996 (87%), Flood 2004 (32%), COTS 2013 (26% at 2 m, 17% at 5 m), Cyclone Ita April 12</w:t>
            </w:r>
            <w:r w:rsidRPr="00A253EC">
              <w:rPr>
                <w:rFonts w:ascii="Arial Narrow" w:hAnsi="Arial Narrow"/>
                <w:bCs/>
                <w:sz w:val="18"/>
                <w:szCs w:val="18"/>
                <w:vertAlign w:val="superscript"/>
              </w:rPr>
              <w:t>th</w:t>
            </w:r>
            <w:r w:rsidRPr="00A253EC">
              <w:rPr>
                <w:rFonts w:ascii="Arial Narrow" w:hAnsi="Arial Narrow"/>
                <w:bCs/>
                <w:sz w:val="18"/>
                <w:szCs w:val="18"/>
              </w:rPr>
              <w:t>, 2014 (18% at 2 m, 22% at 5 m)</w:t>
            </w:r>
            <w:r w:rsidR="001D5846" w:rsidRPr="00A253EC">
              <w:rPr>
                <w:rFonts w:ascii="Arial Narrow" w:hAnsi="Arial Narrow"/>
                <w:bCs/>
                <w:sz w:val="18"/>
                <w:szCs w:val="18"/>
              </w:rPr>
              <w:t>, Flood 2019 (</w:t>
            </w:r>
            <w:r w:rsidR="00324052" w:rsidRPr="00A253EC">
              <w:rPr>
                <w:rFonts w:ascii="Arial Narrow" w:hAnsi="Arial Narrow"/>
                <w:bCs/>
                <w:sz w:val="18"/>
                <w:szCs w:val="18"/>
              </w:rPr>
              <w:t>38</w:t>
            </w:r>
            <w:r w:rsidR="001D5846" w:rsidRPr="00A253EC">
              <w:rPr>
                <w:rFonts w:ascii="Arial Narrow" w:hAnsi="Arial Narrow"/>
                <w:bCs/>
                <w:sz w:val="18"/>
                <w:szCs w:val="18"/>
              </w:rPr>
              <w:t>% at 2 m</w:t>
            </w:r>
            <w:r w:rsidR="00254A36">
              <w:rPr>
                <w:rFonts w:ascii="Arial Narrow" w:hAnsi="Arial Narrow"/>
                <w:bCs/>
                <w:sz w:val="18"/>
                <w:szCs w:val="18"/>
              </w:rPr>
              <w:t>, includes probable impact of pre-cyclone Owen</w:t>
            </w:r>
            <w:r w:rsidR="001D5846" w:rsidRPr="00A253EC">
              <w:rPr>
                <w:rFonts w:ascii="Arial Narrow" w:hAnsi="Arial Narrow"/>
                <w:bCs/>
                <w:sz w:val="18"/>
                <w:szCs w:val="18"/>
              </w:rPr>
              <w:t>)</w:t>
            </w:r>
          </w:p>
        </w:tc>
      </w:tr>
      <w:tr w:rsidR="00CE4E0F" w:rsidRPr="00A253EC" w14:paraId="53C14616" w14:textId="77777777" w:rsidTr="004F16D3">
        <w:trPr>
          <w:cantSplit/>
          <w:trHeight w:val="489"/>
        </w:trPr>
        <w:tc>
          <w:tcPr>
            <w:tcW w:w="716" w:type="dxa"/>
            <w:vMerge/>
            <w:vAlign w:val="center"/>
          </w:tcPr>
          <w:p w14:paraId="53C14610" w14:textId="77777777" w:rsidR="00A84742" w:rsidRPr="00A253EC" w:rsidRDefault="00A84742" w:rsidP="00A84742">
            <w:pPr>
              <w:rPr>
                <w:rFonts w:ascii="Arial Narrow" w:eastAsia="Arial Unicode MS" w:hAnsi="Arial Narrow"/>
                <w:bCs/>
                <w:sz w:val="20"/>
              </w:rPr>
            </w:pPr>
          </w:p>
        </w:tc>
        <w:tc>
          <w:tcPr>
            <w:tcW w:w="1864" w:type="dxa"/>
            <w:tcMar>
              <w:top w:w="16" w:type="dxa"/>
              <w:left w:w="16" w:type="dxa"/>
              <w:bottom w:w="0" w:type="dxa"/>
              <w:right w:w="16" w:type="dxa"/>
            </w:tcMar>
            <w:vAlign w:val="bottom"/>
          </w:tcPr>
          <w:p w14:paraId="53C14611" w14:textId="77777777" w:rsidR="00A84742" w:rsidRPr="00A253EC" w:rsidRDefault="00A84742" w:rsidP="00A84742">
            <w:pPr>
              <w:ind w:left="200"/>
              <w:rPr>
                <w:rFonts w:ascii="Arial Narrow" w:hAnsi="Arial Narrow"/>
                <w:bCs/>
                <w:sz w:val="20"/>
              </w:rPr>
            </w:pPr>
            <w:r w:rsidRPr="00A253EC">
              <w:rPr>
                <w:rFonts w:ascii="Arial Narrow" w:hAnsi="Arial Narrow"/>
                <w:bCs/>
                <w:sz w:val="20"/>
              </w:rPr>
              <w:t>Low Islets</w:t>
            </w:r>
          </w:p>
        </w:tc>
        <w:tc>
          <w:tcPr>
            <w:tcW w:w="987" w:type="dxa"/>
            <w:tcMar>
              <w:top w:w="16" w:type="dxa"/>
              <w:left w:w="16" w:type="dxa"/>
              <w:bottom w:w="0" w:type="dxa"/>
              <w:right w:w="16" w:type="dxa"/>
            </w:tcMar>
            <w:vAlign w:val="center"/>
          </w:tcPr>
          <w:p w14:paraId="53C14612" w14:textId="77777777" w:rsidR="00A84742" w:rsidRPr="00A253EC" w:rsidRDefault="00A84742" w:rsidP="00A84742">
            <w:pPr>
              <w:jc w:val="center"/>
              <w:rPr>
                <w:rFonts w:ascii="Arial Narrow" w:hAnsi="Arial Narrow"/>
                <w:bCs/>
                <w:sz w:val="18"/>
                <w:szCs w:val="18"/>
              </w:rPr>
            </w:pPr>
          </w:p>
        </w:tc>
        <w:tc>
          <w:tcPr>
            <w:tcW w:w="860" w:type="dxa"/>
            <w:vAlign w:val="center"/>
          </w:tcPr>
          <w:p w14:paraId="53C14613" w14:textId="77777777" w:rsidR="00A84742" w:rsidRPr="00A253EC" w:rsidRDefault="00A84742" w:rsidP="00A84742">
            <w:pPr>
              <w:jc w:val="center"/>
              <w:rPr>
                <w:rFonts w:ascii="Arial Narrow" w:hAnsi="Arial Narrow"/>
                <w:bCs/>
                <w:sz w:val="18"/>
                <w:szCs w:val="18"/>
              </w:rPr>
            </w:pPr>
          </w:p>
        </w:tc>
        <w:tc>
          <w:tcPr>
            <w:tcW w:w="844" w:type="dxa"/>
            <w:vAlign w:val="center"/>
          </w:tcPr>
          <w:p w14:paraId="53C14614" w14:textId="77777777" w:rsidR="00A84742" w:rsidRPr="00A253EC" w:rsidRDefault="00A84742" w:rsidP="00A84742">
            <w:pPr>
              <w:jc w:val="center"/>
              <w:rPr>
                <w:rFonts w:ascii="Arial Narrow" w:eastAsia="Arial Unicode MS" w:hAnsi="Arial Narrow"/>
                <w:bCs/>
                <w:sz w:val="18"/>
                <w:szCs w:val="18"/>
              </w:rPr>
            </w:pPr>
          </w:p>
        </w:tc>
        <w:tc>
          <w:tcPr>
            <w:tcW w:w="8459" w:type="dxa"/>
            <w:tcMar>
              <w:top w:w="16" w:type="dxa"/>
              <w:left w:w="16" w:type="dxa"/>
              <w:bottom w:w="0" w:type="dxa"/>
              <w:right w:w="16" w:type="dxa"/>
            </w:tcMar>
            <w:vAlign w:val="center"/>
          </w:tcPr>
          <w:p w14:paraId="53C14615" w14:textId="43DDCDD2" w:rsidR="00A84742" w:rsidRPr="00A253EC" w:rsidRDefault="00A84742" w:rsidP="00A84742">
            <w:pPr>
              <w:spacing w:after="0"/>
              <w:jc w:val="left"/>
              <w:rPr>
                <w:rFonts w:ascii="Arial Narrow" w:hAnsi="Arial Narrow"/>
                <w:bCs/>
                <w:sz w:val="18"/>
                <w:szCs w:val="18"/>
              </w:rPr>
            </w:pPr>
            <w:r w:rsidRPr="00A253EC">
              <w:rPr>
                <w:rFonts w:ascii="Arial Narrow" w:hAnsi="Arial Narrow"/>
                <w:bCs/>
                <w:sz w:val="18"/>
                <w:szCs w:val="18"/>
              </w:rPr>
              <w:t>COTS 1997-1999 (69%), Multiple disturbances (Cyclone Rona, crown-of-thorns) 1999-2000 (61%), Multiple disturbances (Cyclone Yasi, bleaching and disease) 2009-2011 (23%), COTS 2013-2015 (38%)</w:t>
            </w:r>
            <w:r w:rsidR="00C96FCC" w:rsidRPr="00A253EC">
              <w:rPr>
                <w:rFonts w:ascii="Arial Narrow" w:hAnsi="Arial Narrow"/>
                <w:bCs/>
                <w:sz w:val="18"/>
                <w:szCs w:val="18"/>
              </w:rPr>
              <w:t>,</w:t>
            </w:r>
          </w:p>
        </w:tc>
      </w:tr>
      <w:tr w:rsidR="00CE4E0F" w:rsidRPr="00A253EC" w14:paraId="53C1461F" w14:textId="77777777" w:rsidTr="004F16D3">
        <w:trPr>
          <w:cantSplit/>
          <w:trHeight w:val="268"/>
        </w:trPr>
        <w:tc>
          <w:tcPr>
            <w:tcW w:w="716" w:type="dxa"/>
            <w:vMerge w:val="restart"/>
            <w:tcMar>
              <w:top w:w="16" w:type="dxa"/>
              <w:left w:w="16" w:type="dxa"/>
              <w:bottom w:w="0" w:type="dxa"/>
              <w:right w:w="16" w:type="dxa"/>
            </w:tcMar>
            <w:textDirection w:val="btLr"/>
            <w:vAlign w:val="center"/>
          </w:tcPr>
          <w:p w14:paraId="53C14617" w14:textId="77777777" w:rsidR="00A84742" w:rsidRPr="00A253EC" w:rsidRDefault="00A84742" w:rsidP="00A84742">
            <w:pPr>
              <w:jc w:val="center"/>
              <w:rPr>
                <w:rFonts w:ascii="Arial Narrow" w:hAnsi="Arial Narrow"/>
                <w:bCs/>
                <w:sz w:val="20"/>
              </w:rPr>
            </w:pPr>
            <w:r w:rsidRPr="00A253EC">
              <w:rPr>
                <w:rFonts w:ascii="Arial Narrow" w:hAnsi="Arial Narrow"/>
                <w:bCs/>
                <w:sz w:val="20"/>
              </w:rPr>
              <w:t xml:space="preserve">Johnstone </w:t>
            </w:r>
          </w:p>
          <w:p w14:paraId="53C14618" w14:textId="77777777" w:rsidR="00A84742" w:rsidRPr="00A253EC" w:rsidRDefault="00A84742" w:rsidP="00A84742">
            <w:pPr>
              <w:jc w:val="center"/>
              <w:rPr>
                <w:rFonts w:ascii="Arial Narrow" w:eastAsia="Arial Unicode MS" w:hAnsi="Arial Narrow"/>
                <w:bCs/>
                <w:sz w:val="20"/>
              </w:rPr>
            </w:pPr>
            <w:r w:rsidRPr="00A253EC">
              <w:rPr>
                <w:rFonts w:ascii="Arial Narrow" w:hAnsi="Arial Narrow"/>
                <w:bCs/>
                <w:sz w:val="20"/>
              </w:rPr>
              <w:t xml:space="preserve">Russell-Mulgrave </w:t>
            </w:r>
          </w:p>
        </w:tc>
        <w:tc>
          <w:tcPr>
            <w:tcW w:w="1864" w:type="dxa"/>
            <w:tcMar>
              <w:top w:w="16" w:type="dxa"/>
              <w:left w:w="16" w:type="dxa"/>
              <w:bottom w:w="0" w:type="dxa"/>
              <w:right w:w="16" w:type="dxa"/>
            </w:tcMar>
            <w:vAlign w:val="bottom"/>
          </w:tcPr>
          <w:p w14:paraId="53C14619" w14:textId="77777777" w:rsidR="00A84742" w:rsidRPr="00A253EC" w:rsidRDefault="00A84742" w:rsidP="00A84742">
            <w:pPr>
              <w:ind w:left="200"/>
              <w:rPr>
                <w:rFonts w:ascii="Arial Narrow" w:eastAsia="Arial Unicode MS" w:hAnsi="Arial Narrow"/>
                <w:bCs/>
                <w:sz w:val="20"/>
              </w:rPr>
            </w:pPr>
            <w:r w:rsidRPr="00A253EC">
              <w:rPr>
                <w:rFonts w:ascii="Arial Narrow" w:hAnsi="Arial Narrow"/>
                <w:bCs/>
                <w:sz w:val="20"/>
              </w:rPr>
              <w:t>Fitzroy East</w:t>
            </w:r>
          </w:p>
        </w:tc>
        <w:tc>
          <w:tcPr>
            <w:tcW w:w="987" w:type="dxa"/>
            <w:tcMar>
              <w:top w:w="16" w:type="dxa"/>
              <w:left w:w="16" w:type="dxa"/>
              <w:bottom w:w="0" w:type="dxa"/>
              <w:right w:w="16" w:type="dxa"/>
            </w:tcMar>
            <w:vAlign w:val="center"/>
          </w:tcPr>
          <w:p w14:paraId="53C1461A"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0.92</w:t>
            </w:r>
          </w:p>
        </w:tc>
        <w:tc>
          <w:tcPr>
            <w:tcW w:w="860" w:type="dxa"/>
            <w:vAlign w:val="center"/>
          </w:tcPr>
          <w:p w14:paraId="53C1461B"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0.95</w:t>
            </w:r>
          </w:p>
        </w:tc>
        <w:tc>
          <w:tcPr>
            <w:tcW w:w="844" w:type="dxa"/>
            <w:vAlign w:val="center"/>
          </w:tcPr>
          <w:p w14:paraId="53C1461C" w14:textId="77777777" w:rsidR="00D03D75" w:rsidRDefault="00D03D75" w:rsidP="00A84742">
            <w:pPr>
              <w:jc w:val="center"/>
              <w:rPr>
                <w:rFonts w:ascii="Arial Narrow" w:eastAsia="Arial Unicode MS" w:hAnsi="Arial Narrow"/>
                <w:bCs/>
                <w:sz w:val="18"/>
                <w:szCs w:val="18"/>
              </w:rPr>
            </w:pPr>
            <w:r>
              <w:rPr>
                <w:rFonts w:ascii="Arial Narrow" w:eastAsia="Arial Unicode MS" w:hAnsi="Arial Narrow"/>
                <w:bCs/>
                <w:sz w:val="18"/>
                <w:szCs w:val="18"/>
              </w:rPr>
              <w:t>15% (2 m)</w:t>
            </w:r>
          </w:p>
          <w:p w14:paraId="53C1461D" w14:textId="77777777" w:rsidR="00D03D75" w:rsidRPr="00A253EC" w:rsidRDefault="00C96FCC" w:rsidP="00D03D75">
            <w:pPr>
              <w:jc w:val="center"/>
              <w:rPr>
                <w:rFonts w:ascii="Arial Narrow" w:eastAsia="Arial Unicode MS" w:hAnsi="Arial Narrow"/>
                <w:bCs/>
                <w:sz w:val="18"/>
                <w:szCs w:val="18"/>
              </w:rPr>
            </w:pPr>
            <w:r w:rsidRPr="00A253EC">
              <w:rPr>
                <w:rFonts w:ascii="Arial Narrow" w:eastAsia="Arial Unicode MS" w:hAnsi="Arial Narrow"/>
                <w:bCs/>
                <w:sz w:val="18"/>
                <w:szCs w:val="18"/>
              </w:rPr>
              <w:lastRenderedPageBreak/>
              <w:t>10%(5 m)*</w:t>
            </w:r>
          </w:p>
        </w:tc>
        <w:tc>
          <w:tcPr>
            <w:tcW w:w="8459" w:type="dxa"/>
            <w:tcMar>
              <w:top w:w="16" w:type="dxa"/>
              <w:left w:w="16" w:type="dxa"/>
              <w:bottom w:w="0" w:type="dxa"/>
              <w:right w:w="16" w:type="dxa"/>
            </w:tcMar>
            <w:vAlign w:val="bottom"/>
          </w:tcPr>
          <w:p w14:paraId="53C1461E" w14:textId="77777777" w:rsidR="00A84742" w:rsidRPr="00A253EC" w:rsidRDefault="00A84742" w:rsidP="00A84742">
            <w:pPr>
              <w:spacing w:after="0"/>
              <w:rPr>
                <w:rFonts w:ascii="Arial Narrow" w:eastAsia="Arial Unicode MS" w:hAnsi="Arial Narrow"/>
                <w:bCs/>
                <w:sz w:val="18"/>
                <w:szCs w:val="18"/>
              </w:rPr>
            </w:pPr>
            <w:r w:rsidRPr="00A253EC">
              <w:rPr>
                <w:rFonts w:ascii="Arial Narrow" w:hAnsi="Arial Narrow"/>
                <w:bCs/>
                <w:sz w:val="18"/>
                <w:szCs w:val="18"/>
              </w:rPr>
              <w:lastRenderedPageBreak/>
              <w:t>Cyclone Felicity 1989 (75% manta tow data), Disease 2010 (15% at 2 m, 5% at 5 m), Disease 2011 (60% at 2 m, 42% at 5 m), COTS: 2012 (12% at 5 m), 2014 (27% at 2 m, 48% at 5 m), Bleaching 201</w:t>
            </w:r>
            <w:r w:rsidR="00C96FCC" w:rsidRPr="00A253EC">
              <w:rPr>
                <w:rFonts w:ascii="Arial Narrow" w:hAnsi="Arial Narrow"/>
                <w:bCs/>
                <w:sz w:val="18"/>
                <w:szCs w:val="18"/>
              </w:rPr>
              <w:t>7* assessed in 201</w:t>
            </w:r>
            <w:r w:rsidRPr="00A253EC">
              <w:rPr>
                <w:rFonts w:ascii="Arial Narrow" w:hAnsi="Arial Narrow"/>
                <w:bCs/>
                <w:sz w:val="18"/>
                <w:szCs w:val="18"/>
              </w:rPr>
              <w:t>8</w:t>
            </w:r>
          </w:p>
        </w:tc>
      </w:tr>
      <w:tr w:rsidR="00CE4E0F" w:rsidRPr="00A253EC" w14:paraId="53C14627" w14:textId="77777777" w:rsidTr="004F16D3">
        <w:trPr>
          <w:cantSplit/>
          <w:trHeight w:val="348"/>
        </w:trPr>
        <w:tc>
          <w:tcPr>
            <w:tcW w:w="716" w:type="dxa"/>
            <w:vMerge/>
            <w:vAlign w:val="center"/>
          </w:tcPr>
          <w:p w14:paraId="53C14620" w14:textId="77777777" w:rsidR="00A84742" w:rsidRPr="00A253EC" w:rsidRDefault="00A84742" w:rsidP="00A84742">
            <w:pPr>
              <w:rPr>
                <w:rFonts w:ascii="Arial Narrow" w:eastAsia="Arial Unicode MS" w:hAnsi="Arial Narrow"/>
                <w:bCs/>
                <w:sz w:val="20"/>
              </w:rPr>
            </w:pPr>
          </w:p>
        </w:tc>
        <w:tc>
          <w:tcPr>
            <w:tcW w:w="1864" w:type="dxa"/>
            <w:tcMar>
              <w:top w:w="16" w:type="dxa"/>
              <w:left w:w="16" w:type="dxa"/>
              <w:bottom w:w="0" w:type="dxa"/>
              <w:right w:w="16" w:type="dxa"/>
            </w:tcMar>
            <w:vAlign w:val="bottom"/>
          </w:tcPr>
          <w:p w14:paraId="53C14621" w14:textId="77777777" w:rsidR="00A84742" w:rsidRPr="00A253EC" w:rsidRDefault="00A84742" w:rsidP="00A84742">
            <w:pPr>
              <w:ind w:left="200"/>
              <w:rPr>
                <w:rFonts w:ascii="Arial Narrow" w:eastAsia="Arial Unicode MS" w:hAnsi="Arial Narrow"/>
                <w:bCs/>
                <w:sz w:val="20"/>
              </w:rPr>
            </w:pPr>
            <w:r w:rsidRPr="00A253EC">
              <w:rPr>
                <w:rFonts w:ascii="Arial Narrow" w:hAnsi="Arial Narrow"/>
                <w:bCs/>
                <w:sz w:val="20"/>
              </w:rPr>
              <w:t>Fitzroy West</w:t>
            </w:r>
          </w:p>
        </w:tc>
        <w:tc>
          <w:tcPr>
            <w:tcW w:w="987" w:type="dxa"/>
            <w:tcMar>
              <w:top w:w="16" w:type="dxa"/>
              <w:left w:w="16" w:type="dxa"/>
              <w:bottom w:w="0" w:type="dxa"/>
              <w:right w:w="16" w:type="dxa"/>
            </w:tcMar>
            <w:vAlign w:val="center"/>
          </w:tcPr>
          <w:p w14:paraId="53C14622"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0.92 (13%)</w:t>
            </w:r>
          </w:p>
        </w:tc>
        <w:tc>
          <w:tcPr>
            <w:tcW w:w="860" w:type="dxa"/>
            <w:vAlign w:val="center"/>
          </w:tcPr>
          <w:p w14:paraId="53C14623"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0.95(15%)</w:t>
            </w:r>
          </w:p>
        </w:tc>
        <w:tc>
          <w:tcPr>
            <w:tcW w:w="844" w:type="dxa"/>
            <w:vAlign w:val="center"/>
          </w:tcPr>
          <w:p w14:paraId="53C14624"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21% (2 m) 24% (5 m)</w:t>
            </w:r>
          </w:p>
        </w:tc>
        <w:tc>
          <w:tcPr>
            <w:tcW w:w="8459" w:type="dxa"/>
            <w:tcMar>
              <w:top w:w="16" w:type="dxa"/>
              <w:left w:w="16" w:type="dxa"/>
              <w:bottom w:w="0" w:type="dxa"/>
              <w:right w:w="16" w:type="dxa"/>
            </w:tcMar>
            <w:vAlign w:val="bottom"/>
          </w:tcPr>
          <w:p w14:paraId="53C14625" w14:textId="77777777" w:rsidR="00A84742" w:rsidRPr="00A253EC" w:rsidRDefault="00A84742" w:rsidP="00A84742">
            <w:pPr>
              <w:spacing w:after="0"/>
              <w:rPr>
                <w:rFonts w:ascii="Arial Narrow" w:hAnsi="Arial Narrow"/>
                <w:bCs/>
                <w:sz w:val="18"/>
                <w:szCs w:val="18"/>
              </w:rPr>
            </w:pPr>
            <w:r w:rsidRPr="00A253EC">
              <w:rPr>
                <w:rFonts w:ascii="Arial Narrow" w:hAnsi="Arial Narrow"/>
                <w:bCs/>
                <w:sz w:val="18"/>
                <w:szCs w:val="18"/>
              </w:rPr>
              <w:t xml:space="preserve">COTS 1999-2000 (78%), Cyclone Hamish 2009 (stalled recovery trajectory), </w:t>
            </w:r>
          </w:p>
          <w:p w14:paraId="53C14626" w14:textId="77777777" w:rsidR="00A84742" w:rsidRPr="00A253EC" w:rsidRDefault="00A84742" w:rsidP="00A84742">
            <w:pPr>
              <w:spacing w:after="0"/>
              <w:rPr>
                <w:rFonts w:ascii="Arial Narrow" w:hAnsi="Arial Narrow"/>
                <w:bCs/>
                <w:sz w:val="18"/>
                <w:szCs w:val="18"/>
                <w:lang w:val="da-DK"/>
              </w:rPr>
            </w:pPr>
            <w:r w:rsidRPr="00A253EC">
              <w:rPr>
                <w:rFonts w:ascii="Arial Narrow" w:hAnsi="Arial Narrow"/>
                <w:bCs/>
                <w:sz w:val="18"/>
                <w:szCs w:val="18"/>
                <w:lang w:val="da-DK"/>
              </w:rPr>
              <w:t>Disease 2011 (42% at 2 m, 17% at 5 m), COTS: 2012 (13% at 5 m), 2013 (32% at 2 m,36% at 5 m), 2014(5% at 2 m)</w:t>
            </w:r>
          </w:p>
        </w:tc>
      </w:tr>
      <w:tr w:rsidR="00CE4E0F" w:rsidRPr="00A253EC" w14:paraId="53C1462E" w14:textId="77777777" w:rsidTr="004F16D3">
        <w:trPr>
          <w:cantSplit/>
          <w:trHeight w:val="348"/>
        </w:trPr>
        <w:tc>
          <w:tcPr>
            <w:tcW w:w="716" w:type="dxa"/>
            <w:vMerge/>
            <w:vAlign w:val="center"/>
          </w:tcPr>
          <w:p w14:paraId="53C14628" w14:textId="77777777" w:rsidR="00A84742" w:rsidRPr="00A253EC" w:rsidRDefault="00A84742" w:rsidP="00A84742">
            <w:pPr>
              <w:rPr>
                <w:rFonts w:ascii="Arial Narrow" w:eastAsia="Arial Unicode MS" w:hAnsi="Arial Narrow"/>
                <w:bCs/>
                <w:sz w:val="20"/>
                <w:lang w:val="da-DK"/>
              </w:rPr>
            </w:pPr>
          </w:p>
        </w:tc>
        <w:tc>
          <w:tcPr>
            <w:tcW w:w="1864" w:type="dxa"/>
            <w:tcMar>
              <w:top w:w="16" w:type="dxa"/>
              <w:left w:w="16" w:type="dxa"/>
              <w:bottom w:w="0" w:type="dxa"/>
              <w:right w:w="16" w:type="dxa"/>
            </w:tcMar>
            <w:vAlign w:val="bottom"/>
          </w:tcPr>
          <w:p w14:paraId="53C14629" w14:textId="77777777" w:rsidR="00A84742" w:rsidRPr="00A253EC" w:rsidRDefault="00A84742" w:rsidP="00A84742">
            <w:pPr>
              <w:ind w:left="200"/>
              <w:rPr>
                <w:rFonts w:ascii="Arial Narrow" w:hAnsi="Arial Narrow"/>
                <w:bCs/>
                <w:sz w:val="20"/>
              </w:rPr>
            </w:pPr>
            <w:r w:rsidRPr="00A253EC">
              <w:rPr>
                <w:rFonts w:ascii="Arial Narrow" w:hAnsi="Arial Narrow"/>
                <w:bCs/>
                <w:sz w:val="20"/>
              </w:rPr>
              <w:t>Fitzroy West LTMP</w:t>
            </w:r>
          </w:p>
        </w:tc>
        <w:tc>
          <w:tcPr>
            <w:tcW w:w="987" w:type="dxa"/>
            <w:tcMar>
              <w:top w:w="16" w:type="dxa"/>
              <w:left w:w="16" w:type="dxa"/>
              <w:bottom w:w="0" w:type="dxa"/>
              <w:right w:w="16" w:type="dxa"/>
            </w:tcMar>
            <w:vAlign w:val="center"/>
          </w:tcPr>
          <w:p w14:paraId="53C1462A" w14:textId="77777777" w:rsidR="00A84742" w:rsidRPr="00A253EC" w:rsidRDefault="00A84742" w:rsidP="00A84742">
            <w:pPr>
              <w:jc w:val="center"/>
              <w:rPr>
                <w:rFonts w:ascii="Arial Narrow" w:hAnsi="Arial Narrow"/>
                <w:bCs/>
                <w:sz w:val="18"/>
                <w:szCs w:val="18"/>
              </w:rPr>
            </w:pPr>
            <w:r w:rsidRPr="00A253EC">
              <w:rPr>
                <w:rFonts w:ascii="Arial Narrow" w:hAnsi="Arial Narrow"/>
                <w:bCs/>
                <w:sz w:val="18"/>
                <w:szCs w:val="18"/>
              </w:rPr>
              <w:t>12%</w:t>
            </w:r>
          </w:p>
        </w:tc>
        <w:tc>
          <w:tcPr>
            <w:tcW w:w="860" w:type="dxa"/>
            <w:vAlign w:val="center"/>
          </w:tcPr>
          <w:p w14:paraId="53C1462B" w14:textId="77777777" w:rsidR="00A84742" w:rsidRPr="00A253EC" w:rsidRDefault="00A84742" w:rsidP="00A84742">
            <w:pPr>
              <w:jc w:val="center"/>
              <w:rPr>
                <w:rFonts w:ascii="Arial Narrow" w:hAnsi="Arial Narrow"/>
                <w:bCs/>
                <w:sz w:val="18"/>
                <w:szCs w:val="18"/>
              </w:rPr>
            </w:pPr>
          </w:p>
        </w:tc>
        <w:tc>
          <w:tcPr>
            <w:tcW w:w="844" w:type="dxa"/>
            <w:vAlign w:val="center"/>
          </w:tcPr>
          <w:p w14:paraId="53C1462C" w14:textId="77777777" w:rsidR="00A84742" w:rsidRPr="00A253EC" w:rsidRDefault="00A84742" w:rsidP="00A84742">
            <w:pPr>
              <w:jc w:val="center"/>
              <w:rPr>
                <w:rFonts w:ascii="Arial Narrow" w:eastAsia="Arial Unicode MS" w:hAnsi="Arial Narrow"/>
                <w:bCs/>
                <w:sz w:val="18"/>
                <w:szCs w:val="18"/>
              </w:rPr>
            </w:pPr>
          </w:p>
        </w:tc>
        <w:tc>
          <w:tcPr>
            <w:tcW w:w="8459" w:type="dxa"/>
            <w:tcMar>
              <w:top w:w="16" w:type="dxa"/>
              <w:left w:w="16" w:type="dxa"/>
              <w:bottom w:w="0" w:type="dxa"/>
              <w:right w:w="16" w:type="dxa"/>
            </w:tcMar>
            <w:vAlign w:val="center"/>
          </w:tcPr>
          <w:p w14:paraId="53C1462D" w14:textId="77777777" w:rsidR="00A84742" w:rsidRPr="00A253EC" w:rsidRDefault="00A84742" w:rsidP="00A84742">
            <w:pPr>
              <w:spacing w:after="0"/>
              <w:jc w:val="left"/>
              <w:rPr>
                <w:rFonts w:ascii="Arial Narrow" w:hAnsi="Arial Narrow"/>
                <w:bCs/>
                <w:sz w:val="18"/>
                <w:szCs w:val="18"/>
              </w:rPr>
            </w:pPr>
            <w:r w:rsidRPr="00A253EC">
              <w:rPr>
                <w:rFonts w:ascii="Arial Narrow" w:hAnsi="Arial Narrow"/>
                <w:bCs/>
                <w:sz w:val="18"/>
                <w:szCs w:val="18"/>
              </w:rPr>
              <w:t>COTS and continued bleaching 2000 (80%), COTS: 2013 (6%), 2014-15(46%)</w:t>
            </w:r>
          </w:p>
        </w:tc>
      </w:tr>
      <w:tr w:rsidR="00CE4E0F" w:rsidRPr="00A253EC" w14:paraId="53C14635" w14:textId="77777777" w:rsidTr="004F16D3">
        <w:trPr>
          <w:cantSplit/>
          <w:trHeight w:val="510"/>
        </w:trPr>
        <w:tc>
          <w:tcPr>
            <w:tcW w:w="716" w:type="dxa"/>
            <w:vMerge/>
            <w:vAlign w:val="center"/>
          </w:tcPr>
          <w:p w14:paraId="53C1462F" w14:textId="77777777" w:rsidR="00A84742" w:rsidRPr="00A253EC" w:rsidRDefault="00A84742" w:rsidP="00A84742">
            <w:pPr>
              <w:rPr>
                <w:rFonts w:ascii="Arial Narrow" w:eastAsia="Arial Unicode MS" w:hAnsi="Arial Narrow"/>
                <w:bCs/>
                <w:sz w:val="20"/>
              </w:rPr>
            </w:pPr>
          </w:p>
        </w:tc>
        <w:tc>
          <w:tcPr>
            <w:tcW w:w="1864" w:type="dxa"/>
            <w:tcMar>
              <w:top w:w="16" w:type="dxa"/>
              <w:left w:w="16" w:type="dxa"/>
              <w:bottom w:w="0" w:type="dxa"/>
              <w:right w:w="16" w:type="dxa"/>
            </w:tcMar>
            <w:vAlign w:val="bottom"/>
          </w:tcPr>
          <w:p w14:paraId="53C14630" w14:textId="77777777" w:rsidR="00A84742" w:rsidRPr="00A253EC" w:rsidRDefault="00A84742" w:rsidP="00A84742">
            <w:pPr>
              <w:ind w:left="200"/>
              <w:rPr>
                <w:rFonts w:ascii="Arial Narrow" w:eastAsia="Arial Unicode MS" w:hAnsi="Arial Narrow"/>
                <w:bCs/>
                <w:sz w:val="20"/>
              </w:rPr>
            </w:pPr>
            <w:r w:rsidRPr="00A253EC">
              <w:rPr>
                <w:rFonts w:ascii="Arial Narrow" w:hAnsi="Arial Narrow"/>
                <w:bCs/>
                <w:sz w:val="20"/>
              </w:rPr>
              <w:t>Franklands East</w:t>
            </w:r>
          </w:p>
        </w:tc>
        <w:tc>
          <w:tcPr>
            <w:tcW w:w="987" w:type="dxa"/>
            <w:tcMar>
              <w:top w:w="16" w:type="dxa"/>
              <w:left w:w="16" w:type="dxa"/>
              <w:bottom w:w="0" w:type="dxa"/>
              <w:right w:w="16" w:type="dxa"/>
            </w:tcMar>
            <w:vAlign w:val="center"/>
          </w:tcPr>
          <w:p w14:paraId="53C14631"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0.92 (43%)</w:t>
            </w:r>
          </w:p>
        </w:tc>
        <w:tc>
          <w:tcPr>
            <w:tcW w:w="860" w:type="dxa"/>
            <w:vAlign w:val="center"/>
          </w:tcPr>
          <w:p w14:paraId="53C14632"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0.80 (Nil)</w:t>
            </w:r>
          </w:p>
        </w:tc>
        <w:tc>
          <w:tcPr>
            <w:tcW w:w="844" w:type="dxa"/>
            <w:vAlign w:val="center"/>
          </w:tcPr>
          <w:p w14:paraId="53C14633"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22% (2 m) 30%* (5 m)</w:t>
            </w:r>
          </w:p>
        </w:tc>
        <w:tc>
          <w:tcPr>
            <w:tcW w:w="8459" w:type="dxa"/>
            <w:tcMar>
              <w:top w:w="16" w:type="dxa"/>
              <w:left w:w="16" w:type="dxa"/>
              <w:bottom w:w="0" w:type="dxa"/>
              <w:right w:w="16" w:type="dxa"/>
            </w:tcMar>
            <w:vAlign w:val="center"/>
          </w:tcPr>
          <w:p w14:paraId="53C14634" w14:textId="77777777" w:rsidR="00A84742" w:rsidRPr="00A253EC" w:rsidRDefault="00A84742" w:rsidP="00A84742">
            <w:pPr>
              <w:spacing w:after="0"/>
              <w:jc w:val="left"/>
              <w:rPr>
                <w:rFonts w:ascii="Arial Narrow" w:hAnsi="Arial Narrow"/>
                <w:bCs/>
                <w:sz w:val="18"/>
                <w:szCs w:val="18"/>
              </w:rPr>
            </w:pPr>
            <w:r w:rsidRPr="00A253EC">
              <w:rPr>
                <w:rFonts w:ascii="Arial Narrow" w:hAnsi="Arial Narrow"/>
                <w:bCs/>
                <w:sz w:val="18"/>
                <w:szCs w:val="18"/>
              </w:rPr>
              <w:t>Unknown although likely COTS 2000 (68%) Cyclone Larry 2006 (64% at 2 m, 50% at 5 m), Disease 2007-2008 (35% at 2 m), Cyclone Tasha/Yasi 2011 (61% at 2 m, 41% at 5 m), 2017* COTS likely to have contributed</w:t>
            </w:r>
          </w:p>
        </w:tc>
      </w:tr>
      <w:tr w:rsidR="00CE4E0F" w:rsidRPr="00A253EC" w14:paraId="53C1463C" w14:textId="77777777" w:rsidTr="004F16D3">
        <w:trPr>
          <w:cantSplit/>
          <w:trHeight w:val="147"/>
        </w:trPr>
        <w:tc>
          <w:tcPr>
            <w:tcW w:w="716" w:type="dxa"/>
            <w:vMerge/>
            <w:vAlign w:val="center"/>
          </w:tcPr>
          <w:p w14:paraId="53C14636" w14:textId="77777777" w:rsidR="00A84742" w:rsidRPr="00A253EC" w:rsidRDefault="00A84742" w:rsidP="00A84742">
            <w:pPr>
              <w:rPr>
                <w:rFonts w:ascii="Arial Narrow" w:eastAsia="Arial Unicode MS" w:hAnsi="Arial Narrow"/>
                <w:bCs/>
                <w:sz w:val="20"/>
              </w:rPr>
            </w:pPr>
          </w:p>
        </w:tc>
        <w:tc>
          <w:tcPr>
            <w:tcW w:w="1864" w:type="dxa"/>
            <w:tcMar>
              <w:top w:w="16" w:type="dxa"/>
              <w:left w:w="16" w:type="dxa"/>
              <w:bottom w:w="0" w:type="dxa"/>
              <w:right w:w="16" w:type="dxa"/>
            </w:tcMar>
            <w:vAlign w:val="bottom"/>
          </w:tcPr>
          <w:p w14:paraId="53C14637" w14:textId="77777777" w:rsidR="00A84742" w:rsidRPr="00A253EC" w:rsidRDefault="00A84742" w:rsidP="00A84742">
            <w:pPr>
              <w:ind w:left="200"/>
              <w:rPr>
                <w:rFonts w:ascii="Arial Narrow" w:eastAsia="Arial Unicode MS" w:hAnsi="Arial Narrow"/>
                <w:bCs/>
                <w:sz w:val="20"/>
              </w:rPr>
            </w:pPr>
            <w:r w:rsidRPr="00A253EC">
              <w:rPr>
                <w:rFonts w:ascii="Arial Narrow" w:hAnsi="Arial Narrow"/>
                <w:bCs/>
                <w:sz w:val="20"/>
              </w:rPr>
              <w:t>Franklands West</w:t>
            </w:r>
          </w:p>
        </w:tc>
        <w:tc>
          <w:tcPr>
            <w:tcW w:w="987" w:type="dxa"/>
            <w:tcMar>
              <w:top w:w="16" w:type="dxa"/>
              <w:left w:w="16" w:type="dxa"/>
              <w:bottom w:w="0" w:type="dxa"/>
              <w:right w:w="16" w:type="dxa"/>
            </w:tcMar>
            <w:vAlign w:val="center"/>
          </w:tcPr>
          <w:p w14:paraId="53C14638"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0.93 (44%)</w:t>
            </w:r>
          </w:p>
        </w:tc>
        <w:tc>
          <w:tcPr>
            <w:tcW w:w="860" w:type="dxa"/>
            <w:vAlign w:val="center"/>
          </w:tcPr>
          <w:p w14:paraId="53C14639"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0.80 (Nil)</w:t>
            </w:r>
          </w:p>
        </w:tc>
        <w:tc>
          <w:tcPr>
            <w:tcW w:w="844" w:type="dxa"/>
            <w:vAlign w:val="center"/>
          </w:tcPr>
          <w:p w14:paraId="53C1463A"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17%* (2 m) 21% (5 m)</w:t>
            </w:r>
          </w:p>
        </w:tc>
        <w:tc>
          <w:tcPr>
            <w:tcW w:w="8459" w:type="dxa"/>
            <w:tcMar>
              <w:top w:w="16" w:type="dxa"/>
              <w:left w:w="16" w:type="dxa"/>
              <w:bottom w:w="0" w:type="dxa"/>
              <w:right w:w="16" w:type="dxa"/>
            </w:tcMar>
            <w:vAlign w:val="center"/>
          </w:tcPr>
          <w:p w14:paraId="53C1463B" w14:textId="77777777" w:rsidR="00A84742" w:rsidRPr="00A253EC" w:rsidRDefault="00A84742" w:rsidP="00A84742">
            <w:pPr>
              <w:spacing w:after="0"/>
              <w:jc w:val="left"/>
              <w:rPr>
                <w:rFonts w:ascii="Arial Narrow" w:eastAsia="Arial Unicode MS" w:hAnsi="Arial Narrow"/>
                <w:bCs/>
                <w:sz w:val="18"/>
                <w:szCs w:val="18"/>
              </w:rPr>
            </w:pPr>
            <w:r w:rsidRPr="00A253EC">
              <w:rPr>
                <w:rFonts w:ascii="Arial Narrow" w:hAnsi="Arial Narrow"/>
                <w:bCs/>
                <w:sz w:val="18"/>
                <w:szCs w:val="18"/>
              </w:rPr>
              <w:t>Unknown although likely COTS 2000 (35%) Cyclone Tasha/Yasi 2011 (35% at 2 m), 2017* COTS likely to have contributed</w:t>
            </w:r>
          </w:p>
        </w:tc>
      </w:tr>
      <w:tr w:rsidR="00CE4E0F" w:rsidRPr="00A253EC" w14:paraId="53C14643" w14:textId="77777777" w:rsidTr="004F16D3">
        <w:trPr>
          <w:cantSplit/>
          <w:trHeight w:val="352"/>
        </w:trPr>
        <w:tc>
          <w:tcPr>
            <w:tcW w:w="716" w:type="dxa"/>
            <w:vMerge/>
            <w:vAlign w:val="center"/>
          </w:tcPr>
          <w:p w14:paraId="53C1463D" w14:textId="77777777" w:rsidR="00A84742" w:rsidRPr="00A253EC" w:rsidRDefault="00A84742" w:rsidP="00A84742">
            <w:pPr>
              <w:rPr>
                <w:rFonts w:ascii="Arial Narrow" w:eastAsia="Arial Unicode MS" w:hAnsi="Arial Narrow"/>
                <w:bCs/>
                <w:sz w:val="20"/>
              </w:rPr>
            </w:pPr>
          </w:p>
        </w:tc>
        <w:tc>
          <w:tcPr>
            <w:tcW w:w="1864" w:type="dxa"/>
            <w:tcMar>
              <w:top w:w="16" w:type="dxa"/>
              <w:left w:w="16" w:type="dxa"/>
              <w:bottom w:w="0" w:type="dxa"/>
              <w:right w:w="16" w:type="dxa"/>
            </w:tcMar>
            <w:vAlign w:val="bottom"/>
          </w:tcPr>
          <w:p w14:paraId="53C1463E" w14:textId="77777777" w:rsidR="00A84742" w:rsidRPr="00A253EC" w:rsidRDefault="00A84742" w:rsidP="00A84742">
            <w:pPr>
              <w:ind w:left="200"/>
              <w:rPr>
                <w:rFonts w:ascii="Arial Narrow" w:eastAsia="Arial Unicode MS" w:hAnsi="Arial Narrow"/>
                <w:bCs/>
                <w:sz w:val="20"/>
              </w:rPr>
            </w:pPr>
            <w:r w:rsidRPr="00A253EC">
              <w:rPr>
                <w:rFonts w:ascii="Arial Narrow" w:hAnsi="Arial Narrow"/>
                <w:bCs/>
                <w:sz w:val="20"/>
              </w:rPr>
              <w:t>High East</w:t>
            </w:r>
          </w:p>
        </w:tc>
        <w:tc>
          <w:tcPr>
            <w:tcW w:w="987" w:type="dxa"/>
            <w:tcMar>
              <w:top w:w="16" w:type="dxa"/>
              <w:left w:w="16" w:type="dxa"/>
              <w:bottom w:w="0" w:type="dxa"/>
              <w:right w:w="16" w:type="dxa"/>
            </w:tcMar>
            <w:vAlign w:val="center"/>
          </w:tcPr>
          <w:p w14:paraId="53C1463F"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0.93</w:t>
            </w:r>
          </w:p>
        </w:tc>
        <w:tc>
          <w:tcPr>
            <w:tcW w:w="860" w:type="dxa"/>
            <w:vAlign w:val="center"/>
          </w:tcPr>
          <w:p w14:paraId="53C14640"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0.80</w:t>
            </w:r>
          </w:p>
        </w:tc>
        <w:tc>
          <w:tcPr>
            <w:tcW w:w="844" w:type="dxa"/>
            <w:vAlign w:val="center"/>
          </w:tcPr>
          <w:p w14:paraId="53C14641" w14:textId="77777777" w:rsidR="00A84742" w:rsidRPr="00A253EC" w:rsidRDefault="00A84742" w:rsidP="00A84742">
            <w:pPr>
              <w:jc w:val="center"/>
              <w:rPr>
                <w:rFonts w:ascii="Arial Narrow" w:eastAsia="Arial Unicode MS" w:hAnsi="Arial Narrow"/>
                <w:bCs/>
                <w:sz w:val="18"/>
                <w:szCs w:val="18"/>
              </w:rPr>
            </w:pPr>
            <w:r w:rsidRPr="00A253EC">
              <w:rPr>
                <w:rFonts w:ascii="Arial Narrow" w:eastAsia="Arial Unicode MS" w:hAnsi="Arial Narrow"/>
                <w:bCs/>
                <w:sz w:val="18"/>
                <w:szCs w:val="18"/>
              </w:rPr>
              <w:t>27% (2 m) 11%* (5 m)</w:t>
            </w:r>
          </w:p>
        </w:tc>
        <w:tc>
          <w:tcPr>
            <w:tcW w:w="8459" w:type="dxa"/>
            <w:tcMar>
              <w:top w:w="16" w:type="dxa"/>
              <w:left w:w="16" w:type="dxa"/>
              <w:bottom w:w="0" w:type="dxa"/>
              <w:right w:w="16" w:type="dxa"/>
            </w:tcMar>
            <w:vAlign w:val="center"/>
          </w:tcPr>
          <w:p w14:paraId="53C14642" w14:textId="77777777" w:rsidR="00A84742" w:rsidRPr="00A253EC" w:rsidRDefault="00A84742" w:rsidP="00A84742">
            <w:pPr>
              <w:spacing w:after="0"/>
              <w:jc w:val="left"/>
              <w:rPr>
                <w:rFonts w:ascii="Arial Narrow" w:eastAsia="Arial Unicode MS" w:hAnsi="Arial Narrow"/>
                <w:bCs/>
                <w:sz w:val="18"/>
                <w:szCs w:val="18"/>
              </w:rPr>
            </w:pPr>
            <w:r w:rsidRPr="00A253EC">
              <w:rPr>
                <w:rFonts w:ascii="Arial Narrow" w:eastAsia="Arial Unicode MS" w:hAnsi="Arial Narrow"/>
                <w:bCs/>
                <w:sz w:val="18"/>
                <w:szCs w:val="18"/>
              </w:rPr>
              <w:t xml:space="preserve">Cyclone Tasha/Yasi 2011 (81% at 2 m, 58% at 5 m), </w:t>
            </w:r>
            <w:r w:rsidRPr="00A253EC">
              <w:rPr>
                <w:rFonts w:ascii="Arial Narrow" w:hAnsi="Arial Narrow"/>
                <w:bCs/>
                <w:sz w:val="18"/>
                <w:szCs w:val="18"/>
              </w:rPr>
              <w:t>2017* COTS likely to have contributed, COTS 2018 (10% at 5 m)</w:t>
            </w:r>
          </w:p>
        </w:tc>
      </w:tr>
      <w:tr w:rsidR="00CE4E0F" w:rsidRPr="00A253EC" w14:paraId="53C1464A" w14:textId="77777777" w:rsidTr="004F16D3">
        <w:trPr>
          <w:cantSplit/>
          <w:trHeight w:val="425"/>
        </w:trPr>
        <w:tc>
          <w:tcPr>
            <w:tcW w:w="716" w:type="dxa"/>
            <w:vMerge/>
            <w:vAlign w:val="center"/>
          </w:tcPr>
          <w:p w14:paraId="53C14644" w14:textId="77777777" w:rsidR="00A84742" w:rsidRPr="00A253EC" w:rsidRDefault="00A84742" w:rsidP="00A84742">
            <w:pPr>
              <w:rPr>
                <w:rFonts w:ascii="Arial Narrow" w:eastAsia="Arial Unicode MS" w:hAnsi="Arial Narrow"/>
                <w:bCs/>
                <w:sz w:val="20"/>
              </w:rPr>
            </w:pPr>
          </w:p>
        </w:tc>
        <w:tc>
          <w:tcPr>
            <w:tcW w:w="1864" w:type="dxa"/>
            <w:tcMar>
              <w:top w:w="16" w:type="dxa"/>
              <w:left w:w="16" w:type="dxa"/>
              <w:bottom w:w="0" w:type="dxa"/>
              <w:right w:w="16" w:type="dxa"/>
            </w:tcMar>
            <w:vAlign w:val="bottom"/>
          </w:tcPr>
          <w:p w14:paraId="53C14645" w14:textId="77777777" w:rsidR="00A84742" w:rsidRPr="00A253EC" w:rsidRDefault="00A84742" w:rsidP="00A84742">
            <w:pPr>
              <w:ind w:left="200"/>
              <w:rPr>
                <w:rFonts w:ascii="Arial Narrow" w:eastAsia="Arial Unicode MS" w:hAnsi="Arial Narrow"/>
                <w:bCs/>
                <w:sz w:val="20"/>
              </w:rPr>
            </w:pPr>
            <w:r w:rsidRPr="00A253EC">
              <w:rPr>
                <w:rFonts w:ascii="Arial Narrow" w:hAnsi="Arial Narrow"/>
                <w:bCs/>
                <w:sz w:val="20"/>
              </w:rPr>
              <w:t>High West</w:t>
            </w:r>
          </w:p>
        </w:tc>
        <w:tc>
          <w:tcPr>
            <w:tcW w:w="987" w:type="dxa"/>
            <w:tcMar>
              <w:top w:w="16" w:type="dxa"/>
              <w:left w:w="16" w:type="dxa"/>
              <w:bottom w:w="0" w:type="dxa"/>
              <w:right w:w="16" w:type="dxa"/>
            </w:tcMar>
            <w:vAlign w:val="center"/>
          </w:tcPr>
          <w:p w14:paraId="53C14646"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0.93</w:t>
            </w:r>
          </w:p>
        </w:tc>
        <w:tc>
          <w:tcPr>
            <w:tcW w:w="860" w:type="dxa"/>
            <w:vAlign w:val="center"/>
          </w:tcPr>
          <w:p w14:paraId="53C14647"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0.80</w:t>
            </w:r>
          </w:p>
        </w:tc>
        <w:tc>
          <w:tcPr>
            <w:tcW w:w="844" w:type="dxa"/>
            <w:vAlign w:val="center"/>
          </w:tcPr>
          <w:p w14:paraId="53C14648"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18% (2 m) 27% (5 m)</w:t>
            </w:r>
          </w:p>
        </w:tc>
        <w:tc>
          <w:tcPr>
            <w:tcW w:w="8459" w:type="dxa"/>
            <w:tcMar>
              <w:top w:w="16" w:type="dxa"/>
              <w:left w:w="16" w:type="dxa"/>
              <w:bottom w:w="0" w:type="dxa"/>
              <w:right w:w="16" w:type="dxa"/>
            </w:tcMar>
            <w:vAlign w:val="center"/>
          </w:tcPr>
          <w:p w14:paraId="53C14649" w14:textId="77777777" w:rsidR="00A84742" w:rsidRPr="00A253EC" w:rsidRDefault="00A84742" w:rsidP="00A84742">
            <w:pPr>
              <w:spacing w:after="0"/>
              <w:jc w:val="left"/>
              <w:rPr>
                <w:rFonts w:ascii="Arial Narrow" w:eastAsia="Arial Unicode MS" w:hAnsi="Arial Narrow"/>
                <w:bCs/>
                <w:sz w:val="18"/>
                <w:szCs w:val="18"/>
              </w:rPr>
            </w:pPr>
            <w:r w:rsidRPr="00A253EC">
              <w:rPr>
                <w:rFonts w:ascii="Arial Narrow" w:hAnsi="Arial Narrow"/>
                <w:bCs/>
                <w:sz w:val="18"/>
                <w:szCs w:val="18"/>
              </w:rPr>
              <w:t>Cyclone Larry 2006 (25% at 5 m), Flood/Bleaching 2009(11% at 2 m), Storm 2011 (21% at 2 m, 35% at 5 m)</w:t>
            </w:r>
          </w:p>
        </w:tc>
      </w:tr>
      <w:tr w:rsidR="00CE4E0F" w:rsidRPr="00A253EC" w14:paraId="53C14651" w14:textId="77777777" w:rsidTr="004F16D3">
        <w:trPr>
          <w:cantSplit/>
          <w:trHeight w:val="425"/>
        </w:trPr>
        <w:tc>
          <w:tcPr>
            <w:tcW w:w="716" w:type="dxa"/>
            <w:vMerge/>
            <w:vAlign w:val="center"/>
          </w:tcPr>
          <w:p w14:paraId="53C1464B" w14:textId="77777777" w:rsidR="00A84742" w:rsidRPr="00A253EC" w:rsidRDefault="00A84742" w:rsidP="00A84742">
            <w:pPr>
              <w:rPr>
                <w:rFonts w:ascii="Arial Narrow" w:eastAsia="Arial Unicode MS" w:hAnsi="Arial Narrow"/>
                <w:bCs/>
                <w:sz w:val="20"/>
              </w:rPr>
            </w:pPr>
          </w:p>
        </w:tc>
        <w:tc>
          <w:tcPr>
            <w:tcW w:w="1864" w:type="dxa"/>
            <w:tcMar>
              <w:top w:w="16" w:type="dxa"/>
              <w:left w:w="16" w:type="dxa"/>
              <w:bottom w:w="0" w:type="dxa"/>
              <w:right w:w="16" w:type="dxa"/>
            </w:tcMar>
            <w:vAlign w:val="bottom"/>
          </w:tcPr>
          <w:p w14:paraId="53C1464C" w14:textId="77777777" w:rsidR="00A84742" w:rsidRPr="00A253EC" w:rsidRDefault="00A84742" w:rsidP="00A84742">
            <w:pPr>
              <w:ind w:left="200"/>
              <w:rPr>
                <w:rFonts w:ascii="Arial Narrow" w:hAnsi="Arial Narrow"/>
                <w:bCs/>
                <w:sz w:val="20"/>
              </w:rPr>
            </w:pPr>
            <w:r w:rsidRPr="00A253EC">
              <w:rPr>
                <w:rFonts w:ascii="Arial Narrow" w:hAnsi="Arial Narrow"/>
                <w:bCs/>
                <w:sz w:val="20"/>
              </w:rPr>
              <w:t>Green</w:t>
            </w:r>
          </w:p>
        </w:tc>
        <w:tc>
          <w:tcPr>
            <w:tcW w:w="987" w:type="dxa"/>
            <w:tcMar>
              <w:top w:w="16" w:type="dxa"/>
              <w:left w:w="16" w:type="dxa"/>
              <w:bottom w:w="0" w:type="dxa"/>
              <w:right w:w="16" w:type="dxa"/>
            </w:tcMar>
            <w:vAlign w:val="center"/>
          </w:tcPr>
          <w:p w14:paraId="53C1464D" w14:textId="77777777" w:rsidR="00A84742" w:rsidRPr="00A253EC" w:rsidRDefault="00A84742" w:rsidP="00A84742">
            <w:pPr>
              <w:jc w:val="center"/>
              <w:rPr>
                <w:rFonts w:ascii="Arial Narrow" w:hAnsi="Arial Narrow"/>
                <w:bCs/>
                <w:sz w:val="18"/>
                <w:szCs w:val="18"/>
              </w:rPr>
            </w:pPr>
          </w:p>
        </w:tc>
        <w:tc>
          <w:tcPr>
            <w:tcW w:w="860" w:type="dxa"/>
            <w:vAlign w:val="center"/>
          </w:tcPr>
          <w:p w14:paraId="53C1464E" w14:textId="77777777" w:rsidR="00A84742" w:rsidRPr="00A253EC" w:rsidRDefault="00A84742" w:rsidP="00A84742">
            <w:pPr>
              <w:jc w:val="center"/>
              <w:rPr>
                <w:rFonts w:ascii="Arial Narrow" w:hAnsi="Arial Narrow"/>
                <w:bCs/>
                <w:sz w:val="18"/>
                <w:szCs w:val="18"/>
              </w:rPr>
            </w:pPr>
          </w:p>
        </w:tc>
        <w:tc>
          <w:tcPr>
            <w:tcW w:w="844" w:type="dxa"/>
            <w:vAlign w:val="center"/>
          </w:tcPr>
          <w:p w14:paraId="53C1464F" w14:textId="77777777" w:rsidR="00A84742" w:rsidRPr="00A253EC" w:rsidRDefault="00D03D75" w:rsidP="00A84742">
            <w:pPr>
              <w:jc w:val="center"/>
              <w:rPr>
                <w:rFonts w:ascii="Arial Narrow" w:eastAsia="Arial Unicode MS" w:hAnsi="Arial Narrow"/>
                <w:bCs/>
                <w:sz w:val="18"/>
                <w:szCs w:val="18"/>
              </w:rPr>
            </w:pPr>
            <w:r>
              <w:rPr>
                <w:rFonts w:ascii="Arial Narrow" w:eastAsia="Arial Unicode MS" w:hAnsi="Arial Narrow"/>
                <w:bCs/>
                <w:sz w:val="18"/>
                <w:szCs w:val="18"/>
              </w:rPr>
              <w:t>12 %</w:t>
            </w:r>
          </w:p>
        </w:tc>
        <w:tc>
          <w:tcPr>
            <w:tcW w:w="8459" w:type="dxa"/>
            <w:tcMar>
              <w:top w:w="16" w:type="dxa"/>
              <w:left w:w="16" w:type="dxa"/>
              <w:bottom w:w="0" w:type="dxa"/>
              <w:right w:w="16" w:type="dxa"/>
            </w:tcMar>
            <w:vAlign w:val="center"/>
          </w:tcPr>
          <w:p w14:paraId="53C14650" w14:textId="77777777" w:rsidR="00A84742" w:rsidRPr="00A253EC" w:rsidRDefault="00A84742" w:rsidP="00A84742">
            <w:pPr>
              <w:spacing w:after="0"/>
              <w:rPr>
                <w:rFonts w:ascii="Arial Narrow" w:hAnsi="Arial Narrow"/>
                <w:bCs/>
                <w:sz w:val="18"/>
                <w:szCs w:val="18"/>
              </w:rPr>
            </w:pPr>
            <w:r w:rsidRPr="00A253EC">
              <w:rPr>
                <w:rFonts w:ascii="Arial Narrow" w:hAnsi="Arial Narrow"/>
                <w:bCs/>
                <w:sz w:val="18"/>
                <w:szCs w:val="18"/>
              </w:rPr>
              <w:t>COTS: 1994 (21%), 1997 (55%), 2011-2013 (44%), 2014-2015 (47%)</w:t>
            </w:r>
          </w:p>
        </w:tc>
      </w:tr>
    </w:tbl>
    <w:p w14:paraId="53C14652" w14:textId="77777777" w:rsidR="00A84742" w:rsidRPr="00A253EC" w:rsidRDefault="00A84742" w:rsidP="00A84742">
      <w:pPr>
        <w:jc w:val="left"/>
        <w:rPr>
          <w:rFonts w:ascii="Arial Narrow" w:hAnsi="Arial Narrow"/>
          <w:bCs/>
          <w:sz w:val="20"/>
        </w:rPr>
      </w:pPr>
      <w:bookmarkStart w:id="608" w:name="_Hlk167498955"/>
      <w:r w:rsidRPr="00A253EC">
        <w:rPr>
          <w:rFonts w:ascii="Arial Narrow" w:hAnsi="Arial Narrow"/>
          <w:bCs/>
          <w:sz w:val="20"/>
        </w:rPr>
        <w:br w:type="page"/>
      </w:r>
    </w:p>
    <w:p w14:paraId="53C14653" w14:textId="77777777" w:rsidR="00A84742" w:rsidRPr="00EE76B9" w:rsidRDefault="00A84742" w:rsidP="00A84742">
      <w:pPr>
        <w:rPr>
          <w:rStyle w:val="IntenseReference"/>
        </w:rPr>
      </w:pPr>
      <w:r w:rsidRPr="00EE76B9">
        <w:rPr>
          <w:rStyle w:val="IntenseReference"/>
        </w:rPr>
        <w:lastRenderedPageBreak/>
        <w:t>Table A 4 continued</w:t>
      </w:r>
    </w:p>
    <w:tbl>
      <w:tblPr>
        <w:tblW w:w="13609" w:type="dxa"/>
        <w:tblInd w:w="1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0" w:type="dxa"/>
          <w:right w:w="0" w:type="dxa"/>
        </w:tblCellMar>
        <w:tblLook w:val="0000" w:firstRow="0" w:lastRow="0" w:firstColumn="0" w:lastColumn="0" w:noHBand="0" w:noVBand="0"/>
        <w:tblCaption w:val="Table A 4 Disturbance records for each reef."/>
        <w:tblDescription w:val="A table presenting the proportional loss of coral cover at each monitored reef that has been asigned to an accute disturbance"/>
      </w:tblPr>
      <w:tblGrid>
        <w:gridCol w:w="583"/>
        <w:gridCol w:w="1907"/>
        <w:gridCol w:w="954"/>
        <w:gridCol w:w="816"/>
        <w:gridCol w:w="808"/>
        <w:gridCol w:w="8541"/>
      </w:tblGrid>
      <w:tr w:rsidR="00CE4E0F" w:rsidRPr="00A253EC" w14:paraId="53C14658" w14:textId="77777777" w:rsidTr="004F16D3">
        <w:trPr>
          <w:cantSplit/>
          <w:trHeight w:val="264"/>
        </w:trPr>
        <w:tc>
          <w:tcPr>
            <w:tcW w:w="583" w:type="dxa"/>
            <w:vMerge w:val="restart"/>
            <w:shd w:val="clear" w:color="auto" w:fill="F2F2F2" w:themeFill="background1" w:themeFillShade="F2"/>
            <w:tcMar>
              <w:top w:w="16" w:type="dxa"/>
              <w:left w:w="16" w:type="dxa"/>
              <w:bottom w:w="0" w:type="dxa"/>
              <w:right w:w="16" w:type="dxa"/>
            </w:tcMar>
            <w:textDirection w:val="btLr"/>
            <w:vAlign w:val="center"/>
          </w:tcPr>
          <w:p w14:paraId="53C14654" w14:textId="77777777" w:rsidR="00A84742" w:rsidRPr="00A253EC" w:rsidRDefault="00A84742" w:rsidP="00A84742">
            <w:pPr>
              <w:jc w:val="center"/>
              <w:rPr>
                <w:rFonts w:ascii="Arial Narrow" w:eastAsia="Arial Unicode MS" w:hAnsi="Arial Narrow"/>
                <w:bCs/>
                <w:sz w:val="20"/>
              </w:rPr>
            </w:pPr>
            <w:r w:rsidRPr="00A253EC">
              <w:rPr>
                <w:rFonts w:ascii="Arial Narrow" w:eastAsia="Arial Unicode MS" w:hAnsi="Arial Narrow"/>
                <w:bCs/>
                <w:sz w:val="20"/>
              </w:rPr>
              <w:t>Sub-Region</w:t>
            </w:r>
          </w:p>
        </w:tc>
        <w:tc>
          <w:tcPr>
            <w:tcW w:w="1907" w:type="dxa"/>
            <w:vMerge w:val="restart"/>
            <w:shd w:val="clear" w:color="auto" w:fill="F2F2F2" w:themeFill="background1" w:themeFillShade="F2"/>
            <w:tcMar>
              <w:top w:w="16" w:type="dxa"/>
              <w:left w:w="16" w:type="dxa"/>
              <w:bottom w:w="0" w:type="dxa"/>
              <w:right w:w="16" w:type="dxa"/>
            </w:tcMar>
            <w:vAlign w:val="center"/>
          </w:tcPr>
          <w:p w14:paraId="53C14655" w14:textId="77777777" w:rsidR="00A84742" w:rsidRPr="00A253EC" w:rsidRDefault="00A84742" w:rsidP="00A84742">
            <w:pPr>
              <w:jc w:val="center"/>
              <w:rPr>
                <w:rFonts w:ascii="Arial Narrow" w:eastAsia="Arial Unicode MS" w:hAnsi="Arial Narrow"/>
                <w:bCs/>
                <w:sz w:val="20"/>
              </w:rPr>
            </w:pPr>
            <w:r w:rsidRPr="00A253EC">
              <w:rPr>
                <w:rFonts w:ascii="Arial Narrow" w:hAnsi="Arial Narrow"/>
                <w:bCs/>
                <w:sz w:val="20"/>
              </w:rPr>
              <w:t>Reef</w:t>
            </w:r>
          </w:p>
        </w:tc>
        <w:tc>
          <w:tcPr>
            <w:tcW w:w="2578" w:type="dxa"/>
            <w:gridSpan w:val="3"/>
            <w:shd w:val="clear" w:color="auto" w:fill="F2F2F2" w:themeFill="background1" w:themeFillShade="F2"/>
          </w:tcPr>
          <w:p w14:paraId="53C14656" w14:textId="77777777" w:rsidR="00A84742" w:rsidRPr="00A253EC" w:rsidRDefault="00A84742" w:rsidP="00A84742">
            <w:pPr>
              <w:jc w:val="center"/>
              <w:rPr>
                <w:rFonts w:ascii="Arial Narrow" w:eastAsia="Arial Unicode MS" w:hAnsi="Arial Narrow"/>
                <w:bCs/>
                <w:sz w:val="20"/>
              </w:rPr>
            </w:pPr>
            <w:r w:rsidRPr="00A253EC">
              <w:rPr>
                <w:rFonts w:ascii="Arial Narrow" w:hAnsi="Arial Narrow"/>
                <w:bCs/>
                <w:sz w:val="20"/>
              </w:rPr>
              <w:t>Bleaching</w:t>
            </w:r>
          </w:p>
        </w:tc>
        <w:tc>
          <w:tcPr>
            <w:tcW w:w="8541" w:type="dxa"/>
            <w:vMerge w:val="restart"/>
            <w:shd w:val="clear" w:color="auto" w:fill="F2F2F2" w:themeFill="background1" w:themeFillShade="F2"/>
            <w:tcMar>
              <w:top w:w="16" w:type="dxa"/>
              <w:left w:w="16" w:type="dxa"/>
              <w:bottom w:w="0" w:type="dxa"/>
              <w:right w:w="16" w:type="dxa"/>
            </w:tcMar>
            <w:vAlign w:val="center"/>
          </w:tcPr>
          <w:p w14:paraId="53C14657" w14:textId="77777777" w:rsidR="00A84742" w:rsidRPr="00A253EC" w:rsidRDefault="00A84742" w:rsidP="00A84742">
            <w:pPr>
              <w:spacing w:after="0"/>
              <w:jc w:val="center"/>
              <w:rPr>
                <w:rFonts w:ascii="Arial Narrow" w:hAnsi="Arial Narrow"/>
                <w:bCs/>
                <w:sz w:val="20"/>
              </w:rPr>
            </w:pPr>
            <w:r w:rsidRPr="00A253EC">
              <w:rPr>
                <w:rFonts w:ascii="Arial Narrow" w:hAnsi="Arial Narrow"/>
                <w:bCs/>
                <w:sz w:val="20"/>
              </w:rPr>
              <w:t>Other recorded disturbances</w:t>
            </w:r>
          </w:p>
        </w:tc>
      </w:tr>
      <w:tr w:rsidR="00CE4E0F" w:rsidRPr="00A253EC" w14:paraId="53C1465F" w14:textId="77777777" w:rsidTr="004F16D3">
        <w:trPr>
          <w:cantSplit/>
          <w:trHeight w:val="550"/>
        </w:trPr>
        <w:tc>
          <w:tcPr>
            <w:tcW w:w="583" w:type="dxa"/>
            <w:vMerge/>
            <w:tcMar>
              <w:top w:w="16" w:type="dxa"/>
              <w:left w:w="16" w:type="dxa"/>
              <w:bottom w:w="0" w:type="dxa"/>
              <w:right w:w="16" w:type="dxa"/>
            </w:tcMar>
            <w:textDirection w:val="btLr"/>
            <w:vAlign w:val="center"/>
          </w:tcPr>
          <w:p w14:paraId="53C14659" w14:textId="77777777" w:rsidR="00A84742" w:rsidRPr="00A253EC" w:rsidRDefault="00A84742" w:rsidP="00A84742">
            <w:pPr>
              <w:jc w:val="center"/>
              <w:rPr>
                <w:rFonts w:ascii="Arial Narrow" w:hAnsi="Arial Narrow"/>
                <w:bCs/>
                <w:sz w:val="20"/>
              </w:rPr>
            </w:pPr>
          </w:p>
        </w:tc>
        <w:tc>
          <w:tcPr>
            <w:tcW w:w="1907" w:type="dxa"/>
            <w:vMerge/>
            <w:tcMar>
              <w:top w:w="16" w:type="dxa"/>
              <w:left w:w="16" w:type="dxa"/>
              <w:bottom w:w="0" w:type="dxa"/>
              <w:right w:w="16" w:type="dxa"/>
            </w:tcMar>
            <w:vAlign w:val="bottom"/>
          </w:tcPr>
          <w:p w14:paraId="53C1465A" w14:textId="77777777" w:rsidR="00A84742" w:rsidRPr="00A253EC" w:rsidRDefault="00A84742" w:rsidP="00A84742">
            <w:pPr>
              <w:ind w:left="200"/>
              <w:rPr>
                <w:rFonts w:ascii="Arial Narrow" w:hAnsi="Arial Narrow"/>
                <w:bCs/>
                <w:sz w:val="20"/>
              </w:rPr>
            </w:pPr>
          </w:p>
        </w:tc>
        <w:tc>
          <w:tcPr>
            <w:tcW w:w="954" w:type="dxa"/>
            <w:shd w:val="clear" w:color="auto" w:fill="F2F2F2" w:themeFill="background1" w:themeFillShade="F2"/>
            <w:tcMar>
              <w:top w:w="16" w:type="dxa"/>
              <w:left w:w="16" w:type="dxa"/>
              <w:bottom w:w="0" w:type="dxa"/>
              <w:right w:w="16" w:type="dxa"/>
            </w:tcMar>
            <w:vAlign w:val="center"/>
          </w:tcPr>
          <w:p w14:paraId="53C1465B" w14:textId="77777777" w:rsidR="00A84742" w:rsidRPr="00A253EC" w:rsidRDefault="00A84742" w:rsidP="00A84742">
            <w:pPr>
              <w:jc w:val="center"/>
              <w:rPr>
                <w:rFonts w:ascii="Arial Narrow" w:eastAsia="Arial Unicode MS" w:hAnsi="Arial Narrow"/>
                <w:bCs/>
                <w:sz w:val="20"/>
              </w:rPr>
            </w:pPr>
            <w:r w:rsidRPr="00A253EC">
              <w:rPr>
                <w:rFonts w:ascii="Arial Narrow" w:hAnsi="Arial Narrow"/>
                <w:bCs/>
                <w:sz w:val="20"/>
              </w:rPr>
              <w:t>1998</w:t>
            </w:r>
          </w:p>
        </w:tc>
        <w:tc>
          <w:tcPr>
            <w:tcW w:w="816" w:type="dxa"/>
            <w:shd w:val="clear" w:color="auto" w:fill="F2F2F2" w:themeFill="background1" w:themeFillShade="F2"/>
            <w:vAlign w:val="center"/>
          </w:tcPr>
          <w:p w14:paraId="53C1465C" w14:textId="77777777" w:rsidR="00A84742" w:rsidRPr="00A253EC" w:rsidRDefault="00A84742" w:rsidP="00A84742">
            <w:pPr>
              <w:jc w:val="center"/>
              <w:rPr>
                <w:rFonts w:ascii="Arial Narrow" w:eastAsia="Arial Unicode MS" w:hAnsi="Arial Narrow"/>
                <w:bCs/>
                <w:sz w:val="20"/>
              </w:rPr>
            </w:pPr>
            <w:r w:rsidRPr="00A253EC">
              <w:rPr>
                <w:rFonts w:ascii="Arial Narrow" w:hAnsi="Arial Narrow"/>
                <w:bCs/>
                <w:sz w:val="20"/>
              </w:rPr>
              <w:t>2002</w:t>
            </w:r>
          </w:p>
        </w:tc>
        <w:tc>
          <w:tcPr>
            <w:tcW w:w="808" w:type="dxa"/>
            <w:shd w:val="clear" w:color="auto" w:fill="F2F2F2" w:themeFill="background1" w:themeFillShade="F2"/>
            <w:tcMar>
              <w:top w:w="16" w:type="dxa"/>
              <w:left w:w="16" w:type="dxa"/>
              <w:bottom w:w="0" w:type="dxa"/>
              <w:right w:w="16" w:type="dxa"/>
            </w:tcMar>
            <w:vAlign w:val="center"/>
          </w:tcPr>
          <w:p w14:paraId="53C1465D" w14:textId="77777777" w:rsidR="00A84742" w:rsidRPr="00A253EC" w:rsidRDefault="00A84742" w:rsidP="00A84742">
            <w:pPr>
              <w:jc w:val="center"/>
              <w:rPr>
                <w:rFonts w:ascii="Arial Narrow" w:eastAsia="Arial Unicode MS" w:hAnsi="Arial Narrow"/>
                <w:bCs/>
                <w:sz w:val="20"/>
              </w:rPr>
            </w:pPr>
            <w:r w:rsidRPr="00A253EC">
              <w:rPr>
                <w:rFonts w:ascii="Arial Narrow" w:eastAsia="Arial Unicode MS" w:hAnsi="Arial Narrow"/>
                <w:bCs/>
                <w:sz w:val="20"/>
              </w:rPr>
              <w:t>2017</w:t>
            </w:r>
          </w:p>
        </w:tc>
        <w:tc>
          <w:tcPr>
            <w:tcW w:w="8541" w:type="dxa"/>
            <w:vMerge/>
            <w:tcMar>
              <w:top w:w="16" w:type="dxa"/>
              <w:left w:w="16" w:type="dxa"/>
              <w:bottom w:w="0" w:type="dxa"/>
              <w:right w:w="16" w:type="dxa"/>
            </w:tcMar>
            <w:vAlign w:val="bottom"/>
          </w:tcPr>
          <w:p w14:paraId="53C1465E" w14:textId="77777777" w:rsidR="00A84742" w:rsidRPr="00A253EC" w:rsidRDefault="00A84742" w:rsidP="00A84742">
            <w:pPr>
              <w:spacing w:after="0"/>
              <w:rPr>
                <w:rFonts w:ascii="Arial Narrow" w:hAnsi="Arial Narrow"/>
                <w:bCs/>
                <w:sz w:val="20"/>
              </w:rPr>
            </w:pPr>
          </w:p>
        </w:tc>
      </w:tr>
      <w:tr w:rsidR="00CE4E0F" w:rsidRPr="00A253EC" w14:paraId="53C14666" w14:textId="77777777" w:rsidTr="004F16D3">
        <w:trPr>
          <w:cantSplit/>
          <w:trHeight w:val="264"/>
        </w:trPr>
        <w:tc>
          <w:tcPr>
            <w:tcW w:w="583" w:type="dxa"/>
            <w:vMerge w:val="restart"/>
            <w:tcMar>
              <w:top w:w="16" w:type="dxa"/>
              <w:left w:w="16" w:type="dxa"/>
              <w:bottom w:w="0" w:type="dxa"/>
              <w:right w:w="16" w:type="dxa"/>
            </w:tcMar>
            <w:textDirection w:val="btLr"/>
            <w:vAlign w:val="center"/>
          </w:tcPr>
          <w:p w14:paraId="53C14660" w14:textId="77777777" w:rsidR="00A84742" w:rsidRPr="00A253EC" w:rsidRDefault="00A84742" w:rsidP="00A84742">
            <w:pPr>
              <w:jc w:val="center"/>
              <w:rPr>
                <w:rFonts w:ascii="Arial Narrow" w:eastAsia="Arial Unicode MS" w:hAnsi="Arial Narrow"/>
                <w:bCs/>
                <w:sz w:val="20"/>
              </w:rPr>
            </w:pPr>
            <w:r w:rsidRPr="00A253EC">
              <w:rPr>
                <w:rFonts w:ascii="Arial Narrow" w:hAnsi="Arial Narrow"/>
                <w:bCs/>
                <w:sz w:val="20"/>
              </w:rPr>
              <w:t>Herbert</w:t>
            </w:r>
            <w:r w:rsidR="008E17A4">
              <w:rPr>
                <w:rFonts w:ascii="Arial Narrow" w:hAnsi="Arial Narrow"/>
                <w:bCs/>
                <w:sz w:val="20"/>
              </w:rPr>
              <w:t xml:space="preserve"> Tully</w:t>
            </w:r>
          </w:p>
        </w:tc>
        <w:tc>
          <w:tcPr>
            <w:tcW w:w="1907" w:type="dxa"/>
            <w:tcMar>
              <w:top w:w="16" w:type="dxa"/>
              <w:left w:w="16" w:type="dxa"/>
              <w:bottom w:w="0" w:type="dxa"/>
              <w:right w:w="16" w:type="dxa"/>
            </w:tcMar>
            <w:vAlign w:val="bottom"/>
          </w:tcPr>
          <w:p w14:paraId="53C14661" w14:textId="77777777" w:rsidR="00A84742" w:rsidRPr="00A253EC" w:rsidRDefault="00A84742" w:rsidP="00A84742">
            <w:pPr>
              <w:ind w:left="200"/>
              <w:rPr>
                <w:rFonts w:ascii="Arial Narrow" w:eastAsia="Arial Unicode MS" w:hAnsi="Arial Narrow"/>
                <w:bCs/>
                <w:sz w:val="20"/>
              </w:rPr>
            </w:pPr>
            <w:r w:rsidRPr="00A253EC">
              <w:rPr>
                <w:rFonts w:ascii="Arial Narrow" w:hAnsi="Arial Narrow"/>
                <w:bCs/>
                <w:sz w:val="20"/>
              </w:rPr>
              <w:t>Barnards</w:t>
            </w:r>
          </w:p>
        </w:tc>
        <w:tc>
          <w:tcPr>
            <w:tcW w:w="954" w:type="dxa"/>
            <w:tcMar>
              <w:top w:w="16" w:type="dxa"/>
              <w:left w:w="16" w:type="dxa"/>
              <w:bottom w:w="0" w:type="dxa"/>
              <w:right w:w="16" w:type="dxa"/>
            </w:tcMar>
            <w:vAlign w:val="center"/>
          </w:tcPr>
          <w:p w14:paraId="53C14662"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0.93</w:t>
            </w:r>
          </w:p>
        </w:tc>
        <w:tc>
          <w:tcPr>
            <w:tcW w:w="816" w:type="dxa"/>
            <w:vAlign w:val="center"/>
          </w:tcPr>
          <w:p w14:paraId="53C14663"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0.80</w:t>
            </w:r>
          </w:p>
        </w:tc>
        <w:tc>
          <w:tcPr>
            <w:tcW w:w="808" w:type="dxa"/>
            <w:tcMar>
              <w:top w:w="16" w:type="dxa"/>
              <w:left w:w="16" w:type="dxa"/>
              <w:bottom w:w="0" w:type="dxa"/>
              <w:right w:w="16" w:type="dxa"/>
            </w:tcMar>
            <w:vAlign w:val="center"/>
          </w:tcPr>
          <w:p w14:paraId="53C14664"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17% (2 m)</w:t>
            </w:r>
          </w:p>
        </w:tc>
        <w:tc>
          <w:tcPr>
            <w:tcW w:w="8541" w:type="dxa"/>
            <w:tcMar>
              <w:top w:w="16" w:type="dxa"/>
              <w:left w:w="16" w:type="dxa"/>
              <w:bottom w:w="0" w:type="dxa"/>
              <w:right w:w="16" w:type="dxa"/>
            </w:tcMar>
            <w:vAlign w:val="center"/>
          </w:tcPr>
          <w:p w14:paraId="53C14665" w14:textId="77777777" w:rsidR="00A84742" w:rsidRPr="00A253EC" w:rsidRDefault="00A84742" w:rsidP="00A84742">
            <w:pPr>
              <w:spacing w:after="0"/>
              <w:jc w:val="left"/>
              <w:rPr>
                <w:rFonts w:ascii="Arial Narrow" w:hAnsi="Arial Narrow"/>
                <w:bCs/>
                <w:sz w:val="18"/>
                <w:szCs w:val="18"/>
              </w:rPr>
            </w:pPr>
            <w:r w:rsidRPr="00A253EC">
              <w:rPr>
                <w:rFonts w:ascii="Arial Narrow" w:hAnsi="Arial Narrow"/>
                <w:bCs/>
                <w:sz w:val="18"/>
                <w:szCs w:val="18"/>
              </w:rPr>
              <w:t>Cyclone Larry 2006 (95% at 2 m 87% at 5 m), Cyclone Yasi 2011 (53% at 2 m, 24% at 5 m), Bleaching 2018 (10% at 5 m)</w:t>
            </w:r>
          </w:p>
        </w:tc>
      </w:tr>
      <w:tr w:rsidR="00CE4E0F" w:rsidRPr="00A253EC" w14:paraId="53C1466D" w14:textId="77777777" w:rsidTr="004F16D3">
        <w:trPr>
          <w:cantSplit/>
          <w:trHeight w:val="236"/>
        </w:trPr>
        <w:tc>
          <w:tcPr>
            <w:tcW w:w="583" w:type="dxa"/>
            <w:vMerge/>
            <w:vAlign w:val="center"/>
          </w:tcPr>
          <w:p w14:paraId="53C14667" w14:textId="77777777" w:rsidR="00A84742" w:rsidRPr="00A253EC" w:rsidRDefault="00A84742" w:rsidP="00A84742">
            <w:pPr>
              <w:rPr>
                <w:rFonts w:ascii="Arial Narrow" w:eastAsia="Arial Unicode MS" w:hAnsi="Arial Narrow"/>
                <w:bCs/>
                <w:sz w:val="20"/>
              </w:rPr>
            </w:pPr>
          </w:p>
        </w:tc>
        <w:tc>
          <w:tcPr>
            <w:tcW w:w="1907" w:type="dxa"/>
            <w:tcMar>
              <w:top w:w="16" w:type="dxa"/>
              <w:left w:w="16" w:type="dxa"/>
              <w:bottom w:w="0" w:type="dxa"/>
              <w:right w:w="16" w:type="dxa"/>
            </w:tcMar>
            <w:vAlign w:val="bottom"/>
          </w:tcPr>
          <w:p w14:paraId="53C14668" w14:textId="77777777" w:rsidR="00A84742" w:rsidRPr="00A253EC" w:rsidRDefault="00A84742" w:rsidP="00A84742">
            <w:pPr>
              <w:ind w:left="200"/>
              <w:rPr>
                <w:rFonts w:ascii="Arial Narrow" w:eastAsia="Arial Unicode MS" w:hAnsi="Arial Narrow"/>
                <w:bCs/>
                <w:sz w:val="20"/>
              </w:rPr>
            </w:pPr>
            <w:r w:rsidRPr="00A253EC">
              <w:rPr>
                <w:rFonts w:ascii="Arial Narrow" w:hAnsi="Arial Narrow"/>
                <w:bCs/>
                <w:sz w:val="20"/>
              </w:rPr>
              <w:t xml:space="preserve">King Reef </w:t>
            </w:r>
          </w:p>
        </w:tc>
        <w:tc>
          <w:tcPr>
            <w:tcW w:w="954" w:type="dxa"/>
            <w:tcMar>
              <w:top w:w="16" w:type="dxa"/>
              <w:left w:w="16" w:type="dxa"/>
              <w:bottom w:w="0" w:type="dxa"/>
              <w:right w:w="16" w:type="dxa"/>
            </w:tcMar>
            <w:vAlign w:val="center"/>
          </w:tcPr>
          <w:p w14:paraId="53C14669"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0.93</w:t>
            </w:r>
          </w:p>
        </w:tc>
        <w:tc>
          <w:tcPr>
            <w:tcW w:w="816" w:type="dxa"/>
            <w:vAlign w:val="center"/>
          </w:tcPr>
          <w:p w14:paraId="53C1466A"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0.85</w:t>
            </w:r>
          </w:p>
        </w:tc>
        <w:tc>
          <w:tcPr>
            <w:tcW w:w="808" w:type="dxa"/>
            <w:tcMar>
              <w:top w:w="16" w:type="dxa"/>
              <w:left w:w="16" w:type="dxa"/>
              <w:bottom w:w="0" w:type="dxa"/>
              <w:right w:w="16" w:type="dxa"/>
            </w:tcMar>
            <w:vAlign w:val="center"/>
          </w:tcPr>
          <w:p w14:paraId="53C1466B" w14:textId="77777777" w:rsidR="00A84742" w:rsidRPr="00A253EC" w:rsidRDefault="00A84742" w:rsidP="00A84742">
            <w:pPr>
              <w:jc w:val="center"/>
              <w:rPr>
                <w:rFonts w:ascii="Arial Narrow" w:eastAsia="Arial Unicode MS" w:hAnsi="Arial Narrow"/>
                <w:bCs/>
                <w:sz w:val="18"/>
                <w:szCs w:val="18"/>
              </w:rPr>
            </w:pPr>
            <w:r w:rsidRPr="00A253EC">
              <w:rPr>
                <w:rFonts w:ascii="Arial Narrow" w:eastAsia="Arial Unicode MS" w:hAnsi="Arial Narrow"/>
                <w:bCs/>
                <w:sz w:val="18"/>
                <w:szCs w:val="18"/>
              </w:rPr>
              <w:t>n/a</w:t>
            </w:r>
          </w:p>
        </w:tc>
        <w:tc>
          <w:tcPr>
            <w:tcW w:w="8541" w:type="dxa"/>
            <w:tcMar>
              <w:top w:w="16" w:type="dxa"/>
              <w:left w:w="16" w:type="dxa"/>
              <w:bottom w:w="0" w:type="dxa"/>
              <w:right w:w="16" w:type="dxa"/>
            </w:tcMar>
            <w:vAlign w:val="bottom"/>
          </w:tcPr>
          <w:p w14:paraId="53C1466C" w14:textId="77777777" w:rsidR="00A84742" w:rsidRPr="00A253EC" w:rsidRDefault="00A84742" w:rsidP="00A84742">
            <w:pPr>
              <w:spacing w:after="0"/>
              <w:jc w:val="left"/>
              <w:rPr>
                <w:rFonts w:ascii="Arial Narrow" w:eastAsia="Arial Unicode MS" w:hAnsi="Arial Narrow"/>
                <w:bCs/>
                <w:sz w:val="18"/>
                <w:szCs w:val="18"/>
              </w:rPr>
            </w:pPr>
            <w:r w:rsidRPr="00A253EC">
              <w:rPr>
                <w:rFonts w:ascii="Arial Narrow" w:hAnsi="Arial Narrow"/>
                <w:bCs/>
                <w:sz w:val="18"/>
                <w:szCs w:val="18"/>
              </w:rPr>
              <w:t>Cyclone Larry 2006 (56% at 2 m,50% at 5 m), Cyclone Yasi 2011 (71% at 2 m, 37% at 5 m)</w:t>
            </w:r>
          </w:p>
        </w:tc>
      </w:tr>
      <w:tr w:rsidR="00CE4E0F" w:rsidRPr="00A253EC" w14:paraId="53C14674" w14:textId="77777777" w:rsidTr="004F16D3">
        <w:trPr>
          <w:cantSplit/>
          <w:trHeight w:val="264"/>
        </w:trPr>
        <w:tc>
          <w:tcPr>
            <w:tcW w:w="583" w:type="dxa"/>
            <w:vMerge/>
            <w:vAlign w:val="center"/>
          </w:tcPr>
          <w:p w14:paraId="53C1466E" w14:textId="77777777" w:rsidR="00A84742" w:rsidRPr="00A253EC" w:rsidRDefault="00A84742" w:rsidP="00A84742">
            <w:pPr>
              <w:rPr>
                <w:rFonts w:ascii="Arial Narrow" w:eastAsia="Arial Unicode MS" w:hAnsi="Arial Narrow"/>
                <w:bCs/>
                <w:sz w:val="20"/>
              </w:rPr>
            </w:pPr>
          </w:p>
        </w:tc>
        <w:tc>
          <w:tcPr>
            <w:tcW w:w="1907" w:type="dxa"/>
            <w:tcMar>
              <w:top w:w="16" w:type="dxa"/>
              <w:left w:w="16" w:type="dxa"/>
              <w:bottom w:w="0" w:type="dxa"/>
              <w:right w:w="16" w:type="dxa"/>
            </w:tcMar>
            <w:vAlign w:val="bottom"/>
          </w:tcPr>
          <w:p w14:paraId="53C1466F" w14:textId="77777777" w:rsidR="00A84742" w:rsidRPr="00A253EC" w:rsidRDefault="00A84742" w:rsidP="00A84742">
            <w:pPr>
              <w:ind w:left="200"/>
              <w:rPr>
                <w:rFonts w:ascii="Arial Narrow" w:eastAsia="Arial Unicode MS" w:hAnsi="Arial Narrow"/>
                <w:bCs/>
                <w:sz w:val="20"/>
              </w:rPr>
            </w:pPr>
            <w:r w:rsidRPr="00A253EC">
              <w:rPr>
                <w:rFonts w:ascii="Arial Narrow" w:hAnsi="Arial Narrow"/>
                <w:bCs/>
                <w:sz w:val="20"/>
              </w:rPr>
              <w:t>Dunk North</w:t>
            </w:r>
          </w:p>
        </w:tc>
        <w:tc>
          <w:tcPr>
            <w:tcW w:w="954" w:type="dxa"/>
            <w:tcMar>
              <w:top w:w="16" w:type="dxa"/>
              <w:left w:w="16" w:type="dxa"/>
              <w:bottom w:w="0" w:type="dxa"/>
              <w:right w:w="16" w:type="dxa"/>
            </w:tcMar>
            <w:vAlign w:val="center"/>
          </w:tcPr>
          <w:p w14:paraId="53C14670"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0.93</w:t>
            </w:r>
          </w:p>
        </w:tc>
        <w:tc>
          <w:tcPr>
            <w:tcW w:w="816" w:type="dxa"/>
            <w:vAlign w:val="center"/>
          </w:tcPr>
          <w:p w14:paraId="53C14671"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0.80</w:t>
            </w:r>
          </w:p>
        </w:tc>
        <w:tc>
          <w:tcPr>
            <w:tcW w:w="808" w:type="dxa"/>
            <w:tcMar>
              <w:top w:w="16" w:type="dxa"/>
              <w:left w:w="16" w:type="dxa"/>
              <w:bottom w:w="0" w:type="dxa"/>
              <w:right w:w="16" w:type="dxa"/>
            </w:tcMar>
            <w:vAlign w:val="center"/>
          </w:tcPr>
          <w:p w14:paraId="53C14672"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18% (2 m) 16% (5 m)</w:t>
            </w:r>
          </w:p>
        </w:tc>
        <w:tc>
          <w:tcPr>
            <w:tcW w:w="8541" w:type="dxa"/>
            <w:tcMar>
              <w:top w:w="16" w:type="dxa"/>
              <w:left w:w="16" w:type="dxa"/>
              <w:bottom w:w="0" w:type="dxa"/>
              <w:right w:w="16" w:type="dxa"/>
            </w:tcMar>
            <w:vAlign w:val="bottom"/>
          </w:tcPr>
          <w:p w14:paraId="53C14673" w14:textId="77777777" w:rsidR="00A84742" w:rsidRPr="00A253EC" w:rsidRDefault="00A84742" w:rsidP="00A84742">
            <w:pPr>
              <w:spacing w:after="0"/>
              <w:jc w:val="left"/>
              <w:rPr>
                <w:rFonts w:ascii="Arial Narrow" w:eastAsia="Arial Unicode MS" w:hAnsi="Arial Narrow"/>
                <w:bCs/>
                <w:sz w:val="18"/>
                <w:szCs w:val="18"/>
                <w:lang w:val="da-DK"/>
              </w:rPr>
            </w:pPr>
            <w:r w:rsidRPr="00A253EC">
              <w:rPr>
                <w:rFonts w:ascii="Arial Narrow" w:hAnsi="Arial Narrow"/>
                <w:bCs/>
                <w:sz w:val="18"/>
                <w:szCs w:val="18"/>
              </w:rPr>
              <w:t>Cyclone Larry 2006 (81% at 2 m, 71% at 5 m), Disease 2007 (34% at 2 m), Cyclone Yasi 2011 (93% at 2 m, 75% at 5 m)</w:t>
            </w:r>
          </w:p>
        </w:tc>
      </w:tr>
      <w:tr w:rsidR="00CE4E0F" w:rsidRPr="00A253EC" w14:paraId="53C1467B" w14:textId="77777777" w:rsidTr="004F16D3">
        <w:trPr>
          <w:cantSplit/>
          <w:trHeight w:val="297"/>
        </w:trPr>
        <w:tc>
          <w:tcPr>
            <w:tcW w:w="583" w:type="dxa"/>
            <w:vMerge/>
            <w:vAlign w:val="center"/>
          </w:tcPr>
          <w:p w14:paraId="53C14675" w14:textId="77777777" w:rsidR="00A84742" w:rsidRPr="00A253EC" w:rsidRDefault="00A84742" w:rsidP="00A84742">
            <w:pPr>
              <w:rPr>
                <w:rFonts w:ascii="Arial Narrow" w:eastAsia="Arial Unicode MS" w:hAnsi="Arial Narrow"/>
                <w:bCs/>
                <w:sz w:val="20"/>
                <w:lang w:val="da-DK"/>
              </w:rPr>
            </w:pPr>
          </w:p>
        </w:tc>
        <w:tc>
          <w:tcPr>
            <w:tcW w:w="1907" w:type="dxa"/>
            <w:tcMar>
              <w:top w:w="16" w:type="dxa"/>
              <w:left w:w="16" w:type="dxa"/>
              <w:bottom w:w="0" w:type="dxa"/>
              <w:right w:w="16" w:type="dxa"/>
            </w:tcMar>
            <w:vAlign w:val="bottom"/>
          </w:tcPr>
          <w:p w14:paraId="53C14676" w14:textId="77777777" w:rsidR="00A84742" w:rsidRPr="00A253EC" w:rsidRDefault="00A84742" w:rsidP="00A84742">
            <w:pPr>
              <w:ind w:left="200"/>
              <w:rPr>
                <w:rFonts w:ascii="Arial Narrow" w:eastAsia="Arial Unicode MS" w:hAnsi="Arial Narrow"/>
                <w:bCs/>
                <w:sz w:val="20"/>
              </w:rPr>
            </w:pPr>
            <w:r w:rsidRPr="00A253EC">
              <w:rPr>
                <w:rFonts w:ascii="Arial Narrow" w:hAnsi="Arial Narrow"/>
                <w:bCs/>
                <w:sz w:val="20"/>
              </w:rPr>
              <w:t>Dunk South</w:t>
            </w:r>
          </w:p>
        </w:tc>
        <w:tc>
          <w:tcPr>
            <w:tcW w:w="954" w:type="dxa"/>
            <w:tcMar>
              <w:top w:w="16" w:type="dxa"/>
              <w:left w:w="16" w:type="dxa"/>
              <w:bottom w:w="0" w:type="dxa"/>
              <w:right w:w="16" w:type="dxa"/>
            </w:tcMar>
            <w:vAlign w:val="center"/>
          </w:tcPr>
          <w:p w14:paraId="53C14677"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0.93</w:t>
            </w:r>
          </w:p>
        </w:tc>
        <w:tc>
          <w:tcPr>
            <w:tcW w:w="816" w:type="dxa"/>
            <w:vAlign w:val="center"/>
          </w:tcPr>
          <w:p w14:paraId="53C14678"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0.85</w:t>
            </w:r>
          </w:p>
        </w:tc>
        <w:tc>
          <w:tcPr>
            <w:tcW w:w="808" w:type="dxa"/>
            <w:tcMar>
              <w:top w:w="16" w:type="dxa"/>
              <w:left w:w="16" w:type="dxa"/>
              <w:bottom w:w="0" w:type="dxa"/>
              <w:right w:w="16" w:type="dxa"/>
            </w:tcMar>
            <w:vAlign w:val="center"/>
          </w:tcPr>
          <w:p w14:paraId="53C14679"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45% (2 m) 6% (5 m)</w:t>
            </w:r>
          </w:p>
        </w:tc>
        <w:tc>
          <w:tcPr>
            <w:tcW w:w="8541" w:type="dxa"/>
            <w:tcMar>
              <w:top w:w="16" w:type="dxa"/>
              <w:left w:w="16" w:type="dxa"/>
              <w:bottom w:w="0" w:type="dxa"/>
              <w:right w:w="16" w:type="dxa"/>
            </w:tcMar>
            <w:vAlign w:val="bottom"/>
          </w:tcPr>
          <w:p w14:paraId="53C1467A" w14:textId="77777777" w:rsidR="00A84742" w:rsidRPr="00A253EC" w:rsidRDefault="00A84742" w:rsidP="00A84742">
            <w:pPr>
              <w:spacing w:after="0"/>
              <w:jc w:val="left"/>
              <w:rPr>
                <w:rFonts w:ascii="Arial Narrow" w:eastAsia="Arial Unicode MS" w:hAnsi="Arial Narrow"/>
                <w:bCs/>
                <w:sz w:val="18"/>
                <w:szCs w:val="18"/>
              </w:rPr>
            </w:pPr>
            <w:r w:rsidRPr="00A253EC">
              <w:rPr>
                <w:rFonts w:ascii="Arial Narrow" w:hAnsi="Arial Narrow"/>
                <w:bCs/>
                <w:sz w:val="18"/>
                <w:szCs w:val="18"/>
              </w:rPr>
              <w:t>Cyclone Larry 2006 (23% at 2 m, 19% at 5 m), Cyclone Yasi 2011 (79% at 2 m, 56% at 5 m), Bleaching 2018 (28% at 5 m)</w:t>
            </w:r>
          </w:p>
        </w:tc>
      </w:tr>
      <w:tr w:rsidR="00A84742" w:rsidRPr="00A253EC" w14:paraId="53C14682" w14:textId="77777777" w:rsidTr="004F16D3">
        <w:trPr>
          <w:cantSplit/>
          <w:trHeight w:val="297"/>
        </w:trPr>
        <w:tc>
          <w:tcPr>
            <w:tcW w:w="583" w:type="dxa"/>
            <w:vMerge/>
            <w:vAlign w:val="center"/>
          </w:tcPr>
          <w:p w14:paraId="53C1467C" w14:textId="77777777" w:rsidR="00A84742" w:rsidRPr="00A253EC" w:rsidRDefault="00A84742" w:rsidP="00A84742">
            <w:pPr>
              <w:rPr>
                <w:rFonts w:ascii="Arial Narrow" w:eastAsia="Arial Unicode MS" w:hAnsi="Arial Narrow"/>
                <w:bCs/>
                <w:sz w:val="20"/>
              </w:rPr>
            </w:pPr>
          </w:p>
        </w:tc>
        <w:tc>
          <w:tcPr>
            <w:tcW w:w="1907" w:type="dxa"/>
            <w:tcMar>
              <w:top w:w="16" w:type="dxa"/>
              <w:left w:w="16" w:type="dxa"/>
              <w:bottom w:w="0" w:type="dxa"/>
              <w:right w:w="16" w:type="dxa"/>
            </w:tcMar>
            <w:vAlign w:val="bottom"/>
          </w:tcPr>
          <w:p w14:paraId="53C1467D" w14:textId="77777777" w:rsidR="00A84742" w:rsidRPr="00A253EC" w:rsidRDefault="00A84742" w:rsidP="00A84742">
            <w:pPr>
              <w:ind w:left="200"/>
              <w:rPr>
                <w:rFonts w:ascii="Arial Narrow" w:hAnsi="Arial Narrow"/>
                <w:bCs/>
                <w:sz w:val="20"/>
              </w:rPr>
            </w:pPr>
            <w:r w:rsidRPr="00A253EC">
              <w:rPr>
                <w:rFonts w:ascii="Arial Narrow" w:hAnsi="Arial Narrow"/>
                <w:bCs/>
                <w:sz w:val="20"/>
              </w:rPr>
              <w:t>Bedarra</w:t>
            </w:r>
          </w:p>
        </w:tc>
        <w:tc>
          <w:tcPr>
            <w:tcW w:w="954" w:type="dxa"/>
            <w:tcMar>
              <w:top w:w="16" w:type="dxa"/>
              <w:left w:w="16" w:type="dxa"/>
              <w:bottom w:w="0" w:type="dxa"/>
              <w:right w:w="16" w:type="dxa"/>
            </w:tcMar>
            <w:vAlign w:val="center"/>
          </w:tcPr>
          <w:p w14:paraId="53C1467E" w14:textId="77777777" w:rsidR="00A84742" w:rsidRPr="00A253EC" w:rsidRDefault="00A84742" w:rsidP="00A84742">
            <w:pPr>
              <w:jc w:val="center"/>
              <w:rPr>
                <w:rFonts w:ascii="Arial Narrow" w:hAnsi="Arial Narrow"/>
                <w:bCs/>
                <w:sz w:val="18"/>
                <w:szCs w:val="18"/>
              </w:rPr>
            </w:pPr>
            <w:r w:rsidRPr="00A253EC">
              <w:rPr>
                <w:rFonts w:ascii="Arial Narrow" w:hAnsi="Arial Narrow"/>
                <w:bCs/>
                <w:sz w:val="18"/>
                <w:szCs w:val="18"/>
              </w:rPr>
              <w:t>n/a</w:t>
            </w:r>
          </w:p>
        </w:tc>
        <w:tc>
          <w:tcPr>
            <w:tcW w:w="816" w:type="dxa"/>
            <w:vAlign w:val="center"/>
          </w:tcPr>
          <w:p w14:paraId="53C1467F" w14:textId="77777777" w:rsidR="00A84742" w:rsidRPr="00A253EC" w:rsidRDefault="00A84742" w:rsidP="00A84742">
            <w:pPr>
              <w:jc w:val="center"/>
              <w:rPr>
                <w:rFonts w:ascii="Arial Narrow" w:hAnsi="Arial Narrow"/>
                <w:bCs/>
                <w:sz w:val="18"/>
                <w:szCs w:val="18"/>
              </w:rPr>
            </w:pPr>
            <w:r w:rsidRPr="00A253EC">
              <w:rPr>
                <w:rFonts w:ascii="Arial Narrow" w:hAnsi="Arial Narrow"/>
                <w:bCs/>
                <w:sz w:val="18"/>
                <w:szCs w:val="18"/>
              </w:rPr>
              <w:t>n/a</w:t>
            </w:r>
          </w:p>
        </w:tc>
        <w:tc>
          <w:tcPr>
            <w:tcW w:w="808" w:type="dxa"/>
            <w:tcMar>
              <w:top w:w="16" w:type="dxa"/>
              <w:left w:w="16" w:type="dxa"/>
              <w:bottom w:w="0" w:type="dxa"/>
              <w:right w:w="16" w:type="dxa"/>
            </w:tcMar>
            <w:vAlign w:val="center"/>
          </w:tcPr>
          <w:p w14:paraId="53C14680"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36% (2 m) 10% (5 m)</w:t>
            </w:r>
          </w:p>
        </w:tc>
        <w:tc>
          <w:tcPr>
            <w:tcW w:w="8541" w:type="dxa"/>
            <w:tcMar>
              <w:top w:w="16" w:type="dxa"/>
              <w:left w:w="16" w:type="dxa"/>
              <w:bottom w:w="0" w:type="dxa"/>
              <w:right w:w="16" w:type="dxa"/>
            </w:tcMar>
            <w:vAlign w:val="bottom"/>
          </w:tcPr>
          <w:p w14:paraId="53C14681" w14:textId="77777777" w:rsidR="00A84742" w:rsidRPr="00A253EC" w:rsidRDefault="00A84742" w:rsidP="00A84742">
            <w:pPr>
              <w:spacing w:after="0"/>
              <w:jc w:val="left"/>
              <w:rPr>
                <w:rFonts w:ascii="Arial Narrow" w:hAnsi="Arial Narrow"/>
                <w:bCs/>
                <w:sz w:val="18"/>
                <w:szCs w:val="18"/>
              </w:rPr>
            </w:pPr>
            <w:r w:rsidRPr="00A253EC">
              <w:rPr>
                <w:rFonts w:ascii="Arial Narrow" w:hAnsi="Arial Narrow"/>
                <w:bCs/>
                <w:sz w:val="18"/>
                <w:szCs w:val="18"/>
              </w:rPr>
              <w:t>Bleaching 2018 (26% at 5 m)</w:t>
            </w:r>
          </w:p>
        </w:tc>
      </w:tr>
    </w:tbl>
    <w:p w14:paraId="53C14683" w14:textId="77777777" w:rsidR="00A84742" w:rsidRPr="00A253EC" w:rsidRDefault="00A84742" w:rsidP="00A84742">
      <w:pPr>
        <w:rPr>
          <w:rFonts w:ascii="Arial Narrow" w:hAnsi="Arial Narrow"/>
          <w:bCs/>
          <w:sz w:val="20"/>
        </w:rPr>
      </w:pPr>
    </w:p>
    <w:p w14:paraId="53C14684" w14:textId="77777777" w:rsidR="00A84742" w:rsidRPr="00A253EC" w:rsidRDefault="00A84742" w:rsidP="00A84742">
      <w:pPr>
        <w:jc w:val="left"/>
        <w:rPr>
          <w:rFonts w:ascii="Arial Narrow" w:hAnsi="Arial Narrow"/>
          <w:bCs/>
          <w:sz w:val="20"/>
        </w:rPr>
      </w:pPr>
      <w:r w:rsidRPr="00A253EC">
        <w:rPr>
          <w:rFonts w:ascii="Arial Narrow" w:hAnsi="Arial Narrow"/>
          <w:bCs/>
          <w:sz w:val="20"/>
        </w:rPr>
        <w:br w:type="page"/>
      </w:r>
    </w:p>
    <w:p w14:paraId="53C14685" w14:textId="77777777" w:rsidR="00A84742" w:rsidRPr="00EE76B9" w:rsidRDefault="00A84742" w:rsidP="00A84742">
      <w:pPr>
        <w:rPr>
          <w:rStyle w:val="IntenseReference"/>
        </w:rPr>
      </w:pPr>
      <w:r w:rsidRPr="00EE76B9">
        <w:rPr>
          <w:rStyle w:val="IntenseReference"/>
        </w:rPr>
        <w:lastRenderedPageBreak/>
        <w:t>Table A 4 continued</w:t>
      </w:r>
    </w:p>
    <w:tbl>
      <w:tblPr>
        <w:tblW w:w="13609" w:type="dxa"/>
        <w:tblInd w:w="1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0" w:type="dxa"/>
          <w:right w:w="0" w:type="dxa"/>
        </w:tblCellMar>
        <w:tblLook w:val="0000" w:firstRow="0" w:lastRow="0" w:firstColumn="0" w:lastColumn="0" w:noHBand="0" w:noVBand="0"/>
        <w:tblCaption w:val="Table A1. 4 Disturbance records for each reef."/>
        <w:tblDescription w:val="A table presenting the proportional loss of coral cover at each monitored reef that has been asigned to an accute disturbance"/>
      </w:tblPr>
      <w:tblGrid>
        <w:gridCol w:w="583"/>
        <w:gridCol w:w="1907"/>
        <w:gridCol w:w="954"/>
        <w:gridCol w:w="816"/>
        <w:gridCol w:w="808"/>
        <w:gridCol w:w="8541"/>
      </w:tblGrid>
      <w:tr w:rsidR="00CE4E0F" w:rsidRPr="00A253EC" w14:paraId="53C1468A" w14:textId="77777777" w:rsidTr="004F16D3">
        <w:trPr>
          <w:cantSplit/>
          <w:trHeight w:val="264"/>
        </w:trPr>
        <w:tc>
          <w:tcPr>
            <w:tcW w:w="583" w:type="dxa"/>
            <w:vMerge w:val="restart"/>
            <w:shd w:val="clear" w:color="auto" w:fill="F2F2F2" w:themeFill="background1" w:themeFillShade="F2"/>
            <w:tcMar>
              <w:top w:w="16" w:type="dxa"/>
              <w:left w:w="16" w:type="dxa"/>
              <w:bottom w:w="0" w:type="dxa"/>
              <w:right w:w="16" w:type="dxa"/>
            </w:tcMar>
            <w:textDirection w:val="btLr"/>
            <w:vAlign w:val="center"/>
          </w:tcPr>
          <w:p w14:paraId="53C14686" w14:textId="77777777" w:rsidR="00A84742" w:rsidRPr="00A253EC" w:rsidRDefault="00A84742" w:rsidP="00A84742">
            <w:pPr>
              <w:jc w:val="center"/>
              <w:rPr>
                <w:rFonts w:ascii="Arial Narrow" w:eastAsia="Arial Unicode MS" w:hAnsi="Arial Narrow"/>
                <w:bCs/>
                <w:sz w:val="20"/>
              </w:rPr>
            </w:pPr>
            <w:r w:rsidRPr="00A253EC">
              <w:rPr>
                <w:rFonts w:ascii="Arial Narrow" w:hAnsi="Arial Narrow"/>
                <w:bCs/>
                <w:sz w:val="20"/>
              </w:rPr>
              <w:t>Region</w:t>
            </w:r>
          </w:p>
        </w:tc>
        <w:tc>
          <w:tcPr>
            <w:tcW w:w="1907" w:type="dxa"/>
            <w:vMerge w:val="restart"/>
            <w:shd w:val="clear" w:color="auto" w:fill="F2F2F2" w:themeFill="background1" w:themeFillShade="F2"/>
            <w:tcMar>
              <w:top w:w="16" w:type="dxa"/>
              <w:left w:w="16" w:type="dxa"/>
              <w:bottom w:w="0" w:type="dxa"/>
              <w:right w:w="16" w:type="dxa"/>
            </w:tcMar>
            <w:vAlign w:val="center"/>
          </w:tcPr>
          <w:p w14:paraId="53C14687" w14:textId="77777777" w:rsidR="00A84742" w:rsidRPr="00A253EC" w:rsidRDefault="00A84742" w:rsidP="00A84742">
            <w:pPr>
              <w:jc w:val="center"/>
              <w:rPr>
                <w:rFonts w:ascii="Arial Narrow" w:eastAsia="Arial Unicode MS" w:hAnsi="Arial Narrow"/>
                <w:bCs/>
                <w:sz w:val="20"/>
              </w:rPr>
            </w:pPr>
            <w:r w:rsidRPr="00A253EC">
              <w:rPr>
                <w:rFonts w:ascii="Arial Narrow" w:hAnsi="Arial Narrow"/>
                <w:bCs/>
                <w:sz w:val="20"/>
              </w:rPr>
              <w:t>Reef</w:t>
            </w:r>
          </w:p>
        </w:tc>
        <w:tc>
          <w:tcPr>
            <w:tcW w:w="2578" w:type="dxa"/>
            <w:gridSpan w:val="3"/>
            <w:shd w:val="clear" w:color="auto" w:fill="F2F2F2" w:themeFill="background1" w:themeFillShade="F2"/>
          </w:tcPr>
          <w:p w14:paraId="53C14688" w14:textId="77777777" w:rsidR="00A84742" w:rsidRPr="00A253EC" w:rsidRDefault="00A84742" w:rsidP="00A84742">
            <w:pPr>
              <w:jc w:val="center"/>
              <w:rPr>
                <w:rFonts w:ascii="Arial Narrow" w:eastAsia="Arial Unicode MS" w:hAnsi="Arial Narrow"/>
                <w:bCs/>
                <w:sz w:val="20"/>
              </w:rPr>
            </w:pPr>
            <w:r w:rsidRPr="00A253EC">
              <w:rPr>
                <w:rFonts w:ascii="Arial Narrow" w:hAnsi="Arial Narrow"/>
                <w:bCs/>
                <w:sz w:val="20"/>
              </w:rPr>
              <w:t>Bleaching</w:t>
            </w:r>
          </w:p>
        </w:tc>
        <w:tc>
          <w:tcPr>
            <w:tcW w:w="8541" w:type="dxa"/>
            <w:vMerge w:val="restart"/>
            <w:shd w:val="clear" w:color="auto" w:fill="F2F2F2" w:themeFill="background1" w:themeFillShade="F2"/>
            <w:tcMar>
              <w:top w:w="16" w:type="dxa"/>
              <w:left w:w="16" w:type="dxa"/>
              <w:bottom w:w="0" w:type="dxa"/>
              <w:right w:w="16" w:type="dxa"/>
            </w:tcMar>
            <w:vAlign w:val="center"/>
          </w:tcPr>
          <w:p w14:paraId="53C14689" w14:textId="77777777" w:rsidR="00A84742" w:rsidRPr="00A253EC" w:rsidRDefault="00A84742" w:rsidP="00A84742">
            <w:pPr>
              <w:spacing w:after="0"/>
              <w:jc w:val="center"/>
              <w:rPr>
                <w:rFonts w:ascii="Arial Narrow" w:hAnsi="Arial Narrow"/>
                <w:bCs/>
                <w:sz w:val="20"/>
              </w:rPr>
            </w:pPr>
            <w:r w:rsidRPr="00A253EC">
              <w:rPr>
                <w:rFonts w:ascii="Arial Narrow" w:hAnsi="Arial Narrow"/>
                <w:bCs/>
                <w:sz w:val="20"/>
              </w:rPr>
              <w:t>Other recorded disturbances</w:t>
            </w:r>
          </w:p>
        </w:tc>
      </w:tr>
      <w:tr w:rsidR="00CE4E0F" w:rsidRPr="00A253EC" w14:paraId="53C14691" w14:textId="77777777" w:rsidTr="004F16D3">
        <w:trPr>
          <w:cantSplit/>
          <w:trHeight w:val="550"/>
        </w:trPr>
        <w:tc>
          <w:tcPr>
            <w:tcW w:w="583" w:type="dxa"/>
            <w:vMerge/>
            <w:tcMar>
              <w:top w:w="16" w:type="dxa"/>
              <w:left w:w="16" w:type="dxa"/>
              <w:bottom w:w="0" w:type="dxa"/>
              <w:right w:w="16" w:type="dxa"/>
            </w:tcMar>
            <w:textDirection w:val="btLr"/>
            <w:vAlign w:val="center"/>
          </w:tcPr>
          <w:p w14:paraId="53C1468B" w14:textId="77777777" w:rsidR="00A84742" w:rsidRPr="00A253EC" w:rsidRDefault="00A84742" w:rsidP="00A84742">
            <w:pPr>
              <w:jc w:val="center"/>
              <w:rPr>
                <w:rFonts w:ascii="Arial Narrow" w:hAnsi="Arial Narrow"/>
                <w:bCs/>
                <w:sz w:val="20"/>
              </w:rPr>
            </w:pPr>
          </w:p>
        </w:tc>
        <w:tc>
          <w:tcPr>
            <w:tcW w:w="1907" w:type="dxa"/>
            <w:vMerge/>
            <w:tcMar>
              <w:top w:w="16" w:type="dxa"/>
              <w:left w:w="16" w:type="dxa"/>
              <w:bottom w:w="0" w:type="dxa"/>
              <w:right w:w="16" w:type="dxa"/>
            </w:tcMar>
            <w:vAlign w:val="bottom"/>
          </w:tcPr>
          <w:p w14:paraId="53C1468C" w14:textId="77777777" w:rsidR="00A84742" w:rsidRPr="00A253EC" w:rsidRDefault="00A84742" w:rsidP="00A84742">
            <w:pPr>
              <w:ind w:left="200"/>
              <w:rPr>
                <w:rFonts w:ascii="Arial Narrow" w:hAnsi="Arial Narrow"/>
                <w:bCs/>
                <w:sz w:val="20"/>
              </w:rPr>
            </w:pPr>
          </w:p>
        </w:tc>
        <w:tc>
          <w:tcPr>
            <w:tcW w:w="954" w:type="dxa"/>
            <w:shd w:val="clear" w:color="auto" w:fill="F2F2F2" w:themeFill="background1" w:themeFillShade="F2"/>
            <w:tcMar>
              <w:top w:w="16" w:type="dxa"/>
              <w:left w:w="16" w:type="dxa"/>
              <w:bottom w:w="0" w:type="dxa"/>
              <w:right w:w="16" w:type="dxa"/>
            </w:tcMar>
            <w:vAlign w:val="center"/>
          </w:tcPr>
          <w:p w14:paraId="53C1468D" w14:textId="77777777" w:rsidR="00A84742" w:rsidRPr="00A253EC" w:rsidRDefault="00A84742" w:rsidP="00A84742">
            <w:pPr>
              <w:jc w:val="center"/>
              <w:rPr>
                <w:rFonts w:ascii="Arial Narrow" w:eastAsia="Arial Unicode MS" w:hAnsi="Arial Narrow"/>
                <w:bCs/>
                <w:sz w:val="20"/>
              </w:rPr>
            </w:pPr>
            <w:r w:rsidRPr="00A253EC">
              <w:rPr>
                <w:rFonts w:ascii="Arial Narrow" w:hAnsi="Arial Narrow"/>
                <w:bCs/>
                <w:sz w:val="20"/>
              </w:rPr>
              <w:t>1998</w:t>
            </w:r>
          </w:p>
        </w:tc>
        <w:tc>
          <w:tcPr>
            <w:tcW w:w="816" w:type="dxa"/>
            <w:shd w:val="clear" w:color="auto" w:fill="F2F2F2" w:themeFill="background1" w:themeFillShade="F2"/>
            <w:vAlign w:val="center"/>
          </w:tcPr>
          <w:p w14:paraId="53C1468E" w14:textId="77777777" w:rsidR="00A84742" w:rsidRPr="00A253EC" w:rsidRDefault="00A84742" w:rsidP="00A84742">
            <w:pPr>
              <w:jc w:val="center"/>
              <w:rPr>
                <w:rFonts w:ascii="Arial Narrow" w:eastAsia="Arial Unicode MS" w:hAnsi="Arial Narrow"/>
                <w:bCs/>
                <w:sz w:val="20"/>
              </w:rPr>
            </w:pPr>
            <w:r w:rsidRPr="00A253EC">
              <w:rPr>
                <w:rFonts w:ascii="Arial Narrow" w:hAnsi="Arial Narrow"/>
                <w:bCs/>
                <w:sz w:val="20"/>
              </w:rPr>
              <w:t>2002</w:t>
            </w:r>
          </w:p>
        </w:tc>
        <w:tc>
          <w:tcPr>
            <w:tcW w:w="808" w:type="dxa"/>
            <w:shd w:val="clear" w:color="auto" w:fill="F2F2F2" w:themeFill="background1" w:themeFillShade="F2"/>
            <w:tcMar>
              <w:top w:w="16" w:type="dxa"/>
              <w:left w:w="16" w:type="dxa"/>
              <w:bottom w:w="0" w:type="dxa"/>
              <w:right w:w="16" w:type="dxa"/>
            </w:tcMar>
            <w:vAlign w:val="center"/>
          </w:tcPr>
          <w:p w14:paraId="53C1468F" w14:textId="77777777" w:rsidR="00A84742" w:rsidRPr="00A253EC" w:rsidRDefault="00A84742" w:rsidP="00A84742">
            <w:pPr>
              <w:jc w:val="center"/>
              <w:rPr>
                <w:rFonts w:ascii="Arial Narrow" w:eastAsia="Arial Unicode MS" w:hAnsi="Arial Narrow"/>
                <w:bCs/>
                <w:sz w:val="20"/>
              </w:rPr>
            </w:pPr>
            <w:r w:rsidRPr="00A253EC">
              <w:rPr>
                <w:rFonts w:ascii="Arial Narrow" w:eastAsia="Arial Unicode MS" w:hAnsi="Arial Narrow"/>
                <w:bCs/>
                <w:sz w:val="20"/>
              </w:rPr>
              <w:t>2017</w:t>
            </w:r>
          </w:p>
        </w:tc>
        <w:tc>
          <w:tcPr>
            <w:tcW w:w="8541" w:type="dxa"/>
            <w:vMerge/>
            <w:tcMar>
              <w:top w:w="16" w:type="dxa"/>
              <w:left w:w="16" w:type="dxa"/>
              <w:bottom w:w="0" w:type="dxa"/>
              <w:right w:w="16" w:type="dxa"/>
            </w:tcMar>
            <w:vAlign w:val="bottom"/>
          </w:tcPr>
          <w:p w14:paraId="53C14690" w14:textId="77777777" w:rsidR="00A84742" w:rsidRPr="00A253EC" w:rsidRDefault="00A84742" w:rsidP="00A84742">
            <w:pPr>
              <w:spacing w:after="0"/>
              <w:rPr>
                <w:rFonts w:ascii="Arial Narrow" w:hAnsi="Arial Narrow"/>
                <w:bCs/>
                <w:sz w:val="20"/>
              </w:rPr>
            </w:pPr>
          </w:p>
        </w:tc>
      </w:tr>
      <w:tr w:rsidR="00CE4E0F" w:rsidRPr="00A253EC" w14:paraId="53C14698" w14:textId="77777777" w:rsidTr="004F16D3">
        <w:trPr>
          <w:cantSplit/>
          <w:trHeight w:val="264"/>
        </w:trPr>
        <w:tc>
          <w:tcPr>
            <w:tcW w:w="583" w:type="dxa"/>
            <w:vMerge w:val="restart"/>
            <w:tcMar>
              <w:top w:w="16" w:type="dxa"/>
              <w:left w:w="16" w:type="dxa"/>
              <w:bottom w:w="0" w:type="dxa"/>
              <w:right w:w="16" w:type="dxa"/>
            </w:tcMar>
            <w:textDirection w:val="btLr"/>
            <w:vAlign w:val="center"/>
          </w:tcPr>
          <w:p w14:paraId="53C14692" w14:textId="77777777" w:rsidR="00A84742" w:rsidRPr="00A253EC" w:rsidRDefault="00A84742" w:rsidP="00A84742">
            <w:pPr>
              <w:jc w:val="center"/>
              <w:rPr>
                <w:rFonts w:ascii="Arial Narrow" w:eastAsia="Arial Unicode MS" w:hAnsi="Arial Narrow"/>
                <w:bCs/>
                <w:sz w:val="20"/>
              </w:rPr>
            </w:pPr>
            <w:r w:rsidRPr="00A253EC">
              <w:rPr>
                <w:rFonts w:ascii="Arial Narrow" w:hAnsi="Arial Narrow"/>
                <w:bCs/>
                <w:sz w:val="20"/>
              </w:rPr>
              <w:t>Burdekin</w:t>
            </w:r>
          </w:p>
        </w:tc>
        <w:tc>
          <w:tcPr>
            <w:tcW w:w="1907" w:type="dxa"/>
            <w:tcMar>
              <w:top w:w="16" w:type="dxa"/>
              <w:left w:w="16" w:type="dxa"/>
              <w:bottom w:w="0" w:type="dxa"/>
              <w:right w:w="16" w:type="dxa"/>
            </w:tcMar>
            <w:vAlign w:val="bottom"/>
          </w:tcPr>
          <w:p w14:paraId="53C14693" w14:textId="77777777" w:rsidR="00A84742" w:rsidRPr="00A253EC" w:rsidRDefault="00A84742" w:rsidP="00A84742">
            <w:pPr>
              <w:ind w:left="200"/>
              <w:rPr>
                <w:rFonts w:ascii="Arial Narrow" w:eastAsia="Arial Unicode MS" w:hAnsi="Arial Narrow"/>
                <w:bCs/>
                <w:sz w:val="20"/>
              </w:rPr>
            </w:pPr>
            <w:r w:rsidRPr="00A253EC">
              <w:rPr>
                <w:rFonts w:ascii="Arial Narrow" w:hAnsi="Arial Narrow"/>
                <w:bCs/>
                <w:sz w:val="20"/>
              </w:rPr>
              <w:t>Palms East</w:t>
            </w:r>
          </w:p>
        </w:tc>
        <w:tc>
          <w:tcPr>
            <w:tcW w:w="954" w:type="dxa"/>
            <w:tcMar>
              <w:top w:w="16" w:type="dxa"/>
              <w:left w:w="16" w:type="dxa"/>
              <w:bottom w:w="0" w:type="dxa"/>
              <w:right w:w="16" w:type="dxa"/>
            </w:tcMar>
            <w:vAlign w:val="center"/>
          </w:tcPr>
          <w:p w14:paraId="53C14694"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0.93</w:t>
            </w:r>
          </w:p>
        </w:tc>
        <w:tc>
          <w:tcPr>
            <w:tcW w:w="816" w:type="dxa"/>
            <w:vAlign w:val="center"/>
          </w:tcPr>
          <w:p w14:paraId="53C14695"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0.80</w:t>
            </w:r>
          </w:p>
        </w:tc>
        <w:tc>
          <w:tcPr>
            <w:tcW w:w="808" w:type="dxa"/>
            <w:tcMar>
              <w:top w:w="16" w:type="dxa"/>
              <w:left w:w="16" w:type="dxa"/>
              <w:bottom w:w="0" w:type="dxa"/>
              <w:right w:w="16" w:type="dxa"/>
            </w:tcMar>
            <w:vAlign w:val="center"/>
          </w:tcPr>
          <w:p w14:paraId="53C14696" w14:textId="77777777" w:rsidR="00A84742" w:rsidRPr="00A253EC" w:rsidRDefault="00A84742" w:rsidP="00A84742">
            <w:pPr>
              <w:jc w:val="center"/>
              <w:rPr>
                <w:rFonts w:ascii="Arial Narrow" w:eastAsia="Arial Unicode MS" w:hAnsi="Arial Narrow"/>
                <w:bCs/>
                <w:sz w:val="18"/>
                <w:szCs w:val="18"/>
              </w:rPr>
            </w:pPr>
          </w:p>
        </w:tc>
        <w:tc>
          <w:tcPr>
            <w:tcW w:w="8541" w:type="dxa"/>
            <w:tcMar>
              <w:top w:w="16" w:type="dxa"/>
              <w:left w:w="16" w:type="dxa"/>
              <w:bottom w:w="0" w:type="dxa"/>
              <w:right w:w="16" w:type="dxa"/>
            </w:tcMar>
            <w:vAlign w:val="center"/>
          </w:tcPr>
          <w:p w14:paraId="53C14697" w14:textId="77777777" w:rsidR="00A84742" w:rsidRPr="00A253EC" w:rsidRDefault="00A84742" w:rsidP="00A84742">
            <w:pPr>
              <w:spacing w:after="0"/>
              <w:jc w:val="left"/>
              <w:rPr>
                <w:rFonts w:ascii="Arial Narrow" w:hAnsi="Arial Narrow"/>
                <w:bCs/>
                <w:sz w:val="18"/>
                <w:szCs w:val="18"/>
              </w:rPr>
            </w:pPr>
            <w:r w:rsidRPr="00A253EC">
              <w:rPr>
                <w:rFonts w:ascii="Arial Narrow" w:hAnsi="Arial Narrow"/>
                <w:bCs/>
                <w:sz w:val="18"/>
                <w:szCs w:val="18"/>
              </w:rPr>
              <w:t>Cyclone Larry 2006 (23% at 2 m, 39% at 5 m), Cyclone Yasi 2011 (83% at 2 m and at 5 m)</w:t>
            </w:r>
          </w:p>
        </w:tc>
      </w:tr>
      <w:tr w:rsidR="00CE4E0F" w:rsidRPr="00A253EC" w14:paraId="53C146A0" w14:textId="77777777" w:rsidTr="004F16D3">
        <w:trPr>
          <w:cantSplit/>
          <w:trHeight w:val="236"/>
        </w:trPr>
        <w:tc>
          <w:tcPr>
            <w:tcW w:w="583" w:type="dxa"/>
            <w:vMerge/>
            <w:vAlign w:val="center"/>
          </w:tcPr>
          <w:p w14:paraId="53C14699" w14:textId="77777777" w:rsidR="00A84742" w:rsidRPr="00A253EC" w:rsidRDefault="00A84742" w:rsidP="00A84742">
            <w:pPr>
              <w:rPr>
                <w:rFonts w:ascii="Arial Narrow" w:eastAsia="Arial Unicode MS" w:hAnsi="Arial Narrow"/>
                <w:bCs/>
                <w:sz w:val="20"/>
              </w:rPr>
            </w:pPr>
          </w:p>
        </w:tc>
        <w:tc>
          <w:tcPr>
            <w:tcW w:w="1907" w:type="dxa"/>
            <w:tcMar>
              <w:top w:w="16" w:type="dxa"/>
              <w:left w:w="16" w:type="dxa"/>
              <w:bottom w:w="0" w:type="dxa"/>
              <w:right w:w="16" w:type="dxa"/>
            </w:tcMar>
            <w:vAlign w:val="bottom"/>
          </w:tcPr>
          <w:p w14:paraId="53C1469A" w14:textId="77777777" w:rsidR="00A84742" w:rsidRPr="00A253EC" w:rsidRDefault="00A84742" w:rsidP="00A84742">
            <w:pPr>
              <w:ind w:left="200"/>
              <w:rPr>
                <w:rFonts w:ascii="Arial Narrow" w:eastAsia="Arial Unicode MS" w:hAnsi="Arial Narrow"/>
                <w:bCs/>
                <w:sz w:val="20"/>
              </w:rPr>
            </w:pPr>
            <w:r w:rsidRPr="00A253EC">
              <w:rPr>
                <w:rFonts w:ascii="Arial Narrow" w:hAnsi="Arial Narrow"/>
                <w:bCs/>
                <w:sz w:val="20"/>
              </w:rPr>
              <w:t>Palms West</w:t>
            </w:r>
          </w:p>
        </w:tc>
        <w:tc>
          <w:tcPr>
            <w:tcW w:w="954" w:type="dxa"/>
            <w:tcMar>
              <w:top w:w="16" w:type="dxa"/>
              <w:left w:w="16" w:type="dxa"/>
              <w:bottom w:w="0" w:type="dxa"/>
              <w:right w:w="16" w:type="dxa"/>
            </w:tcMar>
            <w:vAlign w:val="center"/>
          </w:tcPr>
          <w:p w14:paraId="53C1469B"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0.92 (83%)</w:t>
            </w:r>
          </w:p>
        </w:tc>
        <w:tc>
          <w:tcPr>
            <w:tcW w:w="816" w:type="dxa"/>
            <w:vAlign w:val="center"/>
          </w:tcPr>
          <w:p w14:paraId="53C1469C"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0.80</w:t>
            </w:r>
          </w:p>
        </w:tc>
        <w:tc>
          <w:tcPr>
            <w:tcW w:w="808" w:type="dxa"/>
            <w:tcMar>
              <w:top w:w="16" w:type="dxa"/>
              <w:left w:w="16" w:type="dxa"/>
              <w:bottom w:w="0" w:type="dxa"/>
              <w:right w:w="16" w:type="dxa"/>
            </w:tcMar>
            <w:vAlign w:val="center"/>
          </w:tcPr>
          <w:p w14:paraId="53C1469D"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30% (2 m) 15% (5 m)</w:t>
            </w:r>
          </w:p>
        </w:tc>
        <w:tc>
          <w:tcPr>
            <w:tcW w:w="8541" w:type="dxa"/>
            <w:tcMar>
              <w:top w:w="16" w:type="dxa"/>
              <w:left w:w="16" w:type="dxa"/>
              <w:bottom w:w="0" w:type="dxa"/>
              <w:right w:w="16" w:type="dxa"/>
            </w:tcMar>
            <w:vAlign w:val="center"/>
          </w:tcPr>
          <w:p w14:paraId="53C1469E" w14:textId="77777777" w:rsidR="00A84742" w:rsidRPr="00A253EC" w:rsidRDefault="00A84742" w:rsidP="00A84742">
            <w:pPr>
              <w:spacing w:after="0"/>
              <w:jc w:val="left"/>
              <w:rPr>
                <w:rFonts w:ascii="Arial Narrow" w:hAnsi="Arial Narrow"/>
                <w:bCs/>
                <w:sz w:val="18"/>
                <w:szCs w:val="18"/>
              </w:rPr>
            </w:pPr>
            <w:r w:rsidRPr="00A253EC">
              <w:rPr>
                <w:rFonts w:ascii="Arial Narrow" w:hAnsi="Arial Narrow"/>
                <w:bCs/>
                <w:sz w:val="18"/>
                <w:szCs w:val="18"/>
              </w:rPr>
              <w:t>Unknown 1995-1997 although possibly Cyclone Justin (32%), Cyclone Larry 2006 (15% at 2 m),</w:t>
            </w:r>
          </w:p>
          <w:p w14:paraId="53C1469F" w14:textId="77777777" w:rsidR="00A84742" w:rsidRPr="00A253EC" w:rsidRDefault="00A84742" w:rsidP="00A84742">
            <w:pPr>
              <w:spacing w:after="0"/>
              <w:jc w:val="left"/>
              <w:rPr>
                <w:rFonts w:ascii="Arial Narrow" w:eastAsia="Arial Unicode MS" w:hAnsi="Arial Narrow"/>
                <w:bCs/>
                <w:sz w:val="18"/>
                <w:szCs w:val="18"/>
              </w:rPr>
            </w:pPr>
            <w:r w:rsidRPr="00A253EC">
              <w:rPr>
                <w:rFonts w:ascii="Arial Narrow" w:hAnsi="Arial Narrow"/>
                <w:bCs/>
                <w:sz w:val="18"/>
                <w:szCs w:val="18"/>
              </w:rPr>
              <w:t>Storm 2010 (68% at 2 m)</w:t>
            </w:r>
          </w:p>
        </w:tc>
      </w:tr>
      <w:tr w:rsidR="00CE4E0F" w:rsidRPr="00A253EC" w14:paraId="53C146A7" w14:textId="77777777" w:rsidTr="004F16D3">
        <w:trPr>
          <w:cantSplit/>
          <w:trHeight w:val="264"/>
        </w:trPr>
        <w:tc>
          <w:tcPr>
            <w:tcW w:w="583" w:type="dxa"/>
            <w:vMerge/>
            <w:vAlign w:val="center"/>
          </w:tcPr>
          <w:p w14:paraId="53C146A1" w14:textId="77777777" w:rsidR="00A84742" w:rsidRPr="00A253EC" w:rsidRDefault="00A84742" w:rsidP="00A84742">
            <w:pPr>
              <w:rPr>
                <w:rFonts w:ascii="Arial Narrow" w:eastAsia="Arial Unicode MS" w:hAnsi="Arial Narrow"/>
                <w:bCs/>
                <w:sz w:val="20"/>
              </w:rPr>
            </w:pPr>
          </w:p>
        </w:tc>
        <w:tc>
          <w:tcPr>
            <w:tcW w:w="1907" w:type="dxa"/>
            <w:tcMar>
              <w:top w:w="16" w:type="dxa"/>
              <w:left w:w="16" w:type="dxa"/>
              <w:bottom w:w="0" w:type="dxa"/>
              <w:right w:w="16" w:type="dxa"/>
            </w:tcMar>
            <w:vAlign w:val="bottom"/>
          </w:tcPr>
          <w:p w14:paraId="53C146A2" w14:textId="77777777" w:rsidR="00A84742" w:rsidRPr="00A253EC" w:rsidRDefault="00A84742" w:rsidP="00A84742">
            <w:pPr>
              <w:ind w:left="200"/>
              <w:rPr>
                <w:rFonts w:ascii="Arial Narrow" w:eastAsia="Arial Unicode MS" w:hAnsi="Arial Narrow"/>
                <w:bCs/>
                <w:sz w:val="20"/>
              </w:rPr>
            </w:pPr>
            <w:r w:rsidRPr="00A253EC">
              <w:rPr>
                <w:rFonts w:ascii="Arial Narrow" w:hAnsi="Arial Narrow"/>
                <w:bCs/>
                <w:sz w:val="20"/>
              </w:rPr>
              <w:t>Lady Elliott Reef</w:t>
            </w:r>
          </w:p>
        </w:tc>
        <w:tc>
          <w:tcPr>
            <w:tcW w:w="954" w:type="dxa"/>
            <w:tcMar>
              <w:top w:w="16" w:type="dxa"/>
              <w:left w:w="16" w:type="dxa"/>
              <w:bottom w:w="0" w:type="dxa"/>
              <w:right w:w="16" w:type="dxa"/>
            </w:tcMar>
            <w:vAlign w:val="center"/>
          </w:tcPr>
          <w:p w14:paraId="53C146A3"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0.93</w:t>
            </w:r>
          </w:p>
        </w:tc>
        <w:tc>
          <w:tcPr>
            <w:tcW w:w="816" w:type="dxa"/>
            <w:vAlign w:val="center"/>
          </w:tcPr>
          <w:p w14:paraId="53C146A4"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0.85</w:t>
            </w:r>
          </w:p>
        </w:tc>
        <w:tc>
          <w:tcPr>
            <w:tcW w:w="808" w:type="dxa"/>
            <w:tcMar>
              <w:top w:w="16" w:type="dxa"/>
              <w:left w:w="16" w:type="dxa"/>
              <w:bottom w:w="0" w:type="dxa"/>
              <w:right w:w="16" w:type="dxa"/>
            </w:tcMar>
            <w:vAlign w:val="center"/>
          </w:tcPr>
          <w:p w14:paraId="53C146A5" w14:textId="77777777" w:rsidR="00A84742" w:rsidRPr="00A253EC" w:rsidRDefault="00A84742" w:rsidP="00A84742">
            <w:pPr>
              <w:jc w:val="center"/>
              <w:rPr>
                <w:rFonts w:ascii="Arial Narrow" w:eastAsia="Arial Unicode MS" w:hAnsi="Arial Narrow"/>
                <w:bCs/>
                <w:sz w:val="18"/>
                <w:szCs w:val="18"/>
              </w:rPr>
            </w:pPr>
          </w:p>
        </w:tc>
        <w:tc>
          <w:tcPr>
            <w:tcW w:w="8541" w:type="dxa"/>
            <w:tcMar>
              <w:top w:w="16" w:type="dxa"/>
              <w:left w:w="16" w:type="dxa"/>
              <w:bottom w:w="0" w:type="dxa"/>
              <w:right w:w="16" w:type="dxa"/>
            </w:tcMar>
            <w:vAlign w:val="center"/>
          </w:tcPr>
          <w:p w14:paraId="53C146A6" w14:textId="77777777" w:rsidR="00A84742" w:rsidRPr="00A253EC" w:rsidRDefault="00A84742" w:rsidP="00A84742">
            <w:pPr>
              <w:spacing w:after="0"/>
              <w:jc w:val="left"/>
              <w:rPr>
                <w:rFonts w:ascii="Arial Narrow" w:eastAsia="Arial Unicode MS" w:hAnsi="Arial Narrow"/>
                <w:bCs/>
                <w:sz w:val="18"/>
                <w:szCs w:val="18"/>
                <w:lang w:val="da-DK"/>
              </w:rPr>
            </w:pPr>
            <w:r w:rsidRPr="00A253EC">
              <w:rPr>
                <w:rFonts w:ascii="Arial Narrow" w:hAnsi="Arial Narrow"/>
                <w:bCs/>
                <w:sz w:val="18"/>
                <w:szCs w:val="18"/>
                <w:lang w:val="da-DK"/>
              </w:rPr>
              <w:t>Cyclone Yasi 2011 (86% at 2 m, 45% at 5 m)</w:t>
            </w:r>
          </w:p>
        </w:tc>
      </w:tr>
      <w:tr w:rsidR="00CE4E0F" w:rsidRPr="00A253EC" w14:paraId="53C146AE" w14:textId="77777777" w:rsidTr="004F16D3">
        <w:trPr>
          <w:cantSplit/>
          <w:trHeight w:val="297"/>
        </w:trPr>
        <w:tc>
          <w:tcPr>
            <w:tcW w:w="583" w:type="dxa"/>
            <w:vMerge/>
            <w:vAlign w:val="center"/>
          </w:tcPr>
          <w:p w14:paraId="53C146A8" w14:textId="77777777" w:rsidR="00A84742" w:rsidRPr="00A253EC" w:rsidRDefault="00A84742" w:rsidP="00A84742">
            <w:pPr>
              <w:rPr>
                <w:rFonts w:ascii="Arial Narrow" w:eastAsia="Arial Unicode MS" w:hAnsi="Arial Narrow"/>
                <w:bCs/>
                <w:sz w:val="20"/>
                <w:lang w:val="da-DK"/>
              </w:rPr>
            </w:pPr>
          </w:p>
        </w:tc>
        <w:tc>
          <w:tcPr>
            <w:tcW w:w="1907" w:type="dxa"/>
            <w:tcMar>
              <w:top w:w="16" w:type="dxa"/>
              <w:left w:w="16" w:type="dxa"/>
              <w:bottom w:w="0" w:type="dxa"/>
              <w:right w:w="16" w:type="dxa"/>
            </w:tcMar>
            <w:vAlign w:val="bottom"/>
          </w:tcPr>
          <w:p w14:paraId="53C146A9" w14:textId="77777777" w:rsidR="00A84742" w:rsidRPr="00A253EC" w:rsidRDefault="00A84742" w:rsidP="00A84742">
            <w:pPr>
              <w:ind w:left="200"/>
              <w:rPr>
                <w:rFonts w:ascii="Arial Narrow" w:eastAsia="Arial Unicode MS" w:hAnsi="Arial Narrow"/>
                <w:bCs/>
                <w:sz w:val="20"/>
              </w:rPr>
            </w:pPr>
            <w:r w:rsidRPr="00A253EC">
              <w:rPr>
                <w:rFonts w:ascii="Arial Narrow" w:hAnsi="Arial Narrow"/>
                <w:bCs/>
                <w:sz w:val="20"/>
              </w:rPr>
              <w:t>Pandora Reef</w:t>
            </w:r>
          </w:p>
        </w:tc>
        <w:tc>
          <w:tcPr>
            <w:tcW w:w="954" w:type="dxa"/>
            <w:tcMar>
              <w:top w:w="16" w:type="dxa"/>
              <w:left w:w="16" w:type="dxa"/>
              <w:bottom w:w="0" w:type="dxa"/>
              <w:right w:w="16" w:type="dxa"/>
            </w:tcMar>
            <w:vAlign w:val="center"/>
          </w:tcPr>
          <w:p w14:paraId="53C146AA"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0.93 (21%)</w:t>
            </w:r>
          </w:p>
        </w:tc>
        <w:tc>
          <w:tcPr>
            <w:tcW w:w="816" w:type="dxa"/>
            <w:vAlign w:val="center"/>
          </w:tcPr>
          <w:p w14:paraId="53C146AB"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0.85 (2%)</w:t>
            </w:r>
          </w:p>
        </w:tc>
        <w:tc>
          <w:tcPr>
            <w:tcW w:w="808" w:type="dxa"/>
            <w:tcMar>
              <w:top w:w="16" w:type="dxa"/>
              <w:left w:w="16" w:type="dxa"/>
              <w:bottom w:w="0" w:type="dxa"/>
              <w:right w:w="16" w:type="dxa"/>
            </w:tcMar>
            <w:vAlign w:val="center"/>
          </w:tcPr>
          <w:p w14:paraId="53C146AC"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33% (2 m)</w:t>
            </w:r>
          </w:p>
        </w:tc>
        <w:tc>
          <w:tcPr>
            <w:tcW w:w="8541" w:type="dxa"/>
            <w:tcMar>
              <w:top w:w="16" w:type="dxa"/>
              <w:left w:w="16" w:type="dxa"/>
              <w:bottom w:w="0" w:type="dxa"/>
              <w:right w:w="16" w:type="dxa"/>
            </w:tcMar>
            <w:vAlign w:val="center"/>
          </w:tcPr>
          <w:p w14:paraId="53C146AD" w14:textId="77777777" w:rsidR="00A84742" w:rsidRPr="00A253EC" w:rsidRDefault="00A84742" w:rsidP="00A84742">
            <w:pPr>
              <w:spacing w:after="0"/>
              <w:jc w:val="left"/>
              <w:rPr>
                <w:rFonts w:ascii="Arial Narrow" w:eastAsia="Arial Unicode MS" w:hAnsi="Arial Narrow"/>
                <w:bCs/>
                <w:sz w:val="18"/>
                <w:szCs w:val="18"/>
              </w:rPr>
            </w:pPr>
            <w:r w:rsidRPr="00A253EC">
              <w:rPr>
                <w:rFonts w:ascii="Arial Narrow" w:hAnsi="Arial Narrow"/>
                <w:bCs/>
                <w:sz w:val="18"/>
                <w:szCs w:val="18"/>
              </w:rPr>
              <w:t>Cyclone Tessie 2000 (9%), Cyclone Larry 2006 (80% at 2 m, 34% at 5 m), Storm 2009 (37% at 2 m, 56% at 5 m), Cyclone Yasi 2011 (30% at 2 m, 57% at 5 m)</w:t>
            </w:r>
          </w:p>
        </w:tc>
      </w:tr>
      <w:tr w:rsidR="00CE4E0F" w:rsidRPr="00A253EC" w14:paraId="53C146B5" w14:textId="77777777" w:rsidTr="004F16D3">
        <w:trPr>
          <w:cantSplit/>
          <w:trHeight w:val="297"/>
        </w:trPr>
        <w:tc>
          <w:tcPr>
            <w:tcW w:w="583" w:type="dxa"/>
            <w:vMerge/>
            <w:vAlign w:val="center"/>
          </w:tcPr>
          <w:p w14:paraId="53C146AF" w14:textId="77777777" w:rsidR="00A84742" w:rsidRPr="00A253EC" w:rsidRDefault="00A84742" w:rsidP="00A84742">
            <w:pPr>
              <w:rPr>
                <w:rFonts w:ascii="Arial Narrow" w:eastAsia="Arial Unicode MS" w:hAnsi="Arial Narrow"/>
                <w:bCs/>
                <w:sz w:val="20"/>
              </w:rPr>
            </w:pPr>
          </w:p>
        </w:tc>
        <w:tc>
          <w:tcPr>
            <w:tcW w:w="1907" w:type="dxa"/>
            <w:tcMar>
              <w:top w:w="16" w:type="dxa"/>
              <w:left w:w="16" w:type="dxa"/>
              <w:bottom w:w="0" w:type="dxa"/>
              <w:right w:w="16" w:type="dxa"/>
            </w:tcMar>
            <w:vAlign w:val="bottom"/>
          </w:tcPr>
          <w:p w14:paraId="53C146B0" w14:textId="77777777" w:rsidR="00A84742" w:rsidRPr="00A253EC" w:rsidRDefault="00A84742" w:rsidP="00A84742">
            <w:pPr>
              <w:ind w:left="200"/>
              <w:rPr>
                <w:rFonts w:ascii="Arial Narrow" w:hAnsi="Arial Narrow"/>
                <w:bCs/>
                <w:sz w:val="20"/>
              </w:rPr>
            </w:pPr>
            <w:r w:rsidRPr="00A253EC">
              <w:rPr>
                <w:rFonts w:ascii="Arial Narrow" w:hAnsi="Arial Narrow"/>
                <w:bCs/>
                <w:sz w:val="20"/>
              </w:rPr>
              <w:t>Pandora North</w:t>
            </w:r>
          </w:p>
        </w:tc>
        <w:tc>
          <w:tcPr>
            <w:tcW w:w="954" w:type="dxa"/>
            <w:tcMar>
              <w:top w:w="16" w:type="dxa"/>
              <w:left w:w="16" w:type="dxa"/>
              <w:bottom w:w="0" w:type="dxa"/>
              <w:right w:w="16" w:type="dxa"/>
            </w:tcMar>
            <w:vAlign w:val="center"/>
          </w:tcPr>
          <w:p w14:paraId="53C146B1" w14:textId="77777777" w:rsidR="00A84742" w:rsidRPr="00A253EC" w:rsidRDefault="00A84742" w:rsidP="00A84742">
            <w:pPr>
              <w:jc w:val="center"/>
              <w:rPr>
                <w:rFonts w:ascii="Arial Narrow" w:hAnsi="Arial Narrow"/>
                <w:bCs/>
                <w:sz w:val="18"/>
                <w:szCs w:val="18"/>
              </w:rPr>
            </w:pPr>
            <w:r w:rsidRPr="00A253EC">
              <w:rPr>
                <w:rFonts w:ascii="Arial Narrow" w:hAnsi="Arial Narrow"/>
                <w:bCs/>
                <w:sz w:val="18"/>
                <w:szCs w:val="18"/>
              </w:rPr>
              <w:t>11%</w:t>
            </w:r>
          </w:p>
        </w:tc>
        <w:tc>
          <w:tcPr>
            <w:tcW w:w="816" w:type="dxa"/>
            <w:vAlign w:val="center"/>
          </w:tcPr>
          <w:p w14:paraId="53C146B2" w14:textId="77777777" w:rsidR="00A84742" w:rsidRPr="00A253EC" w:rsidRDefault="00A84742" w:rsidP="00A84742">
            <w:pPr>
              <w:jc w:val="center"/>
              <w:rPr>
                <w:rFonts w:ascii="Arial Narrow" w:hAnsi="Arial Narrow"/>
                <w:bCs/>
                <w:sz w:val="18"/>
                <w:szCs w:val="18"/>
              </w:rPr>
            </w:pPr>
          </w:p>
        </w:tc>
        <w:tc>
          <w:tcPr>
            <w:tcW w:w="808" w:type="dxa"/>
            <w:tcMar>
              <w:top w:w="16" w:type="dxa"/>
              <w:left w:w="16" w:type="dxa"/>
              <w:bottom w:w="0" w:type="dxa"/>
              <w:right w:w="16" w:type="dxa"/>
            </w:tcMar>
            <w:vAlign w:val="center"/>
          </w:tcPr>
          <w:p w14:paraId="53C146B3" w14:textId="77777777" w:rsidR="00A84742" w:rsidRPr="00A253EC" w:rsidRDefault="0047252C" w:rsidP="00A84742">
            <w:pPr>
              <w:jc w:val="center"/>
              <w:rPr>
                <w:rFonts w:ascii="Arial Narrow" w:eastAsia="Arial Unicode MS" w:hAnsi="Arial Narrow"/>
                <w:bCs/>
                <w:sz w:val="18"/>
                <w:szCs w:val="18"/>
              </w:rPr>
            </w:pPr>
            <w:r>
              <w:rPr>
                <w:rFonts w:ascii="Arial Narrow" w:eastAsia="Arial Unicode MS" w:hAnsi="Arial Narrow"/>
                <w:bCs/>
                <w:sz w:val="18"/>
                <w:szCs w:val="18"/>
              </w:rPr>
              <w:t>5 %*</w:t>
            </w:r>
          </w:p>
        </w:tc>
        <w:tc>
          <w:tcPr>
            <w:tcW w:w="8541" w:type="dxa"/>
            <w:tcMar>
              <w:top w:w="16" w:type="dxa"/>
              <w:left w:w="16" w:type="dxa"/>
              <w:bottom w:w="0" w:type="dxa"/>
              <w:right w:w="16" w:type="dxa"/>
            </w:tcMar>
            <w:vAlign w:val="center"/>
          </w:tcPr>
          <w:p w14:paraId="53C146B4" w14:textId="77777777" w:rsidR="00A84742" w:rsidRPr="00A253EC" w:rsidRDefault="00A84742" w:rsidP="00A84742">
            <w:pPr>
              <w:spacing w:after="0"/>
              <w:jc w:val="left"/>
              <w:rPr>
                <w:rFonts w:ascii="Arial Narrow" w:hAnsi="Arial Narrow"/>
                <w:bCs/>
                <w:sz w:val="18"/>
                <w:szCs w:val="18"/>
              </w:rPr>
            </w:pPr>
            <w:r w:rsidRPr="00A253EC">
              <w:rPr>
                <w:rFonts w:ascii="Arial Narrow" w:hAnsi="Arial Narrow"/>
                <w:bCs/>
                <w:sz w:val="18"/>
                <w:szCs w:val="18"/>
              </w:rPr>
              <w:t>Cyclone Yasi 2011 (25%)</w:t>
            </w:r>
          </w:p>
        </w:tc>
      </w:tr>
      <w:tr w:rsidR="00CE4E0F" w:rsidRPr="00A253EC" w14:paraId="53C146BC" w14:textId="77777777" w:rsidTr="004F16D3">
        <w:trPr>
          <w:cantSplit/>
          <w:trHeight w:val="265"/>
        </w:trPr>
        <w:tc>
          <w:tcPr>
            <w:tcW w:w="583" w:type="dxa"/>
            <w:vMerge/>
            <w:vAlign w:val="center"/>
          </w:tcPr>
          <w:p w14:paraId="53C146B6" w14:textId="77777777" w:rsidR="00A84742" w:rsidRPr="00A253EC" w:rsidRDefault="00A84742" w:rsidP="00A84742">
            <w:pPr>
              <w:rPr>
                <w:rFonts w:ascii="Arial Narrow" w:eastAsia="Arial Unicode MS" w:hAnsi="Arial Narrow"/>
                <w:bCs/>
                <w:sz w:val="20"/>
              </w:rPr>
            </w:pPr>
          </w:p>
        </w:tc>
        <w:tc>
          <w:tcPr>
            <w:tcW w:w="1907" w:type="dxa"/>
            <w:tcMar>
              <w:top w:w="16" w:type="dxa"/>
              <w:left w:w="16" w:type="dxa"/>
              <w:bottom w:w="0" w:type="dxa"/>
              <w:right w:w="16" w:type="dxa"/>
            </w:tcMar>
            <w:vAlign w:val="bottom"/>
          </w:tcPr>
          <w:p w14:paraId="53C146B7" w14:textId="77777777" w:rsidR="00A84742" w:rsidRPr="00A253EC" w:rsidRDefault="00A84742" w:rsidP="00A84742">
            <w:pPr>
              <w:ind w:left="200"/>
              <w:rPr>
                <w:rFonts w:ascii="Arial Narrow" w:eastAsia="Arial Unicode MS" w:hAnsi="Arial Narrow"/>
                <w:bCs/>
                <w:sz w:val="20"/>
              </w:rPr>
            </w:pPr>
            <w:r w:rsidRPr="00A253EC">
              <w:rPr>
                <w:rFonts w:ascii="Arial Narrow" w:hAnsi="Arial Narrow"/>
                <w:bCs/>
                <w:sz w:val="20"/>
              </w:rPr>
              <w:t>Havannah</w:t>
            </w:r>
          </w:p>
        </w:tc>
        <w:tc>
          <w:tcPr>
            <w:tcW w:w="954" w:type="dxa"/>
            <w:tcMar>
              <w:top w:w="16" w:type="dxa"/>
              <w:left w:w="16" w:type="dxa"/>
              <w:bottom w:w="0" w:type="dxa"/>
              <w:right w:w="16" w:type="dxa"/>
            </w:tcMar>
            <w:vAlign w:val="center"/>
          </w:tcPr>
          <w:p w14:paraId="53C146B8"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 xml:space="preserve">0.93 </w:t>
            </w:r>
          </w:p>
        </w:tc>
        <w:tc>
          <w:tcPr>
            <w:tcW w:w="816" w:type="dxa"/>
            <w:vAlign w:val="center"/>
          </w:tcPr>
          <w:p w14:paraId="53C146B9"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 xml:space="preserve">0.95 </w:t>
            </w:r>
          </w:p>
        </w:tc>
        <w:tc>
          <w:tcPr>
            <w:tcW w:w="808" w:type="dxa"/>
            <w:tcMar>
              <w:top w:w="16" w:type="dxa"/>
              <w:left w:w="16" w:type="dxa"/>
              <w:bottom w:w="0" w:type="dxa"/>
              <w:right w:w="16" w:type="dxa"/>
            </w:tcMar>
            <w:vAlign w:val="center"/>
          </w:tcPr>
          <w:p w14:paraId="53C146BA"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37% (2 m) 11% (5 m)</w:t>
            </w:r>
          </w:p>
        </w:tc>
        <w:tc>
          <w:tcPr>
            <w:tcW w:w="8541" w:type="dxa"/>
            <w:tcMar>
              <w:top w:w="16" w:type="dxa"/>
              <w:left w:w="16" w:type="dxa"/>
              <w:bottom w:w="0" w:type="dxa"/>
              <w:right w:w="16" w:type="dxa"/>
            </w:tcMar>
            <w:vAlign w:val="center"/>
          </w:tcPr>
          <w:p w14:paraId="53C146BB" w14:textId="77777777" w:rsidR="00A84742" w:rsidRPr="00A253EC" w:rsidRDefault="00A84742" w:rsidP="00A84742">
            <w:pPr>
              <w:spacing w:after="0"/>
              <w:jc w:val="left"/>
              <w:rPr>
                <w:rFonts w:ascii="Arial Narrow" w:eastAsia="Arial Unicode MS" w:hAnsi="Arial Narrow"/>
                <w:bCs/>
                <w:sz w:val="18"/>
                <w:szCs w:val="18"/>
              </w:rPr>
            </w:pPr>
            <w:r w:rsidRPr="00A253EC">
              <w:rPr>
                <w:rFonts w:ascii="Arial Narrow" w:hAnsi="Arial Narrow"/>
                <w:bCs/>
                <w:sz w:val="18"/>
                <w:szCs w:val="18"/>
              </w:rPr>
              <w:t>Combination of Cyclone Tessie and Crown-of-thorns 1999-2001 (66%) Cyclone Yasi 2011 (35% at 2 m, 34% at 5 m), Disease 2016 (9% at 2 m), Bleaching 2018 (26% at 2 m, 16% at 5 m)</w:t>
            </w:r>
            <w:r w:rsidR="00B22637" w:rsidRPr="00A253EC">
              <w:rPr>
                <w:rFonts w:ascii="Arial Narrow" w:hAnsi="Arial Narrow"/>
                <w:bCs/>
                <w:sz w:val="18"/>
                <w:szCs w:val="18"/>
              </w:rPr>
              <w:t>, Disease 2019 (</w:t>
            </w:r>
            <w:r w:rsidR="00A253EC" w:rsidRPr="00A253EC">
              <w:rPr>
                <w:rFonts w:ascii="Arial Narrow" w:hAnsi="Arial Narrow"/>
                <w:bCs/>
                <w:sz w:val="18"/>
                <w:szCs w:val="18"/>
              </w:rPr>
              <w:t>23%</w:t>
            </w:r>
            <w:r w:rsidR="00B22637" w:rsidRPr="00A253EC">
              <w:rPr>
                <w:rFonts w:ascii="Arial Narrow" w:hAnsi="Arial Narrow"/>
                <w:bCs/>
                <w:sz w:val="18"/>
                <w:szCs w:val="18"/>
              </w:rPr>
              <w:t xml:space="preserve"> at 2 m)</w:t>
            </w:r>
          </w:p>
        </w:tc>
      </w:tr>
      <w:tr w:rsidR="00CE4E0F" w:rsidRPr="00A253EC" w14:paraId="53C146C3" w14:textId="77777777" w:rsidTr="004F16D3">
        <w:trPr>
          <w:cantSplit/>
          <w:trHeight w:val="265"/>
        </w:trPr>
        <w:tc>
          <w:tcPr>
            <w:tcW w:w="583" w:type="dxa"/>
            <w:vMerge/>
            <w:vAlign w:val="center"/>
          </w:tcPr>
          <w:p w14:paraId="53C146BD" w14:textId="77777777" w:rsidR="00A84742" w:rsidRPr="00A253EC" w:rsidRDefault="00A84742" w:rsidP="00A84742">
            <w:pPr>
              <w:rPr>
                <w:rFonts w:ascii="Arial Narrow" w:eastAsia="Arial Unicode MS" w:hAnsi="Arial Narrow"/>
                <w:bCs/>
                <w:sz w:val="20"/>
              </w:rPr>
            </w:pPr>
          </w:p>
        </w:tc>
        <w:tc>
          <w:tcPr>
            <w:tcW w:w="1907" w:type="dxa"/>
            <w:tcMar>
              <w:top w:w="16" w:type="dxa"/>
              <w:left w:w="16" w:type="dxa"/>
              <w:bottom w:w="0" w:type="dxa"/>
              <w:right w:w="16" w:type="dxa"/>
            </w:tcMar>
            <w:vAlign w:val="bottom"/>
          </w:tcPr>
          <w:p w14:paraId="53C146BE" w14:textId="77777777" w:rsidR="00A84742" w:rsidRPr="00A253EC" w:rsidRDefault="00A84742" w:rsidP="00A84742">
            <w:pPr>
              <w:ind w:left="200"/>
              <w:rPr>
                <w:rFonts w:ascii="Arial Narrow" w:hAnsi="Arial Narrow"/>
                <w:bCs/>
                <w:sz w:val="20"/>
              </w:rPr>
            </w:pPr>
            <w:r w:rsidRPr="00A253EC">
              <w:rPr>
                <w:rFonts w:ascii="Arial Narrow" w:hAnsi="Arial Narrow"/>
                <w:bCs/>
                <w:sz w:val="20"/>
              </w:rPr>
              <w:t>Havannah North</w:t>
            </w:r>
          </w:p>
        </w:tc>
        <w:tc>
          <w:tcPr>
            <w:tcW w:w="954" w:type="dxa"/>
            <w:tcMar>
              <w:top w:w="16" w:type="dxa"/>
              <w:left w:w="16" w:type="dxa"/>
              <w:bottom w:w="0" w:type="dxa"/>
              <w:right w:w="16" w:type="dxa"/>
            </w:tcMar>
            <w:vAlign w:val="center"/>
          </w:tcPr>
          <w:p w14:paraId="53C146BF" w14:textId="77777777" w:rsidR="00A84742" w:rsidRPr="00A253EC" w:rsidRDefault="00A84742" w:rsidP="00A84742">
            <w:pPr>
              <w:jc w:val="center"/>
              <w:rPr>
                <w:rFonts w:ascii="Arial Narrow" w:hAnsi="Arial Narrow"/>
                <w:bCs/>
                <w:sz w:val="18"/>
                <w:szCs w:val="18"/>
              </w:rPr>
            </w:pPr>
            <w:r w:rsidRPr="00A253EC">
              <w:rPr>
                <w:rFonts w:ascii="Arial Narrow" w:hAnsi="Arial Narrow"/>
                <w:bCs/>
                <w:sz w:val="18"/>
                <w:szCs w:val="18"/>
              </w:rPr>
              <w:t>49%</w:t>
            </w:r>
          </w:p>
        </w:tc>
        <w:tc>
          <w:tcPr>
            <w:tcW w:w="816" w:type="dxa"/>
            <w:vAlign w:val="center"/>
          </w:tcPr>
          <w:p w14:paraId="53C146C0" w14:textId="77777777" w:rsidR="00A84742" w:rsidRPr="00A253EC" w:rsidRDefault="00A84742" w:rsidP="00A84742">
            <w:pPr>
              <w:jc w:val="center"/>
              <w:rPr>
                <w:rFonts w:ascii="Arial Narrow" w:hAnsi="Arial Narrow"/>
                <w:bCs/>
                <w:sz w:val="18"/>
                <w:szCs w:val="18"/>
              </w:rPr>
            </w:pPr>
            <w:r w:rsidRPr="00A253EC">
              <w:rPr>
                <w:rFonts w:ascii="Arial Narrow" w:hAnsi="Arial Narrow"/>
                <w:bCs/>
                <w:sz w:val="18"/>
                <w:szCs w:val="18"/>
              </w:rPr>
              <w:t>21%</w:t>
            </w:r>
          </w:p>
        </w:tc>
        <w:tc>
          <w:tcPr>
            <w:tcW w:w="808" w:type="dxa"/>
            <w:tcMar>
              <w:top w:w="16" w:type="dxa"/>
              <w:left w:w="16" w:type="dxa"/>
              <w:bottom w:w="0" w:type="dxa"/>
              <w:right w:w="16" w:type="dxa"/>
            </w:tcMar>
            <w:vAlign w:val="center"/>
          </w:tcPr>
          <w:p w14:paraId="53C146C1" w14:textId="77777777" w:rsidR="00A84742" w:rsidRPr="00A253EC" w:rsidRDefault="00A84742" w:rsidP="00A84742">
            <w:pPr>
              <w:jc w:val="center"/>
              <w:rPr>
                <w:rFonts w:ascii="Arial Narrow" w:eastAsia="Arial Unicode MS" w:hAnsi="Arial Narrow"/>
                <w:bCs/>
                <w:sz w:val="18"/>
                <w:szCs w:val="18"/>
              </w:rPr>
            </w:pPr>
          </w:p>
        </w:tc>
        <w:tc>
          <w:tcPr>
            <w:tcW w:w="8541" w:type="dxa"/>
            <w:tcMar>
              <w:top w:w="16" w:type="dxa"/>
              <w:left w:w="16" w:type="dxa"/>
              <w:bottom w:w="0" w:type="dxa"/>
              <w:right w:w="16" w:type="dxa"/>
            </w:tcMar>
            <w:vAlign w:val="center"/>
          </w:tcPr>
          <w:p w14:paraId="53C146C2" w14:textId="77777777" w:rsidR="00A84742" w:rsidRPr="00A253EC" w:rsidRDefault="00A84742" w:rsidP="00A84742">
            <w:pPr>
              <w:spacing w:after="0"/>
              <w:jc w:val="left"/>
              <w:rPr>
                <w:rFonts w:ascii="Arial Narrow" w:hAnsi="Arial Narrow"/>
                <w:bCs/>
                <w:sz w:val="18"/>
                <w:szCs w:val="18"/>
              </w:rPr>
            </w:pPr>
            <w:r w:rsidRPr="00A253EC">
              <w:rPr>
                <w:rFonts w:ascii="Arial Narrow" w:hAnsi="Arial Narrow"/>
                <w:bCs/>
                <w:sz w:val="18"/>
                <w:szCs w:val="18"/>
              </w:rPr>
              <w:t>Cyclone Tessie 2000 (54%), 2001 COTS (44%) Cyclone Yasi 2011 (69%)</w:t>
            </w:r>
          </w:p>
        </w:tc>
      </w:tr>
      <w:tr w:rsidR="00CE4E0F" w:rsidRPr="00A253EC" w14:paraId="53C146CA" w14:textId="77777777" w:rsidTr="004F16D3">
        <w:trPr>
          <w:cantSplit/>
          <w:trHeight w:val="248"/>
        </w:trPr>
        <w:tc>
          <w:tcPr>
            <w:tcW w:w="583" w:type="dxa"/>
            <w:vMerge/>
            <w:vAlign w:val="center"/>
          </w:tcPr>
          <w:p w14:paraId="53C146C4" w14:textId="77777777" w:rsidR="00A84742" w:rsidRPr="00A253EC" w:rsidRDefault="00A84742" w:rsidP="00A84742">
            <w:pPr>
              <w:rPr>
                <w:rFonts w:ascii="Arial Narrow" w:eastAsia="Arial Unicode MS" w:hAnsi="Arial Narrow"/>
                <w:bCs/>
                <w:sz w:val="20"/>
              </w:rPr>
            </w:pPr>
          </w:p>
        </w:tc>
        <w:tc>
          <w:tcPr>
            <w:tcW w:w="1907" w:type="dxa"/>
            <w:tcMar>
              <w:top w:w="16" w:type="dxa"/>
              <w:left w:w="16" w:type="dxa"/>
              <w:bottom w:w="0" w:type="dxa"/>
              <w:right w:w="16" w:type="dxa"/>
            </w:tcMar>
            <w:vAlign w:val="bottom"/>
          </w:tcPr>
          <w:p w14:paraId="53C146C5" w14:textId="77777777" w:rsidR="00A84742" w:rsidRPr="00A253EC" w:rsidRDefault="00A84742" w:rsidP="00A84742">
            <w:pPr>
              <w:ind w:left="200"/>
              <w:rPr>
                <w:rFonts w:ascii="Arial Narrow" w:hAnsi="Arial Narrow"/>
                <w:bCs/>
                <w:sz w:val="20"/>
              </w:rPr>
            </w:pPr>
            <w:r w:rsidRPr="00A253EC">
              <w:rPr>
                <w:rFonts w:ascii="Arial Narrow" w:hAnsi="Arial Narrow"/>
                <w:bCs/>
                <w:sz w:val="20"/>
              </w:rPr>
              <w:t>Middle Reef LTMP</w:t>
            </w:r>
          </w:p>
        </w:tc>
        <w:tc>
          <w:tcPr>
            <w:tcW w:w="954" w:type="dxa"/>
            <w:tcMar>
              <w:top w:w="16" w:type="dxa"/>
              <w:left w:w="16" w:type="dxa"/>
              <w:bottom w:w="0" w:type="dxa"/>
              <w:right w:w="16" w:type="dxa"/>
            </w:tcMar>
            <w:vAlign w:val="center"/>
          </w:tcPr>
          <w:p w14:paraId="53C146C6" w14:textId="77777777" w:rsidR="00A84742" w:rsidRPr="00A253EC" w:rsidRDefault="00A84742" w:rsidP="00A84742">
            <w:pPr>
              <w:jc w:val="center"/>
              <w:rPr>
                <w:rFonts w:ascii="Arial Narrow" w:hAnsi="Arial Narrow"/>
                <w:bCs/>
                <w:sz w:val="18"/>
                <w:szCs w:val="18"/>
              </w:rPr>
            </w:pPr>
            <w:r w:rsidRPr="00A253EC">
              <w:rPr>
                <w:rFonts w:ascii="Arial Narrow" w:hAnsi="Arial Narrow"/>
                <w:bCs/>
                <w:sz w:val="18"/>
                <w:szCs w:val="18"/>
              </w:rPr>
              <w:t>(7%)</w:t>
            </w:r>
          </w:p>
        </w:tc>
        <w:tc>
          <w:tcPr>
            <w:tcW w:w="816" w:type="dxa"/>
            <w:vAlign w:val="center"/>
          </w:tcPr>
          <w:p w14:paraId="53C146C7" w14:textId="77777777" w:rsidR="00A84742" w:rsidRPr="00A253EC" w:rsidRDefault="00A84742" w:rsidP="00A84742">
            <w:pPr>
              <w:jc w:val="center"/>
              <w:rPr>
                <w:rFonts w:ascii="Arial Narrow" w:hAnsi="Arial Narrow"/>
                <w:bCs/>
                <w:sz w:val="18"/>
                <w:szCs w:val="18"/>
              </w:rPr>
            </w:pPr>
            <w:r w:rsidRPr="00A253EC">
              <w:rPr>
                <w:rFonts w:ascii="Arial Narrow" w:hAnsi="Arial Narrow"/>
                <w:bCs/>
                <w:sz w:val="18"/>
                <w:szCs w:val="18"/>
              </w:rPr>
              <w:t>(12%)</w:t>
            </w:r>
          </w:p>
        </w:tc>
        <w:tc>
          <w:tcPr>
            <w:tcW w:w="808" w:type="dxa"/>
            <w:tcMar>
              <w:top w:w="16" w:type="dxa"/>
              <w:left w:w="16" w:type="dxa"/>
              <w:bottom w:w="0" w:type="dxa"/>
              <w:right w:w="16" w:type="dxa"/>
            </w:tcMar>
            <w:vAlign w:val="center"/>
          </w:tcPr>
          <w:p w14:paraId="53C146C8" w14:textId="77777777" w:rsidR="00A84742" w:rsidRPr="00A253EC" w:rsidRDefault="00A84742" w:rsidP="00A84742">
            <w:pPr>
              <w:jc w:val="center"/>
              <w:rPr>
                <w:rFonts w:ascii="Arial Narrow" w:eastAsia="Arial Unicode MS" w:hAnsi="Arial Narrow"/>
                <w:bCs/>
                <w:sz w:val="18"/>
                <w:szCs w:val="18"/>
              </w:rPr>
            </w:pPr>
            <w:r w:rsidRPr="00A253EC">
              <w:rPr>
                <w:rFonts w:ascii="Arial Narrow" w:eastAsia="Arial Unicode MS" w:hAnsi="Arial Narrow"/>
                <w:bCs/>
                <w:sz w:val="18"/>
                <w:szCs w:val="18"/>
              </w:rPr>
              <w:t>n/a</w:t>
            </w:r>
          </w:p>
        </w:tc>
        <w:tc>
          <w:tcPr>
            <w:tcW w:w="8541" w:type="dxa"/>
            <w:tcMar>
              <w:top w:w="16" w:type="dxa"/>
              <w:left w:w="16" w:type="dxa"/>
              <w:bottom w:w="0" w:type="dxa"/>
              <w:right w:w="16" w:type="dxa"/>
            </w:tcMar>
            <w:vAlign w:val="center"/>
          </w:tcPr>
          <w:p w14:paraId="53C146C9" w14:textId="77777777" w:rsidR="00A84742" w:rsidRPr="00A253EC" w:rsidRDefault="00A84742" w:rsidP="00A84742">
            <w:pPr>
              <w:spacing w:after="0"/>
              <w:jc w:val="left"/>
              <w:rPr>
                <w:rFonts w:ascii="Arial Narrow" w:hAnsi="Arial Narrow"/>
                <w:bCs/>
                <w:sz w:val="18"/>
                <w:szCs w:val="18"/>
              </w:rPr>
            </w:pPr>
            <w:r w:rsidRPr="00A253EC">
              <w:rPr>
                <w:rFonts w:ascii="Arial Narrow" w:hAnsi="Arial Narrow"/>
                <w:bCs/>
                <w:sz w:val="18"/>
                <w:szCs w:val="18"/>
              </w:rPr>
              <w:t>Flood 2009 (20%)</w:t>
            </w:r>
          </w:p>
        </w:tc>
      </w:tr>
      <w:tr w:rsidR="00A84742" w:rsidRPr="00A253EC" w14:paraId="53C146D1" w14:textId="77777777" w:rsidTr="004F16D3">
        <w:trPr>
          <w:cantSplit/>
          <w:trHeight w:val="409"/>
        </w:trPr>
        <w:tc>
          <w:tcPr>
            <w:tcW w:w="583" w:type="dxa"/>
            <w:vMerge/>
            <w:vAlign w:val="center"/>
          </w:tcPr>
          <w:p w14:paraId="53C146CB" w14:textId="77777777" w:rsidR="00A84742" w:rsidRPr="00A253EC" w:rsidRDefault="00A84742" w:rsidP="00A84742">
            <w:pPr>
              <w:rPr>
                <w:rFonts w:ascii="Arial Narrow" w:eastAsia="Arial Unicode MS" w:hAnsi="Arial Narrow"/>
                <w:bCs/>
                <w:sz w:val="20"/>
              </w:rPr>
            </w:pPr>
          </w:p>
        </w:tc>
        <w:tc>
          <w:tcPr>
            <w:tcW w:w="1907" w:type="dxa"/>
            <w:tcMar>
              <w:top w:w="16" w:type="dxa"/>
              <w:left w:w="16" w:type="dxa"/>
              <w:bottom w:w="0" w:type="dxa"/>
              <w:right w:w="16" w:type="dxa"/>
            </w:tcMar>
            <w:vAlign w:val="bottom"/>
          </w:tcPr>
          <w:p w14:paraId="53C146CC" w14:textId="77777777" w:rsidR="00A84742" w:rsidRPr="00A253EC" w:rsidRDefault="00A84742" w:rsidP="00A84742">
            <w:pPr>
              <w:ind w:left="200"/>
              <w:rPr>
                <w:rFonts w:ascii="Arial Narrow" w:eastAsia="Arial Unicode MS" w:hAnsi="Arial Narrow"/>
                <w:bCs/>
                <w:sz w:val="20"/>
              </w:rPr>
            </w:pPr>
            <w:r w:rsidRPr="00A253EC">
              <w:rPr>
                <w:rFonts w:ascii="Arial Narrow" w:hAnsi="Arial Narrow"/>
                <w:bCs/>
                <w:sz w:val="20"/>
              </w:rPr>
              <w:t>Magnetic</w:t>
            </w:r>
          </w:p>
        </w:tc>
        <w:tc>
          <w:tcPr>
            <w:tcW w:w="954" w:type="dxa"/>
            <w:tcMar>
              <w:top w:w="16" w:type="dxa"/>
              <w:left w:w="16" w:type="dxa"/>
              <w:bottom w:w="0" w:type="dxa"/>
              <w:right w:w="16" w:type="dxa"/>
            </w:tcMar>
            <w:vAlign w:val="center"/>
          </w:tcPr>
          <w:p w14:paraId="53C146CD"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0.93 (24%)</w:t>
            </w:r>
          </w:p>
        </w:tc>
        <w:tc>
          <w:tcPr>
            <w:tcW w:w="816" w:type="dxa"/>
            <w:vAlign w:val="center"/>
          </w:tcPr>
          <w:p w14:paraId="53C146CE"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0.95 (37%)</w:t>
            </w:r>
          </w:p>
        </w:tc>
        <w:tc>
          <w:tcPr>
            <w:tcW w:w="808" w:type="dxa"/>
            <w:tcMar>
              <w:top w:w="16" w:type="dxa"/>
              <w:left w:w="16" w:type="dxa"/>
              <w:bottom w:w="0" w:type="dxa"/>
              <w:right w:w="16" w:type="dxa"/>
            </w:tcMar>
            <w:vAlign w:val="center"/>
          </w:tcPr>
          <w:p w14:paraId="53C146CF"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32% (2 m)</w:t>
            </w:r>
          </w:p>
        </w:tc>
        <w:tc>
          <w:tcPr>
            <w:tcW w:w="8541" w:type="dxa"/>
            <w:tcMar>
              <w:top w:w="16" w:type="dxa"/>
              <w:left w:w="16" w:type="dxa"/>
              <w:bottom w:w="0" w:type="dxa"/>
              <w:right w:w="16" w:type="dxa"/>
            </w:tcMar>
            <w:vAlign w:val="center"/>
          </w:tcPr>
          <w:p w14:paraId="53C146D0" w14:textId="77777777" w:rsidR="00A84742" w:rsidRPr="00A253EC" w:rsidRDefault="00A84742" w:rsidP="00A84742">
            <w:pPr>
              <w:spacing w:after="0"/>
              <w:jc w:val="left"/>
              <w:rPr>
                <w:rFonts w:ascii="Arial Narrow" w:hAnsi="Arial Narrow"/>
                <w:bCs/>
                <w:sz w:val="18"/>
                <w:szCs w:val="18"/>
              </w:rPr>
            </w:pPr>
            <w:r w:rsidRPr="00A253EC">
              <w:rPr>
                <w:rFonts w:ascii="Arial Narrow" w:hAnsi="Arial Narrow"/>
                <w:bCs/>
                <w:sz w:val="18"/>
                <w:szCs w:val="18"/>
              </w:rPr>
              <w:t>Cyclone Joy 1990 (13%), Bleaching 1993 (10%), Cyclone Tessie 2000 (18%), Cyclone Larry 2006 (39% at 2 m, 5% at 5 m), Cyclone Yasi and Flood/Bleaching 2011 (39% at 2 m, 20% at 5 m)</w:t>
            </w:r>
          </w:p>
        </w:tc>
      </w:tr>
    </w:tbl>
    <w:p w14:paraId="53C146D2" w14:textId="77777777" w:rsidR="00A84742" w:rsidRPr="00A253EC" w:rsidRDefault="00A84742" w:rsidP="00A84742">
      <w:pPr>
        <w:rPr>
          <w:rFonts w:ascii="Arial Narrow" w:hAnsi="Arial Narrow"/>
          <w:bCs/>
          <w:sz w:val="20"/>
        </w:rPr>
      </w:pPr>
    </w:p>
    <w:p w14:paraId="53C146D3" w14:textId="77777777" w:rsidR="00A84742" w:rsidRPr="00A253EC" w:rsidRDefault="00A84742" w:rsidP="00A84742">
      <w:pPr>
        <w:jc w:val="left"/>
        <w:rPr>
          <w:rFonts w:ascii="Arial Narrow" w:hAnsi="Arial Narrow"/>
          <w:bCs/>
          <w:sz w:val="20"/>
        </w:rPr>
      </w:pPr>
      <w:r w:rsidRPr="00A253EC">
        <w:rPr>
          <w:rFonts w:ascii="Arial Narrow" w:hAnsi="Arial Narrow"/>
          <w:bCs/>
          <w:sz w:val="20"/>
        </w:rPr>
        <w:br w:type="page"/>
      </w:r>
    </w:p>
    <w:p w14:paraId="53C146D4" w14:textId="77777777" w:rsidR="00A84742" w:rsidRPr="00EE76B9" w:rsidRDefault="00A84742" w:rsidP="00A84742">
      <w:pPr>
        <w:rPr>
          <w:rStyle w:val="IntenseReference"/>
        </w:rPr>
      </w:pPr>
      <w:r w:rsidRPr="00EE76B9">
        <w:rPr>
          <w:rStyle w:val="IntenseReference"/>
        </w:rPr>
        <w:lastRenderedPageBreak/>
        <w:t>Table A 4 continued</w:t>
      </w:r>
    </w:p>
    <w:tbl>
      <w:tblPr>
        <w:tblW w:w="13609" w:type="dxa"/>
        <w:tblInd w:w="1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0" w:type="dxa"/>
          <w:right w:w="0" w:type="dxa"/>
        </w:tblCellMar>
        <w:tblLook w:val="0000" w:firstRow="0" w:lastRow="0" w:firstColumn="0" w:lastColumn="0" w:noHBand="0" w:noVBand="0"/>
        <w:tblCaption w:val="Table A1. 4 Disturbance records for each reef."/>
        <w:tblDescription w:val="A table presenting the proportional loss of coral cover at each monitored reef that has been asigned to an accute disturbance"/>
      </w:tblPr>
      <w:tblGrid>
        <w:gridCol w:w="583"/>
        <w:gridCol w:w="1907"/>
        <w:gridCol w:w="954"/>
        <w:gridCol w:w="816"/>
        <w:gridCol w:w="808"/>
        <w:gridCol w:w="8541"/>
      </w:tblGrid>
      <w:tr w:rsidR="00CE4E0F" w:rsidRPr="00A253EC" w14:paraId="53C146D9" w14:textId="77777777" w:rsidTr="004F16D3">
        <w:trPr>
          <w:cantSplit/>
          <w:trHeight w:val="264"/>
        </w:trPr>
        <w:tc>
          <w:tcPr>
            <w:tcW w:w="583" w:type="dxa"/>
            <w:vMerge w:val="restart"/>
            <w:shd w:val="clear" w:color="auto" w:fill="F2F2F2" w:themeFill="background1" w:themeFillShade="F2"/>
            <w:tcMar>
              <w:top w:w="16" w:type="dxa"/>
              <w:left w:w="16" w:type="dxa"/>
              <w:bottom w:w="0" w:type="dxa"/>
              <w:right w:w="16" w:type="dxa"/>
            </w:tcMar>
            <w:textDirection w:val="btLr"/>
            <w:vAlign w:val="center"/>
          </w:tcPr>
          <w:p w14:paraId="53C146D5" w14:textId="77777777" w:rsidR="00A84742" w:rsidRPr="00A253EC" w:rsidRDefault="00A84742" w:rsidP="00A84742">
            <w:pPr>
              <w:jc w:val="center"/>
              <w:rPr>
                <w:rFonts w:ascii="Arial Narrow" w:eastAsia="Arial Unicode MS" w:hAnsi="Arial Narrow"/>
                <w:bCs/>
                <w:sz w:val="20"/>
              </w:rPr>
            </w:pPr>
            <w:r w:rsidRPr="00A253EC">
              <w:rPr>
                <w:rFonts w:ascii="Arial Narrow" w:hAnsi="Arial Narrow"/>
                <w:bCs/>
                <w:sz w:val="20"/>
              </w:rPr>
              <w:t>Region</w:t>
            </w:r>
          </w:p>
        </w:tc>
        <w:tc>
          <w:tcPr>
            <w:tcW w:w="1907" w:type="dxa"/>
            <w:vMerge w:val="restart"/>
            <w:shd w:val="clear" w:color="auto" w:fill="F2F2F2" w:themeFill="background1" w:themeFillShade="F2"/>
            <w:tcMar>
              <w:top w:w="16" w:type="dxa"/>
              <w:left w:w="16" w:type="dxa"/>
              <w:bottom w:w="0" w:type="dxa"/>
              <w:right w:w="16" w:type="dxa"/>
            </w:tcMar>
            <w:vAlign w:val="center"/>
          </w:tcPr>
          <w:p w14:paraId="53C146D6" w14:textId="77777777" w:rsidR="00A84742" w:rsidRPr="00A253EC" w:rsidRDefault="00A84742" w:rsidP="00A84742">
            <w:pPr>
              <w:jc w:val="center"/>
              <w:rPr>
                <w:rFonts w:ascii="Arial Narrow" w:eastAsia="Arial Unicode MS" w:hAnsi="Arial Narrow"/>
                <w:bCs/>
                <w:sz w:val="20"/>
              </w:rPr>
            </w:pPr>
            <w:r w:rsidRPr="00A253EC">
              <w:rPr>
                <w:rFonts w:ascii="Arial Narrow" w:hAnsi="Arial Narrow"/>
                <w:bCs/>
                <w:sz w:val="20"/>
              </w:rPr>
              <w:t>Reef</w:t>
            </w:r>
          </w:p>
        </w:tc>
        <w:tc>
          <w:tcPr>
            <w:tcW w:w="2578" w:type="dxa"/>
            <w:gridSpan w:val="3"/>
            <w:shd w:val="clear" w:color="auto" w:fill="F2F2F2" w:themeFill="background1" w:themeFillShade="F2"/>
          </w:tcPr>
          <w:p w14:paraId="53C146D7" w14:textId="77777777" w:rsidR="00A84742" w:rsidRPr="00A253EC" w:rsidRDefault="00A84742" w:rsidP="00A84742">
            <w:pPr>
              <w:jc w:val="center"/>
              <w:rPr>
                <w:rFonts w:ascii="Arial Narrow" w:eastAsia="Arial Unicode MS" w:hAnsi="Arial Narrow"/>
                <w:bCs/>
                <w:sz w:val="20"/>
              </w:rPr>
            </w:pPr>
            <w:r w:rsidRPr="00A253EC">
              <w:rPr>
                <w:rFonts w:ascii="Arial Narrow" w:hAnsi="Arial Narrow"/>
                <w:bCs/>
                <w:sz w:val="20"/>
              </w:rPr>
              <w:t>Bleaching</w:t>
            </w:r>
          </w:p>
        </w:tc>
        <w:tc>
          <w:tcPr>
            <w:tcW w:w="8541" w:type="dxa"/>
            <w:vMerge w:val="restart"/>
            <w:shd w:val="clear" w:color="auto" w:fill="F2F2F2" w:themeFill="background1" w:themeFillShade="F2"/>
            <w:tcMar>
              <w:top w:w="16" w:type="dxa"/>
              <w:left w:w="16" w:type="dxa"/>
              <w:bottom w:w="0" w:type="dxa"/>
              <w:right w:w="16" w:type="dxa"/>
            </w:tcMar>
            <w:vAlign w:val="center"/>
          </w:tcPr>
          <w:p w14:paraId="53C146D8" w14:textId="77777777" w:rsidR="00A84742" w:rsidRPr="00A253EC" w:rsidRDefault="00A84742" w:rsidP="00A84742">
            <w:pPr>
              <w:spacing w:after="0"/>
              <w:jc w:val="center"/>
              <w:rPr>
                <w:rFonts w:ascii="Arial Narrow" w:hAnsi="Arial Narrow"/>
                <w:bCs/>
                <w:sz w:val="20"/>
              </w:rPr>
            </w:pPr>
            <w:r w:rsidRPr="00A253EC">
              <w:rPr>
                <w:rFonts w:ascii="Arial Narrow" w:hAnsi="Arial Narrow"/>
                <w:bCs/>
                <w:sz w:val="20"/>
              </w:rPr>
              <w:t>Other recorded disturbances</w:t>
            </w:r>
          </w:p>
        </w:tc>
      </w:tr>
      <w:tr w:rsidR="00CE4E0F" w:rsidRPr="00A253EC" w14:paraId="53C146E0" w14:textId="77777777" w:rsidTr="004F16D3">
        <w:trPr>
          <w:cantSplit/>
          <w:trHeight w:val="550"/>
        </w:trPr>
        <w:tc>
          <w:tcPr>
            <w:tcW w:w="583" w:type="dxa"/>
            <w:vMerge/>
            <w:tcMar>
              <w:top w:w="16" w:type="dxa"/>
              <w:left w:w="16" w:type="dxa"/>
              <w:bottom w:w="0" w:type="dxa"/>
              <w:right w:w="16" w:type="dxa"/>
            </w:tcMar>
            <w:textDirection w:val="btLr"/>
            <w:vAlign w:val="center"/>
          </w:tcPr>
          <w:p w14:paraId="53C146DA" w14:textId="77777777" w:rsidR="00A84742" w:rsidRPr="00A253EC" w:rsidRDefault="00A84742" w:rsidP="00A84742">
            <w:pPr>
              <w:jc w:val="center"/>
              <w:rPr>
                <w:rFonts w:ascii="Arial Narrow" w:hAnsi="Arial Narrow"/>
                <w:bCs/>
                <w:sz w:val="20"/>
              </w:rPr>
            </w:pPr>
          </w:p>
        </w:tc>
        <w:tc>
          <w:tcPr>
            <w:tcW w:w="1907" w:type="dxa"/>
            <w:vMerge/>
            <w:tcMar>
              <w:top w:w="16" w:type="dxa"/>
              <w:left w:w="16" w:type="dxa"/>
              <w:bottom w:w="0" w:type="dxa"/>
              <w:right w:w="16" w:type="dxa"/>
            </w:tcMar>
            <w:vAlign w:val="bottom"/>
          </w:tcPr>
          <w:p w14:paraId="53C146DB" w14:textId="77777777" w:rsidR="00A84742" w:rsidRPr="00A253EC" w:rsidRDefault="00A84742" w:rsidP="00A84742">
            <w:pPr>
              <w:ind w:left="200"/>
              <w:rPr>
                <w:rFonts w:ascii="Arial Narrow" w:hAnsi="Arial Narrow"/>
                <w:bCs/>
                <w:sz w:val="20"/>
              </w:rPr>
            </w:pPr>
          </w:p>
        </w:tc>
        <w:tc>
          <w:tcPr>
            <w:tcW w:w="954" w:type="dxa"/>
            <w:shd w:val="clear" w:color="auto" w:fill="F2F2F2" w:themeFill="background1" w:themeFillShade="F2"/>
            <w:tcMar>
              <w:top w:w="16" w:type="dxa"/>
              <w:left w:w="16" w:type="dxa"/>
              <w:bottom w:w="0" w:type="dxa"/>
              <w:right w:w="16" w:type="dxa"/>
            </w:tcMar>
            <w:vAlign w:val="center"/>
          </w:tcPr>
          <w:p w14:paraId="53C146DC" w14:textId="77777777" w:rsidR="00A84742" w:rsidRPr="00A253EC" w:rsidRDefault="00A84742" w:rsidP="00A84742">
            <w:pPr>
              <w:jc w:val="center"/>
              <w:rPr>
                <w:rFonts w:ascii="Arial Narrow" w:eastAsia="Arial Unicode MS" w:hAnsi="Arial Narrow"/>
                <w:bCs/>
                <w:sz w:val="20"/>
              </w:rPr>
            </w:pPr>
            <w:r w:rsidRPr="00A253EC">
              <w:rPr>
                <w:rFonts w:ascii="Arial Narrow" w:hAnsi="Arial Narrow"/>
                <w:bCs/>
                <w:sz w:val="20"/>
              </w:rPr>
              <w:t>1998</w:t>
            </w:r>
          </w:p>
        </w:tc>
        <w:tc>
          <w:tcPr>
            <w:tcW w:w="816" w:type="dxa"/>
            <w:shd w:val="clear" w:color="auto" w:fill="F2F2F2" w:themeFill="background1" w:themeFillShade="F2"/>
            <w:vAlign w:val="center"/>
          </w:tcPr>
          <w:p w14:paraId="53C146DD" w14:textId="77777777" w:rsidR="00A84742" w:rsidRPr="00A253EC" w:rsidRDefault="00A84742" w:rsidP="00A84742">
            <w:pPr>
              <w:jc w:val="center"/>
              <w:rPr>
                <w:rFonts w:ascii="Arial Narrow" w:eastAsia="Arial Unicode MS" w:hAnsi="Arial Narrow"/>
                <w:bCs/>
                <w:sz w:val="20"/>
              </w:rPr>
            </w:pPr>
            <w:r w:rsidRPr="00A253EC">
              <w:rPr>
                <w:rFonts w:ascii="Arial Narrow" w:hAnsi="Arial Narrow"/>
                <w:bCs/>
                <w:sz w:val="20"/>
              </w:rPr>
              <w:t>2002</w:t>
            </w:r>
          </w:p>
        </w:tc>
        <w:tc>
          <w:tcPr>
            <w:tcW w:w="808" w:type="dxa"/>
            <w:shd w:val="clear" w:color="auto" w:fill="F2F2F2" w:themeFill="background1" w:themeFillShade="F2"/>
            <w:tcMar>
              <w:top w:w="16" w:type="dxa"/>
              <w:left w:w="16" w:type="dxa"/>
              <w:bottom w:w="0" w:type="dxa"/>
              <w:right w:w="16" w:type="dxa"/>
            </w:tcMar>
            <w:vAlign w:val="center"/>
          </w:tcPr>
          <w:p w14:paraId="53C146DE" w14:textId="77777777" w:rsidR="00A84742" w:rsidRPr="00A253EC" w:rsidRDefault="00A84742" w:rsidP="00A84742">
            <w:pPr>
              <w:jc w:val="center"/>
              <w:rPr>
                <w:rFonts w:ascii="Arial Narrow" w:eastAsia="Arial Unicode MS" w:hAnsi="Arial Narrow"/>
                <w:bCs/>
                <w:sz w:val="20"/>
              </w:rPr>
            </w:pPr>
            <w:r w:rsidRPr="00A253EC">
              <w:rPr>
                <w:rFonts w:ascii="Arial Narrow" w:eastAsia="Arial Unicode MS" w:hAnsi="Arial Narrow"/>
                <w:bCs/>
                <w:sz w:val="20"/>
              </w:rPr>
              <w:t>2017</w:t>
            </w:r>
          </w:p>
        </w:tc>
        <w:tc>
          <w:tcPr>
            <w:tcW w:w="8541" w:type="dxa"/>
            <w:vMerge/>
            <w:tcMar>
              <w:top w:w="16" w:type="dxa"/>
              <w:left w:w="16" w:type="dxa"/>
              <w:bottom w:w="0" w:type="dxa"/>
              <w:right w:w="16" w:type="dxa"/>
            </w:tcMar>
            <w:vAlign w:val="bottom"/>
          </w:tcPr>
          <w:p w14:paraId="53C146DF" w14:textId="77777777" w:rsidR="00A84742" w:rsidRPr="00A253EC" w:rsidRDefault="00A84742" w:rsidP="00A84742">
            <w:pPr>
              <w:spacing w:after="0"/>
              <w:rPr>
                <w:rFonts w:ascii="Arial Narrow" w:hAnsi="Arial Narrow"/>
                <w:bCs/>
                <w:sz w:val="20"/>
              </w:rPr>
            </w:pPr>
          </w:p>
        </w:tc>
      </w:tr>
      <w:tr w:rsidR="00CE4E0F" w:rsidRPr="00A253EC" w14:paraId="53C146E7" w14:textId="77777777" w:rsidTr="004F16D3">
        <w:trPr>
          <w:cantSplit/>
          <w:trHeight w:val="264"/>
        </w:trPr>
        <w:tc>
          <w:tcPr>
            <w:tcW w:w="583" w:type="dxa"/>
            <w:vMerge w:val="restart"/>
            <w:tcMar>
              <w:top w:w="16" w:type="dxa"/>
              <w:left w:w="16" w:type="dxa"/>
              <w:bottom w:w="0" w:type="dxa"/>
              <w:right w:w="16" w:type="dxa"/>
            </w:tcMar>
            <w:textDirection w:val="btLr"/>
            <w:vAlign w:val="center"/>
          </w:tcPr>
          <w:p w14:paraId="53C146E1" w14:textId="77777777" w:rsidR="00A84742" w:rsidRPr="00A253EC" w:rsidRDefault="005F2B5B" w:rsidP="00A84742">
            <w:pPr>
              <w:jc w:val="center"/>
              <w:rPr>
                <w:rFonts w:ascii="Arial Narrow" w:eastAsia="Arial Unicode MS" w:hAnsi="Arial Narrow"/>
                <w:bCs/>
                <w:sz w:val="20"/>
              </w:rPr>
            </w:pPr>
            <w:r>
              <w:rPr>
                <w:rFonts w:ascii="Arial Narrow" w:hAnsi="Arial Narrow"/>
                <w:bCs/>
                <w:sz w:val="20"/>
              </w:rPr>
              <w:t>Mackay-Whitsunday</w:t>
            </w:r>
          </w:p>
        </w:tc>
        <w:tc>
          <w:tcPr>
            <w:tcW w:w="1907" w:type="dxa"/>
            <w:tcMar>
              <w:top w:w="16" w:type="dxa"/>
              <w:left w:w="16" w:type="dxa"/>
              <w:bottom w:w="0" w:type="dxa"/>
              <w:right w:w="16" w:type="dxa"/>
            </w:tcMar>
            <w:vAlign w:val="bottom"/>
          </w:tcPr>
          <w:p w14:paraId="53C146E2" w14:textId="77777777" w:rsidR="00A84742" w:rsidRPr="00A253EC" w:rsidRDefault="00A84742" w:rsidP="00A84742">
            <w:pPr>
              <w:ind w:left="200"/>
              <w:rPr>
                <w:rFonts w:ascii="Arial Narrow" w:eastAsia="Arial Unicode MS" w:hAnsi="Arial Narrow"/>
                <w:bCs/>
                <w:sz w:val="20"/>
              </w:rPr>
            </w:pPr>
            <w:r w:rsidRPr="00A253EC">
              <w:rPr>
                <w:rFonts w:ascii="Arial Narrow" w:hAnsi="Arial Narrow"/>
                <w:bCs/>
                <w:sz w:val="20"/>
              </w:rPr>
              <w:t>Hook</w:t>
            </w:r>
          </w:p>
        </w:tc>
        <w:tc>
          <w:tcPr>
            <w:tcW w:w="954" w:type="dxa"/>
            <w:tcMar>
              <w:top w:w="16" w:type="dxa"/>
              <w:left w:w="16" w:type="dxa"/>
              <w:bottom w:w="0" w:type="dxa"/>
              <w:right w:w="16" w:type="dxa"/>
            </w:tcMar>
            <w:vAlign w:val="center"/>
          </w:tcPr>
          <w:p w14:paraId="53C146E3"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0.57</w:t>
            </w:r>
          </w:p>
        </w:tc>
        <w:tc>
          <w:tcPr>
            <w:tcW w:w="816" w:type="dxa"/>
            <w:vAlign w:val="center"/>
          </w:tcPr>
          <w:p w14:paraId="53C146E4"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1</w:t>
            </w:r>
          </w:p>
        </w:tc>
        <w:tc>
          <w:tcPr>
            <w:tcW w:w="808" w:type="dxa"/>
            <w:tcMar>
              <w:top w:w="16" w:type="dxa"/>
              <w:left w:w="16" w:type="dxa"/>
              <w:bottom w:w="0" w:type="dxa"/>
              <w:right w:w="16" w:type="dxa"/>
            </w:tcMar>
            <w:vAlign w:val="center"/>
          </w:tcPr>
          <w:p w14:paraId="53C146E5" w14:textId="77777777" w:rsidR="00A84742" w:rsidRPr="00A253EC" w:rsidRDefault="00A84742" w:rsidP="00A84742">
            <w:pPr>
              <w:jc w:val="center"/>
              <w:rPr>
                <w:rFonts w:ascii="Arial Narrow" w:eastAsia="Arial Unicode MS" w:hAnsi="Arial Narrow"/>
                <w:bCs/>
                <w:sz w:val="18"/>
                <w:szCs w:val="18"/>
              </w:rPr>
            </w:pPr>
          </w:p>
        </w:tc>
        <w:tc>
          <w:tcPr>
            <w:tcW w:w="8541" w:type="dxa"/>
            <w:tcMar>
              <w:top w:w="16" w:type="dxa"/>
              <w:left w:w="16" w:type="dxa"/>
              <w:bottom w:w="0" w:type="dxa"/>
              <w:right w:w="16" w:type="dxa"/>
            </w:tcMar>
            <w:vAlign w:val="center"/>
          </w:tcPr>
          <w:p w14:paraId="53C146E6" w14:textId="77777777" w:rsidR="00A84742" w:rsidRPr="00A253EC" w:rsidRDefault="00A84742" w:rsidP="00A84742">
            <w:pPr>
              <w:spacing w:after="0"/>
              <w:jc w:val="left"/>
              <w:rPr>
                <w:rFonts w:ascii="Arial Narrow" w:eastAsia="Arial Unicode MS" w:hAnsi="Arial Narrow"/>
                <w:bCs/>
                <w:sz w:val="18"/>
                <w:szCs w:val="18"/>
              </w:rPr>
            </w:pPr>
            <w:r w:rsidRPr="00A253EC">
              <w:rPr>
                <w:rFonts w:ascii="Arial Narrow" w:hAnsi="Arial Narrow"/>
                <w:bCs/>
                <w:sz w:val="18"/>
                <w:szCs w:val="18"/>
              </w:rPr>
              <w:t xml:space="preserve">Coral Bleaching Jan 2006, probable although not observed as we did not visit region at time of event. Same for other reefs in region, Cyclone Ului 2010 (31% at 2 m,17% at 5 m), </w:t>
            </w:r>
            <w:r w:rsidRPr="00A253EC">
              <w:rPr>
                <w:rFonts w:ascii="Arial Narrow" w:eastAsia="Arial Unicode MS" w:hAnsi="Arial Narrow"/>
                <w:bCs/>
                <w:sz w:val="18"/>
                <w:szCs w:val="18"/>
              </w:rPr>
              <w:t>Cyclone Debbie 2017 (recorded in 2018) (83% at 2 m, 45% at 5 m)</w:t>
            </w:r>
          </w:p>
        </w:tc>
      </w:tr>
      <w:tr w:rsidR="00CE4E0F" w:rsidRPr="00A253EC" w14:paraId="53C146EE" w14:textId="77777777" w:rsidTr="004F16D3">
        <w:trPr>
          <w:cantSplit/>
          <w:trHeight w:val="361"/>
        </w:trPr>
        <w:tc>
          <w:tcPr>
            <w:tcW w:w="583" w:type="dxa"/>
            <w:vMerge/>
            <w:vAlign w:val="center"/>
          </w:tcPr>
          <w:p w14:paraId="53C146E8" w14:textId="77777777" w:rsidR="00A84742" w:rsidRPr="00A253EC" w:rsidRDefault="00A84742" w:rsidP="00A84742">
            <w:pPr>
              <w:rPr>
                <w:rFonts w:ascii="Arial Narrow" w:eastAsia="Arial Unicode MS" w:hAnsi="Arial Narrow"/>
                <w:bCs/>
                <w:sz w:val="20"/>
              </w:rPr>
            </w:pPr>
          </w:p>
        </w:tc>
        <w:tc>
          <w:tcPr>
            <w:tcW w:w="1907" w:type="dxa"/>
            <w:tcMar>
              <w:top w:w="16" w:type="dxa"/>
              <w:left w:w="16" w:type="dxa"/>
              <w:bottom w:w="0" w:type="dxa"/>
              <w:right w:w="16" w:type="dxa"/>
            </w:tcMar>
            <w:vAlign w:val="bottom"/>
          </w:tcPr>
          <w:p w14:paraId="53C146E9" w14:textId="77777777" w:rsidR="00A84742" w:rsidRPr="00A253EC" w:rsidRDefault="00A84742" w:rsidP="00A84742">
            <w:pPr>
              <w:ind w:left="200"/>
              <w:rPr>
                <w:rFonts w:ascii="Arial Narrow" w:eastAsia="Arial Unicode MS" w:hAnsi="Arial Narrow"/>
                <w:bCs/>
                <w:sz w:val="20"/>
              </w:rPr>
            </w:pPr>
            <w:r w:rsidRPr="00A253EC">
              <w:rPr>
                <w:rFonts w:ascii="Arial Narrow" w:hAnsi="Arial Narrow"/>
                <w:bCs/>
                <w:sz w:val="20"/>
              </w:rPr>
              <w:t>Dent</w:t>
            </w:r>
          </w:p>
        </w:tc>
        <w:tc>
          <w:tcPr>
            <w:tcW w:w="954" w:type="dxa"/>
            <w:tcMar>
              <w:top w:w="16" w:type="dxa"/>
              <w:left w:w="16" w:type="dxa"/>
              <w:bottom w:w="0" w:type="dxa"/>
              <w:right w:w="16" w:type="dxa"/>
            </w:tcMar>
            <w:vAlign w:val="center"/>
          </w:tcPr>
          <w:p w14:paraId="53C146EA"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0.57 (32%)</w:t>
            </w:r>
          </w:p>
        </w:tc>
        <w:tc>
          <w:tcPr>
            <w:tcW w:w="816" w:type="dxa"/>
            <w:vAlign w:val="center"/>
          </w:tcPr>
          <w:p w14:paraId="53C146EB"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0.95</w:t>
            </w:r>
          </w:p>
        </w:tc>
        <w:tc>
          <w:tcPr>
            <w:tcW w:w="808" w:type="dxa"/>
            <w:tcMar>
              <w:top w:w="16" w:type="dxa"/>
              <w:left w:w="16" w:type="dxa"/>
              <w:bottom w:w="0" w:type="dxa"/>
              <w:right w:w="16" w:type="dxa"/>
            </w:tcMar>
            <w:vAlign w:val="center"/>
          </w:tcPr>
          <w:p w14:paraId="53C146EC" w14:textId="77777777" w:rsidR="00A84742" w:rsidRPr="00A253EC" w:rsidRDefault="00A84742" w:rsidP="00A84742">
            <w:pPr>
              <w:jc w:val="center"/>
              <w:rPr>
                <w:rFonts w:ascii="Arial Narrow" w:eastAsia="Arial Unicode MS" w:hAnsi="Arial Narrow"/>
                <w:bCs/>
                <w:sz w:val="18"/>
                <w:szCs w:val="18"/>
              </w:rPr>
            </w:pPr>
            <w:r w:rsidRPr="00A253EC">
              <w:rPr>
                <w:rFonts w:ascii="Arial Narrow" w:eastAsia="Arial Unicode MS" w:hAnsi="Arial Narrow"/>
                <w:bCs/>
                <w:sz w:val="18"/>
                <w:szCs w:val="18"/>
              </w:rPr>
              <w:t>**</w:t>
            </w:r>
          </w:p>
        </w:tc>
        <w:tc>
          <w:tcPr>
            <w:tcW w:w="8541" w:type="dxa"/>
            <w:tcMar>
              <w:top w:w="16" w:type="dxa"/>
              <w:left w:w="16" w:type="dxa"/>
              <w:bottom w:w="0" w:type="dxa"/>
              <w:right w:w="16" w:type="dxa"/>
            </w:tcMar>
            <w:vAlign w:val="center"/>
          </w:tcPr>
          <w:p w14:paraId="53C146ED" w14:textId="77777777" w:rsidR="00A84742" w:rsidRPr="00A253EC" w:rsidRDefault="00A84742" w:rsidP="00A84742">
            <w:pPr>
              <w:spacing w:after="0"/>
              <w:jc w:val="left"/>
              <w:rPr>
                <w:rFonts w:ascii="Arial Narrow" w:eastAsia="Arial Unicode MS" w:hAnsi="Arial Narrow"/>
                <w:bCs/>
                <w:sz w:val="18"/>
                <w:szCs w:val="18"/>
              </w:rPr>
            </w:pPr>
            <w:r w:rsidRPr="00A253EC">
              <w:rPr>
                <w:rFonts w:ascii="Arial Narrow" w:eastAsia="Arial Unicode MS" w:hAnsi="Arial Narrow"/>
                <w:bCs/>
                <w:sz w:val="18"/>
                <w:szCs w:val="18"/>
              </w:rPr>
              <w:t>Disease 2007(17% at 2 and at 5 m), Cyclone Ului 2010 most likely although reef not surveyed in that year (21% at 2 m, 27% at 5 m), Cyclone Debbie 2017 (48% at 2 m, 38% at 5 m), Cyclone Debbie 2017 (48% at 2 m, 38% at 5 m)</w:t>
            </w:r>
            <w:r w:rsidR="00B22637" w:rsidRPr="00A253EC">
              <w:rPr>
                <w:rFonts w:ascii="Arial Narrow" w:eastAsia="Arial Unicode MS" w:hAnsi="Arial Narrow"/>
                <w:bCs/>
                <w:sz w:val="18"/>
                <w:szCs w:val="18"/>
              </w:rPr>
              <w:t>, Disease 2019 (</w:t>
            </w:r>
            <w:r w:rsidR="00A253EC" w:rsidRPr="00A253EC">
              <w:rPr>
                <w:rFonts w:ascii="Arial Narrow" w:eastAsia="Arial Unicode MS" w:hAnsi="Arial Narrow"/>
                <w:bCs/>
                <w:sz w:val="18"/>
                <w:szCs w:val="18"/>
              </w:rPr>
              <w:t>44%</w:t>
            </w:r>
            <w:r w:rsidR="00B22637" w:rsidRPr="00A253EC">
              <w:rPr>
                <w:rFonts w:ascii="Arial Narrow" w:eastAsia="Arial Unicode MS" w:hAnsi="Arial Narrow"/>
                <w:bCs/>
                <w:sz w:val="18"/>
                <w:szCs w:val="18"/>
              </w:rPr>
              <w:t xml:space="preserve"> at 2 m, </w:t>
            </w:r>
            <w:r w:rsidR="00A253EC" w:rsidRPr="00A253EC">
              <w:rPr>
                <w:rFonts w:ascii="Arial Narrow" w:eastAsia="Arial Unicode MS" w:hAnsi="Arial Narrow"/>
                <w:bCs/>
                <w:sz w:val="18"/>
                <w:szCs w:val="18"/>
              </w:rPr>
              <w:t>25%</w:t>
            </w:r>
            <w:r w:rsidR="00B22637" w:rsidRPr="00A253EC">
              <w:rPr>
                <w:rFonts w:ascii="Arial Narrow" w:eastAsia="Arial Unicode MS" w:hAnsi="Arial Narrow"/>
                <w:bCs/>
                <w:sz w:val="18"/>
                <w:szCs w:val="18"/>
              </w:rPr>
              <w:t xml:space="preserve"> at 5 m) </w:t>
            </w:r>
          </w:p>
        </w:tc>
      </w:tr>
      <w:tr w:rsidR="00CE4E0F" w:rsidRPr="00A253EC" w14:paraId="53C146F5" w14:textId="77777777" w:rsidTr="004F16D3">
        <w:trPr>
          <w:cantSplit/>
          <w:trHeight w:val="264"/>
        </w:trPr>
        <w:tc>
          <w:tcPr>
            <w:tcW w:w="583" w:type="dxa"/>
            <w:vMerge/>
            <w:vAlign w:val="center"/>
          </w:tcPr>
          <w:p w14:paraId="53C146EF" w14:textId="77777777" w:rsidR="00A84742" w:rsidRPr="00A253EC" w:rsidRDefault="00A84742" w:rsidP="00A84742">
            <w:pPr>
              <w:rPr>
                <w:rFonts w:ascii="Arial Narrow" w:eastAsia="Arial Unicode MS" w:hAnsi="Arial Narrow"/>
                <w:bCs/>
                <w:sz w:val="20"/>
              </w:rPr>
            </w:pPr>
          </w:p>
        </w:tc>
        <w:tc>
          <w:tcPr>
            <w:tcW w:w="1907" w:type="dxa"/>
            <w:tcMar>
              <w:top w:w="16" w:type="dxa"/>
              <w:left w:w="16" w:type="dxa"/>
              <w:bottom w:w="0" w:type="dxa"/>
              <w:right w:w="16" w:type="dxa"/>
            </w:tcMar>
            <w:vAlign w:val="bottom"/>
          </w:tcPr>
          <w:p w14:paraId="53C146F0" w14:textId="77777777" w:rsidR="00A84742" w:rsidRPr="00A253EC" w:rsidRDefault="00A84742" w:rsidP="00A84742">
            <w:pPr>
              <w:ind w:left="200"/>
              <w:rPr>
                <w:rFonts w:ascii="Arial Narrow" w:eastAsia="Arial Unicode MS" w:hAnsi="Arial Narrow"/>
                <w:bCs/>
                <w:sz w:val="20"/>
              </w:rPr>
            </w:pPr>
            <w:r w:rsidRPr="00A253EC">
              <w:rPr>
                <w:rFonts w:ascii="Arial Narrow" w:hAnsi="Arial Narrow"/>
                <w:bCs/>
                <w:sz w:val="20"/>
              </w:rPr>
              <w:t>Seaforth</w:t>
            </w:r>
          </w:p>
        </w:tc>
        <w:tc>
          <w:tcPr>
            <w:tcW w:w="954" w:type="dxa"/>
            <w:tcMar>
              <w:top w:w="16" w:type="dxa"/>
              <w:left w:w="16" w:type="dxa"/>
              <w:bottom w:w="0" w:type="dxa"/>
              <w:right w:w="16" w:type="dxa"/>
            </w:tcMar>
            <w:vAlign w:val="center"/>
          </w:tcPr>
          <w:p w14:paraId="53C146F1"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0.57</w:t>
            </w:r>
          </w:p>
        </w:tc>
        <w:tc>
          <w:tcPr>
            <w:tcW w:w="816" w:type="dxa"/>
            <w:vAlign w:val="center"/>
          </w:tcPr>
          <w:p w14:paraId="53C146F2"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0.95</w:t>
            </w:r>
          </w:p>
        </w:tc>
        <w:tc>
          <w:tcPr>
            <w:tcW w:w="808" w:type="dxa"/>
            <w:tcMar>
              <w:top w:w="16" w:type="dxa"/>
              <w:left w:w="16" w:type="dxa"/>
              <w:bottom w:w="0" w:type="dxa"/>
              <w:right w:w="16" w:type="dxa"/>
            </w:tcMar>
            <w:vAlign w:val="center"/>
          </w:tcPr>
          <w:p w14:paraId="53C146F3" w14:textId="77777777" w:rsidR="00A84742" w:rsidRPr="00A253EC" w:rsidRDefault="00A84742" w:rsidP="00A84742">
            <w:pPr>
              <w:jc w:val="center"/>
              <w:rPr>
                <w:rFonts w:ascii="Arial Narrow" w:eastAsia="Arial Unicode MS" w:hAnsi="Arial Narrow"/>
                <w:bCs/>
                <w:sz w:val="18"/>
                <w:szCs w:val="18"/>
              </w:rPr>
            </w:pPr>
            <w:r w:rsidRPr="00A253EC">
              <w:rPr>
                <w:rFonts w:ascii="Arial Narrow" w:eastAsia="Arial Unicode MS" w:hAnsi="Arial Narrow"/>
                <w:bCs/>
                <w:sz w:val="18"/>
                <w:szCs w:val="18"/>
              </w:rPr>
              <w:t>**</w:t>
            </w:r>
          </w:p>
        </w:tc>
        <w:tc>
          <w:tcPr>
            <w:tcW w:w="8541" w:type="dxa"/>
            <w:tcMar>
              <w:top w:w="16" w:type="dxa"/>
              <w:left w:w="16" w:type="dxa"/>
              <w:bottom w:w="0" w:type="dxa"/>
              <w:right w:w="16" w:type="dxa"/>
            </w:tcMar>
            <w:vAlign w:val="center"/>
          </w:tcPr>
          <w:p w14:paraId="53C146F4" w14:textId="77777777" w:rsidR="00A84742" w:rsidRPr="00A253EC" w:rsidRDefault="00A84742" w:rsidP="00A84742">
            <w:pPr>
              <w:spacing w:after="0"/>
              <w:jc w:val="left"/>
              <w:rPr>
                <w:rFonts w:ascii="Arial Narrow" w:eastAsia="Arial Unicode MS" w:hAnsi="Arial Narrow"/>
                <w:bCs/>
                <w:sz w:val="18"/>
                <w:szCs w:val="18"/>
                <w:lang w:val="da-DK"/>
              </w:rPr>
            </w:pPr>
            <w:r w:rsidRPr="00A253EC">
              <w:rPr>
                <w:rFonts w:ascii="Arial Narrow" w:hAnsi="Arial Narrow"/>
                <w:bCs/>
                <w:sz w:val="18"/>
                <w:szCs w:val="18"/>
                <w:lang w:val="da-DK"/>
              </w:rPr>
              <w:t xml:space="preserve">Flood 2009 (16% at 2 m,, 22% at 5 m), </w:t>
            </w:r>
            <w:r w:rsidRPr="00A253EC">
              <w:rPr>
                <w:rFonts w:ascii="Arial Narrow" w:eastAsia="Arial Unicode MS" w:hAnsi="Arial Narrow"/>
                <w:bCs/>
                <w:sz w:val="18"/>
                <w:szCs w:val="18"/>
                <w:lang w:val="da-DK"/>
              </w:rPr>
              <w:t>Cyclone Debbie 2017 (45% at 2 m, 26% at 5 m)</w:t>
            </w:r>
          </w:p>
        </w:tc>
      </w:tr>
      <w:tr w:rsidR="00CE4E0F" w:rsidRPr="00A253EC" w14:paraId="53C146FC" w14:textId="77777777" w:rsidTr="004F16D3">
        <w:trPr>
          <w:cantSplit/>
          <w:trHeight w:val="453"/>
        </w:trPr>
        <w:tc>
          <w:tcPr>
            <w:tcW w:w="583" w:type="dxa"/>
            <w:vMerge/>
            <w:vAlign w:val="center"/>
          </w:tcPr>
          <w:p w14:paraId="53C146F6" w14:textId="77777777" w:rsidR="00A84742" w:rsidRPr="00A253EC" w:rsidRDefault="00A84742" w:rsidP="00A84742">
            <w:pPr>
              <w:rPr>
                <w:rFonts w:ascii="Arial Narrow" w:eastAsia="Arial Unicode MS" w:hAnsi="Arial Narrow"/>
                <w:bCs/>
                <w:sz w:val="20"/>
                <w:lang w:val="da-DK"/>
              </w:rPr>
            </w:pPr>
          </w:p>
        </w:tc>
        <w:tc>
          <w:tcPr>
            <w:tcW w:w="1907" w:type="dxa"/>
            <w:tcMar>
              <w:top w:w="16" w:type="dxa"/>
              <w:left w:w="16" w:type="dxa"/>
              <w:bottom w:w="0" w:type="dxa"/>
              <w:right w:w="16" w:type="dxa"/>
            </w:tcMar>
            <w:vAlign w:val="bottom"/>
          </w:tcPr>
          <w:p w14:paraId="53C146F7" w14:textId="77777777" w:rsidR="00A84742" w:rsidRPr="00A253EC" w:rsidRDefault="00A84742" w:rsidP="00A84742">
            <w:pPr>
              <w:ind w:left="200"/>
              <w:rPr>
                <w:rFonts w:ascii="Arial Narrow" w:eastAsia="Arial Unicode MS" w:hAnsi="Arial Narrow"/>
                <w:bCs/>
                <w:sz w:val="20"/>
              </w:rPr>
            </w:pPr>
            <w:r w:rsidRPr="00A253EC">
              <w:rPr>
                <w:rFonts w:ascii="Arial Narrow" w:hAnsi="Arial Narrow"/>
                <w:bCs/>
                <w:sz w:val="20"/>
              </w:rPr>
              <w:t>Double Cone</w:t>
            </w:r>
          </w:p>
        </w:tc>
        <w:tc>
          <w:tcPr>
            <w:tcW w:w="954" w:type="dxa"/>
            <w:tcMar>
              <w:top w:w="16" w:type="dxa"/>
              <w:left w:w="16" w:type="dxa"/>
              <w:bottom w:w="0" w:type="dxa"/>
              <w:right w:w="16" w:type="dxa"/>
            </w:tcMar>
            <w:vAlign w:val="center"/>
          </w:tcPr>
          <w:p w14:paraId="53C146F8"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0.57</w:t>
            </w:r>
          </w:p>
        </w:tc>
        <w:tc>
          <w:tcPr>
            <w:tcW w:w="816" w:type="dxa"/>
            <w:vAlign w:val="center"/>
          </w:tcPr>
          <w:p w14:paraId="53C146F9"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1</w:t>
            </w:r>
          </w:p>
        </w:tc>
        <w:tc>
          <w:tcPr>
            <w:tcW w:w="808" w:type="dxa"/>
            <w:tcMar>
              <w:top w:w="16" w:type="dxa"/>
              <w:left w:w="16" w:type="dxa"/>
              <w:bottom w:w="0" w:type="dxa"/>
              <w:right w:w="16" w:type="dxa"/>
            </w:tcMar>
            <w:vAlign w:val="center"/>
          </w:tcPr>
          <w:p w14:paraId="53C146FA" w14:textId="77777777" w:rsidR="00A84742" w:rsidRPr="00A253EC" w:rsidRDefault="00A84742" w:rsidP="00A84742">
            <w:pPr>
              <w:jc w:val="center"/>
              <w:rPr>
                <w:rFonts w:ascii="Arial Narrow" w:eastAsia="Arial Unicode MS" w:hAnsi="Arial Narrow"/>
                <w:bCs/>
                <w:sz w:val="18"/>
                <w:szCs w:val="18"/>
              </w:rPr>
            </w:pPr>
            <w:r w:rsidRPr="00A253EC">
              <w:rPr>
                <w:rFonts w:ascii="Arial Narrow" w:eastAsia="Arial Unicode MS" w:hAnsi="Arial Narrow"/>
                <w:bCs/>
                <w:sz w:val="18"/>
                <w:szCs w:val="18"/>
              </w:rPr>
              <w:t>**</w:t>
            </w:r>
          </w:p>
        </w:tc>
        <w:tc>
          <w:tcPr>
            <w:tcW w:w="8541" w:type="dxa"/>
            <w:tcMar>
              <w:top w:w="16" w:type="dxa"/>
              <w:left w:w="16" w:type="dxa"/>
              <w:bottom w:w="0" w:type="dxa"/>
              <w:right w:w="16" w:type="dxa"/>
            </w:tcMar>
            <w:vAlign w:val="center"/>
          </w:tcPr>
          <w:p w14:paraId="53C146FB" w14:textId="77777777" w:rsidR="00A84742" w:rsidRPr="00A253EC" w:rsidRDefault="00A84742" w:rsidP="00A84742">
            <w:pPr>
              <w:spacing w:after="0"/>
              <w:jc w:val="left"/>
              <w:rPr>
                <w:rFonts w:ascii="Arial Narrow" w:eastAsia="Arial Unicode MS" w:hAnsi="Arial Narrow"/>
                <w:bCs/>
                <w:sz w:val="18"/>
                <w:szCs w:val="18"/>
                <w:lang w:val="da-DK"/>
              </w:rPr>
            </w:pPr>
            <w:r w:rsidRPr="00A253EC">
              <w:rPr>
                <w:rFonts w:ascii="Arial Narrow" w:hAnsi="Arial Narrow"/>
                <w:bCs/>
                <w:sz w:val="18"/>
                <w:szCs w:val="18"/>
                <w:lang w:val="da-DK"/>
              </w:rPr>
              <w:t>Flood 2009( 13% at 2 m), Cyclone Ului 2010 (26% at 2 m, 12% at 5 m),</w:t>
            </w:r>
            <w:r w:rsidRPr="00A253EC">
              <w:rPr>
                <w:rFonts w:ascii="Arial Narrow" w:eastAsia="Arial Unicode MS" w:hAnsi="Arial Narrow"/>
                <w:bCs/>
                <w:sz w:val="18"/>
                <w:szCs w:val="18"/>
                <w:lang w:val="da-DK"/>
              </w:rPr>
              <w:t xml:space="preserve"> Cyclone Debbie 2017 (97% at 2 m, 74% at 5 m)</w:t>
            </w:r>
          </w:p>
        </w:tc>
      </w:tr>
      <w:tr w:rsidR="00CE4E0F" w:rsidRPr="00A253EC" w14:paraId="53C14703" w14:textId="77777777" w:rsidTr="004F16D3">
        <w:trPr>
          <w:cantSplit/>
          <w:trHeight w:val="443"/>
        </w:trPr>
        <w:tc>
          <w:tcPr>
            <w:tcW w:w="583" w:type="dxa"/>
            <w:vMerge/>
            <w:vAlign w:val="center"/>
          </w:tcPr>
          <w:p w14:paraId="53C146FD" w14:textId="77777777" w:rsidR="00A84742" w:rsidRPr="00A253EC" w:rsidRDefault="00A84742" w:rsidP="00A84742">
            <w:pPr>
              <w:rPr>
                <w:rFonts w:ascii="Arial Narrow" w:eastAsia="Arial Unicode MS" w:hAnsi="Arial Narrow"/>
                <w:bCs/>
                <w:sz w:val="20"/>
                <w:lang w:val="da-DK"/>
              </w:rPr>
            </w:pPr>
          </w:p>
        </w:tc>
        <w:tc>
          <w:tcPr>
            <w:tcW w:w="1907" w:type="dxa"/>
            <w:tcMar>
              <w:top w:w="16" w:type="dxa"/>
              <w:left w:w="16" w:type="dxa"/>
              <w:bottom w:w="0" w:type="dxa"/>
              <w:right w:w="16" w:type="dxa"/>
            </w:tcMar>
            <w:vAlign w:val="bottom"/>
          </w:tcPr>
          <w:p w14:paraId="53C146FE" w14:textId="77777777" w:rsidR="00A84742" w:rsidRPr="00A253EC" w:rsidRDefault="00A84742" w:rsidP="00A84742">
            <w:pPr>
              <w:ind w:left="200"/>
              <w:rPr>
                <w:rFonts w:ascii="Arial Narrow" w:eastAsia="Arial Unicode MS" w:hAnsi="Arial Narrow"/>
                <w:bCs/>
                <w:sz w:val="20"/>
              </w:rPr>
            </w:pPr>
            <w:r w:rsidRPr="00A253EC">
              <w:rPr>
                <w:rFonts w:ascii="Arial Narrow" w:hAnsi="Arial Narrow"/>
                <w:bCs/>
                <w:sz w:val="20"/>
              </w:rPr>
              <w:t>Daydream</w:t>
            </w:r>
          </w:p>
        </w:tc>
        <w:tc>
          <w:tcPr>
            <w:tcW w:w="954" w:type="dxa"/>
            <w:tcMar>
              <w:top w:w="16" w:type="dxa"/>
              <w:left w:w="16" w:type="dxa"/>
              <w:bottom w:w="0" w:type="dxa"/>
              <w:right w:w="16" w:type="dxa"/>
            </w:tcMar>
            <w:vAlign w:val="center"/>
          </w:tcPr>
          <w:p w14:paraId="53C146FF"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0.31 (44%)</w:t>
            </w:r>
          </w:p>
        </w:tc>
        <w:tc>
          <w:tcPr>
            <w:tcW w:w="816" w:type="dxa"/>
            <w:vAlign w:val="center"/>
          </w:tcPr>
          <w:p w14:paraId="53C14700"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1</w:t>
            </w:r>
          </w:p>
        </w:tc>
        <w:tc>
          <w:tcPr>
            <w:tcW w:w="808" w:type="dxa"/>
            <w:tcMar>
              <w:top w:w="16" w:type="dxa"/>
              <w:left w:w="16" w:type="dxa"/>
              <w:bottom w:w="0" w:type="dxa"/>
              <w:right w:w="16" w:type="dxa"/>
            </w:tcMar>
            <w:vAlign w:val="center"/>
          </w:tcPr>
          <w:p w14:paraId="53C14701" w14:textId="77777777" w:rsidR="00A84742" w:rsidRPr="00A253EC" w:rsidRDefault="00A84742" w:rsidP="00A84742">
            <w:pPr>
              <w:jc w:val="center"/>
              <w:rPr>
                <w:rFonts w:ascii="Arial Narrow" w:eastAsia="Arial Unicode MS" w:hAnsi="Arial Narrow"/>
                <w:bCs/>
                <w:sz w:val="18"/>
                <w:szCs w:val="18"/>
              </w:rPr>
            </w:pPr>
            <w:r w:rsidRPr="00A253EC">
              <w:rPr>
                <w:rFonts w:ascii="Arial Narrow" w:eastAsia="Arial Unicode MS" w:hAnsi="Arial Narrow"/>
                <w:bCs/>
                <w:sz w:val="18"/>
                <w:szCs w:val="18"/>
              </w:rPr>
              <w:t>**</w:t>
            </w:r>
          </w:p>
        </w:tc>
        <w:tc>
          <w:tcPr>
            <w:tcW w:w="8541" w:type="dxa"/>
            <w:tcMar>
              <w:top w:w="16" w:type="dxa"/>
              <w:left w:w="16" w:type="dxa"/>
              <w:bottom w:w="0" w:type="dxa"/>
              <w:right w:w="16" w:type="dxa"/>
            </w:tcMar>
            <w:vAlign w:val="center"/>
          </w:tcPr>
          <w:p w14:paraId="53C14702" w14:textId="77777777" w:rsidR="00A84742" w:rsidRPr="00A253EC" w:rsidRDefault="00A84742" w:rsidP="00A84742">
            <w:pPr>
              <w:spacing w:after="0"/>
              <w:jc w:val="left"/>
              <w:rPr>
                <w:rFonts w:ascii="Arial Narrow" w:eastAsia="Arial Unicode MS" w:hAnsi="Arial Narrow"/>
                <w:bCs/>
                <w:sz w:val="18"/>
                <w:szCs w:val="18"/>
                <w:lang w:val="da-DK"/>
              </w:rPr>
            </w:pPr>
            <w:r w:rsidRPr="00A253EC">
              <w:rPr>
                <w:rFonts w:ascii="Arial Narrow" w:hAnsi="Arial Narrow"/>
                <w:bCs/>
                <w:sz w:val="18"/>
                <w:szCs w:val="18"/>
                <w:lang w:val="da-DK"/>
              </w:rPr>
              <w:t xml:space="preserve">Disease 2008 (26% at 2 m, 20% at 5 m), Cyclone Ului 2010 (47% at 2 m, 46% at 5 m), </w:t>
            </w:r>
            <w:r w:rsidRPr="00A253EC">
              <w:rPr>
                <w:rFonts w:ascii="Arial Narrow" w:eastAsia="Arial Unicode MS" w:hAnsi="Arial Narrow"/>
                <w:bCs/>
                <w:sz w:val="18"/>
                <w:szCs w:val="18"/>
                <w:lang w:val="da-DK"/>
              </w:rPr>
              <w:t>Cyclone Debbie 2017 (98% at 2 m, 90% at 5 m)</w:t>
            </w:r>
          </w:p>
        </w:tc>
      </w:tr>
      <w:tr w:rsidR="00CE4E0F" w:rsidRPr="00A253EC" w14:paraId="53C1470A" w14:textId="77777777" w:rsidTr="004F16D3">
        <w:trPr>
          <w:cantSplit/>
          <w:trHeight w:val="377"/>
        </w:trPr>
        <w:tc>
          <w:tcPr>
            <w:tcW w:w="583" w:type="dxa"/>
            <w:vMerge/>
            <w:vAlign w:val="center"/>
          </w:tcPr>
          <w:p w14:paraId="53C14704" w14:textId="77777777" w:rsidR="00A84742" w:rsidRPr="00A253EC" w:rsidRDefault="00A84742" w:rsidP="00A84742">
            <w:pPr>
              <w:rPr>
                <w:rFonts w:ascii="Arial Narrow" w:eastAsia="Arial Unicode MS" w:hAnsi="Arial Narrow"/>
                <w:bCs/>
                <w:sz w:val="20"/>
                <w:lang w:val="da-DK"/>
              </w:rPr>
            </w:pPr>
          </w:p>
        </w:tc>
        <w:tc>
          <w:tcPr>
            <w:tcW w:w="1907" w:type="dxa"/>
            <w:tcMar>
              <w:top w:w="16" w:type="dxa"/>
              <w:left w:w="16" w:type="dxa"/>
              <w:bottom w:w="0" w:type="dxa"/>
              <w:right w:w="16" w:type="dxa"/>
            </w:tcMar>
            <w:vAlign w:val="bottom"/>
          </w:tcPr>
          <w:p w14:paraId="53C14705" w14:textId="77777777" w:rsidR="00A84742" w:rsidRPr="00A253EC" w:rsidRDefault="00A84742" w:rsidP="00A84742">
            <w:pPr>
              <w:ind w:left="200"/>
              <w:rPr>
                <w:rFonts w:ascii="Arial Narrow" w:eastAsia="Arial Unicode MS" w:hAnsi="Arial Narrow"/>
                <w:bCs/>
                <w:sz w:val="20"/>
              </w:rPr>
            </w:pPr>
            <w:r w:rsidRPr="00A253EC">
              <w:rPr>
                <w:rFonts w:ascii="Arial Narrow" w:hAnsi="Arial Narrow"/>
                <w:bCs/>
                <w:sz w:val="20"/>
              </w:rPr>
              <w:t>Shute Harbour</w:t>
            </w:r>
          </w:p>
        </w:tc>
        <w:tc>
          <w:tcPr>
            <w:tcW w:w="954" w:type="dxa"/>
            <w:tcMar>
              <w:top w:w="16" w:type="dxa"/>
              <w:left w:w="16" w:type="dxa"/>
              <w:bottom w:w="0" w:type="dxa"/>
              <w:right w:w="16" w:type="dxa"/>
            </w:tcMar>
            <w:vAlign w:val="center"/>
          </w:tcPr>
          <w:p w14:paraId="53C14706"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0.57</w:t>
            </w:r>
          </w:p>
        </w:tc>
        <w:tc>
          <w:tcPr>
            <w:tcW w:w="816" w:type="dxa"/>
            <w:vAlign w:val="center"/>
          </w:tcPr>
          <w:p w14:paraId="53C14707"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1</w:t>
            </w:r>
          </w:p>
        </w:tc>
        <w:tc>
          <w:tcPr>
            <w:tcW w:w="808" w:type="dxa"/>
            <w:tcMar>
              <w:top w:w="16" w:type="dxa"/>
              <w:left w:w="16" w:type="dxa"/>
              <w:bottom w:w="0" w:type="dxa"/>
              <w:right w:w="16" w:type="dxa"/>
            </w:tcMar>
            <w:vAlign w:val="center"/>
          </w:tcPr>
          <w:p w14:paraId="53C14708" w14:textId="77777777" w:rsidR="00A84742" w:rsidRPr="00A253EC" w:rsidRDefault="00A84742" w:rsidP="00A84742">
            <w:pPr>
              <w:jc w:val="center"/>
              <w:rPr>
                <w:rFonts w:ascii="Arial Narrow" w:eastAsia="Arial Unicode MS" w:hAnsi="Arial Narrow"/>
                <w:bCs/>
                <w:sz w:val="18"/>
                <w:szCs w:val="18"/>
              </w:rPr>
            </w:pPr>
            <w:r w:rsidRPr="00A253EC">
              <w:rPr>
                <w:rFonts w:ascii="Arial Narrow" w:eastAsia="Arial Unicode MS" w:hAnsi="Arial Narrow"/>
                <w:bCs/>
                <w:sz w:val="18"/>
                <w:szCs w:val="18"/>
              </w:rPr>
              <w:t>**</w:t>
            </w:r>
          </w:p>
        </w:tc>
        <w:tc>
          <w:tcPr>
            <w:tcW w:w="8541" w:type="dxa"/>
            <w:tcMar>
              <w:top w:w="16" w:type="dxa"/>
              <w:left w:w="16" w:type="dxa"/>
              <w:bottom w:w="0" w:type="dxa"/>
              <w:right w:w="16" w:type="dxa"/>
            </w:tcMar>
            <w:vAlign w:val="center"/>
          </w:tcPr>
          <w:p w14:paraId="53C14709" w14:textId="77777777" w:rsidR="00A84742" w:rsidRPr="00A253EC" w:rsidRDefault="00A84742" w:rsidP="00A84742">
            <w:pPr>
              <w:spacing w:after="0"/>
              <w:jc w:val="left"/>
              <w:rPr>
                <w:rFonts w:ascii="Arial Narrow" w:eastAsia="Arial Unicode MS" w:hAnsi="Arial Narrow"/>
                <w:bCs/>
                <w:sz w:val="18"/>
                <w:szCs w:val="18"/>
                <w:lang w:val="da-DK"/>
              </w:rPr>
            </w:pPr>
            <w:r w:rsidRPr="00A253EC">
              <w:rPr>
                <w:rFonts w:ascii="Arial Narrow" w:hAnsi="Arial Narrow"/>
                <w:bCs/>
                <w:sz w:val="18"/>
                <w:szCs w:val="18"/>
                <w:lang w:val="da-DK"/>
              </w:rPr>
              <w:t xml:space="preserve">Cyclone Ului 2010 (8% at 2 m), </w:t>
            </w:r>
            <w:r w:rsidRPr="00A253EC">
              <w:rPr>
                <w:rFonts w:ascii="Arial Narrow" w:eastAsia="Arial Unicode MS" w:hAnsi="Arial Narrow"/>
                <w:bCs/>
                <w:sz w:val="18"/>
                <w:szCs w:val="18"/>
                <w:lang w:val="da-DK"/>
              </w:rPr>
              <w:t>Cyclone Debbie 2017 (48% at 2 m, 55% at 5 m)</w:t>
            </w:r>
          </w:p>
        </w:tc>
      </w:tr>
      <w:tr w:rsidR="00CE4E0F" w:rsidRPr="00A253EC" w14:paraId="53C14711" w14:textId="77777777" w:rsidTr="004F16D3">
        <w:trPr>
          <w:cantSplit/>
          <w:trHeight w:val="368"/>
        </w:trPr>
        <w:tc>
          <w:tcPr>
            <w:tcW w:w="583" w:type="dxa"/>
            <w:vMerge/>
            <w:vAlign w:val="center"/>
          </w:tcPr>
          <w:p w14:paraId="53C1470B" w14:textId="77777777" w:rsidR="00A84742" w:rsidRPr="00A253EC" w:rsidRDefault="00A84742" w:rsidP="00A84742">
            <w:pPr>
              <w:rPr>
                <w:rFonts w:ascii="Arial Narrow" w:eastAsia="Arial Unicode MS" w:hAnsi="Arial Narrow"/>
                <w:bCs/>
                <w:sz w:val="20"/>
                <w:lang w:val="da-DK"/>
              </w:rPr>
            </w:pPr>
          </w:p>
        </w:tc>
        <w:tc>
          <w:tcPr>
            <w:tcW w:w="1907" w:type="dxa"/>
            <w:tcMar>
              <w:top w:w="16" w:type="dxa"/>
              <w:left w:w="16" w:type="dxa"/>
              <w:bottom w:w="0" w:type="dxa"/>
              <w:right w:w="16" w:type="dxa"/>
            </w:tcMar>
            <w:vAlign w:val="bottom"/>
          </w:tcPr>
          <w:p w14:paraId="53C1470C" w14:textId="77777777" w:rsidR="00A84742" w:rsidRPr="00A253EC" w:rsidRDefault="00A84742" w:rsidP="00A84742">
            <w:pPr>
              <w:ind w:left="200"/>
              <w:rPr>
                <w:rFonts w:ascii="Arial Narrow" w:eastAsia="Arial Unicode MS" w:hAnsi="Arial Narrow"/>
                <w:bCs/>
                <w:sz w:val="20"/>
              </w:rPr>
            </w:pPr>
            <w:r w:rsidRPr="00A253EC">
              <w:rPr>
                <w:rFonts w:ascii="Arial Narrow" w:hAnsi="Arial Narrow"/>
                <w:bCs/>
                <w:sz w:val="20"/>
              </w:rPr>
              <w:t>Pine</w:t>
            </w:r>
          </w:p>
        </w:tc>
        <w:tc>
          <w:tcPr>
            <w:tcW w:w="954" w:type="dxa"/>
            <w:tcMar>
              <w:top w:w="16" w:type="dxa"/>
              <w:left w:w="16" w:type="dxa"/>
              <w:bottom w:w="0" w:type="dxa"/>
              <w:right w:w="16" w:type="dxa"/>
            </w:tcMar>
            <w:vAlign w:val="center"/>
          </w:tcPr>
          <w:p w14:paraId="53C1470D"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0.31</w:t>
            </w:r>
          </w:p>
        </w:tc>
        <w:tc>
          <w:tcPr>
            <w:tcW w:w="816" w:type="dxa"/>
            <w:vAlign w:val="center"/>
          </w:tcPr>
          <w:p w14:paraId="53C1470E"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1</w:t>
            </w:r>
          </w:p>
        </w:tc>
        <w:tc>
          <w:tcPr>
            <w:tcW w:w="808" w:type="dxa"/>
            <w:tcMar>
              <w:top w:w="16" w:type="dxa"/>
              <w:left w:w="16" w:type="dxa"/>
              <w:bottom w:w="0" w:type="dxa"/>
              <w:right w:w="16" w:type="dxa"/>
            </w:tcMar>
            <w:vAlign w:val="center"/>
          </w:tcPr>
          <w:p w14:paraId="53C1470F" w14:textId="77777777" w:rsidR="00A84742" w:rsidRPr="00A253EC" w:rsidRDefault="00A84742" w:rsidP="00A84742">
            <w:pPr>
              <w:jc w:val="center"/>
              <w:rPr>
                <w:rFonts w:ascii="Arial Narrow" w:eastAsia="Arial Unicode MS" w:hAnsi="Arial Narrow"/>
                <w:bCs/>
                <w:sz w:val="18"/>
                <w:szCs w:val="18"/>
              </w:rPr>
            </w:pPr>
            <w:r w:rsidRPr="00A253EC">
              <w:rPr>
                <w:rFonts w:ascii="Arial Narrow" w:eastAsia="Arial Unicode MS" w:hAnsi="Arial Narrow"/>
                <w:bCs/>
                <w:sz w:val="18"/>
                <w:szCs w:val="18"/>
              </w:rPr>
              <w:t>**</w:t>
            </w:r>
          </w:p>
        </w:tc>
        <w:tc>
          <w:tcPr>
            <w:tcW w:w="8541" w:type="dxa"/>
            <w:tcMar>
              <w:top w:w="16" w:type="dxa"/>
              <w:left w:w="16" w:type="dxa"/>
              <w:bottom w:w="0" w:type="dxa"/>
              <w:right w:w="16" w:type="dxa"/>
            </w:tcMar>
            <w:vAlign w:val="center"/>
          </w:tcPr>
          <w:p w14:paraId="53C14710" w14:textId="77777777" w:rsidR="00A84742" w:rsidRPr="00A253EC" w:rsidRDefault="00A84742" w:rsidP="00A84742">
            <w:pPr>
              <w:spacing w:after="0"/>
              <w:jc w:val="left"/>
              <w:rPr>
                <w:rFonts w:ascii="Arial Narrow" w:eastAsia="Arial Unicode MS" w:hAnsi="Arial Narrow"/>
                <w:bCs/>
                <w:sz w:val="18"/>
                <w:szCs w:val="18"/>
              </w:rPr>
            </w:pPr>
            <w:r w:rsidRPr="00A253EC">
              <w:rPr>
                <w:rFonts w:ascii="Arial Narrow" w:hAnsi="Arial Narrow"/>
                <w:bCs/>
                <w:sz w:val="18"/>
                <w:szCs w:val="18"/>
              </w:rPr>
              <w:t xml:space="preserve">Flood 2009(14% at 2 and at 5 m), Cyclone Ului 2010 (13% at 2 m, 10% at 5 m), Disease 2011(15% at 5 m), </w:t>
            </w:r>
            <w:r w:rsidRPr="00A253EC">
              <w:rPr>
                <w:rFonts w:ascii="Arial Narrow" w:eastAsia="Arial Unicode MS" w:hAnsi="Arial Narrow"/>
                <w:bCs/>
                <w:sz w:val="18"/>
                <w:szCs w:val="18"/>
              </w:rPr>
              <w:t>Cyclone Debbie 2017 (74% at 2 m, 56% at 5 m)</w:t>
            </w:r>
            <w:r w:rsidR="00B22637" w:rsidRPr="00A253EC">
              <w:rPr>
                <w:rFonts w:ascii="Arial Narrow" w:eastAsia="Arial Unicode MS" w:hAnsi="Arial Narrow"/>
                <w:bCs/>
                <w:sz w:val="18"/>
                <w:szCs w:val="18"/>
              </w:rPr>
              <w:t>, Disease 2019 (</w:t>
            </w:r>
            <w:r w:rsidR="00A253EC" w:rsidRPr="00A253EC">
              <w:rPr>
                <w:rFonts w:ascii="Arial Narrow" w:eastAsia="Arial Unicode MS" w:hAnsi="Arial Narrow"/>
                <w:bCs/>
                <w:sz w:val="18"/>
                <w:szCs w:val="18"/>
              </w:rPr>
              <w:t>40%</w:t>
            </w:r>
            <w:r w:rsidR="00B22637" w:rsidRPr="00A253EC">
              <w:rPr>
                <w:rFonts w:ascii="Arial Narrow" w:eastAsia="Arial Unicode MS" w:hAnsi="Arial Narrow"/>
                <w:bCs/>
                <w:sz w:val="18"/>
                <w:szCs w:val="18"/>
              </w:rPr>
              <w:t xml:space="preserve"> at 2 m, </w:t>
            </w:r>
            <w:r w:rsidR="00A253EC" w:rsidRPr="00A253EC">
              <w:rPr>
                <w:rFonts w:ascii="Arial Narrow" w:eastAsia="Arial Unicode MS" w:hAnsi="Arial Narrow"/>
                <w:bCs/>
                <w:sz w:val="18"/>
                <w:szCs w:val="18"/>
              </w:rPr>
              <w:t xml:space="preserve">29% </w:t>
            </w:r>
            <w:r w:rsidR="00B22637" w:rsidRPr="00A253EC">
              <w:rPr>
                <w:rFonts w:ascii="Arial Narrow" w:eastAsia="Arial Unicode MS" w:hAnsi="Arial Narrow"/>
                <w:bCs/>
                <w:sz w:val="18"/>
                <w:szCs w:val="18"/>
              </w:rPr>
              <w:t>at 5m)</w:t>
            </w:r>
          </w:p>
        </w:tc>
      </w:tr>
      <w:tr w:rsidR="00CE4E0F" w:rsidRPr="00A253EC" w14:paraId="53C14718" w14:textId="77777777" w:rsidTr="004F16D3">
        <w:trPr>
          <w:cantSplit/>
          <w:trHeight w:val="371"/>
        </w:trPr>
        <w:tc>
          <w:tcPr>
            <w:tcW w:w="583" w:type="dxa"/>
            <w:vMerge/>
            <w:vAlign w:val="center"/>
          </w:tcPr>
          <w:p w14:paraId="53C14712" w14:textId="77777777" w:rsidR="00A84742" w:rsidRPr="00A253EC" w:rsidRDefault="00A84742" w:rsidP="00A84742">
            <w:pPr>
              <w:rPr>
                <w:rFonts w:ascii="Arial Narrow" w:eastAsia="Arial Unicode MS" w:hAnsi="Arial Narrow"/>
                <w:bCs/>
                <w:sz w:val="20"/>
              </w:rPr>
            </w:pPr>
          </w:p>
        </w:tc>
        <w:tc>
          <w:tcPr>
            <w:tcW w:w="1907" w:type="dxa"/>
            <w:tcMar>
              <w:top w:w="16" w:type="dxa"/>
              <w:left w:w="16" w:type="dxa"/>
              <w:bottom w:w="0" w:type="dxa"/>
              <w:right w:w="16" w:type="dxa"/>
            </w:tcMar>
            <w:vAlign w:val="bottom"/>
          </w:tcPr>
          <w:p w14:paraId="53C14713" w14:textId="77777777" w:rsidR="00A84742" w:rsidRPr="00A253EC" w:rsidRDefault="00A84742" w:rsidP="00A84742">
            <w:pPr>
              <w:ind w:left="200"/>
              <w:rPr>
                <w:rFonts w:ascii="Arial Narrow" w:hAnsi="Arial Narrow"/>
                <w:bCs/>
                <w:sz w:val="20"/>
              </w:rPr>
            </w:pPr>
            <w:r w:rsidRPr="00A253EC">
              <w:rPr>
                <w:rFonts w:ascii="Arial Narrow" w:hAnsi="Arial Narrow"/>
                <w:bCs/>
                <w:sz w:val="20"/>
              </w:rPr>
              <w:t>Hayman</w:t>
            </w:r>
          </w:p>
        </w:tc>
        <w:tc>
          <w:tcPr>
            <w:tcW w:w="954" w:type="dxa"/>
            <w:tcMar>
              <w:top w:w="16" w:type="dxa"/>
              <w:left w:w="16" w:type="dxa"/>
              <w:bottom w:w="0" w:type="dxa"/>
              <w:right w:w="16" w:type="dxa"/>
            </w:tcMar>
            <w:vAlign w:val="center"/>
          </w:tcPr>
          <w:p w14:paraId="53C14714" w14:textId="77777777" w:rsidR="00A84742" w:rsidRPr="00A253EC" w:rsidRDefault="00A84742" w:rsidP="00A84742">
            <w:pPr>
              <w:jc w:val="center"/>
              <w:rPr>
                <w:rFonts w:ascii="Arial Narrow" w:hAnsi="Arial Narrow"/>
                <w:bCs/>
                <w:sz w:val="18"/>
                <w:szCs w:val="18"/>
              </w:rPr>
            </w:pPr>
          </w:p>
        </w:tc>
        <w:tc>
          <w:tcPr>
            <w:tcW w:w="816" w:type="dxa"/>
            <w:vAlign w:val="center"/>
          </w:tcPr>
          <w:p w14:paraId="53C14715" w14:textId="77777777" w:rsidR="00A84742" w:rsidRPr="00A253EC" w:rsidRDefault="00A84742" w:rsidP="00A84742">
            <w:pPr>
              <w:jc w:val="center"/>
              <w:rPr>
                <w:rFonts w:ascii="Arial Narrow" w:hAnsi="Arial Narrow"/>
                <w:bCs/>
                <w:sz w:val="18"/>
                <w:szCs w:val="18"/>
              </w:rPr>
            </w:pPr>
          </w:p>
        </w:tc>
        <w:tc>
          <w:tcPr>
            <w:tcW w:w="808" w:type="dxa"/>
            <w:tcMar>
              <w:top w:w="16" w:type="dxa"/>
              <w:left w:w="16" w:type="dxa"/>
              <w:bottom w:w="0" w:type="dxa"/>
              <w:right w:w="16" w:type="dxa"/>
            </w:tcMar>
            <w:vAlign w:val="center"/>
          </w:tcPr>
          <w:p w14:paraId="53C14716" w14:textId="77777777" w:rsidR="00A84742" w:rsidRPr="00A253EC" w:rsidRDefault="00A84742" w:rsidP="00A84742">
            <w:pPr>
              <w:jc w:val="center"/>
              <w:rPr>
                <w:rFonts w:ascii="Arial Narrow" w:eastAsia="Arial Unicode MS" w:hAnsi="Arial Narrow"/>
                <w:bCs/>
                <w:sz w:val="18"/>
                <w:szCs w:val="18"/>
              </w:rPr>
            </w:pPr>
          </w:p>
        </w:tc>
        <w:tc>
          <w:tcPr>
            <w:tcW w:w="8541" w:type="dxa"/>
            <w:tcMar>
              <w:top w:w="16" w:type="dxa"/>
              <w:left w:w="16" w:type="dxa"/>
              <w:bottom w:w="0" w:type="dxa"/>
              <w:right w:w="16" w:type="dxa"/>
            </w:tcMar>
            <w:vAlign w:val="center"/>
          </w:tcPr>
          <w:p w14:paraId="53C14717" w14:textId="77777777" w:rsidR="00A84742" w:rsidRPr="00A253EC" w:rsidRDefault="00A84742" w:rsidP="00A84742">
            <w:pPr>
              <w:spacing w:after="0"/>
              <w:jc w:val="left"/>
              <w:rPr>
                <w:rFonts w:ascii="Arial Narrow" w:hAnsi="Arial Narrow"/>
                <w:bCs/>
                <w:sz w:val="18"/>
                <w:szCs w:val="18"/>
                <w:lang w:val="da-DK"/>
              </w:rPr>
            </w:pPr>
            <w:r w:rsidRPr="00A253EC">
              <w:rPr>
                <w:rFonts w:ascii="Arial Narrow" w:hAnsi="Arial Narrow"/>
                <w:bCs/>
                <w:sz w:val="18"/>
                <w:szCs w:val="18"/>
                <w:lang w:val="da-DK"/>
              </w:rPr>
              <w:t>Cyclone Ului 2010 (36%)</w:t>
            </w:r>
            <w:r w:rsidR="00414E72" w:rsidRPr="00A253EC">
              <w:rPr>
                <w:rFonts w:ascii="Arial Narrow" w:hAnsi="Arial Narrow"/>
                <w:bCs/>
                <w:sz w:val="18"/>
                <w:szCs w:val="18"/>
                <w:lang w:val="da-DK"/>
              </w:rPr>
              <w:t>, Cyclone Debbie 2017</w:t>
            </w:r>
            <w:r w:rsidR="00A253EC" w:rsidRPr="00A253EC">
              <w:rPr>
                <w:rFonts w:ascii="Arial Narrow" w:hAnsi="Arial Narrow"/>
                <w:bCs/>
                <w:sz w:val="18"/>
                <w:szCs w:val="18"/>
                <w:lang w:val="da-DK"/>
              </w:rPr>
              <w:t xml:space="preserve"> (recorded 2019) </w:t>
            </w:r>
            <w:r w:rsidR="00414E72" w:rsidRPr="00A253EC">
              <w:rPr>
                <w:rFonts w:ascii="Arial Narrow" w:hAnsi="Arial Narrow"/>
                <w:bCs/>
                <w:sz w:val="18"/>
                <w:szCs w:val="18"/>
                <w:lang w:val="da-DK"/>
              </w:rPr>
              <w:t>(</w:t>
            </w:r>
            <w:r w:rsidR="00A253EC" w:rsidRPr="00A253EC">
              <w:rPr>
                <w:rFonts w:ascii="Arial Narrow" w:hAnsi="Arial Narrow"/>
                <w:bCs/>
                <w:sz w:val="18"/>
                <w:szCs w:val="18"/>
                <w:lang w:val="da-DK"/>
              </w:rPr>
              <w:t>86%</w:t>
            </w:r>
            <w:r w:rsidR="00414E72" w:rsidRPr="00A253EC">
              <w:rPr>
                <w:rFonts w:ascii="Arial Narrow" w:hAnsi="Arial Narrow"/>
                <w:bCs/>
                <w:sz w:val="18"/>
                <w:szCs w:val="18"/>
                <w:lang w:val="da-DK"/>
              </w:rPr>
              <w:t xml:space="preserve"> )</w:t>
            </w:r>
          </w:p>
        </w:tc>
      </w:tr>
      <w:tr w:rsidR="00CE4E0F" w:rsidRPr="00A253EC" w14:paraId="53C1471F" w14:textId="77777777" w:rsidTr="004F16D3">
        <w:trPr>
          <w:cantSplit/>
          <w:trHeight w:val="362"/>
        </w:trPr>
        <w:tc>
          <w:tcPr>
            <w:tcW w:w="583" w:type="dxa"/>
            <w:vMerge/>
            <w:vAlign w:val="center"/>
          </w:tcPr>
          <w:p w14:paraId="53C14719" w14:textId="77777777" w:rsidR="00A84742" w:rsidRPr="00A253EC" w:rsidRDefault="00A84742" w:rsidP="00A84742">
            <w:pPr>
              <w:rPr>
                <w:rFonts w:ascii="Arial Narrow" w:eastAsia="Arial Unicode MS" w:hAnsi="Arial Narrow"/>
                <w:bCs/>
                <w:sz w:val="20"/>
              </w:rPr>
            </w:pPr>
          </w:p>
        </w:tc>
        <w:tc>
          <w:tcPr>
            <w:tcW w:w="1907" w:type="dxa"/>
            <w:tcMar>
              <w:top w:w="16" w:type="dxa"/>
              <w:left w:w="16" w:type="dxa"/>
              <w:bottom w:w="0" w:type="dxa"/>
              <w:right w:w="16" w:type="dxa"/>
            </w:tcMar>
            <w:vAlign w:val="bottom"/>
          </w:tcPr>
          <w:p w14:paraId="53C1471A" w14:textId="77777777" w:rsidR="00A84742" w:rsidRPr="00A253EC" w:rsidRDefault="00A84742" w:rsidP="00A84742">
            <w:pPr>
              <w:ind w:left="200"/>
              <w:rPr>
                <w:rFonts w:ascii="Arial Narrow" w:hAnsi="Arial Narrow"/>
                <w:bCs/>
                <w:sz w:val="20"/>
              </w:rPr>
            </w:pPr>
            <w:r w:rsidRPr="00A253EC">
              <w:rPr>
                <w:rFonts w:ascii="Arial Narrow" w:hAnsi="Arial Narrow"/>
                <w:bCs/>
                <w:sz w:val="20"/>
              </w:rPr>
              <w:t>Langford</w:t>
            </w:r>
          </w:p>
        </w:tc>
        <w:tc>
          <w:tcPr>
            <w:tcW w:w="954" w:type="dxa"/>
            <w:tcMar>
              <w:top w:w="16" w:type="dxa"/>
              <w:left w:w="16" w:type="dxa"/>
              <w:bottom w:w="0" w:type="dxa"/>
              <w:right w:w="16" w:type="dxa"/>
            </w:tcMar>
            <w:vAlign w:val="center"/>
          </w:tcPr>
          <w:p w14:paraId="53C1471B" w14:textId="77777777" w:rsidR="00A84742" w:rsidRPr="00A253EC" w:rsidRDefault="00A84742" w:rsidP="00A84742">
            <w:pPr>
              <w:jc w:val="center"/>
              <w:rPr>
                <w:rFonts w:ascii="Arial Narrow" w:hAnsi="Arial Narrow"/>
                <w:bCs/>
                <w:sz w:val="18"/>
                <w:szCs w:val="18"/>
              </w:rPr>
            </w:pPr>
          </w:p>
        </w:tc>
        <w:tc>
          <w:tcPr>
            <w:tcW w:w="816" w:type="dxa"/>
            <w:vAlign w:val="center"/>
          </w:tcPr>
          <w:p w14:paraId="53C1471C" w14:textId="77777777" w:rsidR="00A84742" w:rsidRPr="00A253EC" w:rsidRDefault="00A84742" w:rsidP="00A84742">
            <w:pPr>
              <w:jc w:val="center"/>
              <w:rPr>
                <w:rFonts w:ascii="Arial Narrow" w:hAnsi="Arial Narrow"/>
                <w:bCs/>
                <w:sz w:val="18"/>
                <w:szCs w:val="18"/>
              </w:rPr>
            </w:pPr>
          </w:p>
        </w:tc>
        <w:tc>
          <w:tcPr>
            <w:tcW w:w="808" w:type="dxa"/>
            <w:tcMar>
              <w:top w:w="16" w:type="dxa"/>
              <w:left w:w="16" w:type="dxa"/>
              <w:bottom w:w="0" w:type="dxa"/>
              <w:right w:w="16" w:type="dxa"/>
            </w:tcMar>
            <w:vAlign w:val="center"/>
          </w:tcPr>
          <w:p w14:paraId="53C1471D" w14:textId="77777777" w:rsidR="00A84742" w:rsidRPr="00A253EC" w:rsidRDefault="00A84742" w:rsidP="00A84742">
            <w:pPr>
              <w:jc w:val="center"/>
              <w:rPr>
                <w:rFonts w:ascii="Arial Narrow" w:eastAsia="Arial Unicode MS" w:hAnsi="Arial Narrow"/>
                <w:bCs/>
                <w:sz w:val="18"/>
                <w:szCs w:val="18"/>
              </w:rPr>
            </w:pPr>
          </w:p>
        </w:tc>
        <w:tc>
          <w:tcPr>
            <w:tcW w:w="8541" w:type="dxa"/>
            <w:tcMar>
              <w:top w:w="16" w:type="dxa"/>
              <w:left w:w="16" w:type="dxa"/>
              <w:bottom w:w="0" w:type="dxa"/>
              <w:right w:w="16" w:type="dxa"/>
            </w:tcMar>
            <w:vAlign w:val="center"/>
          </w:tcPr>
          <w:p w14:paraId="53C1471E" w14:textId="77777777" w:rsidR="00A84742" w:rsidRPr="00A253EC" w:rsidRDefault="00414E72" w:rsidP="00A84742">
            <w:pPr>
              <w:jc w:val="left"/>
              <w:rPr>
                <w:rFonts w:ascii="Arial Narrow" w:hAnsi="Arial Narrow"/>
                <w:bCs/>
                <w:sz w:val="18"/>
                <w:szCs w:val="18"/>
                <w:lang w:val="da-DK"/>
              </w:rPr>
            </w:pPr>
            <w:r w:rsidRPr="00A253EC">
              <w:rPr>
                <w:rFonts w:ascii="Arial Narrow" w:hAnsi="Arial Narrow"/>
                <w:bCs/>
                <w:sz w:val="18"/>
                <w:szCs w:val="18"/>
                <w:lang w:val="da-DK"/>
              </w:rPr>
              <w:t>Cyclone Debbie 2017</w:t>
            </w:r>
            <w:r w:rsidR="00A253EC" w:rsidRPr="00A253EC">
              <w:rPr>
                <w:rFonts w:ascii="Arial Narrow" w:hAnsi="Arial Narrow"/>
                <w:bCs/>
                <w:sz w:val="18"/>
                <w:szCs w:val="18"/>
                <w:lang w:val="da-DK"/>
              </w:rPr>
              <w:t xml:space="preserve"> (recorded 2019)</w:t>
            </w:r>
            <w:r w:rsidRPr="00A253EC">
              <w:rPr>
                <w:rFonts w:ascii="Arial Narrow" w:hAnsi="Arial Narrow"/>
                <w:bCs/>
                <w:sz w:val="18"/>
                <w:szCs w:val="18"/>
                <w:lang w:val="da-DK"/>
              </w:rPr>
              <w:t xml:space="preserve"> (</w:t>
            </w:r>
            <w:r w:rsidR="00A253EC" w:rsidRPr="00A253EC">
              <w:rPr>
                <w:rFonts w:ascii="Arial Narrow" w:hAnsi="Arial Narrow"/>
                <w:bCs/>
                <w:sz w:val="18"/>
                <w:szCs w:val="18"/>
                <w:lang w:val="da-DK"/>
              </w:rPr>
              <w:t>56%</w:t>
            </w:r>
            <w:r w:rsidRPr="00A253EC">
              <w:rPr>
                <w:rFonts w:ascii="Arial Narrow" w:hAnsi="Arial Narrow"/>
                <w:bCs/>
                <w:sz w:val="18"/>
                <w:szCs w:val="18"/>
                <w:lang w:val="da-DK"/>
              </w:rPr>
              <w:t xml:space="preserve"> )</w:t>
            </w:r>
          </w:p>
        </w:tc>
      </w:tr>
      <w:tr w:rsidR="00A84742" w:rsidRPr="00A253EC" w14:paraId="53C14726" w14:textId="77777777" w:rsidTr="004F16D3">
        <w:trPr>
          <w:cantSplit/>
          <w:trHeight w:val="355"/>
        </w:trPr>
        <w:tc>
          <w:tcPr>
            <w:tcW w:w="583" w:type="dxa"/>
            <w:vMerge/>
            <w:vAlign w:val="center"/>
          </w:tcPr>
          <w:p w14:paraId="53C14720" w14:textId="77777777" w:rsidR="00A84742" w:rsidRPr="00A253EC" w:rsidRDefault="00A84742" w:rsidP="00A84742">
            <w:pPr>
              <w:rPr>
                <w:rFonts w:ascii="Arial Narrow" w:eastAsia="Arial Unicode MS" w:hAnsi="Arial Narrow"/>
                <w:bCs/>
                <w:sz w:val="20"/>
              </w:rPr>
            </w:pPr>
          </w:p>
        </w:tc>
        <w:tc>
          <w:tcPr>
            <w:tcW w:w="1907" w:type="dxa"/>
            <w:tcMar>
              <w:top w:w="16" w:type="dxa"/>
              <w:left w:w="16" w:type="dxa"/>
              <w:bottom w:w="0" w:type="dxa"/>
              <w:right w:w="16" w:type="dxa"/>
            </w:tcMar>
            <w:vAlign w:val="bottom"/>
          </w:tcPr>
          <w:p w14:paraId="53C14721" w14:textId="77777777" w:rsidR="00A84742" w:rsidRPr="00A253EC" w:rsidRDefault="00A84742" w:rsidP="00A84742">
            <w:pPr>
              <w:ind w:left="200"/>
              <w:rPr>
                <w:rFonts w:ascii="Arial Narrow" w:hAnsi="Arial Narrow"/>
                <w:bCs/>
                <w:sz w:val="20"/>
              </w:rPr>
            </w:pPr>
            <w:r w:rsidRPr="00A253EC">
              <w:rPr>
                <w:rFonts w:ascii="Arial Narrow" w:hAnsi="Arial Narrow"/>
                <w:bCs/>
                <w:sz w:val="20"/>
              </w:rPr>
              <w:t>Border</w:t>
            </w:r>
          </w:p>
        </w:tc>
        <w:tc>
          <w:tcPr>
            <w:tcW w:w="954" w:type="dxa"/>
            <w:tcMar>
              <w:top w:w="16" w:type="dxa"/>
              <w:left w:w="16" w:type="dxa"/>
              <w:bottom w:w="0" w:type="dxa"/>
              <w:right w:w="16" w:type="dxa"/>
            </w:tcMar>
            <w:vAlign w:val="center"/>
          </w:tcPr>
          <w:p w14:paraId="53C14722" w14:textId="77777777" w:rsidR="00A84742" w:rsidRPr="00A253EC" w:rsidRDefault="00A84742" w:rsidP="00A84742">
            <w:pPr>
              <w:jc w:val="center"/>
              <w:rPr>
                <w:rFonts w:ascii="Arial Narrow" w:hAnsi="Arial Narrow"/>
                <w:bCs/>
                <w:sz w:val="18"/>
                <w:szCs w:val="18"/>
              </w:rPr>
            </w:pPr>
          </w:p>
        </w:tc>
        <w:tc>
          <w:tcPr>
            <w:tcW w:w="816" w:type="dxa"/>
            <w:vAlign w:val="center"/>
          </w:tcPr>
          <w:p w14:paraId="53C14723" w14:textId="77777777" w:rsidR="00A84742" w:rsidRPr="00A253EC" w:rsidRDefault="00A84742" w:rsidP="00A84742">
            <w:pPr>
              <w:jc w:val="center"/>
              <w:rPr>
                <w:rFonts w:ascii="Arial Narrow" w:hAnsi="Arial Narrow"/>
                <w:bCs/>
                <w:sz w:val="18"/>
                <w:szCs w:val="18"/>
              </w:rPr>
            </w:pPr>
            <w:r w:rsidRPr="00A253EC">
              <w:rPr>
                <w:rFonts w:ascii="Arial Narrow" w:hAnsi="Arial Narrow"/>
                <w:bCs/>
                <w:sz w:val="18"/>
                <w:szCs w:val="18"/>
              </w:rPr>
              <w:t>(11%)</w:t>
            </w:r>
          </w:p>
        </w:tc>
        <w:tc>
          <w:tcPr>
            <w:tcW w:w="808" w:type="dxa"/>
            <w:tcMar>
              <w:top w:w="16" w:type="dxa"/>
              <w:left w:w="16" w:type="dxa"/>
              <w:bottom w:w="0" w:type="dxa"/>
              <w:right w:w="16" w:type="dxa"/>
            </w:tcMar>
            <w:vAlign w:val="center"/>
          </w:tcPr>
          <w:p w14:paraId="53C14724" w14:textId="77777777" w:rsidR="00A84742" w:rsidRPr="00A253EC" w:rsidRDefault="00A84742" w:rsidP="00A84742">
            <w:pPr>
              <w:jc w:val="center"/>
              <w:rPr>
                <w:rFonts w:ascii="Arial Narrow" w:eastAsia="Arial Unicode MS" w:hAnsi="Arial Narrow"/>
                <w:bCs/>
                <w:sz w:val="18"/>
                <w:szCs w:val="18"/>
              </w:rPr>
            </w:pPr>
          </w:p>
        </w:tc>
        <w:tc>
          <w:tcPr>
            <w:tcW w:w="8541" w:type="dxa"/>
            <w:tcMar>
              <w:top w:w="16" w:type="dxa"/>
              <w:left w:w="16" w:type="dxa"/>
              <w:bottom w:w="0" w:type="dxa"/>
              <w:right w:w="16" w:type="dxa"/>
            </w:tcMar>
            <w:vAlign w:val="bottom"/>
          </w:tcPr>
          <w:p w14:paraId="53C14725" w14:textId="77777777" w:rsidR="00A84742" w:rsidRPr="00A253EC" w:rsidRDefault="00414E72" w:rsidP="00A84742">
            <w:pPr>
              <w:rPr>
                <w:rFonts w:ascii="Arial Narrow" w:hAnsi="Arial Narrow"/>
                <w:bCs/>
                <w:sz w:val="18"/>
                <w:szCs w:val="18"/>
                <w:lang w:val="da-DK"/>
              </w:rPr>
            </w:pPr>
            <w:r w:rsidRPr="00A253EC">
              <w:rPr>
                <w:rFonts w:ascii="Arial Narrow" w:hAnsi="Arial Narrow"/>
                <w:bCs/>
                <w:sz w:val="18"/>
                <w:szCs w:val="18"/>
                <w:lang w:val="da-DK"/>
              </w:rPr>
              <w:t>Cyclone Debbie 2017</w:t>
            </w:r>
            <w:r w:rsidR="00A253EC" w:rsidRPr="00A253EC">
              <w:rPr>
                <w:rFonts w:ascii="Arial Narrow" w:hAnsi="Arial Narrow"/>
                <w:bCs/>
                <w:sz w:val="18"/>
                <w:szCs w:val="18"/>
                <w:lang w:val="da-DK"/>
              </w:rPr>
              <w:t xml:space="preserve"> (recorded 2019) </w:t>
            </w:r>
            <w:r w:rsidRPr="00A253EC">
              <w:rPr>
                <w:rFonts w:ascii="Arial Narrow" w:hAnsi="Arial Narrow"/>
                <w:bCs/>
                <w:sz w:val="18"/>
                <w:szCs w:val="18"/>
                <w:lang w:val="da-DK"/>
              </w:rPr>
              <w:t xml:space="preserve"> (</w:t>
            </w:r>
            <w:r w:rsidR="00A253EC" w:rsidRPr="00A253EC">
              <w:rPr>
                <w:rFonts w:ascii="Arial Narrow" w:hAnsi="Arial Narrow"/>
                <w:bCs/>
                <w:sz w:val="18"/>
                <w:szCs w:val="18"/>
                <w:lang w:val="da-DK"/>
              </w:rPr>
              <w:t>45%</w:t>
            </w:r>
            <w:r w:rsidRPr="00A253EC">
              <w:rPr>
                <w:rFonts w:ascii="Arial Narrow" w:hAnsi="Arial Narrow"/>
                <w:bCs/>
                <w:sz w:val="18"/>
                <w:szCs w:val="18"/>
                <w:lang w:val="da-DK"/>
              </w:rPr>
              <w:t xml:space="preserve"> )</w:t>
            </w:r>
          </w:p>
        </w:tc>
      </w:tr>
    </w:tbl>
    <w:p w14:paraId="53C14727" w14:textId="77777777" w:rsidR="00A84742" w:rsidRPr="00A253EC" w:rsidRDefault="00A84742" w:rsidP="00A84742">
      <w:pPr>
        <w:jc w:val="left"/>
        <w:rPr>
          <w:rFonts w:ascii="Arial Narrow" w:hAnsi="Arial Narrow"/>
          <w:bCs/>
          <w:sz w:val="20"/>
        </w:rPr>
      </w:pPr>
    </w:p>
    <w:p w14:paraId="53C14728" w14:textId="77777777" w:rsidR="00A84742" w:rsidRPr="00A253EC" w:rsidRDefault="00A84742" w:rsidP="00A84742">
      <w:pPr>
        <w:jc w:val="left"/>
        <w:rPr>
          <w:rFonts w:ascii="Arial Narrow" w:hAnsi="Arial Narrow"/>
          <w:bCs/>
          <w:sz w:val="20"/>
        </w:rPr>
      </w:pPr>
      <w:r w:rsidRPr="00A253EC">
        <w:rPr>
          <w:rFonts w:ascii="Arial Narrow" w:hAnsi="Arial Narrow"/>
          <w:bCs/>
          <w:sz w:val="20"/>
        </w:rPr>
        <w:br w:type="page"/>
      </w:r>
    </w:p>
    <w:p w14:paraId="53C14729" w14:textId="77777777" w:rsidR="00A84742" w:rsidRPr="00EE76B9" w:rsidRDefault="00A84742" w:rsidP="00A84742">
      <w:pPr>
        <w:rPr>
          <w:rStyle w:val="IntenseReference"/>
        </w:rPr>
      </w:pPr>
      <w:r w:rsidRPr="00EE76B9">
        <w:rPr>
          <w:rStyle w:val="IntenseReference"/>
        </w:rPr>
        <w:lastRenderedPageBreak/>
        <w:t>Table A 4 continued</w:t>
      </w:r>
    </w:p>
    <w:tbl>
      <w:tblPr>
        <w:tblpPr w:leftFromText="180" w:rightFromText="180" w:vertAnchor="text" w:tblpY="1"/>
        <w:tblOverlap w:val="never"/>
        <w:tblW w:w="13633" w:type="dxa"/>
        <w:tblBorders>
          <w:top w:val="single" w:sz="12" w:space="0" w:color="auto"/>
          <w:left w:val="single" w:sz="12" w:space="0" w:color="auto"/>
          <w:bottom w:val="single" w:sz="4" w:space="0" w:color="auto"/>
          <w:right w:val="single" w:sz="12" w:space="0" w:color="auto"/>
          <w:insideH w:val="single" w:sz="4" w:space="0" w:color="auto"/>
          <w:insideV w:val="single" w:sz="4" w:space="0" w:color="auto"/>
        </w:tblBorders>
        <w:tblCellMar>
          <w:left w:w="0" w:type="dxa"/>
          <w:right w:w="0" w:type="dxa"/>
        </w:tblCellMar>
        <w:tblLook w:val="0000" w:firstRow="0" w:lastRow="0" w:firstColumn="0" w:lastColumn="0" w:noHBand="0" w:noVBand="0"/>
        <w:tblCaption w:val="Table A 4 Disturbance records for each reef."/>
        <w:tblDescription w:val="A table presenting the proportional loss of coral cover at each monitored reef that has been asigned to an accute disturbance"/>
      </w:tblPr>
      <w:tblGrid>
        <w:gridCol w:w="608"/>
        <w:gridCol w:w="1984"/>
        <w:gridCol w:w="992"/>
        <w:gridCol w:w="851"/>
        <w:gridCol w:w="850"/>
        <w:gridCol w:w="8348"/>
      </w:tblGrid>
      <w:tr w:rsidR="00CE4E0F" w:rsidRPr="00A253EC" w14:paraId="53C1472E" w14:textId="77777777" w:rsidTr="004F16D3">
        <w:trPr>
          <w:cantSplit/>
          <w:trHeight w:val="519"/>
        </w:trPr>
        <w:tc>
          <w:tcPr>
            <w:tcW w:w="608" w:type="dxa"/>
            <w:vMerge w:val="restart"/>
            <w:shd w:val="clear" w:color="auto" w:fill="F2F2F2" w:themeFill="background1" w:themeFillShade="F2"/>
            <w:tcMar>
              <w:top w:w="16" w:type="dxa"/>
              <w:left w:w="16" w:type="dxa"/>
              <w:bottom w:w="0" w:type="dxa"/>
              <w:right w:w="16" w:type="dxa"/>
            </w:tcMar>
            <w:textDirection w:val="btLr"/>
            <w:vAlign w:val="center"/>
          </w:tcPr>
          <w:p w14:paraId="53C1472A" w14:textId="77777777" w:rsidR="00A84742" w:rsidRPr="00A253EC" w:rsidRDefault="00A84742" w:rsidP="00A84742">
            <w:pPr>
              <w:jc w:val="center"/>
              <w:rPr>
                <w:rFonts w:ascii="Arial Narrow" w:eastAsia="Arial Unicode MS" w:hAnsi="Arial Narrow"/>
                <w:bCs/>
                <w:sz w:val="20"/>
              </w:rPr>
            </w:pPr>
            <w:r w:rsidRPr="00A253EC">
              <w:rPr>
                <w:rFonts w:ascii="Arial Narrow" w:eastAsia="Arial Unicode MS" w:hAnsi="Arial Narrow"/>
                <w:bCs/>
                <w:sz w:val="20"/>
              </w:rPr>
              <w:t>Region</w:t>
            </w:r>
          </w:p>
        </w:tc>
        <w:tc>
          <w:tcPr>
            <w:tcW w:w="1984" w:type="dxa"/>
            <w:vMerge w:val="restart"/>
            <w:shd w:val="clear" w:color="auto" w:fill="F2F2F2" w:themeFill="background1" w:themeFillShade="F2"/>
            <w:tcMar>
              <w:top w:w="16" w:type="dxa"/>
              <w:left w:w="16" w:type="dxa"/>
              <w:bottom w:w="0" w:type="dxa"/>
              <w:right w:w="16" w:type="dxa"/>
            </w:tcMar>
            <w:vAlign w:val="center"/>
          </w:tcPr>
          <w:p w14:paraId="53C1472B" w14:textId="77777777" w:rsidR="00A84742" w:rsidRPr="00A253EC" w:rsidRDefault="00A84742" w:rsidP="00A84742">
            <w:pPr>
              <w:jc w:val="center"/>
              <w:rPr>
                <w:rFonts w:ascii="Arial Narrow" w:eastAsia="Arial Unicode MS" w:hAnsi="Arial Narrow"/>
                <w:bCs/>
                <w:sz w:val="20"/>
              </w:rPr>
            </w:pPr>
            <w:r w:rsidRPr="00A253EC">
              <w:rPr>
                <w:rFonts w:ascii="Arial Narrow" w:hAnsi="Arial Narrow"/>
                <w:bCs/>
                <w:sz w:val="20"/>
              </w:rPr>
              <w:t>Reef</w:t>
            </w:r>
          </w:p>
        </w:tc>
        <w:tc>
          <w:tcPr>
            <w:tcW w:w="2693" w:type="dxa"/>
            <w:gridSpan w:val="3"/>
            <w:shd w:val="clear" w:color="auto" w:fill="F2F2F2" w:themeFill="background1" w:themeFillShade="F2"/>
            <w:tcMar>
              <w:top w:w="16" w:type="dxa"/>
              <w:left w:w="16" w:type="dxa"/>
              <w:bottom w:w="0" w:type="dxa"/>
              <w:right w:w="16" w:type="dxa"/>
            </w:tcMar>
            <w:vAlign w:val="center"/>
          </w:tcPr>
          <w:p w14:paraId="53C1472C" w14:textId="77777777" w:rsidR="00A84742" w:rsidRPr="00A253EC" w:rsidRDefault="00A84742" w:rsidP="00A84742">
            <w:pPr>
              <w:jc w:val="center"/>
              <w:rPr>
                <w:rFonts w:ascii="Arial Narrow" w:hAnsi="Arial Narrow"/>
                <w:bCs/>
                <w:sz w:val="20"/>
              </w:rPr>
            </w:pPr>
            <w:r w:rsidRPr="00A253EC">
              <w:rPr>
                <w:rFonts w:ascii="Arial Narrow" w:hAnsi="Arial Narrow"/>
                <w:bCs/>
                <w:sz w:val="20"/>
              </w:rPr>
              <w:t>Bleaching</w:t>
            </w:r>
          </w:p>
        </w:tc>
        <w:tc>
          <w:tcPr>
            <w:tcW w:w="8348" w:type="dxa"/>
            <w:vMerge w:val="restart"/>
            <w:shd w:val="clear" w:color="auto" w:fill="F2F2F2" w:themeFill="background1" w:themeFillShade="F2"/>
            <w:tcMar>
              <w:top w:w="16" w:type="dxa"/>
              <w:left w:w="16" w:type="dxa"/>
              <w:bottom w:w="0" w:type="dxa"/>
              <w:right w:w="16" w:type="dxa"/>
            </w:tcMar>
            <w:vAlign w:val="center"/>
          </w:tcPr>
          <w:p w14:paraId="53C1472D" w14:textId="77777777" w:rsidR="00A84742" w:rsidRPr="00A253EC" w:rsidRDefault="00A84742" w:rsidP="00A84742">
            <w:pPr>
              <w:jc w:val="center"/>
              <w:rPr>
                <w:rFonts w:ascii="Arial Narrow" w:eastAsia="Arial Unicode MS" w:hAnsi="Arial Narrow"/>
                <w:bCs/>
                <w:sz w:val="20"/>
              </w:rPr>
            </w:pPr>
            <w:r w:rsidRPr="00A253EC">
              <w:rPr>
                <w:rFonts w:ascii="Arial Narrow" w:hAnsi="Arial Narrow"/>
                <w:bCs/>
                <w:sz w:val="20"/>
              </w:rPr>
              <w:t>Other recorded disturbances</w:t>
            </w:r>
          </w:p>
        </w:tc>
      </w:tr>
      <w:tr w:rsidR="00CE4E0F" w:rsidRPr="00A253EC" w14:paraId="53C14735" w14:textId="77777777" w:rsidTr="004F16D3">
        <w:trPr>
          <w:cantSplit/>
          <w:trHeight w:val="375"/>
        </w:trPr>
        <w:tc>
          <w:tcPr>
            <w:tcW w:w="608" w:type="dxa"/>
            <w:vMerge/>
            <w:shd w:val="clear" w:color="auto" w:fill="E6E6E6"/>
            <w:tcMar>
              <w:top w:w="16" w:type="dxa"/>
              <w:left w:w="16" w:type="dxa"/>
              <w:bottom w:w="0" w:type="dxa"/>
              <w:right w:w="16" w:type="dxa"/>
            </w:tcMar>
            <w:textDirection w:val="btLr"/>
            <w:vAlign w:val="center"/>
          </w:tcPr>
          <w:p w14:paraId="53C1472F" w14:textId="77777777" w:rsidR="00A84742" w:rsidRPr="00A253EC" w:rsidRDefault="00A84742" w:rsidP="00A84742">
            <w:pPr>
              <w:jc w:val="center"/>
              <w:rPr>
                <w:rFonts w:ascii="Arial Narrow" w:hAnsi="Arial Narrow"/>
                <w:bCs/>
                <w:sz w:val="20"/>
              </w:rPr>
            </w:pPr>
          </w:p>
        </w:tc>
        <w:tc>
          <w:tcPr>
            <w:tcW w:w="1984" w:type="dxa"/>
            <w:vMerge/>
            <w:shd w:val="clear" w:color="auto" w:fill="E6E6E6"/>
            <w:tcMar>
              <w:top w:w="16" w:type="dxa"/>
              <w:left w:w="16" w:type="dxa"/>
              <w:bottom w:w="0" w:type="dxa"/>
              <w:right w:w="16" w:type="dxa"/>
            </w:tcMar>
            <w:vAlign w:val="center"/>
          </w:tcPr>
          <w:p w14:paraId="53C14730" w14:textId="77777777" w:rsidR="00A84742" w:rsidRPr="00A253EC" w:rsidRDefault="00A84742" w:rsidP="00A84742">
            <w:pPr>
              <w:jc w:val="center"/>
              <w:rPr>
                <w:rFonts w:ascii="Arial Narrow" w:hAnsi="Arial Narrow"/>
                <w:bCs/>
                <w:sz w:val="20"/>
              </w:rPr>
            </w:pPr>
          </w:p>
        </w:tc>
        <w:tc>
          <w:tcPr>
            <w:tcW w:w="992" w:type="dxa"/>
            <w:tcBorders>
              <w:bottom w:val="single" w:sz="4" w:space="0" w:color="auto"/>
            </w:tcBorders>
            <w:shd w:val="clear" w:color="auto" w:fill="F2F2F2" w:themeFill="background1" w:themeFillShade="F2"/>
            <w:tcMar>
              <w:top w:w="16" w:type="dxa"/>
              <w:left w:w="16" w:type="dxa"/>
              <w:bottom w:w="0" w:type="dxa"/>
              <w:right w:w="16" w:type="dxa"/>
            </w:tcMar>
            <w:vAlign w:val="center"/>
          </w:tcPr>
          <w:p w14:paraId="53C14731" w14:textId="77777777" w:rsidR="00A84742" w:rsidRPr="00A253EC" w:rsidRDefault="00A84742" w:rsidP="00A84742">
            <w:pPr>
              <w:jc w:val="center"/>
              <w:rPr>
                <w:rFonts w:ascii="Arial Narrow" w:hAnsi="Arial Narrow"/>
                <w:bCs/>
                <w:sz w:val="20"/>
              </w:rPr>
            </w:pPr>
            <w:r w:rsidRPr="00A253EC">
              <w:rPr>
                <w:rFonts w:ascii="Arial Narrow" w:hAnsi="Arial Narrow"/>
                <w:bCs/>
                <w:sz w:val="20"/>
              </w:rPr>
              <w:t>1998</w:t>
            </w:r>
          </w:p>
        </w:tc>
        <w:tc>
          <w:tcPr>
            <w:tcW w:w="851" w:type="dxa"/>
            <w:tcBorders>
              <w:bottom w:val="single" w:sz="4" w:space="0" w:color="auto"/>
            </w:tcBorders>
            <w:shd w:val="clear" w:color="auto" w:fill="F2F2F2" w:themeFill="background1" w:themeFillShade="F2"/>
            <w:vAlign w:val="center"/>
          </w:tcPr>
          <w:p w14:paraId="53C14732" w14:textId="77777777" w:rsidR="00A84742" w:rsidRPr="00A253EC" w:rsidRDefault="00A84742" w:rsidP="00A84742">
            <w:pPr>
              <w:jc w:val="center"/>
              <w:rPr>
                <w:rFonts w:ascii="Arial Narrow" w:hAnsi="Arial Narrow"/>
                <w:bCs/>
                <w:sz w:val="20"/>
              </w:rPr>
            </w:pPr>
            <w:r w:rsidRPr="00A253EC">
              <w:rPr>
                <w:rFonts w:ascii="Arial Narrow" w:hAnsi="Arial Narrow"/>
                <w:bCs/>
                <w:sz w:val="20"/>
              </w:rPr>
              <w:t>2002</w:t>
            </w:r>
          </w:p>
        </w:tc>
        <w:tc>
          <w:tcPr>
            <w:tcW w:w="850" w:type="dxa"/>
            <w:shd w:val="clear" w:color="auto" w:fill="F2F2F2" w:themeFill="background1" w:themeFillShade="F2"/>
            <w:vAlign w:val="center"/>
          </w:tcPr>
          <w:p w14:paraId="53C14733" w14:textId="77777777" w:rsidR="00A84742" w:rsidRPr="00A253EC" w:rsidRDefault="00A84742" w:rsidP="00A84742">
            <w:pPr>
              <w:jc w:val="center"/>
              <w:rPr>
                <w:rFonts w:ascii="Arial Narrow" w:hAnsi="Arial Narrow"/>
                <w:bCs/>
                <w:sz w:val="20"/>
              </w:rPr>
            </w:pPr>
            <w:r w:rsidRPr="00A253EC">
              <w:rPr>
                <w:rFonts w:ascii="Arial Narrow" w:hAnsi="Arial Narrow"/>
                <w:bCs/>
                <w:sz w:val="20"/>
              </w:rPr>
              <w:t>2006</w:t>
            </w:r>
          </w:p>
        </w:tc>
        <w:tc>
          <w:tcPr>
            <w:tcW w:w="8348" w:type="dxa"/>
            <w:vMerge/>
            <w:shd w:val="clear" w:color="auto" w:fill="D9D9D9" w:themeFill="background1" w:themeFillShade="D9"/>
            <w:tcMar>
              <w:top w:w="16" w:type="dxa"/>
              <w:left w:w="16" w:type="dxa"/>
              <w:bottom w:w="0" w:type="dxa"/>
              <w:right w:w="16" w:type="dxa"/>
            </w:tcMar>
            <w:vAlign w:val="center"/>
          </w:tcPr>
          <w:p w14:paraId="53C14734" w14:textId="77777777" w:rsidR="00A84742" w:rsidRPr="00A253EC" w:rsidRDefault="00A84742" w:rsidP="00A84742">
            <w:pPr>
              <w:jc w:val="center"/>
              <w:rPr>
                <w:rFonts w:ascii="Arial Narrow" w:hAnsi="Arial Narrow"/>
                <w:bCs/>
                <w:sz w:val="20"/>
              </w:rPr>
            </w:pPr>
          </w:p>
        </w:tc>
      </w:tr>
    </w:tbl>
    <w:tbl>
      <w:tblPr>
        <w:tblW w:w="136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0" w:type="dxa"/>
          <w:right w:w="0" w:type="dxa"/>
        </w:tblCellMar>
        <w:tblLook w:val="0000" w:firstRow="0" w:lastRow="0" w:firstColumn="0" w:lastColumn="0" w:noHBand="0" w:noVBand="0"/>
        <w:tblCaption w:val="Table A 4 Disturbance records for each reef."/>
        <w:tblDescription w:val="A table presenting the proportional loss of coral cover at each monitored reef that has been asigned to an accute disturbance"/>
      </w:tblPr>
      <w:tblGrid>
        <w:gridCol w:w="608"/>
        <w:gridCol w:w="1984"/>
        <w:gridCol w:w="992"/>
        <w:gridCol w:w="851"/>
        <w:gridCol w:w="850"/>
        <w:gridCol w:w="8348"/>
      </w:tblGrid>
      <w:tr w:rsidR="00CE4E0F" w:rsidRPr="00A253EC" w14:paraId="53C1473D" w14:textId="77777777" w:rsidTr="004F16D3">
        <w:trPr>
          <w:cantSplit/>
          <w:trHeight w:val="627"/>
        </w:trPr>
        <w:tc>
          <w:tcPr>
            <w:tcW w:w="608" w:type="dxa"/>
            <w:vMerge w:val="restart"/>
            <w:tcMar>
              <w:top w:w="16" w:type="dxa"/>
              <w:left w:w="16" w:type="dxa"/>
              <w:bottom w:w="0" w:type="dxa"/>
              <w:right w:w="16" w:type="dxa"/>
            </w:tcMar>
            <w:textDirection w:val="btLr"/>
            <w:vAlign w:val="center"/>
          </w:tcPr>
          <w:p w14:paraId="53C14736" w14:textId="77777777" w:rsidR="00A84742" w:rsidRPr="00A253EC" w:rsidRDefault="00A84742" w:rsidP="00A84742">
            <w:pPr>
              <w:jc w:val="center"/>
              <w:rPr>
                <w:rFonts w:ascii="Arial Narrow" w:eastAsia="Arial Unicode MS" w:hAnsi="Arial Narrow"/>
                <w:bCs/>
                <w:sz w:val="20"/>
              </w:rPr>
            </w:pPr>
            <w:r w:rsidRPr="00A253EC">
              <w:rPr>
                <w:rFonts w:ascii="Arial Narrow" w:hAnsi="Arial Narrow"/>
                <w:bCs/>
                <w:sz w:val="20"/>
              </w:rPr>
              <w:t>Fitzroy</w:t>
            </w:r>
          </w:p>
        </w:tc>
        <w:tc>
          <w:tcPr>
            <w:tcW w:w="1984" w:type="dxa"/>
            <w:tcMar>
              <w:top w:w="16" w:type="dxa"/>
              <w:left w:w="16" w:type="dxa"/>
              <w:bottom w:w="0" w:type="dxa"/>
              <w:right w:w="16" w:type="dxa"/>
            </w:tcMar>
            <w:vAlign w:val="bottom"/>
          </w:tcPr>
          <w:p w14:paraId="53C14737" w14:textId="77777777" w:rsidR="00A84742" w:rsidRPr="00A253EC" w:rsidRDefault="00A84742" w:rsidP="00A84742">
            <w:pPr>
              <w:ind w:left="200"/>
              <w:rPr>
                <w:rFonts w:ascii="Arial Narrow" w:eastAsia="Arial Unicode MS" w:hAnsi="Arial Narrow"/>
                <w:bCs/>
                <w:sz w:val="20"/>
              </w:rPr>
            </w:pPr>
            <w:r w:rsidRPr="00A253EC">
              <w:rPr>
                <w:rFonts w:ascii="Arial Narrow" w:hAnsi="Arial Narrow"/>
                <w:bCs/>
                <w:sz w:val="20"/>
              </w:rPr>
              <w:t>Barren</w:t>
            </w:r>
          </w:p>
        </w:tc>
        <w:tc>
          <w:tcPr>
            <w:tcW w:w="992" w:type="dxa"/>
            <w:tcMar>
              <w:top w:w="16" w:type="dxa"/>
              <w:left w:w="16" w:type="dxa"/>
              <w:bottom w:w="0" w:type="dxa"/>
              <w:right w:w="16" w:type="dxa"/>
            </w:tcMar>
            <w:vAlign w:val="center"/>
          </w:tcPr>
          <w:p w14:paraId="53C14738"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1</w:t>
            </w:r>
          </w:p>
        </w:tc>
        <w:tc>
          <w:tcPr>
            <w:tcW w:w="851" w:type="dxa"/>
            <w:vAlign w:val="center"/>
          </w:tcPr>
          <w:p w14:paraId="53C14739"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1</w:t>
            </w:r>
          </w:p>
        </w:tc>
        <w:tc>
          <w:tcPr>
            <w:tcW w:w="850" w:type="dxa"/>
            <w:tcMar>
              <w:top w:w="16" w:type="dxa"/>
              <w:left w:w="16" w:type="dxa"/>
              <w:bottom w:w="0" w:type="dxa"/>
              <w:right w:w="16" w:type="dxa"/>
            </w:tcMar>
            <w:vAlign w:val="center"/>
          </w:tcPr>
          <w:p w14:paraId="53C1473A"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25% (2 m) 30% (5 m)</w:t>
            </w:r>
          </w:p>
        </w:tc>
        <w:tc>
          <w:tcPr>
            <w:tcW w:w="8348" w:type="dxa"/>
            <w:tcMar>
              <w:top w:w="16" w:type="dxa"/>
              <w:left w:w="16" w:type="dxa"/>
              <w:bottom w:w="0" w:type="dxa"/>
              <w:right w:w="16" w:type="dxa"/>
            </w:tcMar>
            <w:vAlign w:val="center"/>
          </w:tcPr>
          <w:p w14:paraId="53C1473B" w14:textId="77777777" w:rsidR="00A84742" w:rsidRPr="00A253EC" w:rsidRDefault="00A84742" w:rsidP="00A84742">
            <w:pPr>
              <w:spacing w:after="0"/>
              <w:jc w:val="left"/>
              <w:rPr>
                <w:rFonts w:ascii="Arial Narrow" w:hAnsi="Arial Narrow"/>
                <w:sz w:val="18"/>
                <w:szCs w:val="18"/>
                <w:lang w:val="da-DK"/>
              </w:rPr>
            </w:pPr>
            <w:r w:rsidRPr="00A253EC">
              <w:rPr>
                <w:rFonts w:ascii="Arial Narrow" w:hAnsi="Arial Narrow"/>
                <w:sz w:val="18"/>
                <w:szCs w:val="18"/>
                <w:lang w:val="da-DK"/>
              </w:rPr>
              <w:t xml:space="preserve">Storm Feb 2008 (43% at 2 m, 24% at 5 m), Storm Feb 2010 plus disease (25% at 2 m,8% at 5 m), </w:t>
            </w:r>
          </w:p>
          <w:p w14:paraId="53C1473C" w14:textId="77777777" w:rsidR="00A84742" w:rsidRPr="00A253EC" w:rsidRDefault="00A84742" w:rsidP="00A84742">
            <w:pPr>
              <w:spacing w:after="0"/>
              <w:jc w:val="left"/>
              <w:rPr>
                <w:sz w:val="18"/>
                <w:szCs w:val="18"/>
                <w:lang w:val="da-DK"/>
              </w:rPr>
            </w:pPr>
            <w:r w:rsidRPr="00A253EC">
              <w:rPr>
                <w:rFonts w:ascii="Arial Narrow" w:hAnsi="Arial Narrow"/>
                <w:sz w:val="18"/>
                <w:szCs w:val="18"/>
                <w:lang w:val="da-DK"/>
              </w:rPr>
              <w:t>Storm Feb 2013 (51% at 2 m, 48% at 5 m) ), Storm Feb 2014 (18% at 2 m and at 5 m), Cyclone Marcia 2015 (45% at 2 m, 20% at 5 m)</w:t>
            </w:r>
          </w:p>
        </w:tc>
      </w:tr>
      <w:tr w:rsidR="00CE4E0F" w:rsidRPr="00A253EC" w14:paraId="53C14744" w14:textId="77777777" w:rsidTr="004F16D3">
        <w:trPr>
          <w:cantSplit/>
          <w:trHeight w:val="359"/>
        </w:trPr>
        <w:tc>
          <w:tcPr>
            <w:tcW w:w="608" w:type="dxa"/>
            <w:vMerge/>
            <w:vAlign w:val="center"/>
          </w:tcPr>
          <w:p w14:paraId="53C1473E" w14:textId="77777777" w:rsidR="00A84742" w:rsidRPr="00A253EC" w:rsidRDefault="00A84742" w:rsidP="00A84742">
            <w:pPr>
              <w:rPr>
                <w:rFonts w:ascii="Arial Narrow" w:eastAsia="Arial Unicode MS" w:hAnsi="Arial Narrow"/>
                <w:bCs/>
                <w:sz w:val="20"/>
                <w:lang w:val="da-DK"/>
              </w:rPr>
            </w:pPr>
          </w:p>
        </w:tc>
        <w:tc>
          <w:tcPr>
            <w:tcW w:w="1984" w:type="dxa"/>
            <w:tcMar>
              <w:top w:w="16" w:type="dxa"/>
              <w:left w:w="16" w:type="dxa"/>
              <w:bottom w:w="0" w:type="dxa"/>
              <w:right w:w="16" w:type="dxa"/>
            </w:tcMar>
            <w:vAlign w:val="bottom"/>
          </w:tcPr>
          <w:p w14:paraId="53C1473F" w14:textId="77777777" w:rsidR="00A84742" w:rsidRPr="00A253EC" w:rsidRDefault="00A84742" w:rsidP="00A84742">
            <w:pPr>
              <w:ind w:left="200"/>
              <w:rPr>
                <w:rFonts w:ascii="Arial Narrow" w:eastAsia="Arial Unicode MS" w:hAnsi="Arial Narrow"/>
                <w:bCs/>
                <w:sz w:val="20"/>
              </w:rPr>
            </w:pPr>
            <w:r w:rsidRPr="00A253EC">
              <w:rPr>
                <w:rFonts w:ascii="Arial Narrow" w:hAnsi="Arial Narrow"/>
                <w:bCs/>
                <w:sz w:val="20"/>
              </w:rPr>
              <w:t>North Keppel</w:t>
            </w:r>
          </w:p>
        </w:tc>
        <w:tc>
          <w:tcPr>
            <w:tcW w:w="992" w:type="dxa"/>
            <w:tcMar>
              <w:top w:w="16" w:type="dxa"/>
              <w:left w:w="16" w:type="dxa"/>
              <w:bottom w:w="0" w:type="dxa"/>
              <w:right w:w="16" w:type="dxa"/>
            </w:tcMar>
            <w:vAlign w:val="center"/>
          </w:tcPr>
          <w:p w14:paraId="53C14740"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1 (15%)</w:t>
            </w:r>
          </w:p>
        </w:tc>
        <w:tc>
          <w:tcPr>
            <w:tcW w:w="851" w:type="dxa"/>
            <w:vAlign w:val="center"/>
          </w:tcPr>
          <w:p w14:paraId="53C14741"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0.89 (36%)</w:t>
            </w:r>
          </w:p>
        </w:tc>
        <w:tc>
          <w:tcPr>
            <w:tcW w:w="850" w:type="dxa"/>
            <w:tcMar>
              <w:top w:w="16" w:type="dxa"/>
              <w:left w:w="16" w:type="dxa"/>
              <w:bottom w:w="0" w:type="dxa"/>
              <w:right w:w="16" w:type="dxa"/>
            </w:tcMar>
            <w:vAlign w:val="center"/>
          </w:tcPr>
          <w:p w14:paraId="53C14742"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61% (2 m) 41% (5 m)</w:t>
            </w:r>
          </w:p>
        </w:tc>
        <w:tc>
          <w:tcPr>
            <w:tcW w:w="8348" w:type="dxa"/>
            <w:tcMar>
              <w:top w:w="16" w:type="dxa"/>
              <w:left w:w="16" w:type="dxa"/>
              <w:bottom w:w="0" w:type="dxa"/>
              <w:right w:w="16" w:type="dxa"/>
            </w:tcMar>
            <w:vAlign w:val="center"/>
          </w:tcPr>
          <w:p w14:paraId="53C14743" w14:textId="77777777" w:rsidR="00A84742" w:rsidRPr="00A253EC" w:rsidRDefault="00A84742" w:rsidP="00A84742">
            <w:pPr>
              <w:spacing w:after="0"/>
              <w:jc w:val="left"/>
              <w:rPr>
                <w:rFonts w:ascii="Arial Narrow" w:eastAsia="Arial Unicode MS" w:hAnsi="Arial Narrow"/>
                <w:bCs/>
                <w:sz w:val="18"/>
                <w:szCs w:val="18"/>
              </w:rPr>
            </w:pPr>
            <w:r w:rsidRPr="00A253EC">
              <w:rPr>
                <w:rFonts w:ascii="Arial Narrow" w:hAnsi="Arial Narrow"/>
                <w:bCs/>
                <w:sz w:val="18"/>
                <w:szCs w:val="18"/>
              </w:rPr>
              <w:t xml:space="preserve">Storm Feb 2010 possible although not observed as site not surveyed that year. 2011 ongoing disease (26% at 2 m and 54% at 5 m) </w:t>
            </w:r>
          </w:p>
        </w:tc>
      </w:tr>
      <w:tr w:rsidR="00CE4E0F" w:rsidRPr="00A253EC" w14:paraId="53C1474B" w14:textId="77777777" w:rsidTr="004F16D3">
        <w:trPr>
          <w:cantSplit/>
          <w:trHeight w:val="327"/>
        </w:trPr>
        <w:tc>
          <w:tcPr>
            <w:tcW w:w="608" w:type="dxa"/>
            <w:vMerge/>
            <w:vAlign w:val="center"/>
          </w:tcPr>
          <w:p w14:paraId="53C14745" w14:textId="77777777" w:rsidR="00A84742" w:rsidRPr="00A253EC" w:rsidRDefault="00A84742" w:rsidP="00A84742">
            <w:pPr>
              <w:rPr>
                <w:rFonts w:ascii="Arial Narrow" w:eastAsia="Arial Unicode MS" w:hAnsi="Arial Narrow"/>
                <w:bCs/>
                <w:sz w:val="20"/>
              </w:rPr>
            </w:pPr>
          </w:p>
        </w:tc>
        <w:tc>
          <w:tcPr>
            <w:tcW w:w="1984" w:type="dxa"/>
            <w:tcMar>
              <w:top w:w="16" w:type="dxa"/>
              <w:left w:w="16" w:type="dxa"/>
              <w:bottom w:w="0" w:type="dxa"/>
              <w:right w:w="16" w:type="dxa"/>
            </w:tcMar>
            <w:vAlign w:val="bottom"/>
          </w:tcPr>
          <w:p w14:paraId="53C14746" w14:textId="77777777" w:rsidR="00A84742" w:rsidRPr="00A253EC" w:rsidRDefault="00A84742" w:rsidP="00A84742">
            <w:pPr>
              <w:ind w:left="200"/>
              <w:rPr>
                <w:rFonts w:ascii="Arial Narrow" w:eastAsia="Arial Unicode MS" w:hAnsi="Arial Narrow"/>
                <w:bCs/>
                <w:sz w:val="20"/>
              </w:rPr>
            </w:pPr>
            <w:r w:rsidRPr="00A253EC">
              <w:rPr>
                <w:rFonts w:ascii="Arial Narrow" w:hAnsi="Arial Narrow"/>
                <w:bCs/>
                <w:sz w:val="20"/>
              </w:rPr>
              <w:t>Middle Is</w:t>
            </w:r>
          </w:p>
        </w:tc>
        <w:tc>
          <w:tcPr>
            <w:tcW w:w="992" w:type="dxa"/>
            <w:tcMar>
              <w:top w:w="16" w:type="dxa"/>
              <w:left w:w="16" w:type="dxa"/>
              <w:bottom w:w="0" w:type="dxa"/>
              <w:right w:w="16" w:type="dxa"/>
            </w:tcMar>
            <w:vAlign w:val="center"/>
          </w:tcPr>
          <w:p w14:paraId="53C14747"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1 (56%)</w:t>
            </w:r>
          </w:p>
        </w:tc>
        <w:tc>
          <w:tcPr>
            <w:tcW w:w="851" w:type="dxa"/>
            <w:vAlign w:val="center"/>
          </w:tcPr>
          <w:p w14:paraId="53C14748"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1 (Nil)</w:t>
            </w:r>
          </w:p>
        </w:tc>
        <w:tc>
          <w:tcPr>
            <w:tcW w:w="850" w:type="dxa"/>
            <w:tcMar>
              <w:top w:w="16" w:type="dxa"/>
              <w:left w:w="16" w:type="dxa"/>
              <w:bottom w:w="0" w:type="dxa"/>
              <w:right w:w="16" w:type="dxa"/>
            </w:tcMar>
            <w:vAlign w:val="center"/>
          </w:tcPr>
          <w:p w14:paraId="53C14749"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61% (2 m) 38% (5 m)</w:t>
            </w:r>
          </w:p>
        </w:tc>
        <w:tc>
          <w:tcPr>
            <w:tcW w:w="8348" w:type="dxa"/>
            <w:tcMar>
              <w:top w:w="16" w:type="dxa"/>
              <w:left w:w="16" w:type="dxa"/>
              <w:bottom w:w="0" w:type="dxa"/>
              <w:right w:w="16" w:type="dxa"/>
            </w:tcMar>
            <w:vAlign w:val="center"/>
          </w:tcPr>
          <w:p w14:paraId="53C1474A" w14:textId="77777777" w:rsidR="00A84742" w:rsidRPr="00A253EC" w:rsidRDefault="00A84742" w:rsidP="00A84742">
            <w:pPr>
              <w:spacing w:after="0"/>
              <w:jc w:val="left"/>
              <w:rPr>
                <w:rFonts w:ascii="Arial Narrow" w:hAnsi="Arial Narrow"/>
                <w:bCs/>
                <w:sz w:val="18"/>
                <w:szCs w:val="18"/>
              </w:rPr>
            </w:pPr>
            <w:r w:rsidRPr="00A253EC">
              <w:rPr>
                <w:rFonts w:ascii="Arial Narrow" w:hAnsi="Arial Narrow"/>
                <w:bCs/>
                <w:sz w:val="18"/>
                <w:szCs w:val="18"/>
              </w:rPr>
              <w:t>Storm Feb 2010 plus disease (29% at 2 m, 42% at 5 m) Cyclone Marcia 2015 (30% at 2 m, 32% at 5 m)</w:t>
            </w:r>
          </w:p>
        </w:tc>
      </w:tr>
      <w:tr w:rsidR="00CE4E0F" w:rsidRPr="00A253EC" w14:paraId="53C14752" w14:textId="77777777" w:rsidTr="004F16D3">
        <w:trPr>
          <w:cantSplit/>
          <w:trHeight w:val="337"/>
        </w:trPr>
        <w:tc>
          <w:tcPr>
            <w:tcW w:w="608" w:type="dxa"/>
            <w:vMerge/>
            <w:vAlign w:val="center"/>
          </w:tcPr>
          <w:p w14:paraId="53C1474C" w14:textId="77777777" w:rsidR="00A84742" w:rsidRPr="00A253EC" w:rsidRDefault="00A84742" w:rsidP="00A84742">
            <w:pPr>
              <w:rPr>
                <w:rFonts w:ascii="Arial Narrow" w:eastAsia="Arial Unicode MS" w:hAnsi="Arial Narrow"/>
                <w:bCs/>
                <w:sz w:val="20"/>
              </w:rPr>
            </w:pPr>
          </w:p>
        </w:tc>
        <w:tc>
          <w:tcPr>
            <w:tcW w:w="1984" w:type="dxa"/>
            <w:tcMar>
              <w:top w:w="16" w:type="dxa"/>
              <w:left w:w="16" w:type="dxa"/>
              <w:bottom w:w="0" w:type="dxa"/>
              <w:right w:w="16" w:type="dxa"/>
            </w:tcMar>
            <w:vAlign w:val="bottom"/>
          </w:tcPr>
          <w:p w14:paraId="53C1474D" w14:textId="77777777" w:rsidR="00A84742" w:rsidRPr="00A253EC" w:rsidRDefault="00A84742" w:rsidP="00A84742">
            <w:pPr>
              <w:ind w:left="200"/>
              <w:rPr>
                <w:rFonts w:ascii="Arial Narrow" w:eastAsia="Arial Unicode MS" w:hAnsi="Arial Narrow"/>
                <w:bCs/>
                <w:sz w:val="20"/>
              </w:rPr>
            </w:pPr>
            <w:r w:rsidRPr="00A253EC">
              <w:rPr>
                <w:rFonts w:ascii="Arial Narrow" w:hAnsi="Arial Narrow"/>
                <w:bCs/>
                <w:sz w:val="20"/>
              </w:rPr>
              <w:t>Keppels South</w:t>
            </w:r>
          </w:p>
        </w:tc>
        <w:tc>
          <w:tcPr>
            <w:tcW w:w="992" w:type="dxa"/>
            <w:tcMar>
              <w:top w:w="16" w:type="dxa"/>
              <w:left w:w="16" w:type="dxa"/>
              <w:bottom w:w="0" w:type="dxa"/>
              <w:right w:w="16" w:type="dxa"/>
            </w:tcMar>
            <w:vAlign w:val="center"/>
          </w:tcPr>
          <w:p w14:paraId="53C1474E"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1 (6%)</w:t>
            </w:r>
          </w:p>
        </w:tc>
        <w:tc>
          <w:tcPr>
            <w:tcW w:w="851" w:type="dxa"/>
            <w:vAlign w:val="center"/>
          </w:tcPr>
          <w:p w14:paraId="53C1474F"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1 (26%)</w:t>
            </w:r>
          </w:p>
        </w:tc>
        <w:tc>
          <w:tcPr>
            <w:tcW w:w="850" w:type="dxa"/>
            <w:tcMar>
              <w:top w:w="16" w:type="dxa"/>
              <w:left w:w="16" w:type="dxa"/>
              <w:bottom w:w="0" w:type="dxa"/>
              <w:right w:w="16" w:type="dxa"/>
            </w:tcMar>
            <w:vAlign w:val="center"/>
          </w:tcPr>
          <w:p w14:paraId="53C14750"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27% (2 m) 28% (5 m)</w:t>
            </w:r>
          </w:p>
        </w:tc>
        <w:tc>
          <w:tcPr>
            <w:tcW w:w="8348" w:type="dxa"/>
            <w:tcMar>
              <w:top w:w="16" w:type="dxa"/>
              <w:left w:w="16" w:type="dxa"/>
              <w:bottom w:w="0" w:type="dxa"/>
              <w:right w:w="16" w:type="dxa"/>
            </w:tcMar>
            <w:vAlign w:val="center"/>
          </w:tcPr>
          <w:p w14:paraId="53C14751" w14:textId="77777777" w:rsidR="00A84742" w:rsidRPr="00A253EC" w:rsidRDefault="00A84742" w:rsidP="00A84742">
            <w:pPr>
              <w:spacing w:after="0"/>
              <w:jc w:val="left"/>
              <w:rPr>
                <w:rFonts w:ascii="Arial Narrow" w:hAnsi="Arial Narrow"/>
                <w:bCs/>
                <w:sz w:val="18"/>
                <w:szCs w:val="18"/>
              </w:rPr>
            </w:pPr>
            <w:r w:rsidRPr="00A253EC">
              <w:rPr>
                <w:rFonts w:ascii="Arial Narrow" w:hAnsi="Arial Narrow"/>
                <w:bCs/>
                <w:sz w:val="18"/>
                <w:szCs w:val="18"/>
              </w:rPr>
              <w:t>Flood 2008 and associated disease (14% at 2 m, 15% at 5 m), Disease 2010 (12% at 2 m 22% at 5 m), Flood 2011 and associated disease (85% at 2 m, 23% at 5 m)</w:t>
            </w:r>
          </w:p>
        </w:tc>
      </w:tr>
      <w:tr w:rsidR="00CE4E0F" w:rsidRPr="00A253EC" w14:paraId="53C1475A" w14:textId="77777777" w:rsidTr="004F16D3">
        <w:trPr>
          <w:cantSplit/>
          <w:trHeight w:val="264"/>
        </w:trPr>
        <w:tc>
          <w:tcPr>
            <w:tcW w:w="608" w:type="dxa"/>
            <w:vMerge/>
            <w:vAlign w:val="center"/>
          </w:tcPr>
          <w:p w14:paraId="53C14753" w14:textId="77777777" w:rsidR="00A84742" w:rsidRPr="00A253EC" w:rsidRDefault="00A84742" w:rsidP="00A84742">
            <w:pPr>
              <w:rPr>
                <w:rFonts w:ascii="Arial Narrow" w:eastAsia="Arial Unicode MS" w:hAnsi="Arial Narrow"/>
                <w:bCs/>
                <w:sz w:val="20"/>
              </w:rPr>
            </w:pPr>
          </w:p>
        </w:tc>
        <w:tc>
          <w:tcPr>
            <w:tcW w:w="1984" w:type="dxa"/>
            <w:tcMar>
              <w:top w:w="16" w:type="dxa"/>
              <w:left w:w="16" w:type="dxa"/>
              <w:bottom w:w="0" w:type="dxa"/>
              <w:right w:w="16" w:type="dxa"/>
            </w:tcMar>
            <w:vAlign w:val="bottom"/>
          </w:tcPr>
          <w:p w14:paraId="53C14754" w14:textId="77777777" w:rsidR="00A84742" w:rsidRPr="00A253EC" w:rsidRDefault="00A84742" w:rsidP="00A84742">
            <w:pPr>
              <w:ind w:left="200"/>
              <w:rPr>
                <w:rFonts w:ascii="Arial Narrow" w:eastAsia="Arial Unicode MS" w:hAnsi="Arial Narrow"/>
                <w:bCs/>
                <w:sz w:val="20"/>
              </w:rPr>
            </w:pPr>
            <w:r w:rsidRPr="00A253EC">
              <w:rPr>
                <w:rFonts w:ascii="Arial Narrow" w:hAnsi="Arial Narrow"/>
                <w:bCs/>
                <w:sz w:val="20"/>
              </w:rPr>
              <w:t>Pelican</w:t>
            </w:r>
          </w:p>
        </w:tc>
        <w:tc>
          <w:tcPr>
            <w:tcW w:w="992" w:type="dxa"/>
            <w:tcMar>
              <w:top w:w="16" w:type="dxa"/>
              <w:left w:w="16" w:type="dxa"/>
              <w:bottom w:w="0" w:type="dxa"/>
              <w:right w:w="16" w:type="dxa"/>
            </w:tcMar>
            <w:vAlign w:val="center"/>
          </w:tcPr>
          <w:p w14:paraId="53C14755"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1</w:t>
            </w:r>
          </w:p>
        </w:tc>
        <w:tc>
          <w:tcPr>
            <w:tcW w:w="851" w:type="dxa"/>
            <w:vAlign w:val="center"/>
          </w:tcPr>
          <w:p w14:paraId="53C14756"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1</w:t>
            </w:r>
          </w:p>
        </w:tc>
        <w:tc>
          <w:tcPr>
            <w:tcW w:w="850" w:type="dxa"/>
            <w:tcMar>
              <w:top w:w="16" w:type="dxa"/>
              <w:left w:w="16" w:type="dxa"/>
              <w:bottom w:w="0" w:type="dxa"/>
              <w:right w:w="16" w:type="dxa"/>
            </w:tcMar>
            <w:vAlign w:val="center"/>
          </w:tcPr>
          <w:p w14:paraId="53C14757" w14:textId="77777777" w:rsidR="00A84742" w:rsidRPr="00A253EC" w:rsidRDefault="00A84742" w:rsidP="00A84742">
            <w:pPr>
              <w:jc w:val="center"/>
              <w:rPr>
                <w:rFonts w:ascii="Arial Narrow" w:eastAsia="Arial Unicode MS" w:hAnsi="Arial Narrow"/>
                <w:bCs/>
                <w:sz w:val="18"/>
                <w:szCs w:val="18"/>
              </w:rPr>
            </w:pPr>
            <w:r w:rsidRPr="00A253EC">
              <w:rPr>
                <w:rFonts w:ascii="Arial Narrow" w:eastAsia="Arial Unicode MS" w:hAnsi="Arial Narrow"/>
                <w:bCs/>
                <w:sz w:val="18"/>
                <w:szCs w:val="18"/>
              </w:rPr>
              <w:t>17% (5 m)</w:t>
            </w:r>
          </w:p>
        </w:tc>
        <w:tc>
          <w:tcPr>
            <w:tcW w:w="8348" w:type="dxa"/>
            <w:tcMar>
              <w:top w:w="16" w:type="dxa"/>
              <w:left w:w="16" w:type="dxa"/>
              <w:bottom w:w="0" w:type="dxa"/>
              <w:right w:w="16" w:type="dxa"/>
            </w:tcMar>
            <w:vAlign w:val="center"/>
          </w:tcPr>
          <w:p w14:paraId="53C14758" w14:textId="77777777" w:rsidR="00A84742" w:rsidRPr="00A253EC" w:rsidRDefault="00A84742" w:rsidP="00A84742">
            <w:pPr>
              <w:spacing w:after="0"/>
              <w:jc w:val="left"/>
              <w:rPr>
                <w:rFonts w:ascii="Arial Narrow" w:hAnsi="Arial Narrow"/>
                <w:bCs/>
                <w:sz w:val="18"/>
                <w:szCs w:val="18"/>
              </w:rPr>
            </w:pPr>
            <w:r w:rsidRPr="00A253EC">
              <w:rPr>
                <w:rFonts w:ascii="Arial Narrow" w:hAnsi="Arial Narrow"/>
                <w:bCs/>
                <w:sz w:val="18"/>
                <w:szCs w:val="18"/>
              </w:rPr>
              <w:t>Flood /Storm 2008 (29% at 2 m, 7% at 5 m), Disease 2009 (13% at 5 m), Disease 2010 (28% at 2 m),</w:t>
            </w:r>
          </w:p>
          <w:p w14:paraId="53C14759" w14:textId="77777777" w:rsidR="00A84742" w:rsidRPr="00A253EC" w:rsidRDefault="00A84742" w:rsidP="00A84742">
            <w:pPr>
              <w:spacing w:after="0"/>
              <w:jc w:val="left"/>
              <w:rPr>
                <w:rFonts w:ascii="Arial Narrow" w:hAnsi="Arial Narrow"/>
                <w:bCs/>
                <w:sz w:val="18"/>
                <w:szCs w:val="18"/>
              </w:rPr>
            </w:pPr>
            <w:r w:rsidRPr="00A253EC">
              <w:rPr>
                <w:rFonts w:ascii="Arial Narrow" w:hAnsi="Arial Narrow"/>
                <w:bCs/>
                <w:sz w:val="18"/>
                <w:szCs w:val="18"/>
              </w:rPr>
              <w:t>Flood 2011 (99%at 2 m, 32% at 5 m), Cyclone Marcia 2015 (65% at 2 m, 35% at 5 m)</w:t>
            </w:r>
          </w:p>
        </w:tc>
      </w:tr>
      <w:tr w:rsidR="00CE4E0F" w:rsidRPr="00A253EC" w14:paraId="53C14761" w14:textId="77777777" w:rsidTr="004F16D3">
        <w:trPr>
          <w:cantSplit/>
          <w:trHeight w:val="264"/>
        </w:trPr>
        <w:tc>
          <w:tcPr>
            <w:tcW w:w="608" w:type="dxa"/>
            <w:vMerge/>
            <w:tcBorders>
              <w:bottom w:val="single" w:sz="12" w:space="0" w:color="auto"/>
            </w:tcBorders>
            <w:vAlign w:val="center"/>
          </w:tcPr>
          <w:p w14:paraId="53C1475B" w14:textId="77777777" w:rsidR="00A84742" w:rsidRPr="00A253EC" w:rsidRDefault="00A84742" w:rsidP="00A84742">
            <w:pPr>
              <w:rPr>
                <w:rFonts w:ascii="Arial Narrow" w:eastAsia="Arial Unicode MS" w:hAnsi="Arial Narrow"/>
                <w:bCs/>
                <w:sz w:val="20"/>
              </w:rPr>
            </w:pPr>
          </w:p>
        </w:tc>
        <w:tc>
          <w:tcPr>
            <w:tcW w:w="1984" w:type="dxa"/>
            <w:tcBorders>
              <w:bottom w:val="single" w:sz="12" w:space="0" w:color="auto"/>
            </w:tcBorders>
            <w:tcMar>
              <w:top w:w="16" w:type="dxa"/>
              <w:left w:w="16" w:type="dxa"/>
              <w:bottom w:w="0" w:type="dxa"/>
              <w:right w:w="16" w:type="dxa"/>
            </w:tcMar>
            <w:vAlign w:val="bottom"/>
          </w:tcPr>
          <w:p w14:paraId="53C1475C" w14:textId="77777777" w:rsidR="00A84742" w:rsidRPr="00A253EC" w:rsidRDefault="00A84742" w:rsidP="00A84742">
            <w:pPr>
              <w:ind w:left="200"/>
              <w:rPr>
                <w:rFonts w:ascii="Arial Narrow" w:eastAsia="Arial Unicode MS" w:hAnsi="Arial Narrow"/>
                <w:bCs/>
                <w:sz w:val="20"/>
              </w:rPr>
            </w:pPr>
            <w:r w:rsidRPr="00A253EC">
              <w:rPr>
                <w:rFonts w:ascii="Arial Narrow" w:hAnsi="Arial Narrow"/>
                <w:bCs/>
                <w:sz w:val="20"/>
              </w:rPr>
              <w:t>Peak</w:t>
            </w:r>
          </w:p>
        </w:tc>
        <w:tc>
          <w:tcPr>
            <w:tcW w:w="992" w:type="dxa"/>
            <w:tcBorders>
              <w:bottom w:val="single" w:sz="12" w:space="0" w:color="auto"/>
            </w:tcBorders>
            <w:tcMar>
              <w:top w:w="16" w:type="dxa"/>
              <w:left w:w="16" w:type="dxa"/>
              <w:bottom w:w="0" w:type="dxa"/>
              <w:right w:w="16" w:type="dxa"/>
            </w:tcMar>
            <w:vAlign w:val="center"/>
          </w:tcPr>
          <w:p w14:paraId="53C1475D"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1</w:t>
            </w:r>
          </w:p>
        </w:tc>
        <w:tc>
          <w:tcPr>
            <w:tcW w:w="851" w:type="dxa"/>
            <w:tcBorders>
              <w:bottom w:val="single" w:sz="12" w:space="0" w:color="auto"/>
            </w:tcBorders>
            <w:vAlign w:val="center"/>
          </w:tcPr>
          <w:p w14:paraId="53C1475E" w14:textId="77777777" w:rsidR="00A84742" w:rsidRPr="00A253EC" w:rsidRDefault="00A84742" w:rsidP="00A84742">
            <w:pPr>
              <w:jc w:val="center"/>
              <w:rPr>
                <w:rFonts w:ascii="Arial Narrow" w:eastAsia="Arial Unicode MS" w:hAnsi="Arial Narrow"/>
                <w:bCs/>
                <w:sz w:val="18"/>
                <w:szCs w:val="18"/>
              </w:rPr>
            </w:pPr>
            <w:r w:rsidRPr="00A253EC">
              <w:rPr>
                <w:rFonts w:ascii="Arial Narrow" w:hAnsi="Arial Narrow"/>
                <w:bCs/>
                <w:sz w:val="18"/>
                <w:szCs w:val="18"/>
              </w:rPr>
              <w:t>1</w:t>
            </w:r>
          </w:p>
        </w:tc>
        <w:tc>
          <w:tcPr>
            <w:tcW w:w="850" w:type="dxa"/>
            <w:tcBorders>
              <w:bottom w:val="single" w:sz="12" w:space="0" w:color="auto"/>
            </w:tcBorders>
            <w:tcMar>
              <w:top w:w="16" w:type="dxa"/>
              <w:left w:w="16" w:type="dxa"/>
              <w:bottom w:w="0" w:type="dxa"/>
              <w:right w:w="16" w:type="dxa"/>
            </w:tcMar>
            <w:vAlign w:val="center"/>
          </w:tcPr>
          <w:p w14:paraId="53C1475F" w14:textId="77777777" w:rsidR="00A84742" w:rsidRPr="00A253EC" w:rsidRDefault="00A84742" w:rsidP="00A84742">
            <w:pPr>
              <w:jc w:val="center"/>
              <w:rPr>
                <w:rFonts w:ascii="Arial Narrow" w:eastAsia="Arial Unicode MS" w:hAnsi="Arial Narrow"/>
                <w:bCs/>
                <w:sz w:val="18"/>
                <w:szCs w:val="18"/>
              </w:rPr>
            </w:pPr>
          </w:p>
        </w:tc>
        <w:tc>
          <w:tcPr>
            <w:tcW w:w="8348" w:type="dxa"/>
            <w:tcBorders>
              <w:bottom w:val="single" w:sz="12" w:space="0" w:color="auto"/>
            </w:tcBorders>
            <w:tcMar>
              <w:top w:w="16" w:type="dxa"/>
              <w:left w:w="16" w:type="dxa"/>
              <w:bottom w:w="0" w:type="dxa"/>
              <w:right w:w="16" w:type="dxa"/>
            </w:tcMar>
            <w:vAlign w:val="center"/>
          </w:tcPr>
          <w:p w14:paraId="53C14760" w14:textId="77777777" w:rsidR="00A84742" w:rsidRPr="00A253EC" w:rsidRDefault="00A84742" w:rsidP="00A84742">
            <w:pPr>
              <w:spacing w:after="0"/>
              <w:jc w:val="left"/>
              <w:rPr>
                <w:rFonts w:ascii="Arial Narrow" w:hAnsi="Arial Narrow"/>
                <w:bCs/>
                <w:sz w:val="18"/>
                <w:szCs w:val="18"/>
                <w:lang w:val="da-DK"/>
              </w:rPr>
            </w:pPr>
            <w:r w:rsidRPr="00A253EC">
              <w:rPr>
                <w:rFonts w:ascii="Arial Narrow" w:hAnsi="Arial Narrow"/>
                <w:bCs/>
                <w:sz w:val="18"/>
                <w:szCs w:val="18"/>
                <w:lang w:val="da-DK"/>
              </w:rPr>
              <w:t>Flood 2008 (28% at 2 m), Flood 2011 (70% at 2 m, 27% at 5 m)</w:t>
            </w:r>
          </w:p>
        </w:tc>
      </w:tr>
    </w:tbl>
    <w:bookmarkEnd w:id="608"/>
    <w:p w14:paraId="53C14762" w14:textId="77777777" w:rsidR="00A84742" w:rsidRPr="00A253EC" w:rsidRDefault="00A84742" w:rsidP="00A84742">
      <w:pPr>
        <w:rPr>
          <w:rFonts w:ascii="Arial Narrow" w:hAnsi="Arial Narrow"/>
          <w:bCs/>
          <w:sz w:val="20"/>
        </w:rPr>
        <w:sectPr w:rsidR="00A84742" w:rsidRPr="00A253EC" w:rsidSect="006608FC">
          <w:pgSz w:w="16840" w:h="11907" w:orient="landscape" w:code="9"/>
          <w:pgMar w:top="1134" w:right="1440" w:bottom="1134" w:left="1440" w:header="709" w:footer="709" w:gutter="0"/>
          <w:cols w:space="708"/>
          <w:docGrid w:linePitch="360"/>
        </w:sectPr>
      </w:pPr>
      <w:r w:rsidRPr="00A253EC">
        <w:rPr>
          <w:rFonts w:ascii="Arial Narrow" w:hAnsi="Arial Narrow"/>
          <w:bCs/>
          <w:sz w:val="20"/>
        </w:rPr>
        <w:t>Note: As direct observations of impact were limited during the wide spread bleaching events of 1998 and 2002 tabulated values for these years are the estimated probability that each reef would have experienced a coral bleaching event as calculated using a Bayesian Network model (Wooldridge &amp; Done 2004). The network model allows information about site-specific physical variables (e.g. water quality, mixing strength, thermal history, wave regime) to be combined with satellite-derived estimates of sea surface temperature (SST) to provide a probability (= strength of belief) that a given coral community would have experienced a coral bleaching event. Higher probabilities indicate a greater strength of belief in both the likelihood of a bleaching event and the severity of that event. Where impact was observed the proportional reduction in coral cover is included. For all other disturbances listed the proportional reductions in cover are based on direct observation.</w:t>
      </w:r>
    </w:p>
    <w:p w14:paraId="53C14763" w14:textId="410BD5F6" w:rsidR="006902D1" w:rsidRPr="002445C4" w:rsidRDefault="003D3C1E" w:rsidP="002B5296">
      <w:pPr>
        <w:pStyle w:val="Caption"/>
        <w:rPr>
          <w:rFonts w:ascii="Arial" w:hAnsi="Arial" w:cs="Arial"/>
          <w:i/>
          <w:vanish/>
          <w:specVanish/>
        </w:rPr>
      </w:pPr>
      <w:bookmarkStart w:id="609" w:name="_Ref30749162"/>
      <w:bookmarkStart w:id="610" w:name="_Toc35519356"/>
      <w:bookmarkStart w:id="611" w:name="_Toc527701051"/>
      <w:bookmarkStart w:id="612" w:name="_Ref528673941"/>
      <w:bookmarkStart w:id="613" w:name="_Toc530654882"/>
      <w:r>
        <w:lastRenderedPageBreak/>
        <w:t xml:space="preserve">Table A </w:t>
      </w:r>
      <w:r>
        <w:fldChar w:fldCharType="begin"/>
      </w:r>
      <w:r>
        <w:instrText xml:space="preserve"> SEQ Table_A \* ARABIC </w:instrText>
      </w:r>
      <w:r>
        <w:fldChar w:fldCharType="separate"/>
      </w:r>
      <w:r w:rsidR="003053D1">
        <w:rPr>
          <w:noProof/>
        </w:rPr>
        <w:t>8</w:t>
      </w:r>
      <w:r>
        <w:fldChar w:fldCharType="end"/>
      </w:r>
      <w:bookmarkEnd w:id="609"/>
      <w:r>
        <w:t xml:space="preserve"> </w:t>
      </w:r>
      <w:r w:rsidR="00A84742" w:rsidRPr="002445C4">
        <w:t>Reef level Coral index and indicator scores 201</w:t>
      </w:r>
      <w:r w:rsidR="0055593B">
        <w:t>9</w:t>
      </w:r>
      <w:bookmarkEnd w:id="610"/>
    </w:p>
    <w:p w14:paraId="53C14764" w14:textId="77777777" w:rsidR="00A84742" w:rsidRPr="00EE76B9" w:rsidRDefault="006902D1">
      <w:pPr>
        <w:pStyle w:val="Caption"/>
        <w:rPr>
          <w:rStyle w:val="IntenseReference"/>
        </w:rPr>
      </w:pPr>
      <w:r w:rsidRPr="002445C4">
        <w:t>.</w:t>
      </w:r>
      <w:r w:rsidR="00A84742" w:rsidRPr="002445C4">
        <w:t xml:space="preserve"> </w:t>
      </w:r>
      <w:r w:rsidR="00A84742" w:rsidRPr="00EE76B9">
        <w:rPr>
          <w:rStyle w:val="IntenseReference"/>
        </w:rPr>
        <w:t>Coral index and (sub</w:t>
      </w:r>
      <w:r w:rsidR="00A84742" w:rsidRPr="00EE76B9">
        <w:rPr>
          <w:rStyle w:val="IntenseReference"/>
        </w:rPr>
        <w:noBreakHyphen/>
        <w:t>)regional indicator scores are colour coded by condition categories: red = very poor, orange = poor, yellow = moderate, light green = good and dark green = very good</w:t>
      </w:r>
      <w:bookmarkEnd w:id="611"/>
      <w:bookmarkEnd w:id="612"/>
      <w:bookmarkEnd w:id="613"/>
      <w:r w:rsidR="00A84742" w:rsidRPr="00EE76B9">
        <w:rPr>
          <w:rStyle w:val="IntenseReference"/>
        </w:rPr>
        <w:t>.</w:t>
      </w:r>
    </w:p>
    <w:tbl>
      <w:tblPr>
        <w:tblW w:w="9418" w:type="dxa"/>
        <w:tblInd w:w="91" w:type="dxa"/>
        <w:tblLayout w:type="fixed"/>
        <w:tblCellMar>
          <w:left w:w="28" w:type="dxa"/>
          <w:right w:w="28" w:type="dxa"/>
        </w:tblCellMar>
        <w:tblLook w:val="04A0" w:firstRow="1" w:lastRow="0" w:firstColumn="1" w:lastColumn="0" w:noHBand="0" w:noVBand="1"/>
        <w:tblCaption w:val="Table A 5 Reef level coral index and metric scores 2018. "/>
        <w:tblDescription w:val=" A Table listing the reef level scores for the index and each metric estimated in 2018. "/>
      </w:tblPr>
      <w:tblGrid>
        <w:gridCol w:w="771"/>
        <w:gridCol w:w="1576"/>
        <w:gridCol w:w="284"/>
        <w:gridCol w:w="1134"/>
        <w:gridCol w:w="1134"/>
        <w:gridCol w:w="1134"/>
        <w:gridCol w:w="1047"/>
        <w:gridCol w:w="1221"/>
        <w:gridCol w:w="1117"/>
      </w:tblGrid>
      <w:tr w:rsidR="002445C4" w:rsidRPr="002445C4" w14:paraId="53C1476E" w14:textId="77777777" w:rsidTr="004F16D3">
        <w:trPr>
          <w:cantSplit/>
          <w:trHeight w:val="925"/>
          <w:tblHeader/>
        </w:trPr>
        <w:tc>
          <w:tcPr>
            <w:tcW w:w="771"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53C14765" w14:textId="77777777" w:rsidR="00A84742" w:rsidRPr="002445C4" w:rsidRDefault="00A84742" w:rsidP="00A84742">
            <w:pPr>
              <w:spacing w:after="0"/>
              <w:jc w:val="center"/>
              <w:rPr>
                <w:rFonts w:ascii="Arial Narrow" w:hAnsi="Arial Narrow"/>
                <w:b/>
                <w:sz w:val="20"/>
                <w:lang w:eastAsia="en-AU"/>
              </w:rPr>
            </w:pPr>
            <w:bookmarkStart w:id="614" w:name="_Hlk22738602"/>
            <w:r w:rsidRPr="002445C4">
              <w:rPr>
                <w:rFonts w:ascii="Arial Narrow" w:hAnsi="Arial Narrow"/>
                <w:b/>
                <w:sz w:val="20"/>
                <w:lang w:eastAsia="en-AU"/>
              </w:rPr>
              <w:t>Region</w:t>
            </w:r>
          </w:p>
        </w:tc>
        <w:tc>
          <w:tcPr>
            <w:tcW w:w="1576" w:type="dxa"/>
            <w:tcBorders>
              <w:top w:val="single" w:sz="4" w:space="0" w:color="auto"/>
              <w:left w:val="nil"/>
              <w:bottom w:val="single" w:sz="4" w:space="0" w:color="auto"/>
              <w:right w:val="single" w:sz="4" w:space="0" w:color="auto"/>
            </w:tcBorders>
            <w:shd w:val="clear" w:color="auto" w:fill="BFBFBF"/>
            <w:noWrap/>
            <w:vAlign w:val="center"/>
            <w:hideMark/>
          </w:tcPr>
          <w:p w14:paraId="53C14766" w14:textId="77777777" w:rsidR="00A84742" w:rsidRPr="002445C4" w:rsidRDefault="00A84742" w:rsidP="00A84742">
            <w:pPr>
              <w:spacing w:after="0"/>
              <w:jc w:val="center"/>
              <w:rPr>
                <w:rFonts w:ascii="Arial Narrow" w:hAnsi="Arial Narrow"/>
                <w:b/>
                <w:sz w:val="20"/>
                <w:lang w:eastAsia="en-AU"/>
              </w:rPr>
            </w:pPr>
            <w:r w:rsidRPr="002445C4">
              <w:rPr>
                <w:rFonts w:ascii="Arial Narrow" w:hAnsi="Arial Narrow"/>
                <w:b/>
                <w:sz w:val="20"/>
                <w:lang w:eastAsia="en-AU"/>
              </w:rPr>
              <w:t>Reef</w:t>
            </w:r>
          </w:p>
        </w:tc>
        <w:tc>
          <w:tcPr>
            <w:tcW w:w="284" w:type="dxa"/>
            <w:tcBorders>
              <w:top w:val="single" w:sz="4" w:space="0" w:color="auto"/>
              <w:left w:val="nil"/>
              <w:bottom w:val="single" w:sz="4" w:space="0" w:color="auto"/>
              <w:right w:val="single" w:sz="4" w:space="0" w:color="auto"/>
            </w:tcBorders>
            <w:shd w:val="clear" w:color="auto" w:fill="BFBFBF"/>
            <w:noWrap/>
            <w:textDirection w:val="btLr"/>
            <w:vAlign w:val="center"/>
            <w:hideMark/>
          </w:tcPr>
          <w:p w14:paraId="53C14767" w14:textId="77777777" w:rsidR="00A84742" w:rsidRPr="002445C4" w:rsidRDefault="00A84742" w:rsidP="00A84742">
            <w:pPr>
              <w:spacing w:after="0"/>
              <w:jc w:val="center"/>
              <w:rPr>
                <w:rFonts w:ascii="Arial Narrow" w:hAnsi="Arial Narrow"/>
                <w:b/>
                <w:sz w:val="20"/>
                <w:lang w:eastAsia="en-AU"/>
              </w:rPr>
            </w:pPr>
            <w:r w:rsidRPr="002445C4">
              <w:rPr>
                <w:rFonts w:ascii="Arial Narrow" w:hAnsi="Arial Narrow"/>
                <w:b/>
                <w:sz w:val="20"/>
                <w:lang w:eastAsia="en-AU"/>
              </w:rPr>
              <w:t>Depth</w:t>
            </w:r>
          </w:p>
        </w:tc>
        <w:tc>
          <w:tcPr>
            <w:tcW w:w="1134" w:type="dxa"/>
            <w:tcBorders>
              <w:top w:val="single" w:sz="4" w:space="0" w:color="auto"/>
              <w:left w:val="nil"/>
              <w:bottom w:val="single" w:sz="4" w:space="0" w:color="auto"/>
              <w:right w:val="single" w:sz="4" w:space="0" w:color="auto"/>
            </w:tcBorders>
            <w:shd w:val="clear" w:color="auto" w:fill="BFBFBF"/>
            <w:noWrap/>
            <w:vAlign w:val="center"/>
            <w:hideMark/>
          </w:tcPr>
          <w:p w14:paraId="53C14768" w14:textId="77777777" w:rsidR="00A84742" w:rsidRPr="002445C4" w:rsidRDefault="00A84742" w:rsidP="00A84742">
            <w:pPr>
              <w:spacing w:after="0"/>
              <w:jc w:val="center"/>
              <w:rPr>
                <w:rFonts w:ascii="Arial Narrow" w:hAnsi="Arial Narrow"/>
                <w:b/>
                <w:sz w:val="20"/>
                <w:lang w:eastAsia="en-AU"/>
              </w:rPr>
            </w:pPr>
            <w:r w:rsidRPr="002445C4">
              <w:rPr>
                <w:rFonts w:ascii="Arial Narrow" w:hAnsi="Arial Narrow"/>
                <w:b/>
                <w:sz w:val="20"/>
                <w:lang w:eastAsia="en-AU"/>
              </w:rPr>
              <w:t>Coral Cover</w:t>
            </w:r>
          </w:p>
        </w:tc>
        <w:tc>
          <w:tcPr>
            <w:tcW w:w="1134" w:type="dxa"/>
            <w:tcBorders>
              <w:top w:val="single" w:sz="4" w:space="0" w:color="auto"/>
              <w:left w:val="nil"/>
              <w:bottom w:val="single" w:sz="4" w:space="0" w:color="auto"/>
              <w:right w:val="single" w:sz="4" w:space="0" w:color="auto"/>
            </w:tcBorders>
            <w:shd w:val="clear" w:color="auto" w:fill="BFBFBF"/>
            <w:noWrap/>
            <w:tcMar>
              <w:left w:w="0" w:type="dxa"/>
              <w:right w:w="0" w:type="dxa"/>
            </w:tcMar>
            <w:vAlign w:val="center"/>
            <w:hideMark/>
          </w:tcPr>
          <w:p w14:paraId="53C14769" w14:textId="77777777" w:rsidR="00A84742" w:rsidRPr="002445C4" w:rsidRDefault="00A84742" w:rsidP="00A84742">
            <w:pPr>
              <w:spacing w:after="0"/>
              <w:jc w:val="center"/>
              <w:rPr>
                <w:rFonts w:ascii="Arial Narrow" w:hAnsi="Arial Narrow"/>
                <w:b/>
                <w:sz w:val="20"/>
                <w:lang w:eastAsia="en-AU"/>
              </w:rPr>
            </w:pPr>
            <w:r w:rsidRPr="002445C4">
              <w:rPr>
                <w:rFonts w:ascii="Arial Narrow" w:hAnsi="Arial Narrow"/>
                <w:b/>
                <w:sz w:val="20"/>
                <w:lang w:eastAsia="en-AU"/>
              </w:rPr>
              <w:t xml:space="preserve">Juvenile </w:t>
            </w:r>
          </w:p>
        </w:tc>
        <w:tc>
          <w:tcPr>
            <w:tcW w:w="1134" w:type="dxa"/>
            <w:tcBorders>
              <w:top w:val="single" w:sz="4" w:space="0" w:color="auto"/>
              <w:left w:val="nil"/>
              <w:bottom w:val="single" w:sz="4" w:space="0" w:color="auto"/>
              <w:right w:val="single" w:sz="4" w:space="0" w:color="auto"/>
            </w:tcBorders>
            <w:shd w:val="clear" w:color="auto" w:fill="BFBFBF"/>
            <w:noWrap/>
            <w:vAlign w:val="center"/>
            <w:hideMark/>
          </w:tcPr>
          <w:p w14:paraId="53C1476A" w14:textId="77777777" w:rsidR="00A84742" w:rsidRPr="002445C4" w:rsidRDefault="00A84742" w:rsidP="00A84742">
            <w:pPr>
              <w:spacing w:after="0"/>
              <w:jc w:val="center"/>
              <w:rPr>
                <w:rFonts w:ascii="Arial Narrow" w:hAnsi="Arial Narrow"/>
                <w:b/>
                <w:sz w:val="20"/>
                <w:lang w:eastAsia="en-AU"/>
              </w:rPr>
            </w:pPr>
            <w:r w:rsidRPr="002445C4">
              <w:rPr>
                <w:rFonts w:ascii="Arial Narrow" w:hAnsi="Arial Narrow"/>
                <w:b/>
                <w:sz w:val="20"/>
                <w:lang w:eastAsia="en-AU"/>
              </w:rPr>
              <w:t>Macroalgae</w:t>
            </w:r>
          </w:p>
        </w:tc>
        <w:tc>
          <w:tcPr>
            <w:tcW w:w="1047" w:type="dxa"/>
            <w:tcBorders>
              <w:top w:val="single" w:sz="4" w:space="0" w:color="auto"/>
              <w:left w:val="nil"/>
              <w:bottom w:val="single" w:sz="4" w:space="0" w:color="auto"/>
              <w:right w:val="single" w:sz="4" w:space="0" w:color="auto"/>
            </w:tcBorders>
            <w:shd w:val="clear" w:color="auto" w:fill="BFBFBF"/>
            <w:noWrap/>
            <w:vAlign w:val="center"/>
            <w:hideMark/>
          </w:tcPr>
          <w:p w14:paraId="53C1476B" w14:textId="77777777" w:rsidR="00A84742" w:rsidRPr="002445C4" w:rsidRDefault="00A84742" w:rsidP="00A84742">
            <w:pPr>
              <w:spacing w:after="0"/>
              <w:jc w:val="center"/>
              <w:rPr>
                <w:rFonts w:ascii="Arial Narrow" w:hAnsi="Arial Narrow"/>
                <w:b/>
                <w:sz w:val="20"/>
                <w:lang w:eastAsia="en-AU"/>
              </w:rPr>
            </w:pPr>
            <w:r w:rsidRPr="002445C4">
              <w:rPr>
                <w:rFonts w:ascii="Arial Narrow" w:hAnsi="Arial Narrow"/>
                <w:b/>
                <w:sz w:val="20"/>
                <w:lang w:eastAsia="en-AU"/>
              </w:rPr>
              <w:t>Cover Change</w:t>
            </w:r>
          </w:p>
        </w:tc>
        <w:tc>
          <w:tcPr>
            <w:tcW w:w="1221" w:type="dxa"/>
            <w:tcBorders>
              <w:top w:val="single" w:sz="4" w:space="0" w:color="auto"/>
              <w:left w:val="nil"/>
              <w:bottom w:val="single" w:sz="4" w:space="0" w:color="auto"/>
              <w:right w:val="single" w:sz="4" w:space="0" w:color="auto"/>
            </w:tcBorders>
            <w:shd w:val="clear" w:color="auto" w:fill="BFBFBF"/>
            <w:noWrap/>
            <w:vAlign w:val="center"/>
            <w:hideMark/>
          </w:tcPr>
          <w:p w14:paraId="53C1476C" w14:textId="77777777" w:rsidR="00A84742" w:rsidRPr="002445C4" w:rsidRDefault="00A84742" w:rsidP="00A84742">
            <w:pPr>
              <w:spacing w:after="0"/>
              <w:jc w:val="center"/>
              <w:rPr>
                <w:rFonts w:ascii="Arial Narrow" w:hAnsi="Arial Narrow"/>
                <w:b/>
                <w:sz w:val="20"/>
                <w:lang w:eastAsia="en-AU"/>
              </w:rPr>
            </w:pPr>
            <w:r w:rsidRPr="002445C4">
              <w:rPr>
                <w:rFonts w:ascii="Arial Narrow" w:hAnsi="Arial Narrow"/>
                <w:b/>
                <w:sz w:val="20"/>
                <w:lang w:eastAsia="en-AU"/>
              </w:rPr>
              <w:t>Composition</w:t>
            </w:r>
          </w:p>
        </w:tc>
        <w:tc>
          <w:tcPr>
            <w:tcW w:w="1117" w:type="dxa"/>
            <w:tcBorders>
              <w:top w:val="single" w:sz="4" w:space="0" w:color="auto"/>
              <w:left w:val="nil"/>
              <w:bottom w:val="single" w:sz="4" w:space="0" w:color="auto"/>
              <w:right w:val="single" w:sz="4" w:space="0" w:color="auto"/>
            </w:tcBorders>
            <w:shd w:val="clear" w:color="auto" w:fill="BFBFBF"/>
            <w:noWrap/>
            <w:vAlign w:val="center"/>
            <w:hideMark/>
          </w:tcPr>
          <w:p w14:paraId="53C1476D" w14:textId="77777777" w:rsidR="00A84742" w:rsidRPr="002445C4" w:rsidRDefault="00A84742" w:rsidP="00A84742">
            <w:pPr>
              <w:spacing w:after="0"/>
              <w:jc w:val="center"/>
              <w:rPr>
                <w:rFonts w:ascii="Arial Narrow" w:hAnsi="Arial Narrow"/>
                <w:b/>
                <w:sz w:val="20"/>
                <w:lang w:eastAsia="en-AU"/>
              </w:rPr>
            </w:pPr>
            <w:r w:rsidRPr="002445C4">
              <w:rPr>
                <w:rFonts w:ascii="Arial Narrow" w:hAnsi="Arial Narrow"/>
                <w:b/>
                <w:sz w:val="20"/>
                <w:lang w:eastAsia="en-AU"/>
              </w:rPr>
              <w:t>Coral index</w:t>
            </w:r>
          </w:p>
        </w:tc>
      </w:tr>
      <w:tr w:rsidR="002445C4" w:rsidRPr="002445C4" w14:paraId="53C14778" w14:textId="77777777" w:rsidTr="00C96FCC">
        <w:trPr>
          <w:trHeight w:hRule="exact" w:val="255"/>
        </w:trPr>
        <w:tc>
          <w:tcPr>
            <w:tcW w:w="771" w:type="dxa"/>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14:paraId="53C1476F" w14:textId="77777777" w:rsidR="00B47799" w:rsidRPr="002445C4" w:rsidRDefault="008E17A4" w:rsidP="00B47799">
            <w:pPr>
              <w:spacing w:after="0"/>
              <w:jc w:val="center"/>
              <w:rPr>
                <w:rFonts w:ascii="Arial Narrow" w:hAnsi="Arial Narrow"/>
                <w:lang w:eastAsia="en-AU"/>
              </w:rPr>
            </w:pPr>
            <w:r>
              <w:rPr>
                <w:rFonts w:ascii="Arial Narrow" w:hAnsi="Arial Narrow"/>
                <w:lang w:eastAsia="en-AU"/>
              </w:rPr>
              <w:t xml:space="preserve">Barron </w:t>
            </w:r>
            <w:r w:rsidR="00B47799" w:rsidRPr="002445C4">
              <w:rPr>
                <w:rFonts w:ascii="Arial Narrow" w:hAnsi="Arial Narrow"/>
                <w:lang w:eastAsia="en-AU"/>
              </w:rPr>
              <w:t>Daintree</w:t>
            </w:r>
          </w:p>
        </w:tc>
        <w:tc>
          <w:tcPr>
            <w:tcW w:w="1576" w:type="dxa"/>
            <w:tcBorders>
              <w:top w:val="nil"/>
              <w:left w:val="nil"/>
              <w:bottom w:val="single" w:sz="4" w:space="0" w:color="auto"/>
              <w:right w:val="single" w:sz="4" w:space="0" w:color="auto"/>
            </w:tcBorders>
            <w:shd w:val="clear" w:color="auto" w:fill="auto"/>
            <w:noWrap/>
            <w:vAlign w:val="center"/>
            <w:hideMark/>
          </w:tcPr>
          <w:p w14:paraId="53C14770" w14:textId="77777777" w:rsidR="00B47799" w:rsidRPr="002445C4" w:rsidRDefault="00B47799" w:rsidP="00B47799">
            <w:pPr>
              <w:spacing w:after="0"/>
              <w:jc w:val="left"/>
              <w:rPr>
                <w:rFonts w:ascii="Arial Narrow" w:hAnsi="Arial Narrow"/>
                <w:sz w:val="20"/>
                <w:lang w:eastAsia="en-AU"/>
              </w:rPr>
            </w:pPr>
            <w:r w:rsidRPr="002445C4">
              <w:rPr>
                <w:rFonts w:ascii="Arial Narrow" w:hAnsi="Arial Narrow"/>
                <w:sz w:val="20"/>
                <w:lang w:eastAsia="en-AU"/>
              </w:rPr>
              <w:t>Low</w:t>
            </w:r>
            <w:r w:rsidR="001F21C6">
              <w:rPr>
                <w:rFonts w:ascii="Arial Narrow" w:hAnsi="Arial Narrow"/>
                <w:sz w:val="20"/>
                <w:lang w:eastAsia="en-AU"/>
              </w:rPr>
              <w:t xml:space="preserve"> </w:t>
            </w:r>
            <w:r w:rsidRPr="002445C4">
              <w:rPr>
                <w:rFonts w:ascii="Arial Narrow" w:hAnsi="Arial Narrow"/>
                <w:sz w:val="20"/>
                <w:lang w:eastAsia="en-AU"/>
              </w:rPr>
              <w:t>Isles</w:t>
            </w:r>
          </w:p>
        </w:tc>
        <w:tc>
          <w:tcPr>
            <w:tcW w:w="284" w:type="dxa"/>
            <w:tcBorders>
              <w:top w:val="nil"/>
              <w:left w:val="nil"/>
              <w:bottom w:val="single" w:sz="4" w:space="0" w:color="auto"/>
              <w:right w:val="single" w:sz="4" w:space="0" w:color="auto"/>
            </w:tcBorders>
            <w:shd w:val="clear" w:color="auto" w:fill="auto"/>
            <w:noWrap/>
            <w:vAlign w:val="center"/>
            <w:hideMark/>
          </w:tcPr>
          <w:p w14:paraId="53C14771" w14:textId="77777777" w:rsidR="00B47799" w:rsidRPr="002445C4" w:rsidRDefault="00B47799" w:rsidP="00B47799">
            <w:pPr>
              <w:spacing w:after="0"/>
              <w:jc w:val="center"/>
              <w:rPr>
                <w:rFonts w:ascii="Arial Narrow" w:hAnsi="Arial Narrow"/>
                <w:sz w:val="20"/>
                <w:lang w:eastAsia="en-AU"/>
              </w:rPr>
            </w:pPr>
            <w:r w:rsidRPr="002445C4">
              <w:rPr>
                <w:rFonts w:ascii="Arial Narrow" w:hAnsi="Arial Narrow"/>
                <w:sz w:val="20"/>
                <w:lang w:eastAsia="en-AU"/>
              </w:rPr>
              <w:t>5</w:t>
            </w:r>
          </w:p>
        </w:tc>
        <w:tc>
          <w:tcPr>
            <w:tcW w:w="1134" w:type="dxa"/>
            <w:tcBorders>
              <w:top w:val="nil"/>
              <w:left w:val="nil"/>
              <w:bottom w:val="single" w:sz="4" w:space="0" w:color="auto"/>
              <w:right w:val="single" w:sz="4" w:space="0" w:color="auto"/>
            </w:tcBorders>
            <w:shd w:val="clear" w:color="auto" w:fill="auto"/>
            <w:noWrap/>
            <w:vAlign w:val="bottom"/>
            <w:hideMark/>
          </w:tcPr>
          <w:p w14:paraId="53C14772" w14:textId="77777777" w:rsidR="00B47799" w:rsidRPr="002445C4" w:rsidRDefault="00B47799" w:rsidP="00830E32">
            <w:pPr>
              <w:jc w:val="center"/>
              <w:rPr>
                <w:rFonts w:ascii="Arial Narrow" w:hAnsi="Arial Narrow"/>
                <w:sz w:val="20"/>
                <w:szCs w:val="20"/>
              </w:rPr>
            </w:pPr>
            <w:r w:rsidRPr="002445C4">
              <w:rPr>
                <w:rFonts w:ascii="Arial Narrow" w:hAnsi="Arial Narrow"/>
                <w:sz w:val="20"/>
                <w:szCs w:val="20"/>
              </w:rPr>
              <w:t>0.46</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hideMark/>
          </w:tcPr>
          <w:p w14:paraId="53C14773" w14:textId="77777777" w:rsidR="00B47799" w:rsidRPr="002445C4" w:rsidRDefault="00B47799" w:rsidP="00830E32">
            <w:pPr>
              <w:jc w:val="center"/>
              <w:rPr>
                <w:rFonts w:ascii="Arial Narrow" w:hAnsi="Arial Narrow"/>
                <w:sz w:val="20"/>
                <w:szCs w:val="20"/>
              </w:rPr>
            </w:pPr>
            <w:r w:rsidRPr="002445C4">
              <w:rPr>
                <w:rFonts w:ascii="Arial Narrow" w:hAnsi="Arial Narrow"/>
                <w:sz w:val="20"/>
                <w:szCs w:val="20"/>
              </w:rPr>
              <w:t>0.68</w:t>
            </w:r>
          </w:p>
        </w:tc>
        <w:tc>
          <w:tcPr>
            <w:tcW w:w="1134" w:type="dxa"/>
            <w:tcBorders>
              <w:top w:val="nil"/>
              <w:left w:val="nil"/>
              <w:bottom w:val="single" w:sz="4" w:space="0" w:color="auto"/>
              <w:right w:val="single" w:sz="4" w:space="0" w:color="auto"/>
            </w:tcBorders>
            <w:shd w:val="clear" w:color="auto" w:fill="auto"/>
            <w:noWrap/>
            <w:vAlign w:val="bottom"/>
            <w:hideMark/>
          </w:tcPr>
          <w:p w14:paraId="53C14774" w14:textId="77777777" w:rsidR="00B47799" w:rsidRPr="002445C4" w:rsidRDefault="00B47799" w:rsidP="00830E32">
            <w:pPr>
              <w:jc w:val="center"/>
              <w:rPr>
                <w:rFonts w:ascii="Arial Narrow" w:hAnsi="Arial Narrow"/>
                <w:sz w:val="20"/>
                <w:szCs w:val="20"/>
              </w:rPr>
            </w:pPr>
            <w:r w:rsidRPr="002445C4">
              <w:rPr>
                <w:rFonts w:ascii="Arial Narrow" w:hAnsi="Arial Narrow"/>
                <w:sz w:val="20"/>
                <w:szCs w:val="20"/>
              </w:rPr>
              <w:t>0.74</w:t>
            </w:r>
          </w:p>
        </w:tc>
        <w:tc>
          <w:tcPr>
            <w:tcW w:w="1047" w:type="dxa"/>
            <w:tcBorders>
              <w:top w:val="nil"/>
              <w:left w:val="nil"/>
              <w:bottom w:val="single" w:sz="4" w:space="0" w:color="auto"/>
              <w:right w:val="single" w:sz="4" w:space="0" w:color="auto"/>
            </w:tcBorders>
            <w:shd w:val="clear" w:color="auto" w:fill="auto"/>
            <w:noWrap/>
            <w:vAlign w:val="bottom"/>
            <w:hideMark/>
          </w:tcPr>
          <w:p w14:paraId="53C14775" w14:textId="77777777" w:rsidR="00B47799" w:rsidRPr="002445C4" w:rsidRDefault="00B47799" w:rsidP="00830E32">
            <w:pPr>
              <w:jc w:val="center"/>
              <w:rPr>
                <w:rFonts w:ascii="Arial Narrow" w:hAnsi="Arial Narrow"/>
                <w:sz w:val="20"/>
                <w:szCs w:val="20"/>
              </w:rPr>
            </w:pPr>
            <w:r w:rsidRPr="002445C4">
              <w:rPr>
                <w:rFonts w:ascii="Arial Narrow" w:hAnsi="Arial Narrow"/>
                <w:sz w:val="20"/>
                <w:szCs w:val="20"/>
              </w:rPr>
              <w:t>1.00</w:t>
            </w:r>
          </w:p>
        </w:tc>
        <w:tc>
          <w:tcPr>
            <w:tcW w:w="1221" w:type="dxa"/>
            <w:tcBorders>
              <w:top w:val="nil"/>
              <w:left w:val="nil"/>
              <w:bottom w:val="single" w:sz="4" w:space="0" w:color="auto"/>
              <w:right w:val="single" w:sz="4" w:space="0" w:color="auto"/>
            </w:tcBorders>
            <w:shd w:val="clear" w:color="auto" w:fill="auto"/>
            <w:noWrap/>
            <w:vAlign w:val="bottom"/>
            <w:hideMark/>
          </w:tcPr>
          <w:p w14:paraId="53C14776" w14:textId="77777777" w:rsidR="00B47799" w:rsidRPr="002445C4" w:rsidRDefault="00B47799" w:rsidP="00830E32">
            <w:pPr>
              <w:jc w:val="center"/>
              <w:rPr>
                <w:rFonts w:ascii="Arial Narrow" w:hAnsi="Arial Narrow"/>
                <w:sz w:val="20"/>
                <w:szCs w:val="20"/>
              </w:rPr>
            </w:pPr>
            <w:r w:rsidRPr="002445C4">
              <w:rPr>
                <w:rFonts w:ascii="Arial Narrow" w:hAnsi="Arial Narrow"/>
                <w:sz w:val="20"/>
                <w:szCs w:val="20"/>
              </w:rPr>
              <w:t>0.50</w:t>
            </w:r>
          </w:p>
        </w:tc>
        <w:tc>
          <w:tcPr>
            <w:tcW w:w="1117" w:type="dxa"/>
            <w:tcBorders>
              <w:top w:val="nil"/>
              <w:left w:val="nil"/>
              <w:bottom w:val="single" w:sz="4" w:space="0" w:color="auto"/>
              <w:right w:val="single" w:sz="4" w:space="0" w:color="auto"/>
            </w:tcBorders>
            <w:shd w:val="clear" w:color="auto" w:fill="92D050"/>
            <w:noWrap/>
            <w:vAlign w:val="bottom"/>
            <w:hideMark/>
          </w:tcPr>
          <w:p w14:paraId="53C14777" w14:textId="77777777" w:rsidR="00B47799" w:rsidRPr="002445C4" w:rsidRDefault="00B47799" w:rsidP="00830E32">
            <w:pPr>
              <w:jc w:val="center"/>
              <w:rPr>
                <w:rFonts w:ascii="Arial Narrow" w:hAnsi="Arial Narrow"/>
                <w:sz w:val="20"/>
                <w:szCs w:val="20"/>
              </w:rPr>
            </w:pPr>
            <w:r w:rsidRPr="002445C4">
              <w:rPr>
                <w:rFonts w:ascii="Arial Narrow" w:hAnsi="Arial Narrow"/>
                <w:sz w:val="20"/>
                <w:szCs w:val="20"/>
              </w:rPr>
              <w:t>0.68</w:t>
            </w:r>
          </w:p>
        </w:tc>
      </w:tr>
      <w:tr w:rsidR="002445C4" w:rsidRPr="002445C4" w14:paraId="53C14782" w14:textId="77777777" w:rsidTr="00830E32">
        <w:trPr>
          <w:trHeight w:hRule="exact" w:val="255"/>
        </w:trPr>
        <w:tc>
          <w:tcPr>
            <w:tcW w:w="771" w:type="dxa"/>
            <w:vMerge/>
            <w:tcBorders>
              <w:top w:val="nil"/>
              <w:left w:val="single" w:sz="4" w:space="0" w:color="auto"/>
              <w:bottom w:val="single" w:sz="4" w:space="0" w:color="auto"/>
              <w:right w:val="single" w:sz="4" w:space="0" w:color="auto"/>
            </w:tcBorders>
            <w:vAlign w:val="center"/>
            <w:hideMark/>
          </w:tcPr>
          <w:p w14:paraId="53C14779" w14:textId="77777777" w:rsidR="00B47799" w:rsidRPr="002445C4" w:rsidRDefault="00B47799" w:rsidP="00B47799">
            <w:pPr>
              <w:spacing w:after="0"/>
              <w:jc w:val="left"/>
              <w:rPr>
                <w:rFonts w:ascii="Arial Narrow" w:hAnsi="Arial Narrow"/>
                <w:lang w:eastAsia="en-AU"/>
              </w:rPr>
            </w:pPr>
          </w:p>
        </w:tc>
        <w:tc>
          <w:tcPr>
            <w:tcW w:w="15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3C1477A" w14:textId="77777777" w:rsidR="00B47799" w:rsidRPr="002445C4" w:rsidRDefault="00B47799" w:rsidP="00B47799">
            <w:pPr>
              <w:spacing w:after="0"/>
              <w:jc w:val="left"/>
              <w:rPr>
                <w:rFonts w:ascii="Arial Narrow" w:hAnsi="Arial Narrow"/>
                <w:sz w:val="20"/>
                <w:lang w:eastAsia="en-AU"/>
              </w:rPr>
            </w:pPr>
            <w:r w:rsidRPr="002445C4">
              <w:rPr>
                <w:rFonts w:ascii="Arial Narrow" w:hAnsi="Arial Narrow"/>
                <w:sz w:val="20"/>
                <w:lang w:eastAsia="en-AU"/>
              </w:rPr>
              <w:t>Snapper North</w:t>
            </w:r>
          </w:p>
        </w:tc>
        <w:tc>
          <w:tcPr>
            <w:tcW w:w="284" w:type="dxa"/>
            <w:tcBorders>
              <w:top w:val="nil"/>
              <w:left w:val="nil"/>
              <w:bottom w:val="single" w:sz="4" w:space="0" w:color="auto"/>
              <w:right w:val="single" w:sz="4" w:space="0" w:color="auto"/>
            </w:tcBorders>
            <w:shd w:val="clear" w:color="auto" w:fill="auto"/>
            <w:noWrap/>
            <w:vAlign w:val="center"/>
            <w:hideMark/>
          </w:tcPr>
          <w:p w14:paraId="53C1477B" w14:textId="77777777" w:rsidR="00B47799" w:rsidRPr="002445C4" w:rsidRDefault="00B47799" w:rsidP="00B47799">
            <w:pPr>
              <w:spacing w:after="0"/>
              <w:jc w:val="center"/>
              <w:rPr>
                <w:rFonts w:ascii="Arial Narrow" w:hAnsi="Arial Narrow"/>
                <w:sz w:val="20"/>
                <w:lang w:eastAsia="en-AU"/>
              </w:rPr>
            </w:pPr>
            <w:r w:rsidRPr="002445C4">
              <w:rPr>
                <w:rFonts w:ascii="Arial Narrow" w:hAnsi="Arial Narrow"/>
                <w:sz w:val="20"/>
                <w:lang w:eastAsia="en-AU"/>
              </w:rPr>
              <w:t>2</w:t>
            </w:r>
          </w:p>
        </w:tc>
        <w:tc>
          <w:tcPr>
            <w:tcW w:w="1134" w:type="dxa"/>
            <w:tcBorders>
              <w:top w:val="nil"/>
              <w:left w:val="nil"/>
              <w:bottom w:val="single" w:sz="4" w:space="0" w:color="auto"/>
              <w:right w:val="single" w:sz="4" w:space="0" w:color="auto"/>
            </w:tcBorders>
            <w:shd w:val="clear" w:color="auto" w:fill="auto"/>
            <w:noWrap/>
            <w:vAlign w:val="bottom"/>
            <w:hideMark/>
          </w:tcPr>
          <w:p w14:paraId="53C1477C" w14:textId="77777777" w:rsidR="00B47799" w:rsidRPr="002445C4" w:rsidRDefault="00B47799" w:rsidP="00830E32">
            <w:pPr>
              <w:jc w:val="center"/>
              <w:rPr>
                <w:rFonts w:ascii="Arial Narrow" w:hAnsi="Arial Narrow"/>
                <w:sz w:val="20"/>
                <w:szCs w:val="20"/>
              </w:rPr>
            </w:pPr>
            <w:r w:rsidRPr="002445C4">
              <w:rPr>
                <w:rFonts w:ascii="Arial Narrow" w:hAnsi="Arial Narrow"/>
                <w:sz w:val="20"/>
                <w:szCs w:val="20"/>
              </w:rPr>
              <w:t>0.19</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hideMark/>
          </w:tcPr>
          <w:p w14:paraId="53C1477D" w14:textId="77777777" w:rsidR="00B47799" w:rsidRPr="002445C4" w:rsidRDefault="00B47799" w:rsidP="00830E32">
            <w:pPr>
              <w:jc w:val="center"/>
              <w:rPr>
                <w:rFonts w:ascii="Arial Narrow" w:hAnsi="Arial Narrow"/>
                <w:sz w:val="20"/>
                <w:szCs w:val="20"/>
              </w:rPr>
            </w:pPr>
            <w:r w:rsidRPr="002445C4">
              <w:rPr>
                <w:rFonts w:ascii="Arial Narrow" w:hAnsi="Arial Narrow"/>
                <w:sz w:val="20"/>
                <w:szCs w:val="20"/>
              </w:rPr>
              <w:t>0.05</w:t>
            </w:r>
          </w:p>
        </w:tc>
        <w:tc>
          <w:tcPr>
            <w:tcW w:w="1134" w:type="dxa"/>
            <w:tcBorders>
              <w:top w:val="nil"/>
              <w:left w:val="nil"/>
              <w:bottom w:val="single" w:sz="4" w:space="0" w:color="auto"/>
              <w:right w:val="single" w:sz="4" w:space="0" w:color="auto"/>
            </w:tcBorders>
            <w:shd w:val="clear" w:color="auto" w:fill="auto"/>
            <w:noWrap/>
            <w:vAlign w:val="bottom"/>
            <w:hideMark/>
          </w:tcPr>
          <w:p w14:paraId="53C1477E" w14:textId="77777777" w:rsidR="00B47799" w:rsidRPr="002445C4" w:rsidRDefault="001F21C6" w:rsidP="00830E32">
            <w:pPr>
              <w:jc w:val="center"/>
              <w:rPr>
                <w:rFonts w:ascii="Arial Narrow" w:hAnsi="Arial Narrow"/>
                <w:sz w:val="20"/>
                <w:szCs w:val="20"/>
              </w:rPr>
            </w:pPr>
            <w:r>
              <w:rPr>
                <w:rFonts w:ascii="Arial Narrow" w:hAnsi="Arial Narrow"/>
                <w:sz w:val="20"/>
                <w:szCs w:val="20"/>
              </w:rPr>
              <w:t>0.00</w:t>
            </w:r>
          </w:p>
        </w:tc>
        <w:tc>
          <w:tcPr>
            <w:tcW w:w="1047" w:type="dxa"/>
            <w:tcBorders>
              <w:top w:val="nil"/>
              <w:left w:val="nil"/>
              <w:bottom w:val="single" w:sz="4" w:space="0" w:color="auto"/>
              <w:right w:val="single" w:sz="4" w:space="0" w:color="auto"/>
            </w:tcBorders>
            <w:shd w:val="clear" w:color="auto" w:fill="auto"/>
            <w:noWrap/>
            <w:vAlign w:val="bottom"/>
            <w:hideMark/>
          </w:tcPr>
          <w:p w14:paraId="53C1477F" w14:textId="77777777" w:rsidR="00B47799" w:rsidRPr="002445C4" w:rsidRDefault="00B47799" w:rsidP="00830E32">
            <w:pPr>
              <w:jc w:val="center"/>
              <w:rPr>
                <w:rFonts w:ascii="Arial Narrow" w:hAnsi="Arial Narrow"/>
                <w:sz w:val="20"/>
                <w:szCs w:val="20"/>
              </w:rPr>
            </w:pPr>
            <w:r w:rsidRPr="002445C4">
              <w:rPr>
                <w:rFonts w:ascii="Arial Narrow" w:hAnsi="Arial Narrow"/>
                <w:sz w:val="20"/>
                <w:szCs w:val="20"/>
              </w:rPr>
              <w:t>0.71</w:t>
            </w:r>
          </w:p>
        </w:tc>
        <w:tc>
          <w:tcPr>
            <w:tcW w:w="1221" w:type="dxa"/>
            <w:tcBorders>
              <w:top w:val="nil"/>
              <w:left w:val="nil"/>
              <w:bottom w:val="single" w:sz="4" w:space="0" w:color="auto"/>
              <w:right w:val="single" w:sz="4" w:space="0" w:color="auto"/>
            </w:tcBorders>
            <w:shd w:val="clear" w:color="auto" w:fill="auto"/>
            <w:noWrap/>
            <w:vAlign w:val="bottom"/>
            <w:hideMark/>
          </w:tcPr>
          <w:p w14:paraId="53C14780" w14:textId="77777777" w:rsidR="00B47799" w:rsidRPr="002445C4" w:rsidRDefault="001F21C6" w:rsidP="00830E32">
            <w:pPr>
              <w:jc w:val="center"/>
              <w:rPr>
                <w:rFonts w:ascii="Arial Narrow" w:hAnsi="Arial Narrow"/>
                <w:sz w:val="20"/>
                <w:szCs w:val="20"/>
              </w:rPr>
            </w:pPr>
            <w:r>
              <w:rPr>
                <w:rFonts w:ascii="Arial Narrow" w:hAnsi="Arial Narrow"/>
                <w:sz w:val="20"/>
                <w:szCs w:val="20"/>
              </w:rPr>
              <w:t>0.00</w:t>
            </w:r>
          </w:p>
        </w:tc>
        <w:tc>
          <w:tcPr>
            <w:tcW w:w="1117" w:type="dxa"/>
            <w:tcBorders>
              <w:top w:val="nil"/>
              <w:left w:val="nil"/>
              <w:bottom w:val="single" w:sz="4" w:space="0" w:color="auto"/>
              <w:right w:val="single" w:sz="4" w:space="0" w:color="auto"/>
            </w:tcBorders>
            <w:shd w:val="clear" w:color="000000" w:fill="FF0000"/>
            <w:noWrap/>
            <w:vAlign w:val="bottom"/>
            <w:hideMark/>
          </w:tcPr>
          <w:p w14:paraId="53C14781" w14:textId="77777777" w:rsidR="00B47799" w:rsidRPr="002445C4" w:rsidRDefault="00B47799" w:rsidP="00830E32">
            <w:pPr>
              <w:jc w:val="center"/>
              <w:rPr>
                <w:rFonts w:ascii="Arial Narrow" w:hAnsi="Arial Narrow"/>
                <w:sz w:val="20"/>
                <w:szCs w:val="20"/>
              </w:rPr>
            </w:pPr>
            <w:r w:rsidRPr="002445C4">
              <w:rPr>
                <w:rFonts w:ascii="Arial Narrow" w:hAnsi="Arial Narrow"/>
                <w:sz w:val="20"/>
                <w:szCs w:val="20"/>
              </w:rPr>
              <w:t>0.19</w:t>
            </w:r>
          </w:p>
        </w:tc>
      </w:tr>
      <w:tr w:rsidR="002445C4" w:rsidRPr="002445C4" w14:paraId="53C1478C" w14:textId="77777777" w:rsidTr="00830E32">
        <w:trPr>
          <w:trHeight w:hRule="exact" w:val="255"/>
        </w:trPr>
        <w:tc>
          <w:tcPr>
            <w:tcW w:w="771" w:type="dxa"/>
            <w:vMerge/>
            <w:tcBorders>
              <w:top w:val="nil"/>
              <w:left w:val="single" w:sz="4" w:space="0" w:color="auto"/>
              <w:bottom w:val="single" w:sz="4" w:space="0" w:color="auto"/>
              <w:right w:val="single" w:sz="4" w:space="0" w:color="auto"/>
            </w:tcBorders>
            <w:vAlign w:val="center"/>
            <w:hideMark/>
          </w:tcPr>
          <w:p w14:paraId="53C14783" w14:textId="77777777" w:rsidR="00B47799" w:rsidRPr="002445C4" w:rsidRDefault="00B47799" w:rsidP="00B47799">
            <w:pPr>
              <w:spacing w:after="0"/>
              <w:jc w:val="left"/>
              <w:rPr>
                <w:rFonts w:ascii="Arial Narrow" w:hAnsi="Arial Narrow"/>
                <w:lang w:eastAsia="en-AU"/>
              </w:rPr>
            </w:pPr>
          </w:p>
        </w:tc>
        <w:tc>
          <w:tcPr>
            <w:tcW w:w="1576" w:type="dxa"/>
            <w:vMerge/>
            <w:tcBorders>
              <w:top w:val="nil"/>
              <w:left w:val="single" w:sz="4" w:space="0" w:color="auto"/>
              <w:bottom w:val="single" w:sz="4" w:space="0" w:color="auto"/>
              <w:right w:val="single" w:sz="4" w:space="0" w:color="auto"/>
            </w:tcBorders>
            <w:vAlign w:val="center"/>
            <w:hideMark/>
          </w:tcPr>
          <w:p w14:paraId="53C14784" w14:textId="77777777" w:rsidR="00B47799" w:rsidRPr="002445C4" w:rsidRDefault="00B47799" w:rsidP="00B47799">
            <w:pPr>
              <w:spacing w:after="0"/>
              <w:jc w:val="left"/>
              <w:rPr>
                <w:rFonts w:ascii="Arial Narrow" w:hAnsi="Arial Narrow"/>
                <w:sz w:val="20"/>
                <w:lang w:eastAsia="en-AU"/>
              </w:rPr>
            </w:pPr>
          </w:p>
        </w:tc>
        <w:tc>
          <w:tcPr>
            <w:tcW w:w="284" w:type="dxa"/>
            <w:tcBorders>
              <w:top w:val="nil"/>
              <w:left w:val="nil"/>
              <w:bottom w:val="single" w:sz="4" w:space="0" w:color="auto"/>
              <w:right w:val="single" w:sz="4" w:space="0" w:color="auto"/>
            </w:tcBorders>
            <w:shd w:val="clear" w:color="auto" w:fill="auto"/>
            <w:noWrap/>
            <w:vAlign w:val="center"/>
            <w:hideMark/>
          </w:tcPr>
          <w:p w14:paraId="53C14785" w14:textId="77777777" w:rsidR="00B47799" w:rsidRPr="002445C4" w:rsidRDefault="00B47799" w:rsidP="00B47799">
            <w:pPr>
              <w:spacing w:after="0"/>
              <w:jc w:val="center"/>
              <w:rPr>
                <w:rFonts w:ascii="Arial Narrow" w:hAnsi="Arial Narrow"/>
                <w:sz w:val="20"/>
                <w:lang w:eastAsia="en-AU"/>
              </w:rPr>
            </w:pPr>
            <w:r w:rsidRPr="002445C4">
              <w:rPr>
                <w:rFonts w:ascii="Arial Narrow" w:hAnsi="Arial Narrow"/>
                <w:sz w:val="20"/>
                <w:lang w:eastAsia="en-AU"/>
              </w:rPr>
              <w:t>5</w:t>
            </w:r>
          </w:p>
        </w:tc>
        <w:tc>
          <w:tcPr>
            <w:tcW w:w="1134" w:type="dxa"/>
            <w:tcBorders>
              <w:top w:val="nil"/>
              <w:left w:val="nil"/>
              <w:bottom w:val="single" w:sz="4" w:space="0" w:color="auto"/>
              <w:right w:val="single" w:sz="4" w:space="0" w:color="auto"/>
            </w:tcBorders>
            <w:shd w:val="clear" w:color="auto" w:fill="auto"/>
            <w:noWrap/>
            <w:vAlign w:val="bottom"/>
            <w:hideMark/>
          </w:tcPr>
          <w:p w14:paraId="53C14786" w14:textId="77777777" w:rsidR="00B47799" w:rsidRPr="002445C4" w:rsidRDefault="00B47799" w:rsidP="00830E32">
            <w:pPr>
              <w:jc w:val="center"/>
              <w:rPr>
                <w:rFonts w:ascii="Arial Narrow" w:hAnsi="Arial Narrow"/>
                <w:sz w:val="20"/>
                <w:szCs w:val="20"/>
              </w:rPr>
            </w:pPr>
            <w:r w:rsidRPr="002445C4">
              <w:rPr>
                <w:rFonts w:ascii="Arial Narrow" w:hAnsi="Arial Narrow"/>
                <w:sz w:val="20"/>
                <w:szCs w:val="20"/>
              </w:rPr>
              <w:t>0.33</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hideMark/>
          </w:tcPr>
          <w:p w14:paraId="53C14787" w14:textId="77777777" w:rsidR="00B47799" w:rsidRPr="002445C4" w:rsidRDefault="00B47799" w:rsidP="00830E32">
            <w:pPr>
              <w:jc w:val="center"/>
              <w:rPr>
                <w:rFonts w:ascii="Arial Narrow" w:hAnsi="Arial Narrow"/>
                <w:sz w:val="20"/>
                <w:szCs w:val="20"/>
              </w:rPr>
            </w:pPr>
            <w:r w:rsidRPr="002445C4">
              <w:rPr>
                <w:rFonts w:ascii="Arial Narrow" w:hAnsi="Arial Narrow"/>
                <w:sz w:val="20"/>
                <w:szCs w:val="20"/>
              </w:rPr>
              <w:t>0.24</w:t>
            </w:r>
          </w:p>
        </w:tc>
        <w:tc>
          <w:tcPr>
            <w:tcW w:w="1134" w:type="dxa"/>
            <w:tcBorders>
              <w:top w:val="nil"/>
              <w:left w:val="nil"/>
              <w:bottom w:val="single" w:sz="4" w:space="0" w:color="auto"/>
              <w:right w:val="single" w:sz="4" w:space="0" w:color="auto"/>
            </w:tcBorders>
            <w:shd w:val="clear" w:color="auto" w:fill="auto"/>
            <w:noWrap/>
            <w:vAlign w:val="bottom"/>
            <w:hideMark/>
          </w:tcPr>
          <w:p w14:paraId="53C14788" w14:textId="77777777" w:rsidR="00B47799" w:rsidRPr="002445C4" w:rsidRDefault="00B47799" w:rsidP="00830E32">
            <w:pPr>
              <w:jc w:val="center"/>
              <w:rPr>
                <w:rFonts w:ascii="Arial Narrow" w:hAnsi="Arial Narrow"/>
                <w:sz w:val="20"/>
                <w:szCs w:val="20"/>
              </w:rPr>
            </w:pPr>
            <w:r w:rsidRPr="002445C4">
              <w:rPr>
                <w:rFonts w:ascii="Arial Narrow" w:hAnsi="Arial Narrow"/>
                <w:sz w:val="20"/>
                <w:szCs w:val="20"/>
              </w:rPr>
              <w:t>0.25</w:t>
            </w:r>
          </w:p>
        </w:tc>
        <w:tc>
          <w:tcPr>
            <w:tcW w:w="1047" w:type="dxa"/>
            <w:tcBorders>
              <w:top w:val="nil"/>
              <w:left w:val="nil"/>
              <w:bottom w:val="single" w:sz="4" w:space="0" w:color="auto"/>
              <w:right w:val="single" w:sz="4" w:space="0" w:color="auto"/>
            </w:tcBorders>
            <w:shd w:val="clear" w:color="auto" w:fill="auto"/>
            <w:noWrap/>
            <w:vAlign w:val="bottom"/>
            <w:hideMark/>
          </w:tcPr>
          <w:p w14:paraId="53C14789" w14:textId="77777777" w:rsidR="00B47799" w:rsidRPr="002445C4" w:rsidRDefault="00B47799" w:rsidP="00830E32">
            <w:pPr>
              <w:jc w:val="center"/>
              <w:rPr>
                <w:rFonts w:ascii="Arial Narrow" w:hAnsi="Arial Narrow"/>
                <w:sz w:val="20"/>
                <w:szCs w:val="20"/>
              </w:rPr>
            </w:pPr>
            <w:r w:rsidRPr="002445C4">
              <w:rPr>
                <w:rFonts w:ascii="Arial Narrow" w:hAnsi="Arial Narrow"/>
                <w:sz w:val="20"/>
                <w:szCs w:val="20"/>
              </w:rPr>
              <w:t>0.50</w:t>
            </w:r>
          </w:p>
        </w:tc>
        <w:tc>
          <w:tcPr>
            <w:tcW w:w="1221" w:type="dxa"/>
            <w:tcBorders>
              <w:top w:val="nil"/>
              <w:left w:val="nil"/>
              <w:bottom w:val="single" w:sz="4" w:space="0" w:color="auto"/>
              <w:right w:val="single" w:sz="4" w:space="0" w:color="auto"/>
            </w:tcBorders>
            <w:shd w:val="clear" w:color="auto" w:fill="auto"/>
            <w:noWrap/>
            <w:vAlign w:val="bottom"/>
            <w:hideMark/>
          </w:tcPr>
          <w:p w14:paraId="53C1478A" w14:textId="77777777" w:rsidR="00B47799" w:rsidRPr="002445C4" w:rsidRDefault="001F21C6" w:rsidP="00830E32">
            <w:pPr>
              <w:jc w:val="center"/>
              <w:rPr>
                <w:rFonts w:ascii="Arial Narrow" w:hAnsi="Arial Narrow"/>
                <w:sz w:val="20"/>
                <w:szCs w:val="20"/>
              </w:rPr>
            </w:pPr>
            <w:r>
              <w:rPr>
                <w:rFonts w:ascii="Arial Narrow" w:hAnsi="Arial Narrow"/>
                <w:sz w:val="20"/>
                <w:szCs w:val="20"/>
              </w:rPr>
              <w:t>0.00</w:t>
            </w:r>
          </w:p>
        </w:tc>
        <w:tc>
          <w:tcPr>
            <w:tcW w:w="1117" w:type="dxa"/>
            <w:tcBorders>
              <w:top w:val="nil"/>
              <w:left w:val="nil"/>
              <w:bottom w:val="single" w:sz="4" w:space="0" w:color="auto"/>
              <w:right w:val="single" w:sz="4" w:space="0" w:color="auto"/>
            </w:tcBorders>
            <w:shd w:val="clear" w:color="auto" w:fill="FFC000"/>
            <w:noWrap/>
            <w:vAlign w:val="bottom"/>
            <w:hideMark/>
          </w:tcPr>
          <w:p w14:paraId="53C1478B" w14:textId="77777777" w:rsidR="00B47799" w:rsidRPr="002445C4" w:rsidRDefault="00B47799" w:rsidP="00830E32">
            <w:pPr>
              <w:jc w:val="center"/>
              <w:rPr>
                <w:rFonts w:ascii="Arial Narrow" w:hAnsi="Arial Narrow"/>
                <w:sz w:val="20"/>
                <w:szCs w:val="20"/>
              </w:rPr>
            </w:pPr>
            <w:r w:rsidRPr="002445C4">
              <w:rPr>
                <w:rFonts w:ascii="Arial Narrow" w:hAnsi="Arial Narrow"/>
                <w:sz w:val="20"/>
                <w:szCs w:val="20"/>
              </w:rPr>
              <w:t>0.26</w:t>
            </w:r>
          </w:p>
        </w:tc>
      </w:tr>
      <w:tr w:rsidR="002445C4" w:rsidRPr="002445C4" w14:paraId="53C14796" w14:textId="77777777" w:rsidTr="00C96FCC">
        <w:trPr>
          <w:trHeight w:hRule="exact" w:val="255"/>
        </w:trPr>
        <w:tc>
          <w:tcPr>
            <w:tcW w:w="771" w:type="dxa"/>
            <w:vMerge/>
            <w:tcBorders>
              <w:top w:val="nil"/>
              <w:left w:val="single" w:sz="4" w:space="0" w:color="auto"/>
              <w:bottom w:val="single" w:sz="4" w:space="0" w:color="auto"/>
              <w:right w:val="single" w:sz="4" w:space="0" w:color="auto"/>
            </w:tcBorders>
            <w:vAlign w:val="center"/>
            <w:hideMark/>
          </w:tcPr>
          <w:p w14:paraId="53C1478D" w14:textId="77777777" w:rsidR="00B47799" w:rsidRPr="002445C4" w:rsidRDefault="00B47799" w:rsidP="00B47799">
            <w:pPr>
              <w:spacing w:after="0"/>
              <w:jc w:val="left"/>
              <w:rPr>
                <w:rFonts w:ascii="Arial Narrow" w:hAnsi="Arial Narrow"/>
                <w:lang w:eastAsia="en-AU"/>
              </w:rPr>
            </w:pPr>
          </w:p>
        </w:tc>
        <w:tc>
          <w:tcPr>
            <w:tcW w:w="15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3C1478E" w14:textId="77777777" w:rsidR="00B47799" w:rsidRPr="002445C4" w:rsidRDefault="00B47799" w:rsidP="00B47799">
            <w:pPr>
              <w:spacing w:after="0"/>
              <w:jc w:val="left"/>
              <w:rPr>
                <w:rFonts w:ascii="Arial Narrow" w:hAnsi="Arial Narrow"/>
                <w:sz w:val="20"/>
                <w:lang w:eastAsia="en-AU"/>
              </w:rPr>
            </w:pPr>
            <w:r w:rsidRPr="002445C4">
              <w:rPr>
                <w:rFonts w:ascii="Arial Narrow" w:hAnsi="Arial Narrow"/>
                <w:sz w:val="20"/>
                <w:lang w:eastAsia="en-AU"/>
              </w:rPr>
              <w:t>Snapper South</w:t>
            </w:r>
          </w:p>
        </w:tc>
        <w:tc>
          <w:tcPr>
            <w:tcW w:w="284" w:type="dxa"/>
            <w:tcBorders>
              <w:top w:val="nil"/>
              <w:left w:val="nil"/>
              <w:bottom w:val="single" w:sz="4" w:space="0" w:color="auto"/>
              <w:right w:val="single" w:sz="4" w:space="0" w:color="auto"/>
            </w:tcBorders>
            <w:shd w:val="clear" w:color="auto" w:fill="auto"/>
            <w:noWrap/>
            <w:vAlign w:val="center"/>
            <w:hideMark/>
          </w:tcPr>
          <w:p w14:paraId="53C1478F" w14:textId="77777777" w:rsidR="00B47799" w:rsidRPr="002445C4" w:rsidRDefault="00B47799" w:rsidP="00B47799">
            <w:pPr>
              <w:spacing w:after="0"/>
              <w:jc w:val="center"/>
              <w:rPr>
                <w:rFonts w:ascii="Arial Narrow" w:hAnsi="Arial Narrow"/>
                <w:sz w:val="20"/>
                <w:lang w:eastAsia="en-AU"/>
              </w:rPr>
            </w:pPr>
            <w:r w:rsidRPr="002445C4">
              <w:rPr>
                <w:rFonts w:ascii="Arial Narrow" w:hAnsi="Arial Narrow"/>
                <w:sz w:val="20"/>
                <w:lang w:eastAsia="en-AU"/>
              </w:rPr>
              <w:t>2</w:t>
            </w:r>
          </w:p>
        </w:tc>
        <w:tc>
          <w:tcPr>
            <w:tcW w:w="1134" w:type="dxa"/>
            <w:tcBorders>
              <w:top w:val="nil"/>
              <w:left w:val="nil"/>
              <w:bottom w:val="single" w:sz="4" w:space="0" w:color="auto"/>
              <w:right w:val="single" w:sz="4" w:space="0" w:color="auto"/>
            </w:tcBorders>
            <w:shd w:val="clear" w:color="auto" w:fill="auto"/>
            <w:noWrap/>
            <w:vAlign w:val="bottom"/>
            <w:hideMark/>
          </w:tcPr>
          <w:p w14:paraId="53C14790" w14:textId="77777777" w:rsidR="00B47799" w:rsidRPr="002445C4" w:rsidRDefault="00B47799" w:rsidP="00830E32">
            <w:pPr>
              <w:jc w:val="center"/>
              <w:rPr>
                <w:rFonts w:ascii="Arial Narrow" w:hAnsi="Arial Narrow"/>
                <w:sz w:val="20"/>
                <w:szCs w:val="20"/>
              </w:rPr>
            </w:pPr>
            <w:r w:rsidRPr="002445C4">
              <w:rPr>
                <w:rFonts w:ascii="Arial Narrow" w:hAnsi="Arial Narrow"/>
                <w:sz w:val="20"/>
                <w:szCs w:val="20"/>
              </w:rPr>
              <w:t>0.47</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hideMark/>
          </w:tcPr>
          <w:p w14:paraId="53C14791" w14:textId="77777777" w:rsidR="00B47799" w:rsidRPr="002445C4" w:rsidRDefault="00B47799" w:rsidP="00830E32">
            <w:pPr>
              <w:jc w:val="center"/>
              <w:rPr>
                <w:rFonts w:ascii="Arial Narrow" w:hAnsi="Arial Narrow"/>
                <w:sz w:val="20"/>
                <w:szCs w:val="20"/>
              </w:rPr>
            </w:pPr>
            <w:r w:rsidRPr="002445C4">
              <w:rPr>
                <w:rFonts w:ascii="Arial Narrow" w:hAnsi="Arial Narrow"/>
                <w:sz w:val="20"/>
                <w:szCs w:val="20"/>
              </w:rPr>
              <w:t>0.08</w:t>
            </w:r>
          </w:p>
        </w:tc>
        <w:tc>
          <w:tcPr>
            <w:tcW w:w="1134" w:type="dxa"/>
            <w:tcBorders>
              <w:top w:val="nil"/>
              <w:left w:val="nil"/>
              <w:bottom w:val="single" w:sz="4" w:space="0" w:color="auto"/>
              <w:right w:val="single" w:sz="4" w:space="0" w:color="auto"/>
            </w:tcBorders>
            <w:shd w:val="clear" w:color="auto" w:fill="auto"/>
            <w:noWrap/>
            <w:vAlign w:val="bottom"/>
            <w:hideMark/>
          </w:tcPr>
          <w:p w14:paraId="53C14792" w14:textId="77777777" w:rsidR="00B47799" w:rsidRPr="002445C4" w:rsidRDefault="00B47799" w:rsidP="00830E32">
            <w:pPr>
              <w:jc w:val="center"/>
              <w:rPr>
                <w:rFonts w:ascii="Arial Narrow" w:hAnsi="Arial Narrow"/>
                <w:sz w:val="20"/>
                <w:szCs w:val="20"/>
              </w:rPr>
            </w:pPr>
            <w:r w:rsidRPr="002445C4">
              <w:rPr>
                <w:rFonts w:ascii="Arial Narrow" w:hAnsi="Arial Narrow"/>
                <w:sz w:val="20"/>
                <w:szCs w:val="20"/>
              </w:rPr>
              <w:t>1.00</w:t>
            </w:r>
          </w:p>
        </w:tc>
        <w:tc>
          <w:tcPr>
            <w:tcW w:w="1047" w:type="dxa"/>
            <w:tcBorders>
              <w:top w:val="nil"/>
              <w:left w:val="nil"/>
              <w:bottom w:val="single" w:sz="4" w:space="0" w:color="auto"/>
              <w:right w:val="single" w:sz="4" w:space="0" w:color="auto"/>
            </w:tcBorders>
            <w:shd w:val="clear" w:color="auto" w:fill="auto"/>
            <w:noWrap/>
            <w:vAlign w:val="bottom"/>
            <w:hideMark/>
          </w:tcPr>
          <w:p w14:paraId="53C14793" w14:textId="77777777" w:rsidR="00B47799" w:rsidRPr="002445C4" w:rsidRDefault="00B47799" w:rsidP="00830E32">
            <w:pPr>
              <w:jc w:val="center"/>
              <w:rPr>
                <w:rFonts w:ascii="Arial Narrow" w:hAnsi="Arial Narrow"/>
                <w:sz w:val="20"/>
                <w:szCs w:val="20"/>
              </w:rPr>
            </w:pPr>
            <w:r w:rsidRPr="002445C4">
              <w:rPr>
                <w:rFonts w:ascii="Arial Narrow" w:hAnsi="Arial Narrow"/>
                <w:sz w:val="20"/>
                <w:szCs w:val="20"/>
              </w:rPr>
              <w:t>0.76</w:t>
            </w:r>
          </w:p>
        </w:tc>
        <w:tc>
          <w:tcPr>
            <w:tcW w:w="1221" w:type="dxa"/>
            <w:tcBorders>
              <w:top w:val="nil"/>
              <w:left w:val="nil"/>
              <w:bottom w:val="single" w:sz="4" w:space="0" w:color="auto"/>
              <w:right w:val="single" w:sz="4" w:space="0" w:color="auto"/>
            </w:tcBorders>
            <w:shd w:val="clear" w:color="auto" w:fill="auto"/>
            <w:noWrap/>
            <w:vAlign w:val="bottom"/>
            <w:hideMark/>
          </w:tcPr>
          <w:p w14:paraId="53C14794" w14:textId="77777777" w:rsidR="00B47799" w:rsidRPr="002445C4" w:rsidRDefault="001F21C6" w:rsidP="00830E32">
            <w:pPr>
              <w:jc w:val="center"/>
              <w:rPr>
                <w:rFonts w:ascii="Arial Narrow" w:hAnsi="Arial Narrow"/>
                <w:sz w:val="20"/>
                <w:szCs w:val="20"/>
              </w:rPr>
            </w:pPr>
            <w:r>
              <w:rPr>
                <w:rFonts w:ascii="Arial Narrow" w:hAnsi="Arial Narrow"/>
                <w:sz w:val="20"/>
                <w:szCs w:val="20"/>
              </w:rPr>
              <w:t>0.00</w:t>
            </w:r>
          </w:p>
        </w:tc>
        <w:tc>
          <w:tcPr>
            <w:tcW w:w="1117" w:type="dxa"/>
            <w:tcBorders>
              <w:top w:val="nil"/>
              <w:left w:val="nil"/>
              <w:bottom w:val="single" w:sz="4" w:space="0" w:color="auto"/>
              <w:right w:val="single" w:sz="4" w:space="0" w:color="auto"/>
            </w:tcBorders>
            <w:shd w:val="clear" w:color="auto" w:fill="FFFF00"/>
            <w:noWrap/>
            <w:vAlign w:val="bottom"/>
            <w:hideMark/>
          </w:tcPr>
          <w:p w14:paraId="53C14795" w14:textId="77777777" w:rsidR="00B47799" w:rsidRPr="002445C4" w:rsidRDefault="00B47799" w:rsidP="00830E32">
            <w:pPr>
              <w:jc w:val="center"/>
              <w:rPr>
                <w:rFonts w:ascii="Arial Narrow" w:hAnsi="Arial Narrow"/>
                <w:sz w:val="20"/>
                <w:szCs w:val="20"/>
              </w:rPr>
            </w:pPr>
            <w:r w:rsidRPr="002445C4">
              <w:rPr>
                <w:rFonts w:ascii="Arial Narrow" w:hAnsi="Arial Narrow"/>
                <w:sz w:val="20"/>
                <w:szCs w:val="20"/>
              </w:rPr>
              <w:t>0.46</w:t>
            </w:r>
          </w:p>
        </w:tc>
      </w:tr>
      <w:tr w:rsidR="002445C4" w:rsidRPr="002445C4" w14:paraId="53C147A0" w14:textId="77777777" w:rsidTr="00830E32">
        <w:trPr>
          <w:trHeight w:hRule="exact" w:val="255"/>
        </w:trPr>
        <w:tc>
          <w:tcPr>
            <w:tcW w:w="771" w:type="dxa"/>
            <w:vMerge/>
            <w:tcBorders>
              <w:top w:val="nil"/>
              <w:left w:val="single" w:sz="4" w:space="0" w:color="auto"/>
              <w:bottom w:val="single" w:sz="4" w:space="0" w:color="auto"/>
              <w:right w:val="single" w:sz="4" w:space="0" w:color="auto"/>
            </w:tcBorders>
            <w:vAlign w:val="center"/>
            <w:hideMark/>
          </w:tcPr>
          <w:p w14:paraId="53C14797" w14:textId="77777777" w:rsidR="00B47799" w:rsidRPr="002445C4" w:rsidRDefault="00B47799" w:rsidP="00B47799">
            <w:pPr>
              <w:spacing w:after="0"/>
              <w:jc w:val="left"/>
              <w:rPr>
                <w:rFonts w:ascii="Arial Narrow" w:hAnsi="Arial Narrow"/>
                <w:lang w:eastAsia="en-AU"/>
              </w:rPr>
            </w:pPr>
          </w:p>
        </w:tc>
        <w:tc>
          <w:tcPr>
            <w:tcW w:w="1576" w:type="dxa"/>
            <w:vMerge/>
            <w:tcBorders>
              <w:top w:val="nil"/>
              <w:left w:val="single" w:sz="4" w:space="0" w:color="auto"/>
              <w:bottom w:val="single" w:sz="4" w:space="0" w:color="auto"/>
              <w:right w:val="single" w:sz="4" w:space="0" w:color="auto"/>
            </w:tcBorders>
            <w:vAlign w:val="center"/>
            <w:hideMark/>
          </w:tcPr>
          <w:p w14:paraId="53C14798" w14:textId="77777777" w:rsidR="00B47799" w:rsidRPr="002445C4" w:rsidRDefault="00B47799" w:rsidP="00B47799">
            <w:pPr>
              <w:spacing w:after="0"/>
              <w:jc w:val="left"/>
              <w:rPr>
                <w:rFonts w:ascii="Arial Narrow" w:hAnsi="Arial Narrow"/>
                <w:sz w:val="20"/>
                <w:lang w:eastAsia="en-AU"/>
              </w:rPr>
            </w:pPr>
          </w:p>
        </w:tc>
        <w:tc>
          <w:tcPr>
            <w:tcW w:w="284" w:type="dxa"/>
            <w:tcBorders>
              <w:top w:val="nil"/>
              <w:left w:val="nil"/>
              <w:bottom w:val="single" w:sz="4" w:space="0" w:color="auto"/>
              <w:right w:val="single" w:sz="4" w:space="0" w:color="auto"/>
            </w:tcBorders>
            <w:shd w:val="clear" w:color="auto" w:fill="auto"/>
            <w:noWrap/>
            <w:vAlign w:val="center"/>
            <w:hideMark/>
          </w:tcPr>
          <w:p w14:paraId="53C14799" w14:textId="77777777" w:rsidR="00B47799" w:rsidRPr="002445C4" w:rsidRDefault="00B47799" w:rsidP="00B47799">
            <w:pPr>
              <w:spacing w:after="0"/>
              <w:jc w:val="center"/>
              <w:rPr>
                <w:rFonts w:ascii="Arial Narrow" w:hAnsi="Arial Narrow"/>
                <w:sz w:val="20"/>
                <w:lang w:eastAsia="en-AU"/>
              </w:rPr>
            </w:pPr>
            <w:r w:rsidRPr="002445C4">
              <w:rPr>
                <w:rFonts w:ascii="Arial Narrow" w:hAnsi="Arial Narrow"/>
                <w:sz w:val="20"/>
                <w:lang w:eastAsia="en-AU"/>
              </w:rPr>
              <w:t>5</w:t>
            </w:r>
          </w:p>
        </w:tc>
        <w:tc>
          <w:tcPr>
            <w:tcW w:w="1134" w:type="dxa"/>
            <w:tcBorders>
              <w:top w:val="nil"/>
              <w:left w:val="nil"/>
              <w:bottom w:val="single" w:sz="4" w:space="0" w:color="auto"/>
              <w:right w:val="single" w:sz="4" w:space="0" w:color="auto"/>
            </w:tcBorders>
            <w:shd w:val="clear" w:color="auto" w:fill="auto"/>
            <w:noWrap/>
            <w:vAlign w:val="bottom"/>
            <w:hideMark/>
          </w:tcPr>
          <w:p w14:paraId="53C1479A" w14:textId="77777777" w:rsidR="00B47799" w:rsidRPr="002445C4" w:rsidRDefault="00B47799" w:rsidP="00830E32">
            <w:pPr>
              <w:jc w:val="center"/>
              <w:rPr>
                <w:rFonts w:ascii="Arial Narrow" w:hAnsi="Arial Narrow"/>
                <w:sz w:val="20"/>
                <w:szCs w:val="20"/>
              </w:rPr>
            </w:pPr>
            <w:r w:rsidRPr="002445C4">
              <w:rPr>
                <w:rFonts w:ascii="Arial Narrow" w:hAnsi="Arial Narrow"/>
                <w:sz w:val="20"/>
                <w:szCs w:val="20"/>
              </w:rPr>
              <w:t>0.81</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hideMark/>
          </w:tcPr>
          <w:p w14:paraId="53C1479B" w14:textId="77777777" w:rsidR="00B47799" w:rsidRPr="002445C4" w:rsidRDefault="00B47799" w:rsidP="00830E32">
            <w:pPr>
              <w:jc w:val="center"/>
              <w:rPr>
                <w:rFonts w:ascii="Arial Narrow" w:hAnsi="Arial Narrow"/>
                <w:sz w:val="20"/>
                <w:szCs w:val="20"/>
              </w:rPr>
            </w:pPr>
            <w:r w:rsidRPr="002445C4">
              <w:rPr>
                <w:rFonts w:ascii="Arial Narrow" w:hAnsi="Arial Narrow"/>
                <w:sz w:val="20"/>
                <w:szCs w:val="20"/>
              </w:rPr>
              <w:t>0.05</w:t>
            </w:r>
          </w:p>
        </w:tc>
        <w:tc>
          <w:tcPr>
            <w:tcW w:w="1134" w:type="dxa"/>
            <w:tcBorders>
              <w:top w:val="nil"/>
              <w:left w:val="nil"/>
              <w:bottom w:val="single" w:sz="4" w:space="0" w:color="auto"/>
              <w:right w:val="single" w:sz="4" w:space="0" w:color="auto"/>
            </w:tcBorders>
            <w:shd w:val="clear" w:color="auto" w:fill="auto"/>
            <w:noWrap/>
            <w:vAlign w:val="bottom"/>
            <w:hideMark/>
          </w:tcPr>
          <w:p w14:paraId="53C1479C" w14:textId="77777777" w:rsidR="00B47799" w:rsidRPr="002445C4" w:rsidRDefault="001F21C6" w:rsidP="00830E32">
            <w:pPr>
              <w:jc w:val="center"/>
              <w:rPr>
                <w:rFonts w:ascii="Arial Narrow" w:hAnsi="Arial Narrow"/>
                <w:sz w:val="20"/>
                <w:szCs w:val="20"/>
              </w:rPr>
            </w:pPr>
            <w:r>
              <w:rPr>
                <w:rFonts w:ascii="Arial Narrow" w:hAnsi="Arial Narrow"/>
                <w:sz w:val="20"/>
                <w:szCs w:val="20"/>
              </w:rPr>
              <w:t>0.00</w:t>
            </w:r>
          </w:p>
        </w:tc>
        <w:tc>
          <w:tcPr>
            <w:tcW w:w="1047" w:type="dxa"/>
            <w:tcBorders>
              <w:top w:val="nil"/>
              <w:left w:val="nil"/>
              <w:bottom w:val="single" w:sz="4" w:space="0" w:color="auto"/>
              <w:right w:val="single" w:sz="4" w:space="0" w:color="auto"/>
            </w:tcBorders>
            <w:shd w:val="clear" w:color="auto" w:fill="auto"/>
            <w:noWrap/>
            <w:vAlign w:val="bottom"/>
            <w:hideMark/>
          </w:tcPr>
          <w:p w14:paraId="53C1479D" w14:textId="77777777" w:rsidR="00B47799" w:rsidRPr="002445C4" w:rsidRDefault="00B47799" w:rsidP="00830E32">
            <w:pPr>
              <w:jc w:val="center"/>
              <w:rPr>
                <w:rFonts w:ascii="Arial Narrow" w:hAnsi="Arial Narrow"/>
                <w:sz w:val="20"/>
                <w:szCs w:val="20"/>
              </w:rPr>
            </w:pPr>
            <w:r w:rsidRPr="002445C4">
              <w:rPr>
                <w:rFonts w:ascii="Arial Narrow" w:hAnsi="Arial Narrow"/>
                <w:sz w:val="20"/>
                <w:szCs w:val="20"/>
              </w:rPr>
              <w:t>0.54</w:t>
            </w:r>
          </w:p>
        </w:tc>
        <w:tc>
          <w:tcPr>
            <w:tcW w:w="1221" w:type="dxa"/>
            <w:tcBorders>
              <w:top w:val="nil"/>
              <w:left w:val="nil"/>
              <w:bottom w:val="single" w:sz="4" w:space="0" w:color="auto"/>
              <w:right w:val="single" w:sz="4" w:space="0" w:color="auto"/>
            </w:tcBorders>
            <w:shd w:val="clear" w:color="auto" w:fill="auto"/>
            <w:noWrap/>
            <w:vAlign w:val="bottom"/>
            <w:hideMark/>
          </w:tcPr>
          <w:p w14:paraId="53C1479E" w14:textId="77777777" w:rsidR="00B47799" w:rsidRPr="002445C4" w:rsidRDefault="00B47799" w:rsidP="00830E32">
            <w:pPr>
              <w:jc w:val="center"/>
              <w:rPr>
                <w:rFonts w:ascii="Arial Narrow" w:hAnsi="Arial Narrow"/>
                <w:sz w:val="20"/>
                <w:szCs w:val="20"/>
              </w:rPr>
            </w:pPr>
            <w:r w:rsidRPr="002445C4">
              <w:rPr>
                <w:rFonts w:ascii="Arial Narrow" w:hAnsi="Arial Narrow"/>
                <w:sz w:val="20"/>
                <w:szCs w:val="20"/>
              </w:rPr>
              <w:t>1.00</w:t>
            </w:r>
          </w:p>
        </w:tc>
        <w:tc>
          <w:tcPr>
            <w:tcW w:w="1117" w:type="dxa"/>
            <w:tcBorders>
              <w:top w:val="nil"/>
              <w:left w:val="nil"/>
              <w:bottom w:val="single" w:sz="4" w:space="0" w:color="auto"/>
              <w:right w:val="single" w:sz="4" w:space="0" w:color="auto"/>
            </w:tcBorders>
            <w:shd w:val="clear" w:color="auto" w:fill="FFFF00"/>
            <w:noWrap/>
            <w:vAlign w:val="bottom"/>
            <w:hideMark/>
          </w:tcPr>
          <w:p w14:paraId="53C1479F" w14:textId="77777777" w:rsidR="00B47799" w:rsidRPr="002445C4" w:rsidRDefault="00B47799" w:rsidP="00830E32">
            <w:pPr>
              <w:jc w:val="center"/>
              <w:rPr>
                <w:rFonts w:ascii="Arial Narrow" w:hAnsi="Arial Narrow"/>
                <w:sz w:val="20"/>
                <w:szCs w:val="20"/>
              </w:rPr>
            </w:pPr>
            <w:r w:rsidRPr="002445C4">
              <w:rPr>
                <w:rFonts w:ascii="Arial Narrow" w:hAnsi="Arial Narrow"/>
                <w:sz w:val="20"/>
                <w:szCs w:val="20"/>
              </w:rPr>
              <w:t>0.48</w:t>
            </w:r>
          </w:p>
        </w:tc>
      </w:tr>
      <w:tr w:rsidR="002445C4" w:rsidRPr="002445C4" w14:paraId="53C147A8" w14:textId="77777777" w:rsidTr="00830E32">
        <w:trPr>
          <w:trHeight w:hRule="exact" w:val="255"/>
        </w:trPr>
        <w:tc>
          <w:tcPr>
            <w:tcW w:w="2631" w:type="dxa"/>
            <w:gridSpan w:val="3"/>
            <w:tcBorders>
              <w:top w:val="nil"/>
              <w:left w:val="single" w:sz="4" w:space="0" w:color="auto"/>
              <w:bottom w:val="single" w:sz="4" w:space="0" w:color="auto"/>
              <w:right w:val="single" w:sz="4" w:space="0" w:color="auto"/>
            </w:tcBorders>
            <w:shd w:val="clear" w:color="auto" w:fill="FFFF00"/>
            <w:vAlign w:val="center"/>
          </w:tcPr>
          <w:p w14:paraId="53C147A1"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Report Card Score - Moderate</w:t>
            </w:r>
          </w:p>
        </w:tc>
        <w:tc>
          <w:tcPr>
            <w:tcW w:w="1134" w:type="dxa"/>
            <w:tcBorders>
              <w:top w:val="nil"/>
              <w:left w:val="nil"/>
              <w:bottom w:val="single" w:sz="4" w:space="0" w:color="auto"/>
              <w:right w:val="single" w:sz="4" w:space="0" w:color="auto"/>
            </w:tcBorders>
            <w:shd w:val="clear" w:color="auto" w:fill="FFFF00"/>
            <w:noWrap/>
            <w:vAlign w:val="bottom"/>
          </w:tcPr>
          <w:p w14:paraId="53C147A2"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0.45</w:t>
            </w:r>
          </w:p>
        </w:tc>
        <w:tc>
          <w:tcPr>
            <w:tcW w:w="1134" w:type="dxa"/>
            <w:tcBorders>
              <w:top w:val="nil"/>
              <w:left w:val="nil"/>
              <w:bottom w:val="single" w:sz="4" w:space="0" w:color="auto"/>
              <w:right w:val="single" w:sz="4" w:space="0" w:color="auto"/>
            </w:tcBorders>
            <w:shd w:val="clear" w:color="auto" w:fill="FFC000"/>
            <w:noWrap/>
            <w:tcMar>
              <w:left w:w="0" w:type="dxa"/>
              <w:right w:w="0" w:type="dxa"/>
            </w:tcMar>
            <w:vAlign w:val="bottom"/>
          </w:tcPr>
          <w:p w14:paraId="53C147A3"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0.22</w:t>
            </w:r>
          </w:p>
        </w:tc>
        <w:tc>
          <w:tcPr>
            <w:tcW w:w="1134" w:type="dxa"/>
            <w:tcBorders>
              <w:top w:val="nil"/>
              <w:left w:val="nil"/>
              <w:bottom w:val="single" w:sz="4" w:space="0" w:color="auto"/>
              <w:right w:val="single" w:sz="4" w:space="0" w:color="auto"/>
            </w:tcBorders>
            <w:shd w:val="clear" w:color="auto" w:fill="FFC000"/>
            <w:noWrap/>
            <w:vAlign w:val="bottom"/>
          </w:tcPr>
          <w:p w14:paraId="53C147A4"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0.40</w:t>
            </w:r>
          </w:p>
        </w:tc>
        <w:tc>
          <w:tcPr>
            <w:tcW w:w="1047" w:type="dxa"/>
            <w:tcBorders>
              <w:top w:val="nil"/>
              <w:left w:val="nil"/>
              <w:bottom w:val="single" w:sz="4" w:space="0" w:color="auto"/>
              <w:right w:val="single" w:sz="4" w:space="0" w:color="auto"/>
            </w:tcBorders>
            <w:shd w:val="clear" w:color="auto" w:fill="92D050"/>
            <w:noWrap/>
            <w:vAlign w:val="bottom"/>
          </w:tcPr>
          <w:p w14:paraId="53C147A5"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0.70</w:t>
            </w:r>
          </w:p>
        </w:tc>
        <w:tc>
          <w:tcPr>
            <w:tcW w:w="1221" w:type="dxa"/>
            <w:tcBorders>
              <w:top w:val="nil"/>
              <w:left w:val="nil"/>
              <w:bottom w:val="single" w:sz="4" w:space="0" w:color="auto"/>
              <w:right w:val="single" w:sz="4" w:space="0" w:color="auto"/>
            </w:tcBorders>
            <w:shd w:val="clear" w:color="auto" w:fill="FFC000"/>
            <w:noWrap/>
            <w:vAlign w:val="bottom"/>
          </w:tcPr>
          <w:p w14:paraId="53C147A6"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0.30</w:t>
            </w:r>
          </w:p>
        </w:tc>
        <w:tc>
          <w:tcPr>
            <w:tcW w:w="1117" w:type="dxa"/>
            <w:tcBorders>
              <w:top w:val="nil"/>
              <w:left w:val="nil"/>
              <w:bottom w:val="single" w:sz="4" w:space="0" w:color="auto"/>
              <w:right w:val="single" w:sz="4" w:space="0" w:color="auto"/>
            </w:tcBorders>
            <w:shd w:val="clear" w:color="auto" w:fill="FFFF00"/>
            <w:noWrap/>
            <w:vAlign w:val="bottom"/>
          </w:tcPr>
          <w:p w14:paraId="53C147A7"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0.41</w:t>
            </w:r>
          </w:p>
        </w:tc>
      </w:tr>
      <w:tr w:rsidR="002445C4" w:rsidRPr="002445C4" w14:paraId="53C147B2" w14:textId="77777777" w:rsidTr="00830E32">
        <w:trPr>
          <w:trHeight w:hRule="exact" w:val="255"/>
        </w:trPr>
        <w:tc>
          <w:tcPr>
            <w:tcW w:w="771" w:type="dxa"/>
            <w:vMerge w:val="restart"/>
            <w:tcBorders>
              <w:top w:val="nil"/>
              <w:left w:val="single" w:sz="4" w:space="0" w:color="auto"/>
              <w:right w:val="single" w:sz="4" w:space="0" w:color="auto"/>
            </w:tcBorders>
            <w:shd w:val="clear" w:color="auto" w:fill="auto"/>
            <w:noWrap/>
            <w:textDirection w:val="btLr"/>
            <w:vAlign w:val="center"/>
          </w:tcPr>
          <w:p w14:paraId="53C147A9" w14:textId="77777777" w:rsidR="00830E32" w:rsidRPr="002445C4" w:rsidRDefault="00830E32" w:rsidP="00830E32">
            <w:pPr>
              <w:spacing w:after="0"/>
              <w:jc w:val="center"/>
              <w:rPr>
                <w:rFonts w:ascii="Arial Narrow" w:hAnsi="Arial Narrow"/>
                <w:lang w:eastAsia="en-AU"/>
              </w:rPr>
            </w:pPr>
            <w:r w:rsidRPr="002445C4">
              <w:rPr>
                <w:rFonts w:ascii="Arial Narrow" w:hAnsi="Arial Narrow"/>
                <w:lang w:eastAsia="en-AU"/>
              </w:rPr>
              <w:t>Johnstone Russell-Mulgrave</w:t>
            </w:r>
          </w:p>
        </w:tc>
        <w:tc>
          <w:tcPr>
            <w:tcW w:w="1576" w:type="dxa"/>
            <w:tcBorders>
              <w:top w:val="nil"/>
              <w:left w:val="single" w:sz="4" w:space="0" w:color="auto"/>
              <w:bottom w:val="single" w:sz="4" w:space="0" w:color="auto"/>
              <w:right w:val="single" w:sz="4" w:space="0" w:color="auto"/>
            </w:tcBorders>
            <w:shd w:val="clear" w:color="auto" w:fill="auto"/>
            <w:noWrap/>
            <w:vAlign w:val="center"/>
          </w:tcPr>
          <w:p w14:paraId="53C147AA" w14:textId="77777777" w:rsidR="00830E32" w:rsidRPr="002445C4" w:rsidRDefault="00830E32" w:rsidP="00830E32">
            <w:pPr>
              <w:spacing w:after="0"/>
              <w:jc w:val="left"/>
              <w:rPr>
                <w:rFonts w:ascii="Arial Narrow" w:hAnsi="Arial Narrow"/>
                <w:sz w:val="20"/>
                <w:lang w:eastAsia="en-AU"/>
              </w:rPr>
            </w:pPr>
            <w:r w:rsidRPr="002445C4">
              <w:rPr>
                <w:rFonts w:ascii="Arial Narrow" w:hAnsi="Arial Narrow"/>
                <w:sz w:val="20"/>
                <w:lang w:eastAsia="en-AU"/>
              </w:rPr>
              <w:t>Green</w:t>
            </w:r>
          </w:p>
        </w:tc>
        <w:tc>
          <w:tcPr>
            <w:tcW w:w="284" w:type="dxa"/>
            <w:tcBorders>
              <w:top w:val="nil"/>
              <w:left w:val="nil"/>
              <w:bottom w:val="single" w:sz="4" w:space="0" w:color="auto"/>
              <w:right w:val="single" w:sz="4" w:space="0" w:color="auto"/>
            </w:tcBorders>
            <w:shd w:val="clear" w:color="auto" w:fill="auto"/>
            <w:noWrap/>
            <w:vAlign w:val="center"/>
          </w:tcPr>
          <w:p w14:paraId="53C147AB"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5</w:t>
            </w:r>
          </w:p>
        </w:tc>
        <w:tc>
          <w:tcPr>
            <w:tcW w:w="1134" w:type="dxa"/>
            <w:tcBorders>
              <w:top w:val="nil"/>
              <w:left w:val="nil"/>
              <w:bottom w:val="single" w:sz="4" w:space="0" w:color="auto"/>
              <w:right w:val="single" w:sz="4" w:space="0" w:color="auto"/>
            </w:tcBorders>
            <w:shd w:val="clear" w:color="auto" w:fill="auto"/>
            <w:noWrap/>
            <w:vAlign w:val="bottom"/>
          </w:tcPr>
          <w:p w14:paraId="53C147AC"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0.19</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tcPr>
          <w:p w14:paraId="53C147AD"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0.82</w:t>
            </w:r>
          </w:p>
        </w:tc>
        <w:tc>
          <w:tcPr>
            <w:tcW w:w="1134" w:type="dxa"/>
            <w:tcBorders>
              <w:top w:val="nil"/>
              <w:left w:val="nil"/>
              <w:bottom w:val="single" w:sz="4" w:space="0" w:color="auto"/>
              <w:right w:val="single" w:sz="4" w:space="0" w:color="auto"/>
            </w:tcBorders>
            <w:shd w:val="clear" w:color="auto" w:fill="auto"/>
            <w:noWrap/>
            <w:vAlign w:val="bottom"/>
          </w:tcPr>
          <w:p w14:paraId="53C147AE"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0.64</w:t>
            </w:r>
          </w:p>
        </w:tc>
        <w:tc>
          <w:tcPr>
            <w:tcW w:w="1047" w:type="dxa"/>
            <w:tcBorders>
              <w:top w:val="nil"/>
              <w:left w:val="nil"/>
              <w:bottom w:val="single" w:sz="4" w:space="0" w:color="auto"/>
              <w:right w:val="single" w:sz="4" w:space="0" w:color="auto"/>
            </w:tcBorders>
            <w:shd w:val="clear" w:color="auto" w:fill="auto"/>
            <w:noWrap/>
            <w:vAlign w:val="bottom"/>
          </w:tcPr>
          <w:p w14:paraId="53C147AF"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0.62</w:t>
            </w:r>
          </w:p>
        </w:tc>
        <w:tc>
          <w:tcPr>
            <w:tcW w:w="1221" w:type="dxa"/>
            <w:tcBorders>
              <w:top w:val="nil"/>
              <w:left w:val="nil"/>
              <w:bottom w:val="single" w:sz="4" w:space="0" w:color="auto"/>
              <w:right w:val="single" w:sz="4" w:space="0" w:color="auto"/>
            </w:tcBorders>
            <w:shd w:val="clear" w:color="auto" w:fill="auto"/>
            <w:noWrap/>
            <w:vAlign w:val="bottom"/>
          </w:tcPr>
          <w:p w14:paraId="53C147B0"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0.50</w:t>
            </w:r>
          </w:p>
        </w:tc>
        <w:tc>
          <w:tcPr>
            <w:tcW w:w="1117" w:type="dxa"/>
            <w:tcBorders>
              <w:top w:val="nil"/>
              <w:left w:val="nil"/>
              <w:bottom w:val="single" w:sz="4" w:space="0" w:color="auto"/>
              <w:right w:val="single" w:sz="4" w:space="0" w:color="auto"/>
            </w:tcBorders>
            <w:shd w:val="clear" w:color="auto" w:fill="FFFF00"/>
            <w:noWrap/>
            <w:vAlign w:val="bottom"/>
          </w:tcPr>
          <w:p w14:paraId="53C147B1"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0.56</w:t>
            </w:r>
          </w:p>
        </w:tc>
      </w:tr>
      <w:tr w:rsidR="002445C4" w:rsidRPr="002445C4" w14:paraId="53C147BC" w14:textId="77777777" w:rsidTr="00830E32">
        <w:trPr>
          <w:trHeight w:hRule="exact" w:val="255"/>
        </w:trPr>
        <w:tc>
          <w:tcPr>
            <w:tcW w:w="771" w:type="dxa"/>
            <w:vMerge/>
            <w:tcBorders>
              <w:left w:val="single" w:sz="4" w:space="0" w:color="auto"/>
              <w:right w:val="single" w:sz="4" w:space="0" w:color="auto"/>
            </w:tcBorders>
            <w:shd w:val="clear" w:color="auto" w:fill="auto"/>
            <w:noWrap/>
            <w:textDirection w:val="btLr"/>
            <w:vAlign w:val="center"/>
          </w:tcPr>
          <w:p w14:paraId="53C147B3" w14:textId="77777777" w:rsidR="00830E32" w:rsidRPr="002445C4" w:rsidRDefault="00830E32" w:rsidP="00830E32">
            <w:pPr>
              <w:spacing w:after="0"/>
              <w:jc w:val="center"/>
              <w:rPr>
                <w:rFonts w:ascii="Arial Narrow" w:hAnsi="Arial Narrow"/>
                <w:lang w:eastAsia="en-AU"/>
              </w:rPr>
            </w:pPr>
          </w:p>
        </w:tc>
        <w:tc>
          <w:tcPr>
            <w:tcW w:w="1576" w:type="dxa"/>
            <w:vMerge w:val="restart"/>
            <w:tcBorders>
              <w:top w:val="nil"/>
              <w:left w:val="single" w:sz="4" w:space="0" w:color="auto"/>
              <w:bottom w:val="single" w:sz="4" w:space="0" w:color="auto"/>
              <w:right w:val="single" w:sz="4" w:space="0" w:color="auto"/>
            </w:tcBorders>
            <w:shd w:val="clear" w:color="auto" w:fill="auto"/>
            <w:noWrap/>
            <w:vAlign w:val="center"/>
          </w:tcPr>
          <w:p w14:paraId="53C147B4" w14:textId="77777777" w:rsidR="00830E32" w:rsidRPr="002445C4" w:rsidRDefault="00830E32" w:rsidP="00830E32">
            <w:pPr>
              <w:spacing w:after="0"/>
              <w:jc w:val="left"/>
              <w:rPr>
                <w:rFonts w:ascii="Arial Narrow" w:hAnsi="Arial Narrow"/>
                <w:sz w:val="20"/>
                <w:lang w:eastAsia="en-AU"/>
              </w:rPr>
            </w:pPr>
            <w:r w:rsidRPr="002445C4">
              <w:rPr>
                <w:rFonts w:ascii="Arial Narrow" w:hAnsi="Arial Narrow"/>
                <w:sz w:val="20"/>
                <w:lang w:eastAsia="en-AU"/>
              </w:rPr>
              <w:t>Fitzroy East</w:t>
            </w:r>
          </w:p>
        </w:tc>
        <w:tc>
          <w:tcPr>
            <w:tcW w:w="284" w:type="dxa"/>
            <w:tcBorders>
              <w:top w:val="nil"/>
              <w:left w:val="nil"/>
              <w:bottom w:val="single" w:sz="4" w:space="0" w:color="auto"/>
              <w:right w:val="single" w:sz="4" w:space="0" w:color="auto"/>
            </w:tcBorders>
            <w:shd w:val="clear" w:color="auto" w:fill="auto"/>
            <w:noWrap/>
            <w:vAlign w:val="center"/>
          </w:tcPr>
          <w:p w14:paraId="53C147B5"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2</w:t>
            </w:r>
          </w:p>
        </w:tc>
        <w:tc>
          <w:tcPr>
            <w:tcW w:w="1134" w:type="dxa"/>
            <w:tcBorders>
              <w:top w:val="nil"/>
              <w:left w:val="nil"/>
              <w:bottom w:val="single" w:sz="4" w:space="0" w:color="auto"/>
              <w:right w:val="single" w:sz="4" w:space="0" w:color="auto"/>
            </w:tcBorders>
            <w:shd w:val="clear" w:color="auto" w:fill="auto"/>
            <w:noWrap/>
            <w:vAlign w:val="bottom"/>
          </w:tcPr>
          <w:p w14:paraId="53C147B6"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0.49</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tcPr>
          <w:p w14:paraId="53C147B7"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0.64</w:t>
            </w:r>
          </w:p>
        </w:tc>
        <w:tc>
          <w:tcPr>
            <w:tcW w:w="1134" w:type="dxa"/>
            <w:tcBorders>
              <w:top w:val="nil"/>
              <w:left w:val="nil"/>
              <w:bottom w:val="single" w:sz="4" w:space="0" w:color="auto"/>
              <w:right w:val="single" w:sz="4" w:space="0" w:color="auto"/>
            </w:tcBorders>
            <w:shd w:val="clear" w:color="auto" w:fill="auto"/>
            <w:noWrap/>
            <w:vAlign w:val="bottom"/>
          </w:tcPr>
          <w:p w14:paraId="53C147B8"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047" w:type="dxa"/>
            <w:tcBorders>
              <w:top w:val="nil"/>
              <w:left w:val="nil"/>
              <w:bottom w:val="single" w:sz="4" w:space="0" w:color="auto"/>
              <w:right w:val="single" w:sz="4" w:space="0" w:color="auto"/>
            </w:tcBorders>
            <w:shd w:val="clear" w:color="auto" w:fill="auto"/>
            <w:noWrap/>
            <w:vAlign w:val="bottom"/>
          </w:tcPr>
          <w:p w14:paraId="53C147B9"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221" w:type="dxa"/>
            <w:tcBorders>
              <w:top w:val="nil"/>
              <w:left w:val="nil"/>
              <w:bottom w:val="single" w:sz="4" w:space="0" w:color="auto"/>
              <w:right w:val="single" w:sz="4" w:space="0" w:color="auto"/>
            </w:tcBorders>
            <w:shd w:val="clear" w:color="auto" w:fill="auto"/>
            <w:noWrap/>
            <w:vAlign w:val="bottom"/>
          </w:tcPr>
          <w:p w14:paraId="53C147BA"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0.50</w:t>
            </w:r>
          </w:p>
        </w:tc>
        <w:tc>
          <w:tcPr>
            <w:tcW w:w="1117" w:type="dxa"/>
            <w:tcBorders>
              <w:top w:val="nil"/>
              <w:left w:val="nil"/>
              <w:bottom w:val="single" w:sz="4" w:space="0" w:color="auto"/>
              <w:right w:val="single" w:sz="4" w:space="0" w:color="auto"/>
            </w:tcBorders>
            <w:shd w:val="clear" w:color="auto" w:fill="92D050"/>
            <w:noWrap/>
            <w:vAlign w:val="bottom"/>
          </w:tcPr>
          <w:p w14:paraId="53C147BB"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0.73</w:t>
            </w:r>
          </w:p>
        </w:tc>
      </w:tr>
      <w:tr w:rsidR="002445C4" w:rsidRPr="002445C4" w14:paraId="53C147C6" w14:textId="77777777" w:rsidTr="00830E32">
        <w:trPr>
          <w:trHeight w:hRule="exact" w:val="255"/>
        </w:trPr>
        <w:tc>
          <w:tcPr>
            <w:tcW w:w="771" w:type="dxa"/>
            <w:vMerge/>
            <w:tcBorders>
              <w:left w:val="single" w:sz="4" w:space="0" w:color="auto"/>
              <w:right w:val="single" w:sz="4" w:space="0" w:color="auto"/>
            </w:tcBorders>
            <w:vAlign w:val="center"/>
          </w:tcPr>
          <w:p w14:paraId="53C147BD" w14:textId="77777777" w:rsidR="00830E32" w:rsidRPr="002445C4" w:rsidRDefault="00830E32" w:rsidP="00830E32">
            <w:pPr>
              <w:spacing w:after="0"/>
              <w:jc w:val="left"/>
              <w:rPr>
                <w:rFonts w:ascii="Arial Narrow" w:hAnsi="Arial Narrow"/>
                <w:lang w:eastAsia="en-AU"/>
              </w:rPr>
            </w:pPr>
          </w:p>
        </w:tc>
        <w:tc>
          <w:tcPr>
            <w:tcW w:w="1576" w:type="dxa"/>
            <w:vMerge/>
            <w:tcBorders>
              <w:top w:val="nil"/>
              <w:left w:val="single" w:sz="4" w:space="0" w:color="auto"/>
              <w:bottom w:val="single" w:sz="4" w:space="0" w:color="auto"/>
              <w:right w:val="single" w:sz="4" w:space="0" w:color="auto"/>
            </w:tcBorders>
            <w:vAlign w:val="center"/>
          </w:tcPr>
          <w:p w14:paraId="53C147BE" w14:textId="77777777" w:rsidR="00830E32" w:rsidRPr="002445C4" w:rsidRDefault="00830E32" w:rsidP="00830E32">
            <w:pPr>
              <w:spacing w:after="0"/>
              <w:jc w:val="left"/>
              <w:rPr>
                <w:rFonts w:ascii="Arial Narrow" w:hAnsi="Arial Narrow"/>
                <w:sz w:val="20"/>
                <w:lang w:eastAsia="en-AU"/>
              </w:rPr>
            </w:pPr>
          </w:p>
        </w:tc>
        <w:tc>
          <w:tcPr>
            <w:tcW w:w="284" w:type="dxa"/>
            <w:tcBorders>
              <w:top w:val="nil"/>
              <w:left w:val="nil"/>
              <w:bottom w:val="single" w:sz="4" w:space="0" w:color="auto"/>
              <w:right w:val="single" w:sz="4" w:space="0" w:color="auto"/>
            </w:tcBorders>
            <w:shd w:val="clear" w:color="auto" w:fill="auto"/>
            <w:noWrap/>
            <w:vAlign w:val="center"/>
          </w:tcPr>
          <w:p w14:paraId="53C147BF"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5</w:t>
            </w:r>
          </w:p>
        </w:tc>
        <w:tc>
          <w:tcPr>
            <w:tcW w:w="1134" w:type="dxa"/>
            <w:tcBorders>
              <w:top w:val="nil"/>
              <w:left w:val="nil"/>
              <w:bottom w:val="single" w:sz="4" w:space="0" w:color="auto"/>
              <w:right w:val="single" w:sz="4" w:space="0" w:color="auto"/>
            </w:tcBorders>
            <w:shd w:val="clear" w:color="auto" w:fill="auto"/>
            <w:noWrap/>
            <w:vAlign w:val="bottom"/>
          </w:tcPr>
          <w:p w14:paraId="53C147C0"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0.56</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tcPr>
          <w:p w14:paraId="53C147C1"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0.54</w:t>
            </w:r>
          </w:p>
        </w:tc>
        <w:tc>
          <w:tcPr>
            <w:tcW w:w="1134" w:type="dxa"/>
            <w:tcBorders>
              <w:top w:val="nil"/>
              <w:left w:val="nil"/>
              <w:bottom w:val="single" w:sz="4" w:space="0" w:color="auto"/>
              <w:right w:val="single" w:sz="4" w:space="0" w:color="auto"/>
            </w:tcBorders>
            <w:shd w:val="clear" w:color="auto" w:fill="auto"/>
            <w:noWrap/>
            <w:vAlign w:val="bottom"/>
          </w:tcPr>
          <w:p w14:paraId="53C147C2"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0.72</w:t>
            </w:r>
          </w:p>
        </w:tc>
        <w:tc>
          <w:tcPr>
            <w:tcW w:w="1047" w:type="dxa"/>
            <w:tcBorders>
              <w:top w:val="nil"/>
              <w:left w:val="nil"/>
              <w:bottom w:val="single" w:sz="4" w:space="0" w:color="auto"/>
              <w:right w:val="single" w:sz="4" w:space="0" w:color="auto"/>
            </w:tcBorders>
            <w:shd w:val="clear" w:color="auto" w:fill="auto"/>
            <w:noWrap/>
            <w:vAlign w:val="bottom"/>
          </w:tcPr>
          <w:p w14:paraId="53C147C3"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221" w:type="dxa"/>
            <w:tcBorders>
              <w:top w:val="nil"/>
              <w:left w:val="nil"/>
              <w:bottom w:val="single" w:sz="4" w:space="0" w:color="auto"/>
              <w:right w:val="single" w:sz="4" w:space="0" w:color="auto"/>
            </w:tcBorders>
            <w:shd w:val="clear" w:color="auto" w:fill="auto"/>
            <w:noWrap/>
            <w:vAlign w:val="bottom"/>
          </w:tcPr>
          <w:p w14:paraId="53C147C4"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117" w:type="dxa"/>
            <w:tcBorders>
              <w:top w:val="nil"/>
              <w:left w:val="nil"/>
              <w:bottom w:val="single" w:sz="4" w:space="0" w:color="auto"/>
              <w:right w:val="single" w:sz="4" w:space="0" w:color="auto"/>
            </w:tcBorders>
            <w:shd w:val="clear" w:color="000000" w:fill="FFFF00"/>
            <w:noWrap/>
            <w:vAlign w:val="bottom"/>
          </w:tcPr>
          <w:p w14:paraId="53C147C5"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0.56</w:t>
            </w:r>
          </w:p>
        </w:tc>
      </w:tr>
      <w:tr w:rsidR="002445C4" w:rsidRPr="002445C4" w14:paraId="53C147D0" w14:textId="77777777" w:rsidTr="00C96FCC">
        <w:trPr>
          <w:trHeight w:hRule="exact" w:val="255"/>
        </w:trPr>
        <w:tc>
          <w:tcPr>
            <w:tcW w:w="771" w:type="dxa"/>
            <w:vMerge/>
            <w:tcBorders>
              <w:left w:val="single" w:sz="4" w:space="0" w:color="auto"/>
              <w:right w:val="single" w:sz="4" w:space="0" w:color="auto"/>
            </w:tcBorders>
            <w:vAlign w:val="center"/>
          </w:tcPr>
          <w:p w14:paraId="53C147C7" w14:textId="77777777" w:rsidR="00830E32" w:rsidRPr="002445C4" w:rsidRDefault="00830E32" w:rsidP="00830E32">
            <w:pPr>
              <w:spacing w:after="0"/>
              <w:jc w:val="left"/>
              <w:rPr>
                <w:rFonts w:ascii="Arial Narrow" w:hAnsi="Arial Narrow"/>
                <w:lang w:eastAsia="en-AU"/>
              </w:rPr>
            </w:pPr>
          </w:p>
        </w:tc>
        <w:tc>
          <w:tcPr>
            <w:tcW w:w="1576" w:type="dxa"/>
            <w:vMerge w:val="restart"/>
            <w:tcBorders>
              <w:top w:val="nil"/>
              <w:left w:val="single" w:sz="4" w:space="0" w:color="auto"/>
              <w:bottom w:val="single" w:sz="4" w:space="0" w:color="auto"/>
              <w:right w:val="single" w:sz="4" w:space="0" w:color="auto"/>
            </w:tcBorders>
            <w:shd w:val="clear" w:color="auto" w:fill="auto"/>
            <w:noWrap/>
            <w:vAlign w:val="center"/>
          </w:tcPr>
          <w:p w14:paraId="53C147C8" w14:textId="77777777" w:rsidR="00830E32" w:rsidRPr="002445C4" w:rsidRDefault="00830E32" w:rsidP="00830E32">
            <w:pPr>
              <w:spacing w:after="0"/>
              <w:jc w:val="left"/>
              <w:rPr>
                <w:rFonts w:ascii="Arial Narrow" w:hAnsi="Arial Narrow"/>
                <w:sz w:val="20"/>
                <w:lang w:eastAsia="en-AU"/>
              </w:rPr>
            </w:pPr>
            <w:r w:rsidRPr="002445C4">
              <w:rPr>
                <w:rFonts w:ascii="Arial Narrow" w:hAnsi="Arial Narrow"/>
                <w:sz w:val="20"/>
                <w:lang w:eastAsia="en-AU"/>
              </w:rPr>
              <w:t>Fitzroy West</w:t>
            </w:r>
          </w:p>
        </w:tc>
        <w:tc>
          <w:tcPr>
            <w:tcW w:w="284" w:type="dxa"/>
            <w:tcBorders>
              <w:top w:val="nil"/>
              <w:left w:val="nil"/>
              <w:bottom w:val="single" w:sz="4" w:space="0" w:color="auto"/>
              <w:right w:val="single" w:sz="4" w:space="0" w:color="auto"/>
            </w:tcBorders>
            <w:shd w:val="clear" w:color="auto" w:fill="auto"/>
            <w:noWrap/>
            <w:vAlign w:val="center"/>
          </w:tcPr>
          <w:p w14:paraId="53C147C9"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2</w:t>
            </w:r>
          </w:p>
        </w:tc>
        <w:tc>
          <w:tcPr>
            <w:tcW w:w="1134" w:type="dxa"/>
            <w:tcBorders>
              <w:top w:val="nil"/>
              <w:left w:val="nil"/>
              <w:bottom w:val="single" w:sz="4" w:space="0" w:color="auto"/>
              <w:right w:val="single" w:sz="4" w:space="0" w:color="auto"/>
            </w:tcBorders>
            <w:shd w:val="clear" w:color="auto" w:fill="auto"/>
            <w:noWrap/>
            <w:vAlign w:val="bottom"/>
          </w:tcPr>
          <w:p w14:paraId="53C147CA"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0.86</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tcPr>
          <w:p w14:paraId="53C147CB"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0.51</w:t>
            </w:r>
          </w:p>
        </w:tc>
        <w:tc>
          <w:tcPr>
            <w:tcW w:w="1134" w:type="dxa"/>
            <w:tcBorders>
              <w:top w:val="nil"/>
              <w:left w:val="nil"/>
              <w:bottom w:val="single" w:sz="4" w:space="0" w:color="auto"/>
              <w:right w:val="single" w:sz="4" w:space="0" w:color="auto"/>
            </w:tcBorders>
            <w:shd w:val="clear" w:color="auto" w:fill="auto"/>
            <w:noWrap/>
            <w:vAlign w:val="bottom"/>
          </w:tcPr>
          <w:p w14:paraId="53C147CC"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0.94</w:t>
            </w:r>
          </w:p>
        </w:tc>
        <w:tc>
          <w:tcPr>
            <w:tcW w:w="1047" w:type="dxa"/>
            <w:tcBorders>
              <w:top w:val="nil"/>
              <w:left w:val="nil"/>
              <w:bottom w:val="single" w:sz="4" w:space="0" w:color="auto"/>
              <w:right w:val="single" w:sz="4" w:space="0" w:color="auto"/>
            </w:tcBorders>
            <w:shd w:val="clear" w:color="auto" w:fill="auto"/>
            <w:noWrap/>
            <w:vAlign w:val="bottom"/>
          </w:tcPr>
          <w:p w14:paraId="53C147CD"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0.83</w:t>
            </w:r>
          </w:p>
        </w:tc>
        <w:tc>
          <w:tcPr>
            <w:tcW w:w="1221" w:type="dxa"/>
            <w:tcBorders>
              <w:top w:val="nil"/>
              <w:left w:val="nil"/>
              <w:bottom w:val="single" w:sz="4" w:space="0" w:color="auto"/>
              <w:right w:val="single" w:sz="4" w:space="0" w:color="auto"/>
            </w:tcBorders>
            <w:shd w:val="clear" w:color="auto" w:fill="auto"/>
            <w:noWrap/>
            <w:vAlign w:val="bottom"/>
          </w:tcPr>
          <w:p w14:paraId="53C147CE"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117" w:type="dxa"/>
            <w:tcBorders>
              <w:top w:val="nil"/>
              <w:left w:val="nil"/>
              <w:bottom w:val="single" w:sz="4" w:space="0" w:color="auto"/>
              <w:right w:val="single" w:sz="4" w:space="0" w:color="auto"/>
            </w:tcBorders>
            <w:shd w:val="clear" w:color="auto" w:fill="00B050"/>
            <w:noWrap/>
            <w:vAlign w:val="bottom"/>
          </w:tcPr>
          <w:p w14:paraId="53C147CF"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0.83</w:t>
            </w:r>
          </w:p>
        </w:tc>
      </w:tr>
      <w:tr w:rsidR="002445C4" w:rsidRPr="002445C4" w14:paraId="53C147DA" w14:textId="77777777" w:rsidTr="00830E32">
        <w:trPr>
          <w:trHeight w:hRule="exact" w:val="255"/>
        </w:trPr>
        <w:tc>
          <w:tcPr>
            <w:tcW w:w="771" w:type="dxa"/>
            <w:vMerge/>
            <w:tcBorders>
              <w:left w:val="single" w:sz="4" w:space="0" w:color="auto"/>
              <w:right w:val="single" w:sz="4" w:space="0" w:color="auto"/>
            </w:tcBorders>
            <w:vAlign w:val="center"/>
          </w:tcPr>
          <w:p w14:paraId="53C147D1" w14:textId="77777777" w:rsidR="00830E32" w:rsidRPr="002445C4" w:rsidRDefault="00830E32" w:rsidP="00830E32">
            <w:pPr>
              <w:spacing w:after="0"/>
              <w:jc w:val="left"/>
              <w:rPr>
                <w:rFonts w:ascii="Arial Narrow" w:hAnsi="Arial Narrow"/>
                <w:lang w:eastAsia="en-AU"/>
              </w:rPr>
            </w:pPr>
          </w:p>
        </w:tc>
        <w:tc>
          <w:tcPr>
            <w:tcW w:w="1576" w:type="dxa"/>
            <w:vMerge/>
            <w:tcBorders>
              <w:top w:val="nil"/>
              <w:left w:val="single" w:sz="4" w:space="0" w:color="auto"/>
              <w:bottom w:val="single" w:sz="4" w:space="0" w:color="auto"/>
              <w:right w:val="single" w:sz="4" w:space="0" w:color="auto"/>
            </w:tcBorders>
            <w:vAlign w:val="center"/>
          </w:tcPr>
          <w:p w14:paraId="53C147D2" w14:textId="77777777" w:rsidR="00830E32" w:rsidRPr="002445C4" w:rsidRDefault="00830E32" w:rsidP="00830E32">
            <w:pPr>
              <w:spacing w:after="0"/>
              <w:jc w:val="left"/>
              <w:rPr>
                <w:rFonts w:ascii="Arial Narrow" w:hAnsi="Arial Narrow"/>
                <w:sz w:val="20"/>
                <w:lang w:eastAsia="en-AU"/>
              </w:rPr>
            </w:pPr>
          </w:p>
        </w:tc>
        <w:tc>
          <w:tcPr>
            <w:tcW w:w="284" w:type="dxa"/>
            <w:tcBorders>
              <w:top w:val="nil"/>
              <w:left w:val="nil"/>
              <w:bottom w:val="single" w:sz="4" w:space="0" w:color="auto"/>
              <w:right w:val="single" w:sz="4" w:space="0" w:color="auto"/>
            </w:tcBorders>
            <w:shd w:val="clear" w:color="auto" w:fill="auto"/>
            <w:noWrap/>
            <w:vAlign w:val="center"/>
          </w:tcPr>
          <w:p w14:paraId="53C147D3"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5</w:t>
            </w:r>
          </w:p>
        </w:tc>
        <w:tc>
          <w:tcPr>
            <w:tcW w:w="1134" w:type="dxa"/>
            <w:tcBorders>
              <w:top w:val="nil"/>
              <w:left w:val="nil"/>
              <w:bottom w:val="single" w:sz="4" w:space="0" w:color="auto"/>
              <w:right w:val="single" w:sz="4" w:space="0" w:color="auto"/>
            </w:tcBorders>
            <w:shd w:val="clear" w:color="auto" w:fill="auto"/>
            <w:noWrap/>
            <w:vAlign w:val="bottom"/>
          </w:tcPr>
          <w:p w14:paraId="53C147D4"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0.68</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tcPr>
          <w:p w14:paraId="53C147D5"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0.47</w:t>
            </w:r>
          </w:p>
        </w:tc>
        <w:tc>
          <w:tcPr>
            <w:tcW w:w="1134" w:type="dxa"/>
            <w:tcBorders>
              <w:top w:val="nil"/>
              <w:left w:val="nil"/>
              <w:bottom w:val="single" w:sz="4" w:space="0" w:color="auto"/>
              <w:right w:val="single" w:sz="4" w:space="0" w:color="auto"/>
            </w:tcBorders>
            <w:shd w:val="clear" w:color="auto" w:fill="auto"/>
            <w:noWrap/>
            <w:vAlign w:val="bottom"/>
          </w:tcPr>
          <w:p w14:paraId="53C147D6"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0.98</w:t>
            </w:r>
          </w:p>
        </w:tc>
        <w:tc>
          <w:tcPr>
            <w:tcW w:w="1047" w:type="dxa"/>
            <w:tcBorders>
              <w:top w:val="nil"/>
              <w:left w:val="nil"/>
              <w:bottom w:val="single" w:sz="4" w:space="0" w:color="auto"/>
              <w:right w:val="single" w:sz="4" w:space="0" w:color="auto"/>
            </w:tcBorders>
            <w:shd w:val="clear" w:color="auto" w:fill="auto"/>
            <w:noWrap/>
            <w:vAlign w:val="bottom"/>
          </w:tcPr>
          <w:p w14:paraId="53C147D7"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221" w:type="dxa"/>
            <w:tcBorders>
              <w:top w:val="nil"/>
              <w:left w:val="nil"/>
              <w:bottom w:val="single" w:sz="4" w:space="0" w:color="auto"/>
              <w:right w:val="single" w:sz="4" w:space="0" w:color="auto"/>
            </w:tcBorders>
            <w:shd w:val="clear" w:color="auto" w:fill="auto"/>
            <w:noWrap/>
            <w:vAlign w:val="bottom"/>
          </w:tcPr>
          <w:p w14:paraId="53C147D8"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0.50</w:t>
            </w:r>
          </w:p>
        </w:tc>
        <w:tc>
          <w:tcPr>
            <w:tcW w:w="1117" w:type="dxa"/>
            <w:tcBorders>
              <w:top w:val="nil"/>
              <w:left w:val="nil"/>
              <w:bottom w:val="single" w:sz="4" w:space="0" w:color="auto"/>
              <w:right w:val="single" w:sz="4" w:space="0" w:color="auto"/>
            </w:tcBorders>
            <w:shd w:val="clear" w:color="auto" w:fill="92D050"/>
            <w:noWrap/>
            <w:vAlign w:val="bottom"/>
          </w:tcPr>
          <w:p w14:paraId="53C147D9"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0.72</w:t>
            </w:r>
          </w:p>
        </w:tc>
      </w:tr>
      <w:tr w:rsidR="002445C4" w:rsidRPr="002445C4" w14:paraId="53C147E4" w14:textId="77777777" w:rsidTr="004F16D3">
        <w:trPr>
          <w:trHeight w:hRule="exact" w:val="255"/>
        </w:trPr>
        <w:tc>
          <w:tcPr>
            <w:tcW w:w="771" w:type="dxa"/>
            <w:vMerge/>
            <w:tcBorders>
              <w:left w:val="single" w:sz="4" w:space="0" w:color="auto"/>
              <w:right w:val="single" w:sz="4" w:space="0" w:color="auto"/>
            </w:tcBorders>
            <w:vAlign w:val="center"/>
          </w:tcPr>
          <w:p w14:paraId="53C147DB" w14:textId="77777777" w:rsidR="00830E32" w:rsidRPr="002445C4" w:rsidRDefault="00830E32" w:rsidP="00830E32">
            <w:pPr>
              <w:spacing w:after="0"/>
              <w:jc w:val="left"/>
              <w:rPr>
                <w:rFonts w:ascii="Arial Narrow" w:hAnsi="Arial Narrow"/>
                <w:lang w:eastAsia="en-AU"/>
              </w:rPr>
            </w:pPr>
          </w:p>
        </w:tc>
        <w:tc>
          <w:tcPr>
            <w:tcW w:w="1576" w:type="dxa"/>
            <w:tcBorders>
              <w:top w:val="nil"/>
              <w:left w:val="single" w:sz="4" w:space="0" w:color="auto"/>
              <w:bottom w:val="single" w:sz="4" w:space="0" w:color="auto"/>
              <w:right w:val="single" w:sz="4" w:space="0" w:color="auto"/>
            </w:tcBorders>
            <w:shd w:val="clear" w:color="auto" w:fill="auto"/>
            <w:noWrap/>
            <w:vAlign w:val="center"/>
          </w:tcPr>
          <w:p w14:paraId="53C147DC" w14:textId="77777777" w:rsidR="00830E32" w:rsidRPr="002445C4" w:rsidRDefault="00830E32" w:rsidP="00830E32">
            <w:pPr>
              <w:spacing w:after="0"/>
              <w:jc w:val="left"/>
              <w:rPr>
                <w:rFonts w:ascii="Arial Narrow" w:hAnsi="Arial Narrow"/>
                <w:sz w:val="20"/>
                <w:lang w:eastAsia="en-AU"/>
              </w:rPr>
            </w:pPr>
            <w:r w:rsidRPr="002445C4">
              <w:rPr>
                <w:rFonts w:ascii="Arial Narrow" w:hAnsi="Arial Narrow"/>
                <w:sz w:val="20"/>
                <w:lang w:eastAsia="en-AU"/>
              </w:rPr>
              <w:t>Fitzroy West LTMP</w:t>
            </w:r>
          </w:p>
        </w:tc>
        <w:tc>
          <w:tcPr>
            <w:tcW w:w="284" w:type="dxa"/>
            <w:tcBorders>
              <w:top w:val="nil"/>
              <w:left w:val="nil"/>
              <w:bottom w:val="single" w:sz="4" w:space="0" w:color="auto"/>
              <w:right w:val="single" w:sz="4" w:space="0" w:color="auto"/>
            </w:tcBorders>
            <w:shd w:val="clear" w:color="auto" w:fill="auto"/>
            <w:noWrap/>
            <w:vAlign w:val="center"/>
          </w:tcPr>
          <w:p w14:paraId="53C147DD"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5</w:t>
            </w:r>
          </w:p>
        </w:tc>
        <w:tc>
          <w:tcPr>
            <w:tcW w:w="1134" w:type="dxa"/>
            <w:tcBorders>
              <w:top w:val="nil"/>
              <w:left w:val="nil"/>
              <w:bottom w:val="single" w:sz="4" w:space="0" w:color="auto"/>
              <w:right w:val="single" w:sz="4" w:space="0" w:color="auto"/>
            </w:tcBorders>
            <w:shd w:val="clear" w:color="auto" w:fill="auto"/>
            <w:noWrap/>
            <w:vAlign w:val="bottom"/>
          </w:tcPr>
          <w:p w14:paraId="53C147DE"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0.53</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tcPr>
          <w:p w14:paraId="53C147DF"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0.77</w:t>
            </w:r>
          </w:p>
        </w:tc>
        <w:tc>
          <w:tcPr>
            <w:tcW w:w="1134" w:type="dxa"/>
            <w:tcBorders>
              <w:top w:val="nil"/>
              <w:left w:val="nil"/>
              <w:bottom w:val="single" w:sz="4" w:space="0" w:color="auto"/>
              <w:right w:val="single" w:sz="4" w:space="0" w:color="auto"/>
            </w:tcBorders>
            <w:shd w:val="clear" w:color="auto" w:fill="auto"/>
            <w:noWrap/>
            <w:vAlign w:val="bottom"/>
          </w:tcPr>
          <w:p w14:paraId="53C147E0"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047" w:type="dxa"/>
            <w:tcBorders>
              <w:top w:val="nil"/>
              <w:left w:val="nil"/>
              <w:bottom w:val="single" w:sz="4" w:space="0" w:color="auto"/>
              <w:right w:val="single" w:sz="4" w:space="0" w:color="auto"/>
            </w:tcBorders>
            <w:shd w:val="clear" w:color="auto" w:fill="auto"/>
            <w:noWrap/>
            <w:vAlign w:val="bottom"/>
          </w:tcPr>
          <w:p w14:paraId="53C147E1"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0.50</w:t>
            </w:r>
          </w:p>
        </w:tc>
        <w:tc>
          <w:tcPr>
            <w:tcW w:w="1221" w:type="dxa"/>
            <w:tcBorders>
              <w:top w:val="nil"/>
              <w:left w:val="nil"/>
              <w:bottom w:val="single" w:sz="4" w:space="0" w:color="auto"/>
              <w:right w:val="single" w:sz="4" w:space="0" w:color="auto"/>
            </w:tcBorders>
            <w:shd w:val="clear" w:color="auto" w:fill="auto"/>
            <w:noWrap/>
            <w:vAlign w:val="bottom"/>
          </w:tcPr>
          <w:p w14:paraId="53C147E2"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0.50</w:t>
            </w:r>
          </w:p>
        </w:tc>
        <w:tc>
          <w:tcPr>
            <w:tcW w:w="1117" w:type="dxa"/>
            <w:tcBorders>
              <w:top w:val="nil"/>
              <w:left w:val="nil"/>
              <w:bottom w:val="single" w:sz="4" w:space="0" w:color="auto"/>
              <w:right w:val="single" w:sz="4" w:space="0" w:color="auto"/>
            </w:tcBorders>
            <w:shd w:val="clear" w:color="auto" w:fill="92D050"/>
            <w:noWrap/>
            <w:vAlign w:val="bottom"/>
          </w:tcPr>
          <w:p w14:paraId="53C147E3"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0.66</w:t>
            </w:r>
          </w:p>
        </w:tc>
      </w:tr>
      <w:tr w:rsidR="002445C4" w:rsidRPr="002445C4" w14:paraId="53C147EE" w14:textId="77777777" w:rsidTr="00830E32">
        <w:trPr>
          <w:trHeight w:hRule="exact" w:val="255"/>
        </w:trPr>
        <w:tc>
          <w:tcPr>
            <w:tcW w:w="771" w:type="dxa"/>
            <w:vMerge/>
            <w:tcBorders>
              <w:left w:val="single" w:sz="4" w:space="0" w:color="auto"/>
              <w:right w:val="single" w:sz="4" w:space="0" w:color="auto"/>
            </w:tcBorders>
            <w:vAlign w:val="center"/>
          </w:tcPr>
          <w:p w14:paraId="53C147E5" w14:textId="77777777" w:rsidR="00830E32" w:rsidRPr="002445C4" w:rsidRDefault="00830E32" w:rsidP="00830E32">
            <w:pPr>
              <w:spacing w:after="0"/>
              <w:jc w:val="left"/>
              <w:rPr>
                <w:rFonts w:ascii="Arial Narrow" w:hAnsi="Arial Narrow"/>
                <w:lang w:eastAsia="en-AU"/>
              </w:rPr>
            </w:pPr>
          </w:p>
        </w:tc>
        <w:tc>
          <w:tcPr>
            <w:tcW w:w="1576" w:type="dxa"/>
            <w:vMerge w:val="restart"/>
            <w:tcBorders>
              <w:top w:val="single" w:sz="4" w:space="0" w:color="auto"/>
              <w:left w:val="single" w:sz="4" w:space="0" w:color="auto"/>
              <w:right w:val="single" w:sz="4" w:space="0" w:color="auto"/>
            </w:tcBorders>
            <w:vAlign w:val="center"/>
          </w:tcPr>
          <w:p w14:paraId="53C147E6" w14:textId="77777777" w:rsidR="00830E32" w:rsidRPr="002445C4" w:rsidRDefault="00830E32" w:rsidP="00830E32">
            <w:pPr>
              <w:spacing w:after="0"/>
              <w:jc w:val="left"/>
              <w:rPr>
                <w:rFonts w:ascii="Arial Narrow" w:hAnsi="Arial Narrow"/>
                <w:sz w:val="20"/>
                <w:lang w:eastAsia="en-AU"/>
              </w:rPr>
            </w:pPr>
            <w:r w:rsidRPr="002445C4">
              <w:rPr>
                <w:rFonts w:ascii="Arial Narrow" w:hAnsi="Arial Narrow"/>
                <w:sz w:val="20"/>
                <w:lang w:eastAsia="en-AU"/>
              </w:rPr>
              <w:t>Franklands East</w:t>
            </w:r>
          </w:p>
        </w:tc>
        <w:tc>
          <w:tcPr>
            <w:tcW w:w="284" w:type="dxa"/>
            <w:tcBorders>
              <w:top w:val="nil"/>
              <w:left w:val="nil"/>
              <w:bottom w:val="single" w:sz="4" w:space="0" w:color="auto"/>
              <w:right w:val="single" w:sz="4" w:space="0" w:color="auto"/>
            </w:tcBorders>
            <w:shd w:val="clear" w:color="auto" w:fill="auto"/>
            <w:noWrap/>
            <w:vAlign w:val="center"/>
          </w:tcPr>
          <w:p w14:paraId="53C147E7"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2</w:t>
            </w:r>
          </w:p>
        </w:tc>
        <w:tc>
          <w:tcPr>
            <w:tcW w:w="1134" w:type="dxa"/>
            <w:tcBorders>
              <w:top w:val="nil"/>
              <w:left w:val="nil"/>
              <w:bottom w:val="single" w:sz="4" w:space="0" w:color="auto"/>
              <w:right w:val="single" w:sz="4" w:space="0" w:color="auto"/>
            </w:tcBorders>
            <w:shd w:val="clear" w:color="auto" w:fill="auto"/>
            <w:noWrap/>
            <w:vAlign w:val="bottom"/>
          </w:tcPr>
          <w:p w14:paraId="53C147E8"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0.70</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tcPr>
          <w:p w14:paraId="53C147E9"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0.41</w:t>
            </w:r>
          </w:p>
        </w:tc>
        <w:tc>
          <w:tcPr>
            <w:tcW w:w="1134" w:type="dxa"/>
            <w:tcBorders>
              <w:top w:val="nil"/>
              <w:left w:val="nil"/>
              <w:bottom w:val="single" w:sz="4" w:space="0" w:color="auto"/>
              <w:right w:val="single" w:sz="4" w:space="0" w:color="auto"/>
            </w:tcBorders>
            <w:shd w:val="clear" w:color="auto" w:fill="auto"/>
            <w:noWrap/>
            <w:vAlign w:val="bottom"/>
          </w:tcPr>
          <w:p w14:paraId="53C147EA"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047" w:type="dxa"/>
            <w:tcBorders>
              <w:top w:val="nil"/>
              <w:left w:val="nil"/>
              <w:bottom w:val="single" w:sz="4" w:space="0" w:color="auto"/>
              <w:right w:val="single" w:sz="4" w:space="0" w:color="auto"/>
            </w:tcBorders>
            <w:shd w:val="clear" w:color="auto" w:fill="auto"/>
            <w:noWrap/>
            <w:vAlign w:val="bottom"/>
          </w:tcPr>
          <w:p w14:paraId="53C147EB"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0.70</w:t>
            </w:r>
          </w:p>
        </w:tc>
        <w:tc>
          <w:tcPr>
            <w:tcW w:w="1221" w:type="dxa"/>
            <w:tcBorders>
              <w:top w:val="nil"/>
              <w:left w:val="nil"/>
              <w:bottom w:val="single" w:sz="4" w:space="0" w:color="auto"/>
              <w:right w:val="single" w:sz="4" w:space="0" w:color="auto"/>
            </w:tcBorders>
            <w:shd w:val="clear" w:color="auto" w:fill="auto"/>
            <w:noWrap/>
            <w:vAlign w:val="bottom"/>
          </w:tcPr>
          <w:p w14:paraId="53C147EC"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0.50</w:t>
            </w:r>
          </w:p>
        </w:tc>
        <w:tc>
          <w:tcPr>
            <w:tcW w:w="1117" w:type="dxa"/>
            <w:tcBorders>
              <w:top w:val="nil"/>
              <w:left w:val="nil"/>
              <w:bottom w:val="single" w:sz="4" w:space="0" w:color="auto"/>
              <w:right w:val="single" w:sz="4" w:space="0" w:color="auto"/>
            </w:tcBorders>
            <w:shd w:val="clear" w:color="auto" w:fill="92D050"/>
            <w:noWrap/>
            <w:vAlign w:val="bottom"/>
          </w:tcPr>
          <w:p w14:paraId="53C147ED"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0.66</w:t>
            </w:r>
          </w:p>
        </w:tc>
      </w:tr>
      <w:tr w:rsidR="002445C4" w:rsidRPr="002445C4" w14:paraId="53C147F8" w14:textId="77777777" w:rsidTr="00830E32">
        <w:trPr>
          <w:trHeight w:hRule="exact" w:val="255"/>
        </w:trPr>
        <w:tc>
          <w:tcPr>
            <w:tcW w:w="771" w:type="dxa"/>
            <w:vMerge/>
            <w:tcBorders>
              <w:left w:val="single" w:sz="4" w:space="0" w:color="auto"/>
              <w:right w:val="single" w:sz="4" w:space="0" w:color="auto"/>
            </w:tcBorders>
            <w:vAlign w:val="center"/>
          </w:tcPr>
          <w:p w14:paraId="53C147EF" w14:textId="77777777" w:rsidR="00830E32" w:rsidRPr="002445C4" w:rsidRDefault="00830E32" w:rsidP="00830E32">
            <w:pPr>
              <w:spacing w:after="0"/>
              <w:jc w:val="left"/>
              <w:rPr>
                <w:rFonts w:ascii="Arial Narrow" w:hAnsi="Arial Narrow"/>
                <w:lang w:eastAsia="en-AU"/>
              </w:rPr>
            </w:pPr>
          </w:p>
        </w:tc>
        <w:tc>
          <w:tcPr>
            <w:tcW w:w="1576" w:type="dxa"/>
            <w:vMerge/>
            <w:tcBorders>
              <w:left w:val="single" w:sz="4" w:space="0" w:color="auto"/>
              <w:bottom w:val="single" w:sz="4" w:space="0" w:color="auto"/>
              <w:right w:val="single" w:sz="4" w:space="0" w:color="auto"/>
            </w:tcBorders>
            <w:shd w:val="clear" w:color="auto" w:fill="auto"/>
            <w:noWrap/>
            <w:vAlign w:val="center"/>
          </w:tcPr>
          <w:p w14:paraId="53C147F0" w14:textId="77777777" w:rsidR="00830E32" w:rsidRPr="002445C4" w:rsidRDefault="00830E32" w:rsidP="00830E32">
            <w:pPr>
              <w:spacing w:after="0"/>
              <w:jc w:val="left"/>
              <w:rPr>
                <w:rFonts w:ascii="Arial Narrow" w:hAnsi="Arial Narrow"/>
                <w:sz w:val="20"/>
                <w:lang w:eastAsia="en-AU"/>
              </w:rPr>
            </w:pPr>
          </w:p>
        </w:tc>
        <w:tc>
          <w:tcPr>
            <w:tcW w:w="284" w:type="dxa"/>
            <w:tcBorders>
              <w:top w:val="nil"/>
              <w:left w:val="nil"/>
              <w:bottom w:val="single" w:sz="4" w:space="0" w:color="auto"/>
              <w:right w:val="single" w:sz="4" w:space="0" w:color="auto"/>
            </w:tcBorders>
            <w:shd w:val="clear" w:color="auto" w:fill="auto"/>
            <w:noWrap/>
            <w:vAlign w:val="center"/>
          </w:tcPr>
          <w:p w14:paraId="53C147F1"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5</w:t>
            </w:r>
          </w:p>
        </w:tc>
        <w:tc>
          <w:tcPr>
            <w:tcW w:w="1134" w:type="dxa"/>
            <w:tcBorders>
              <w:top w:val="nil"/>
              <w:left w:val="nil"/>
              <w:bottom w:val="single" w:sz="4" w:space="0" w:color="auto"/>
              <w:right w:val="single" w:sz="4" w:space="0" w:color="auto"/>
            </w:tcBorders>
            <w:shd w:val="clear" w:color="auto" w:fill="auto"/>
            <w:noWrap/>
            <w:vAlign w:val="bottom"/>
          </w:tcPr>
          <w:p w14:paraId="53C147F2"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0.61</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tcPr>
          <w:p w14:paraId="53C147F3"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0.42</w:t>
            </w:r>
          </w:p>
        </w:tc>
        <w:tc>
          <w:tcPr>
            <w:tcW w:w="1134" w:type="dxa"/>
            <w:tcBorders>
              <w:top w:val="nil"/>
              <w:left w:val="nil"/>
              <w:bottom w:val="single" w:sz="4" w:space="0" w:color="auto"/>
              <w:right w:val="single" w:sz="4" w:space="0" w:color="auto"/>
            </w:tcBorders>
            <w:shd w:val="clear" w:color="auto" w:fill="auto"/>
            <w:noWrap/>
            <w:vAlign w:val="bottom"/>
          </w:tcPr>
          <w:p w14:paraId="53C147F4"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0.58</w:t>
            </w:r>
          </w:p>
        </w:tc>
        <w:tc>
          <w:tcPr>
            <w:tcW w:w="1047" w:type="dxa"/>
            <w:tcBorders>
              <w:top w:val="nil"/>
              <w:left w:val="nil"/>
              <w:bottom w:val="single" w:sz="4" w:space="0" w:color="auto"/>
              <w:right w:val="single" w:sz="4" w:space="0" w:color="auto"/>
            </w:tcBorders>
            <w:shd w:val="clear" w:color="auto" w:fill="auto"/>
            <w:noWrap/>
            <w:vAlign w:val="bottom"/>
          </w:tcPr>
          <w:p w14:paraId="53C147F5"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0.45</w:t>
            </w:r>
          </w:p>
        </w:tc>
        <w:tc>
          <w:tcPr>
            <w:tcW w:w="1221" w:type="dxa"/>
            <w:tcBorders>
              <w:top w:val="nil"/>
              <w:left w:val="nil"/>
              <w:bottom w:val="single" w:sz="4" w:space="0" w:color="auto"/>
              <w:right w:val="single" w:sz="4" w:space="0" w:color="auto"/>
            </w:tcBorders>
            <w:shd w:val="clear" w:color="auto" w:fill="auto"/>
            <w:noWrap/>
            <w:vAlign w:val="bottom"/>
          </w:tcPr>
          <w:p w14:paraId="53C147F6"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117" w:type="dxa"/>
            <w:tcBorders>
              <w:top w:val="nil"/>
              <w:left w:val="nil"/>
              <w:bottom w:val="single" w:sz="4" w:space="0" w:color="auto"/>
              <w:right w:val="single" w:sz="4" w:space="0" w:color="auto"/>
            </w:tcBorders>
            <w:shd w:val="clear" w:color="auto" w:fill="92D050"/>
            <w:noWrap/>
            <w:vAlign w:val="bottom"/>
          </w:tcPr>
          <w:p w14:paraId="53C147F7"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0.61</w:t>
            </w:r>
          </w:p>
        </w:tc>
      </w:tr>
      <w:tr w:rsidR="002445C4" w:rsidRPr="002445C4" w14:paraId="53C14802" w14:textId="77777777" w:rsidTr="00830E32">
        <w:trPr>
          <w:trHeight w:hRule="exact" w:val="255"/>
        </w:trPr>
        <w:tc>
          <w:tcPr>
            <w:tcW w:w="771" w:type="dxa"/>
            <w:vMerge/>
            <w:tcBorders>
              <w:left w:val="single" w:sz="4" w:space="0" w:color="auto"/>
              <w:right w:val="single" w:sz="4" w:space="0" w:color="auto"/>
            </w:tcBorders>
            <w:vAlign w:val="center"/>
          </w:tcPr>
          <w:p w14:paraId="53C147F9" w14:textId="77777777" w:rsidR="00830E32" w:rsidRPr="002445C4" w:rsidRDefault="00830E32" w:rsidP="00830E32">
            <w:pPr>
              <w:spacing w:after="0"/>
              <w:jc w:val="left"/>
              <w:rPr>
                <w:rFonts w:ascii="Arial Narrow" w:hAnsi="Arial Narrow"/>
                <w:lang w:eastAsia="en-AU"/>
              </w:rPr>
            </w:pPr>
          </w:p>
        </w:tc>
        <w:tc>
          <w:tcPr>
            <w:tcW w:w="1576" w:type="dxa"/>
            <w:vMerge w:val="restart"/>
            <w:tcBorders>
              <w:top w:val="nil"/>
              <w:left w:val="single" w:sz="4" w:space="0" w:color="auto"/>
              <w:bottom w:val="single" w:sz="4" w:space="0" w:color="auto"/>
              <w:right w:val="single" w:sz="4" w:space="0" w:color="auto"/>
            </w:tcBorders>
            <w:shd w:val="clear" w:color="auto" w:fill="auto"/>
            <w:noWrap/>
            <w:vAlign w:val="center"/>
          </w:tcPr>
          <w:p w14:paraId="53C147FA" w14:textId="77777777" w:rsidR="00830E32" w:rsidRPr="002445C4" w:rsidRDefault="00830E32" w:rsidP="00830E32">
            <w:pPr>
              <w:spacing w:after="0"/>
              <w:jc w:val="left"/>
              <w:rPr>
                <w:rFonts w:ascii="Arial Narrow" w:hAnsi="Arial Narrow"/>
                <w:sz w:val="20"/>
                <w:lang w:eastAsia="en-AU"/>
              </w:rPr>
            </w:pPr>
            <w:r w:rsidRPr="002445C4">
              <w:rPr>
                <w:rFonts w:ascii="Arial Narrow" w:hAnsi="Arial Narrow"/>
                <w:sz w:val="20"/>
                <w:lang w:eastAsia="en-AU"/>
              </w:rPr>
              <w:t>Franklands West</w:t>
            </w:r>
          </w:p>
        </w:tc>
        <w:tc>
          <w:tcPr>
            <w:tcW w:w="284" w:type="dxa"/>
            <w:tcBorders>
              <w:top w:val="nil"/>
              <w:left w:val="nil"/>
              <w:bottom w:val="single" w:sz="4" w:space="0" w:color="auto"/>
              <w:right w:val="single" w:sz="4" w:space="0" w:color="auto"/>
            </w:tcBorders>
            <w:shd w:val="clear" w:color="auto" w:fill="auto"/>
            <w:noWrap/>
            <w:vAlign w:val="center"/>
          </w:tcPr>
          <w:p w14:paraId="53C147FB"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2</w:t>
            </w:r>
          </w:p>
        </w:tc>
        <w:tc>
          <w:tcPr>
            <w:tcW w:w="1134" w:type="dxa"/>
            <w:tcBorders>
              <w:top w:val="nil"/>
              <w:left w:val="nil"/>
              <w:bottom w:val="single" w:sz="4" w:space="0" w:color="auto"/>
              <w:right w:val="single" w:sz="4" w:space="0" w:color="auto"/>
            </w:tcBorders>
            <w:shd w:val="clear" w:color="auto" w:fill="auto"/>
            <w:noWrap/>
            <w:vAlign w:val="bottom"/>
          </w:tcPr>
          <w:p w14:paraId="53C147FC"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0.70</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tcPr>
          <w:p w14:paraId="53C147FD"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0.18</w:t>
            </w:r>
          </w:p>
        </w:tc>
        <w:tc>
          <w:tcPr>
            <w:tcW w:w="1134" w:type="dxa"/>
            <w:tcBorders>
              <w:top w:val="nil"/>
              <w:left w:val="nil"/>
              <w:bottom w:val="single" w:sz="4" w:space="0" w:color="auto"/>
              <w:right w:val="single" w:sz="4" w:space="0" w:color="auto"/>
            </w:tcBorders>
            <w:shd w:val="clear" w:color="auto" w:fill="auto"/>
            <w:noWrap/>
            <w:vAlign w:val="bottom"/>
          </w:tcPr>
          <w:p w14:paraId="53C147FE"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047" w:type="dxa"/>
            <w:tcBorders>
              <w:top w:val="nil"/>
              <w:left w:val="nil"/>
              <w:bottom w:val="single" w:sz="4" w:space="0" w:color="auto"/>
              <w:right w:val="single" w:sz="4" w:space="0" w:color="auto"/>
            </w:tcBorders>
            <w:shd w:val="clear" w:color="auto" w:fill="auto"/>
            <w:noWrap/>
            <w:vAlign w:val="bottom"/>
          </w:tcPr>
          <w:p w14:paraId="53C147FF"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0.85</w:t>
            </w:r>
          </w:p>
        </w:tc>
        <w:tc>
          <w:tcPr>
            <w:tcW w:w="1221" w:type="dxa"/>
            <w:tcBorders>
              <w:top w:val="nil"/>
              <w:left w:val="nil"/>
              <w:bottom w:val="single" w:sz="4" w:space="0" w:color="auto"/>
              <w:right w:val="single" w:sz="4" w:space="0" w:color="auto"/>
            </w:tcBorders>
            <w:shd w:val="clear" w:color="auto" w:fill="auto"/>
            <w:noWrap/>
            <w:vAlign w:val="bottom"/>
          </w:tcPr>
          <w:p w14:paraId="53C14800"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0.50</w:t>
            </w:r>
          </w:p>
        </w:tc>
        <w:tc>
          <w:tcPr>
            <w:tcW w:w="1117" w:type="dxa"/>
            <w:tcBorders>
              <w:top w:val="nil"/>
              <w:left w:val="nil"/>
              <w:bottom w:val="single" w:sz="4" w:space="0" w:color="auto"/>
              <w:right w:val="single" w:sz="4" w:space="0" w:color="auto"/>
            </w:tcBorders>
            <w:shd w:val="clear" w:color="auto" w:fill="FFFF00"/>
            <w:noWrap/>
            <w:vAlign w:val="bottom"/>
          </w:tcPr>
          <w:p w14:paraId="53C14801"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0.45</w:t>
            </w:r>
          </w:p>
        </w:tc>
      </w:tr>
      <w:tr w:rsidR="002445C4" w:rsidRPr="002445C4" w14:paraId="53C1480C" w14:textId="77777777" w:rsidTr="00830E32">
        <w:trPr>
          <w:trHeight w:hRule="exact" w:val="255"/>
        </w:trPr>
        <w:tc>
          <w:tcPr>
            <w:tcW w:w="771" w:type="dxa"/>
            <w:vMerge/>
            <w:tcBorders>
              <w:left w:val="single" w:sz="4" w:space="0" w:color="auto"/>
              <w:right w:val="single" w:sz="4" w:space="0" w:color="auto"/>
            </w:tcBorders>
            <w:vAlign w:val="center"/>
          </w:tcPr>
          <w:p w14:paraId="53C14803" w14:textId="77777777" w:rsidR="00830E32" w:rsidRPr="002445C4" w:rsidRDefault="00830E32" w:rsidP="00830E32">
            <w:pPr>
              <w:spacing w:after="0"/>
              <w:jc w:val="left"/>
              <w:rPr>
                <w:rFonts w:ascii="Arial Narrow" w:hAnsi="Arial Narrow"/>
                <w:lang w:eastAsia="en-AU"/>
              </w:rPr>
            </w:pPr>
          </w:p>
        </w:tc>
        <w:tc>
          <w:tcPr>
            <w:tcW w:w="1576" w:type="dxa"/>
            <w:vMerge/>
            <w:tcBorders>
              <w:top w:val="nil"/>
              <w:left w:val="single" w:sz="4" w:space="0" w:color="auto"/>
              <w:bottom w:val="single" w:sz="4" w:space="0" w:color="auto"/>
              <w:right w:val="single" w:sz="4" w:space="0" w:color="auto"/>
            </w:tcBorders>
            <w:vAlign w:val="center"/>
          </w:tcPr>
          <w:p w14:paraId="53C14804" w14:textId="77777777" w:rsidR="00830E32" w:rsidRPr="002445C4" w:rsidRDefault="00830E32" w:rsidP="00830E32">
            <w:pPr>
              <w:spacing w:after="0"/>
              <w:jc w:val="left"/>
              <w:rPr>
                <w:rFonts w:ascii="Arial Narrow" w:hAnsi="Arial Narrow"/>
                <w:sz w:val="20"/>
                <w:lang w:eastAsia="en-AU"/>
              </w:rPr>
            </w:pPr>
          </w:p>
        </w:tc>
        <w:tc>
          <w:tcPr>
            <w:tcW w:w="284" w:type="dxa"/>
            <w:tcBorders>
              <w:top w:val="nil"/>
              <w:left w:val="nil"/>
              <w:bottom w:val="single" w:sz="4" w:space="0" w:color="auto"/>
              <w:right w:val="single" w:sz="4" w:space="0" w:color="auto"/>
            </w:tcBorders>
            <w:shd w:val="clear" w:color="auto" w:fill="auto"/>
            <w:noWrap/>
            <w:vAlign w:val="center"/>
          </w:tcPr>
          <w:p w14:paraId="53C14805"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5</w:t>
            </w:r>
          </w:p>
        </w:tc>
        <w:tc>
          <w:tcPr>
            <w:tcW w:w="1134" w:type="dxa"/>
            <w:tcBorders>
              <w:top w:val="nil"/>
              <w:left w:val="nil"/>
              <w:bottom w:val="single" w:sz="4" w:space="0" w:color="auto"/>
              <w:right w:val="single" w:sz="4" w:space="0" w:color="auto"/>
            </w:tcBorders>
            <w:shd w:val="clear" w:color="auto" w:fill="auto"/>
            <w:noWrap/>
            <w:vAlign w:val="bottom"/>
          </w:tcPr>
          <w:p w14:paraId="53C14806"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0.62</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tcPr>
          <w:p w14:paraId="53C14807"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0.13</w:t>
            </w:r>
          </w:p>
        </w:tc>
        <w:tc>
          <w:tcPr>
            <w:tcW w:w="1134" w:type="dxa"/>
            <w:tcBorders>
              <w:top w:val="nil"/>
              <w:left w:val="nil"/>
              <w:bottom w:val="single" w:sz="4" w:space="0" w:color="auto"/>
              <w:right w:val="single" w:sz="4" w:space="0" w:color="auto"/>
            </w:tcBorders>
            <w:shd w:val="clear" w:color="auto" w:fill="auto"/>
            <w:noWrap/>
            <w:vAlign w:val="bottom"/>
          </w:tcPr>
          <w:p w14:paraId="53C14808"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047" w:type="dxa"/>
            <w:tcBorders>
              <w:top w:val="nil"/>
              <w:left w:val="nil"/>
              <w:bottom w:val="single" w:sz="4" w:space="0" w:color="auto"/>
              <w:right w:val="single" w:sz="4" w:space="0" w:color="auto"/>
            </w:tcBorders>
            <w:shd w:val="clear" w:color="auto" w:fill="auto"/>
            <w:noWrap/>
            <w:vAlign w:val="bottom"/>
          </w:tcPr>
          <w:p w14:paraId="53C14809"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0.50</w:t>
            </w:r>
          </w:p>
        </w:tc>
        <w:tc>
          <w:tcPr>
            <w:tcW w:w="1221" w:type="dxa"/>
            <w:tcBorders>
              <w:top w:val="nil"/>
              <w:left w:val="nil"/>
              <w:bottom w:val="single" w:sz="4" w:space="0" w:color="auto"/>
              <w:right w:val="single" w:sz="4" w:space="0" w:color="auto"/>
            </w:tcBorders>
            <w:shd w:val="clear" w:color="auto" w:fill="auto"/>
            <w:noWrap/>
            <w:vAlign w:val="bottom"/>
          </w:tcPr>
          <w:p w14:paraId="53C1480A"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117" w:type="dxa"/>
            <w:tcBorders>
              <w:top w:val="nil"/>
              <w:left w:val="nil"/>
              <w:bottom w:val="single" w:sz="4" w:space="0" w:color="auto"/>
              <w:right w:val="single" w:sz="4" w:space="0" w:color="auto"/>
            </w:tcBorders>
            <w:shd w:val="clear" w:color="auto" w:fill="FFFF00"/>
            <w:noWrap/>
            <w:vAlign w:val="bottom"/>
          </w:tcPr>
          <w:p w14:paraId="53C1480B"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0.45</w:t>
            </w:r>
          </w:p>
        </w:tc>
      </w:tr>
      <w:tr w:rsidR="002445C4" w:rsidRPr="002445C4" w14:paraId="53C14816" w14:textId="77777777" w:rsidTr="00830E32">
        <w:trPr>
          <w:trHeight w:hRule="exact" w:val="255"/>
        </w:trPr>
        <w:tc>
          <w:tcPr>
            <w:tcW w:w="771" w:type="dxa"/>
            <w:vMerge/>
            <w:tcBorders>
              <w:left w:val="single" w:sz="4" w:space="0" w:color="auto"/>
              <w:right w:val="single" w:sz="4" w:space="0" w:color="auto"/>
            </w:tcBorders>
            <w:vAlign w:val="center"/>
          </w:tcPr>
          <w:p w14:paraId="53C1480D" w14:textId="77777777" w:rsidR="00830E32" w:rsidRPr="002445C4" w:rsidRDefault="00830E32" w:rsidP="00830E32">
            <w:pPr>
              <w:spacing w:after="0"/>
              <w:jc w:val="left"/>
              <w:rPr>
                <w:rFonts w:ascii="Arial Narrow" w:hAnsi="Arial Narrow"/>
                <w:lang w:eastAsia="en-AU"/>
              </w:rPr>
            </w:pPr>
          </w:p>
        </w:tc>
        <w:tc>
          <w:tcPr>
            <w:tcW w:w="1576" w:type="dxa"/>
            <w:vMerge w:val="restart"/>
            <w:tcBorders>
              <w:top w:val="nil"/>
              <w:left w:val="single" w:sz="4" w:space="0" w:color="auto"/>
              <w:bottom w:val="single" w:sz="4" w:space="0" w:color="auto"/>
              <w:right w:val="single" w:sz="4" w:space="0" w:color="auto"/>
            </w:tcBorders>
            <w:shd w:val="clear" w:color="auto" w:fill="auto"/>
            <w:noWrap/>
            <w:vAlign w:val="center"/>
          </w:tcPr>
          <w:p w14:paraId="53C1480E" w14:textId="77777777" w:rsidR="00830E32" w:rsidRPr="002445C4" w:rsidRDefault="00830E32" w:rsidP="00830E32">
            <w:pPr>
              <w:spacing w:after="0"/>
              <w:jc w:val="left"/>
              <w:rPr>
                <w:rFonts w:ascii="Arial Narrow" w:hAnsi="Arial Narrow"/>
                <w:sz w:val="20"/>
                <w:lang w:eastAsia="en-AU"/>
              </w:rPr>
            </w:pPr>
            <w:r w:rsidRPr="002445C4">
              <w:rPr>
                <w:rFonts w:ascii="Arial Narrow" w:hAnsi="Arial Narrow"/>
                <w:sz w:val="20"/>
                <w:lang w:eastAsia="en-AU"/>
              </w:rPr>
              <w:t>High East</w:t>
            </w:r>
          </w:p>
        </w:tc>
        <w:tc>
          <w:tcPr>
            <w:tcW w:w="284" w:type="dxa"/>
            <w:tcBorders>
              <w:top w:val="nil"/>
              <w:left w:val="nil"/>
              <w:bottom w:val="single" w:sz="4" w:space="0" w:color="auto"/>
              <w:right w:val="single" w:sz="4" w:space="0" w:color="auto"/>
            </w:tcBorders>
            <w:shd w:val="clear" w:color="auto" w:fill="auto"/>
            <w:noWrap/>
            <w:vAlign w:val="center"/>
          </w:tcPr>
          <w:p w14:paraId="53C1480F"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2</w:t>
            </w:r>
          </w:p>
        </w:tc>
        <w:tc>
          <w:tcPr>
            <w:tcW w:w="1134" w:type="dxa"/>
            <w:tcBorders>
              <w:top w:val="nil"/>
              <w:left w:val="nil"/>
              <w:bottom w:val="single" w:sz="4" w:space="0" w:color="auto"/>
              <w:right w:val="single" w:sz="4" w:space="0" w:color="auto"/>
            </w:tcBorders>
            <w:shd w:val="clear" w:color="auto" w:fill="auto"/>
            <w:noWrap/>
            <w:vAlign w:val="bottom"/>
          </w:tcPr>
          <w:p w14:paraId="53C14810"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0.85</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tcPr>
          <w:p w14:paraId="53C14811"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0.25</w:t>
            </w:r>
          </w:p>
        </w:tc>
        <w:tc>
          <w:tcPr>
            <w:tcW w:w="1134" w:type="dxa"/>
            <w:tcBorders>
              <w:top w:val="nil"/>
              <w:left w:val="nil"/>
              <w:bottom w:val="single" w:sz="4" w:space="0" w:color="auto"/>
              <w:right w:val="single" w:sz="4" w:space="0" w:color="auto"/>
            </w:tcBorders>
            <w:shd w:val="clear" w:color="auto" w:fill="auto"/>
            <w:noWrap/>
            <w:vAlign w:val="bottom"/>
          </w:tcPr>
          <w:p w14:paraId="53C14812"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047" w:type="dxa"/>
            <w:tcBorders>
              <w:top w:val="nil"/>
              <w:left w:val="nil"/>
              <w:bottom w:val="single" w:sz="4" w:space="0" w:color="auto"/>
              <w:right w:val="single" w:sz="4" w:space="0" w:color="auto"/>
            </w:tcBorders>
            <w:shd w:val="clear" w:color="auto" w:fill="auto"/>
            <w:noWrap/>
            <w:vAlign w:val="bottom"/>
          </w:tcPr>
          <w:p w14:paraId="53C14813"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0.66</w:t>
            </w:r>
          </w:p>
        </w:tc>
        <w:tc>
          <w:tcPr>
            <w:tcW w:w="1221" w:type="dxa"/>
            <w:tcBorders>
              <w:top w:val="nil"/>
              <w:left w:val="nil"/>
              <w:bottom w:val="single" w:sz="4" w:space="0" w:color="auto"/>
              <w:right w:val="single" w:sz="4" w:space="0" w:color="auto"/>
            </w:tcBorders>
            <w:shd w:val="clear" w:color="auto" w:fill="auto"/>
            <w:noWrap/>
            <w:vAlign w:val="bottom"/>
          </w:tcPr>
          <w:p w14:paraId="53C14814"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0.50</w:t>
            </w:r>
          </w:p>
        </w:tc>
        <w:tc>
          <w:tcPr>
            <w:tcW w:w="1117" w:type="dxa"/>
            <w:tcBorders>
              <w:top w:val="nil"/>
              <w:left w:val="nil"/>
              <w:bottom w:val="single" w:sz="4" w:space="0" w:color="auto"/>
              <w:right w:val="single" w:sz="4" w:space="0" w:color="auto"/>
            </w:tcBorders>
            <w:shd w:val="clear" w:color="auto" w:fill="FFFF00"/>
            <w:noWrap/>
            <w:vAlign w:val="bottom"/>
          </w:tcPr>
          <w:p w14:paraId="53C14815"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0.45</w:t>
            </w:r>
          </w:p>
        </w:tc>
      </w:tr>
      <w:tr w:rsidR="002445C4" w:rsidRPr="002445C4" w14:paraId="53C14820" w14:textId="77777777" w:rsidTr="00830E32">
        <w:trPr>
          <w:trHeight w:hRule="exact" w:val="255"/>
        </w:trPr>
        <w:tc>
          <w:tcPr>
            <w:tcW w:w="771" w:type="dxa"/>
            <w:vMerge/>
            <w:tcBorders>
              <w:left w:val="single" w:sz="4" w:space="0" w:color="auto"/>
              <w:right w:val="single" w:sz="4" w:space="0" w:color="auto"/>
            </w:tcBorders>
            <w:vAlign w:val="center"/>
          </w:tcPr>
          <w:p w14:paraId="53C14817" w14:textId="77777777" w:rsidR="00830E32" w:rsidRPr="002445C4" w:rsidRDefault="00830E32" w:rsidP="00830E32">
            <w:pPr>
              <w:spacing w:after="0"/>
              <w:jc w:val="left"/>
              <w:rPr>
                <w:rFonts w:ascii="Arial Narrow" w:hAnsi="Arial Narrow"/>
                <w:lang w:eastAsia="en-AU"/>
              </w:rPr>
            </w:pPr>
          </w:p>
        </w:tc>
        <w:tc>
          <w:tcPr>
            <w:tcW w:w="1576" w:type="dxa"/>
            <w:vMerge/>
            <w:tcBorders>
              <w:top w:val="nil"/>
              <w:left w:val="single" w:sz="4" w:space="0" w:color="auto"/>
              <w:bottom w:val="single" w:sz="4" w:space="0" w:color="auto"/>
              <w:right w:val="single" w:sz="4" w:space="0" w:color="auto"/>
            </w:tcBorders>
            <w:vAlign w:val="center"/>
          </w:tcPr>
          <w:p w14:paraId="53C14818" w14:textId="77777777" w:rsidR="00830E32" w:rsidRPr="002445C4" w:rsidRDefault="00830E32" w:rsidP="00830E32">
            <w:pPr>
              <w:spacing w:after="0"/>
              <w:jc w:val="left"/>
              <w:rPr>
                <w:rFonts w:ascii="Arial Narrow" w:hAnsi="Arial Narrow"/>
                <w:sz w:val="20"/>
                <w:lang w:eastAsia="en-AU"/>
              </w:rPr>
            </w:pPr>
          </w:p>
        </w:tc>
        <w:tc>
          <w:tcPr>
            <w:tcW w:w="284" w:type="dxa"/>
            <w:tcBorders>
              <w:top w:val="nil"/>
              <w:left w:val="nil"/>
              <w:bottom w:val="single" w:sz="4" w:space="0" w:color="auto"/>
              <w:right w:val="single" w:sz="4" w:space="0" w:color="auto"/>
            </w:tcBorders>
            <w:shd w:val="clear" w:color="auto" w:fill="auto"/>
            <w:noWrap/>
            <w:vAlign w:val="center"/>
          </w:tcPr>
          <w:p w14:paraId="53C14819"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5</w:t>
            </w:r>
          </w:p>
        </w:tc>
        <w:tc>
          <w:tcPr>
            <w:tcW w:w="1134" w:type="dxa"/>
            <w:tcBorders>
              <w:top w:val="nil"/>
              <w:left w:val="nil"/>
              <w:bottom w:val="single" w:sz="4" w:space="0" w:color="auto"/>
              <w:right w:val="single" w:sz="4" w:space="0" w:color="auto"/>
            </w:tcBorders>
            <w:shd w:val="clear" w:color="auto" w:fill="auto"/>
            <w:noWrap/>
            <w:vAlign w:val="bottom"/>
          </w:tcPr>
          <w:p w14:paraId="53C1481A"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0.80</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tcPr>
          <w:p w14:paraId="53C1481B"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0.34</w:t>
            </w:r>
          </w:p>
        </w:tc>
        <w:tc>
          <w:tcPr>
            <w:tcW w:w="1134" w:type="dxa"/>
            <w:tcBorders>
              <w:top w:val="nil"/>
              <w:left w:val="nil"/>
              <w:bottom w:val="single" w:sz="4" w:space="0" w:color="auto"/>
              <w:right w:val="single" w:sz="4" w:space="0" w:color="auto"/>
            </w:tcBorders>
            <w:shd w:val="clear" w:color="auto" w:fill="auto"/>
            <w:noWrap/>
            <w:vAlign w:val="bottom"/>
          </w:tcPr>
          <w:p w14:paraId="53C1481C"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0.74</w:t>
            </w:r>
          </w:p>
        </w:tc>
        <w:tc>
          <w:tcPr>
            <w:tcW w:w="1047" w:type="dxa"/>
            <w:tcBorders>
              <w:top w:val="nil"/>
              <w:left w:val="nil"/>
              <w:bottom w:val="single" w:sz="4" w:space="0" w:color="auto"/>
              <w:right w:val="single" w:sz="4" w:space="0" w:color="auto"/>
            </w:tcBorders>
            <w:shd w:val="clear" w:color="auto" w:fill="auto"/>
            <w:noWrap/>
            <w:vAlign w:val="bottom"/>
          </w:tcPr>
          <w:p w14:paraId="53C1481D"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221" w:type="dxa"/>
            <w:tcBorders>
              <w:top w:val="nil"/>
              <w:left w:val="nil"/>
              <w:bottom w:val="single" w:sz="4" w:space="0" w:color="auto"/>
              <w:right w:val="single" w:sz="4" w:space="0" w:color="auto"/>
            </w:tcBorders>
            <w:shd w:val="clear" w:color="auto" w:fill="auto"/>
            <w:noWrap/>
            <w:vAlign w:val="bottom"/>
          </w:tcPr>
          <w:p w14:paraId="53C1481E"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117" w:type="dxa"/>
            <w:tcBorders>
              <w:top w:val="nil"/>
              <w:left w:val="nil"/>
              <w:bottom w:val="single" w:sz="4" w:space="0" w:color="auto"/>
              <w:right w:val="single" w:sz="4" w:space="0" w:color="auto"/>
            </w:tcBorders>
            <w:shd w:val="clear" w:color="000000" w:fill="92D050"/>
            <w:noWrap/>
            <w:vAlign w:val="bottom"/>
          </w:tcPr>
          <w:p w14:paraId="53C1481F"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0.78</w:t>
            </w:r>
          </w:p>
        </w:tc>
      </w:tr>
      <w:tr w:rsidR="002445C4" w:rsidRPr="002445C4" w14:paraId="53C1482A" w14:textId="77777777" w:rsidTr="00830E32">
        <w:trPr>
          <w:trHeight w:hRule="exact" w:val="255"/>
        </w:trPr>
        <w:tc>
          <w:tcPr>
            <w:tcW w:w="771" w:type="dxa"/>
            <w:vMerge/>
            <w:tcBorders>
              <w:left w:val="single" w:sz="4" w:space="0" w:color="auto"/>
              <w:right w:val="single" w:sz="4" w:space="0" w:color="auto"/>
            </w:tcBorders>
            <w:vAlign w:val="center"/>
          </w:tcPr>
          <w:p w14:paraId="53C14821" w14:textId="77777777" w:rsidR="00830E32" w:rsidRPr="002445C4" w:rsidRDefault="00830E32" w:rsidP="00830E32">
            <w:pPr>
              <w:spacing w:after="0"/>
              <w:jc w:val="left"/>
              <w:rPr>
                <w:rFonts w:ascii="Arial Narrow" w:hAnsi="Arial Narrow"/>
                <w:lang w:eastAsia="en-AU"/>
              </w:rPr>
            </w:pPr>
          </w:p>
        </w:tc>
        <w:tc>
          <w:tcPr>
            <w:tcW w:w="1576" w:type="dxa"/>
            <w:vMerge w:val="restart"/>
            <w:tcBorders>
              <w:top w:val="nil"/>
              <w:left w:val="single" w:sz="4" w:space="0" w:color="auto"/>
              <w:bottom w:val="single" w:sz="4" w:space="0" w:color="auto"/>
              <w:right w:val="single" w:sz="4" w:space="0" w:color="auto"/>
            </w:tcBorders>
            <w:shd w:val="clear" w:color="auto" w:fill="auto"/>
            <w:noWrap/>
            <w:vAlign w:val="center"/>
          </w:tcPr>
          <w:p w14:paraId="53C14822" w14:textId="77777777" w:rsidR="00830E32" w:rsidRPr="002445C4" w:rsidRDefault="00830E32" w:rsidP="00830E32">
            <w:pPr>
              <w:spacing w:after="0"/>
              <w:jc w:val="left"/>
              <w:rPr>
                <w:rFonts w:ascii="Arial Narrow" w:hAnsi="Arial Narrow"/>
                <w:sz w:val="20"/>
                <w:lang w:eastAsia="en-AU"/>
              </w:rPr>
            </w:pPr>
            <w:r w:rsidRPr="002445C4">
              <w:rPr>
                <w:rFonts w:ascii="Arial Narrow" w:hAnsi="Arial Narrow"/>
                <w:sz w:val="20"/>
                <w:lang w:eastAsia="en-AU"/>
              </w:rPr>
              <w:t>High West</w:t>
            </w:r>
          </w:p>
        </w:tc>
        <w:tc>
          <w:tcPr>
            <w:tcW w:w="284" w:type="dxa"/>
            <w:tcBorders>
              <w:top w:val="nil"/>
              <w:left w:val="nil"/>
              <w:bottom w:val="single" w:sz="4" w:space="0" w:color="auto"/>
              <w:right w:val="single" w:sz="4" w:space="0" w:color="auto"/>
            </w:tcBorders>
            <w:shd w:val="clear" w:color="auto" w:fill="auto"/>
            <w:noWrap/>
            <w:vAlign w:val="center"/>
          </w:tcPr>
          <w:p w14:paraId="53C14823"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2</w:t>
            </w:r>
          </w:p>
        </w:tc>
        <w:tc>
          <w:tcPr>
            <w:tcW w:w="1134" w:type="dxa"/>
            <w:tcBorders>
              <w:top w:val="nil"/>
              <w:left w:val="nil"/>
              <w:bottom w:val="single" w:sz="4" w:space="0" w:color="auto"/>
              <w:right w:val="single" w:sz="4" w:space="0" w:color="auto"/>
            </w:tcBorders>
            <w:shd w:val="clear" w:color="auto" w:fill="auto"/>
            <w:noWrap/>
            <w:vAlign w:val="bottom"/>
          </w:tcPr>
          <w:p w14:paraId="53C14824"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0.81</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tcPr>
          <w:p w14:paraId="53C14825"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0.31</w:t>
            </w:r>
          </w:p>
        </w:tc>
        <w:tc>
          <w:tcPr>
            <w:tcW w:w="1134" w:type="dxa"/>
            <w:tcBorders>
              <w:top w:val="nil"/>
              <w:left w:val="nil"/>
              <w:bottom w:val="single" w:sz="4" w:space="0" w:color="auto"/>
              <w:right w:val="single" w:sz="4" w:space="0" w:color="auto"/>
            </w:tcBorders>
            <w:shd w:val="clear" w:color="auto" w:fill="auto"/>
            <w:noWrap/>
            <w:vAlign w:val="bottom"/>
          </w:tcPr>
          <w:p w14:paraId="53C14826"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0.47</w:t>
            </w:r>
          </w:p>
        </w:tc>
        <w:tc>
          <w:tcPr>
            <w:tcW w:w="1047" w:type="dxa"/>
            <w:tcBorders>
              <w:top w:val="nil"/>
              <w:left w:val="nil"/>
              <w:bottom w:val="single" w:sz="4" w:space="0" w:color="auto"/>
              <w:right w:val="single" w:sz="4" w:space="0" w:color="auto"/>
            </w:tcBorders>
            <w:shd w:val="clear" w:color="auto" w:fill="auto"/>
            <w:noWrap/>
            <w:vAlign w:val="bottom"/>
          </w:tcPr>
          <w:p w14:paraId="53C14827"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0.42</w:t>
            </w:r>
          </w:p>
        </w:tc>
        <w:tc>
          <w:tcPr>
            <w:tcW w:w="1221" w:type="dxa"/>
            <w:tcBorders>
              <w:top w:val="nil"/>
              <w:left w:val="nil"/>
              <w:bottom w:val="single" w:sz="4" w:space="0" w:color="auto"/>
              <w:right w:val="single" w:sz="4" w:space="0" w:color="auto"/>
            </w:tcBorders>
            <w:shd w:val="clear" w:color="auto" w:fill="auto"/>
            <w:noWrap/>
            <w:vAlign w:val="bottom"/>
          </w:tcPr>
          <w:p w14:paraId="53C14828"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117" w:type="dxa"/>
            <w:tcBorders>
              <w:top w:val="nil"/>
              <w:left w:val="nil"/>
              <w:bottom w:val="single" w:sz="4" w:space="0" w:color="auto"/>
              <w:right w:val="single" w:sz="4" w:space="0" w:color="auto"/>
            </w:tcBorders>
            <w:shd w:val="clear" w:color="auto" w:fill="FFFF00"/>
            <w:noWrap/>
            <w:vAlign w:val="bottom"/>
          </w:tcPr>
          <w:p w14:paraId="53C14829"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0.40</w:t>
            </w:r>
          </w:p>
        </w:tc>
      </w:tr>
      <w:tr w:rsidR="002445C4" w:rsidRPr="002445C4" w14:paraId="53C14834" w14:textId="77777777" w:rsidTr="00830E32">
        <w:trPr>
          <w:trHeight w:hRule="exact" w:val="255"/>
        </w:trPr>
        <w:tc>
          <w:tcPr>
            <w:tcW w:w="771" w:type="dxa"/>
            <w:vMerge/>
            <w:tcBorders>
              <w:left w:val="single" w:sz="4" w:space="0" w:color="auto"/>
              <w:bottom w:val="single" w:sz="4" w:space="0" w:color="auto"/>
              <w:right w:val="single" w:sz="4" w:space="0" w:color="auto"/>
            </w:tcBorders>
            <w:vAlign w:val="center"/>
          </w:tcPr>
          <w:p w14:paraId="53C1482B" w14:textId="77777777" w:rsidR="00830E32" w:rsidRPr="002445C4" w:rsidRDefault="00830E32" w:rsidP="00830E32">
            <w:pPr>
              <w:spacing w:after="0"/>
              <w:jc w:val="left"/>
              <w:rPr>
                <w:rFonts w:ascii="Arial Narrow" w:hAnsi="Arial Narrow"/>
                <w:lang w:eastAsia="en-AU"/>
              </w:rPr>
            </w:pPr>
          </w:p>
        </w:tc>
        <w:tc>
          <w:tcPr>
            <w:tcW w:w="1576" w:type="dxa"/>
            <w:vMerge/>
            <w:tcBorders>
              <w:top w:val="nil"/>
              <w:left w:val="single" w:sz="4" w:space="0" w:color="auto"/>
              <w:bottom w:val="single" w:sz="4" w:space="0" w:color="auto"/>
              <w:right w:val="single" w:sz="4" w:space="0" w:color="auto"/>
            </w:tcBorders>
            <w:vAlign w:val="center"/>
          </w:tcPr>
          <w:p w14:paraId="53C1482C" w14:textId="77777777" w:rsidR="00830E32" w:rsidRPr="002445C4" w:rsidRDefault="00830E32" w:rsidP="00830E32">
            <w:pPr>
              <w:spacing w:after="0"/>
              <w:jc w:val="left"/>
              <w:rPr>
                <w:rFonts w:ascii="Arial Narrow" w:hAnsi="Arial Narrow"/>
                <w:sz w:val="20"/>
                <w:lang w:eastAsia="en-AU"/>
              </w:rPr>
            </w:pPr>
          </w:p>
        </w:tc>
        <w:tc>
          <w:tcPr>
            <w:tcW w:w="284" w:type="dxa"/>
            <w:tcBorders>
              <w:top w:val="nil"/>
              <w:left w:val="nil"/>
              <w:bottom w:val="single" w:sz="4" w:space="0" w:color="auto"/>
              <w:right w:val="single" w:sz="4" w:space="0" w:color="auto"/>
            </w:tcBorders>
            <w:shd w:val="clear" w:color="auto" w:fill="auto"/>
            <w:noWrap/>
            <w:vAlign w:val="center"/>
          </w:tcPr>
          <w:p w14:paraId="53C1482D"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5</w:t>
            </w:r>
          </w:p>
        </w:tc>
        <w:tc>
          <w:tcPr>
            <w:tcW w:w="1134" w:type="dxa"/>
            <w:tcBorders>
              <w:top w:val="nil"/>
              <w:left w:val="nil"/>
              <w:bottom w:val="single" w:sz="4" w:space="0" w:color="auto"/>
              <w:right w:val="single" w:sz="4" w:space="0" w:color="auto"/>
            </w:tcBorders>
            <w:shd w:val="clear" w:color="auto" w:fill="auto"/>
            <w:noWrap/>
            <w:vAlign w:val="bottom"/>
          </w:tcPr>
          <w:p w14:paraId="53C1482E"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0.43</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tcPr>
          <w:p w14:paraId="53C1482F"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0.34</w:t>
            </w:r>
          </w:p>
        </w:tc>
        <w:tc>
          <w:tcPr>
            <w:tcW w:w="1134" w:type="dxa"/>
            <w:tcBorders>
              <w:top w:val="nil"/>
              <w:left w:val="nil"/>
              <w:bottom w:val="single" w:sz="4" w:space="0" w:color="auto"/>
              <w:right w:val="single" w:sz="4" w:space="0" w:color="auto"/>
            </w:tcBorders>
            <w:shd w:val="clear" w:color="auto" w:fill="auto"/>
            <w:noWrap/>
            <w:vAlign w:val="bottom"/>
          </w:tcPr>
          <w:p w14:paraId="53C14830"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0.90</w:t>
            </w:r>
          </w:p>
        </w:tc>
        <w:tc>
          <w:tcPr>
            <w:tcW w:w="1047" w:type="dxa"/>
            <w:tcBorders>
              <w:top w:val="nil"/>
              <w:left w:val="nil"/>
              <w:bottom w:val="single" w:sz="4" w:space="0" w:color="auto"/>
              <w:right w:val="single" w:sz="4" w:space="0" w:color="auto"/>
            </w:tcBorders>
            <w:shd w:val="clear" w:color="auto" w:fill="auto"/>
            <w:noWrap/>
            <w:vAlign w:val="bottom"/>
          </w:tcPr>
          <w:p w14:paraId="53C14831"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0.57</w:t>
            </w:r>
          </w:p>
        </w:tc>
        <w:tc>
          <w:tcPr>
            <w:tcW w:w="1221" w:type="dxa"/>
            <w:tcBorders>
              <w:top w:val="nil"/>
              <w:left w:val="nil"/>
              <w:bottom w:val="single" w:sz="4" w:space="0" w:color="auto"/>
              <w:right w:val="single" w:sz="4" w:space="0" w:color="auto"/>
            </w:tcBorders>
            <w:shd w:val="clear" w:color="auto" w:fill="auto"/>
            <w:noWrap/>
            <w:vAlign w:val="bottom"/>
          </w:tcPr>
          <w:p w14:paraId="53C14832"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0.50</w:t>
            </w:r>
          </w:p>
        </w:tc>
        <w:tc>
          <w:tcPr>
            <w:tcW w:w="1117" w:type="dxa"/>
            <w:tcBorders>
              <w:top w:val="nil"/>
              <w:left w:val="nil"/>
              <w:bottom w:val="single" w:sz="4" w:space="0" w:color="auto"/>
              <w:right w:val="single" w:sz="4" w:space="0" w:color="auto"/>
            </w:tcBorders>
            <w:shd w:val="clear" w:color="000000" w:fill="FFFF00"/>
            <w:noWrap/>
            <w:vAlign w:val="bottom"/>
          </w:tcPr>
          <w:p w14:paraId="53C14833"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0.55</w:t>
            </w:r>
          </w:p>
        </w:tc>
      </w:tr>
      <w:tr w:rsidR="002445C4" w:rsidRPr="002445C4" w14:paraId="53C1483C" w14:textId="77777777" w:rsidTr="007677A6">
        <w:trPr>
          <w:trHeight w:hRule="exact" w:val="255"/>
        </w:trPr>
        <w:tc>
          <w:tcPr>
            <w:tcW w:w="2631" w:type="dxa"/>
            <w:gridSpan w:val="3"/>
            <w:tcBorders>
              <w:left w:val="single" w:sz="4" w:space="0" w:color="auto"/>
              <w:bottom w:val="single" w:sz="4" w:space="0" w:color="auto"/>
              <w:right w:val="single" w:sz="4" w:space="0" w:color="auto"/>
            </w:tcBorders>
            <w:shd w:val="clear" w:color="auto" w:fill="FFFF00"/>
            <w:vAlign w:val="center"/>
          </w:tcPr>
          <w:p w14:paraId="53C14835"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 xml:space="preserve">Report Card Score - </w:t>
            </w:r>
            <w:r w:rsidR="007677A6">
              <w:rPr>
                <w:rFonts w:ascii="Arial Narrow" w:hAnsi="Arial Narrow"/>
                <w:sz w:val="20"/>
                <w:lang w:eastAsia="en-AU"/>
              </w:rPr>
              <w:t>Moderate</w:t>
            </w:r>
          </w:p>
        </w:tc>
        <w:tc>
          <w:tcPr>
            <w:tcW w:w="1134" w:type="dxa"/>
            <w:tcBorders>
              <w:top w:val="nil"/>
              <w:left w:val="nil"/>
              <w:bottom w:val="single" w:sz="4" w:space="0" w:color="auto"/>
              <w:right w:val="single" w:sz="4" w:space="0" w:color="auto"/>
            </w:tcBorders>
            <w:shd w:val="clear" w:color="auto" w:fill="92D050"/>
            <w:noWrap/>
            <w:vAlign w:val="bottom"/>
          </w:tcPr>
          <w:p w14:paraId="53C14836"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0.63</w:t>
            </w:r>
          </w:p>
        </w:tc>
        <w:tc>
          <w:tcPr>
            <w:tcW w:w="1134" w:type="dxa"/>
            <w:tcBorders>
              <w:top w:val="nil"/>
              <w:left w:val="nil"/>
              <w:bottom w:val="single" w:sz="4" w:space="0" w:color="auto"/>
              <w:right w:val="single" w:sz="4" w:space="0" w:color="auto"/>
            </w:tcBorders>
            <w:shd w:val="clear" w:color="auto" w:fill="FFFF00"/>
            <w:noWrap/>
            <w:tcMar>
              <w:left w:w="0" w:type="dxa"/>
              <w:right w:w="0" w:type="dxa"/>
            </w:tcMar>
            <w:vAlign w:val="bottom"/>
          </w:tcPr>
          <w:p w14:paraId="53C14837"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0.44</w:t>
            </w:r>
          </w:p>
        </w:tc>
        <w:tc>
          <w:tcPr>
            <w:tcW w:w="1134" w:type="dxa"/>
            <w:tcBorders>
              <w:top w:val="nil"/>
              <w:left w:val="nil"/>
              <w:bottom w:val="single" w:sz="4" w:space="0" w:color="auto"/>
              <w:right w:val="single" w:sz="4" w:space="0" w:color="auto"/>
            </w:tcBorders>
            <w:shd w:val="clear" w:color="auto" w:fill="92D050"/>
            <w:noWrap/>
            <w:vAlign w:val="bottom"/>
          </w:tcPr>
          <w:p w14:paraId="53C14838"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0.64</w:t>
            </w:r>
          </w:p>
        </w:tc>
        <w:tc>
          <w:tcPr>
            <w:tcW w:w="1047" w:type="dxa"/>
            <w:tcBorders>
              <w:top w:val="nil"/>
              <w:left w:val="nil"/>
              <w:bottom w:val="single" w:sz="4" w:space="0" w:color="auto"/>
              <w:right w:val="single" w:sz="4" w:space="0" w:color="auto"/>
            </w:tcBorders>
            <w:shd w:val="clear" w:color="auto" w:fill="92D050"/>
            <w:noWrap/>
            <w:vAlign w:val="bottom"/>
          </w:tcPr>
          <w:p w14:paraId="53C14839"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0.72</w:t>
            </w:r>
          </w:p>
        </w:tc>
        <w:tc>
          <w:tcPr>
            <w:tcW w:w="1221" w:type="dxa"/>
            <w:tcBorders>
              <w:top w:val="nil"/>
              <w:left w:val="nil"/>
              <w:bottom w:val="single" w:sz="4" w:space="0" w:color="auto"/>
              <w:right w:val="single" w:sz="4" w:space="0" w:color="auto"/>
            </w:tcBorders>
            <w:shd w:val="clear" w:color="auto" w:fill="FFFF00"/>
            <w:noWrap/>
            <w:vAlign w:val="bottom"/>
          </w:tcPr>
          <w:p w14:paraId="53C1483A"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0.57</w:t>
            </w:r>
          </w:p>
        </w:tc>
        <w:tc>
          <w:tcPr>
            <w:tcW w:w="1117" w:type="dxa"/>
            <w:tcBorders>
              <w:top w:val="nil"/>
              <w:left w:val="nil"/>
              <w:bottom w:val="single" w:sz="4" w:space="0" w:color="auto"/>
              <w:right w:val="single" w:sz="4" w:space="0" w:color="auto"/>
            </w:tcBorders>
            <w:shd w:val="clear" w:color="auto" w:fill="FFFF00"/>
            <w:noWrap/>
            <w:vAlign w:val="bottom"/>
          </w:tcPr>
          <w:p w14:paraId="53C1483B"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0.60</w:t>
            </w:r>
          </w:p>
        </w:tc>
      </w:tr>
      <w:tr w:rsidR="002445C4" w:rsidRPr="002445C4" w14:paraId="53C14846" w14:textId="77777777" w:rsidTr="00C96FCC">
        <w:trPr>
          <w:trHeight w:hRule="exact" w:val="255"/>
        </w:trPr>
        <w:tc>
          <w:tcPr>
            <w:tcW w:w="771" w:type="dxa"/>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14:paraId="53C1483D" w14:textId="77777777" w:rsidR="00830E32" w:rsidRPr="002445C4" w:rsidRDefault="008E17A4" w:rsidP="00830E32">
            <w:pPr>
              <w:spacing w:after="0"/>
              <w:jc w:val="center"/>
              <w:rPr>
                <w:rFonts w:ascii="Arial Narrow" w:hAnsi="Arial Narrow"/>
                <w:lang w:eastAsia="en-AU"/>
              </w:rPr>
            </w:pPr>
            <w:r>
              <w:rPr>
                <w:rFonts w:ascii="Arial Narrow" w:hAnsi="Arial Narrow"/>
                <w:lang w:eastAsia="en-AU"/>
              </w:rPr>
              <w:t xml:space="preserve">Herbert </w:t>
            </w:r>
            <w:r w:rsidR="00830E32" w:rsidRPr="002445C4">
              <w:rPr>
                <w:rFonts w:ascii="Arial Narrow" w:hAnsi="Arial Narrow"/>
                <w:lang w:eastAsia="en-AU"/>
              </w:rPr>
              <w:t>Tully</w:t>
            </w:r>
          </w:p>
        </w:tc>
        <w:tc>
          <w:tcPr>
            <w:tcW w:w="15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3C1483E" w14:textId="77777777" w:rsidR="00830E32" w:rsidRPr="002445C4" w:rsidRDefault="00830E32" w:rsidP="00830E32">
            <w:pPr>
              <w:spacing w:after="0"/>
              <w:jc w:val="left"/>
              <w:rPr>
                <w:rFonts w:ascii="Arial Narrow" w:hAnsi="Arial Narrow"/>
                <w:sz w:val="20"/>
                <w:lang w:eastAsia="en-AU"/>
              </w:rPr>
            </w:pPr>
            <w:r w:rsidRPr="002445C4">
              <w:rPr>
                <w:rFonts w:ascii="Arial Narrow" w:hAnsi="Arial Narrow"/>
                <w:sz w:val="20"/>
                <w:lang w:eastAsia="en-AU"/>
              </w:rPr>
              <w:t>Barnards</w:t>
            </w:r>
          </w:p>
        </w:tc>
        <w:tc>
          <w:tcPr>
            <w:tcW w:w="284" w:type="dxa"/>
            <w:tcBorders>
              <w:top w:val="nil"/>
              <w:left w:val="nil"/>
              <w:bottom w:val="single" w:sz="4" w:space="0" w:color="auto"/>
              <w:right w:val="single" w:sz="4" w:space="0" w:color="auto"/>
            </w:tcBorders>
            <w:shd w:val="clear" w:color="auto" w:fill="auto"/>
            <w:noWrap/>
            <w:vAlign w:val="center"/>
            <w:hideMark/>
          </w:tcPr>
          <w:p w14:paraId="53C1483F"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2</w:t>
            </w:r>
          </w:p>
        </w:tc>
        <w:tc>
          <w:tcPr>
            <w:tcW w:w="1134" w:type="dxa"/>
            <w:tcBorders>
              <w:top w:val="nil"/>
              <w:left w:val="nil"/>
              <w:bottom w:val="single" w:sz="4" w:space="0" w:color="auto"/>
              <w:right w:val="single" w:sz="4" w:space="0" w:color="auto"/>
            </w:tcBorders>
            <w:shd w:val="clear" w:color="auto" w:fill="auto"/>
            <w:noWrap/>
            <w:vAlign w:val="bottom"/>
          </w:tcPr>
          <w:p w14:paraId="53C14840"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0.67</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tcPr>
          <w:p w14:paraId="53C14841"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0.74</w:t>
            </w:r>
          </w:p>
        </w:tc>
        <w:tc>
          <w:tcPr>
            <w:tcW w:w="1134" w:type="dxa"/>
            <w:tcBorders>
              <w:top w:val="nil"/>
              <w:left w:val="nil"/>
              <w:bottom w:val="single" w:sz="4" w:space="0" w:color="auto"/>
              <w:right w:val="single" w:sz="4" w:space="0" w:color="auto"/>
            </w:tcBorders>
            <w:shd w:val="clear" w:color="auto" w:fill="auto"/>
            <w:noWrap/>
            <w:vAlign w:val="bottom"/>
          </w:tcPr>
          <w:p w14:paraId="53C14842"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047" w:type="dxa"/>
            <w:tcBorders>
              <w:top w:val="nil"/>
              <w:left w:val="nil"/>
              <w:bottom w:val="single" w:sz="4" w:space="0" w:color="auto"/>
              <w:right w:val="single" w:sz="4" w:space="0" w:color="auto"/>
            </w:tcBorders>
            <w:shd w:val="clear" w:color="auto" w:fill="auto"/>
            <w:noWrap/>
            <w:vAlign w:val="bottom"/>
          </w:tcPr>
          <w:p w14:paraId="53C14843"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0.62</w:t>
            </w:r>
          </w:p>
        </w:tc>
        <w:tc>
          <w:tcPr>
            <w:tcW w:w="1221" w:type="dxa"/>
            <w:tcBorders>
              <w:top w:val="nil"/>
              <w:left w:val="nil"/>
              <w:bottom w:val="single" w:sz="4" w:space="0" w:color="auto"/>
              <w:right w:val="single" w:sz="4" w:space="0" w:color="auto"/>
            </w:tcBorders>
            <w:shd w:val="clear" w:color="auto" w:fill="auto"/>
            <w:noWrap/>
            <w:vAlign w:val="bottom"/>
          </w:tcPr>
          <w:p w14:paraId="53C14844"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117" w:type="dxa"/>
            <w:tcBorders>
              <w:top w:val="nil"/>
              <w:left w:val="nil"/>
              <w:bottom w:val="single" w:sz="4" w:space="0" w:color="auto"/>
              <w:right w:val="single" w:sz="4" w:space="0" w:color="auto"/>
            </w:tcBorders>
            <w:shd w:val="clear" w:color="auto" w:fill="00B050"/>
            <w:noWrap/>
            <w:vAlign w:val="bottom"/>
          </w:tcPr>
          <w:p w14:paraId="53C14845"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0.81</w:t>
            </w:r>
          </w:p>
        </w:tc>
      </w:tr>
      <w:tr w:rsidR="002445C4" w:rsidRPr="002445C4" w14:paraId="53C14850" w14:textId="77777777" w:rsidTr="00C96FCC">
        <w:trPr>
          <w:trHeight w:hRule="exact" w:val="255"/>
        </w:trPr>
        <w:tc>
          <w:tcPr>
            <w:tcW w:w="771" w:type="dxa"/>
            <w:vMerge/>
            <w:tcBorders>
              <w:top w:val="nil"/>
              <w:left w:val="single" w:sz="4" w:space="0" w:color="auto"/>
              <w:bottom w:val="single" w:sz="4" w:space="0" w:color="auto"/>
              <w:right w:val="single" w:sz="4" w:space="0" w:color="auto"/>
            </w:tcBorders>
            <w:vAlign w:val="center"/>
            <w:hideMark/>
          </w:tcPr>
          <w:p w14:paraId="53C14847" w14:textId="77777777" w:rsidR="00830E32" w:rsidRPr="002445C4" w:rsidRDefault="00830E32" w:rsidP="00830E32">
            <w:pPr>
              <w:spacing w:after="0"/>
              <w:jc w:val="left"/>
              <w:rPr>
                <w:rFonts w:ascii="Arial Narrow" w:hAnsi="Arial Narrow"/>
                <w:lang w:eastAsia="en-AU"/>
              </w:rPr>
            </w:pPr>
          </w:p>
        </w:tc>
        <w:tc>
          <w:tcPr>
            <w:tcW w:w="1576" w:type="dxa"/>
            <w:vMerge/>
            <w:tcBorders>
              <w:top w:val="nil"/>
              <w:left w:val="single" w:sz="4" w:space="0" w:color="auto"/>
              <w:bottom w:val="single" w:sz="4" w:space="0" w:color="auto"/>
              <w:right w:val="single" w:sz="4" w:space="0" w:color="auto"/>
            </w:tcBorders>
            <w:vAlign w:val="center"/>
            <w:hideMark/>
          </w:tcPr>
          <w:p w14:paraId="53C14848" w14:textId="77777777" w:rsidR="00830E32" w:rsidRPr="002445C4" w:rsidRDefault="00830E32" w:rsidP="00830E32">
            <w:pPr>
              <w:spacing w:after="0"/>
              <w:jc w:val="left"/>
              <w:rPr>
                <w:rFonts w:ascii="Arial Narrow" w:hAnsi="Arial Narrow"/>
                <w:sz w:val="20"/>
                <w:lang w:eastAsia="en-AU"/>
              </w:rPr>
            </w:pPr>
          </w:p>
        </w:tc>
        <w:tc>
          <w:tcPr>
            <w:tcW w:w="284" w:type="dxa"/>
            <w:tcBorders>
              <w:top w:val="nil"/>
              <w:left w:val="nil"/>
              <w:bottom w:val="single" w:sz="4" w:space="0" w:color="auto"/>
              <w:right w:val="single" w:sz="4" w:space="0" w:color="auto"/>
            </w:tcBorders>
            <w:shd w:val="clear" w:color="auto" w:fill="auto"/>
            <w:noWrap/>
            <w:vAlign w:val="center"/>
            <w:hideMark/>
          </w:tcPr>
          <w:p w14:paraId="53C14849"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5</w:t>
            </w:r>
          </w:p>
        </w:tc>
        <w:tc>
          <w:tcPr>
            <w:tcW w:w="1134" w:type="dxa"/>
            <w:tcBorders>
              <w:top w:val="nil"/>
              <w:left w:val="nil"/>
              <w:bottom w:val="single" w:sz="4" w:space="0" w:color="auto"/>
              <w:right w:val="single" w:sz="4" w:space="0" w:color="auto"/>
            </w:tcBorders>
            <w:shd w:val="clear" w:color="auto" w:fill="auto"/>
            <w:noWrap/>
            <w:vAlign w:val="bottom"/>
          </w:tcPr>
          <w:p w14:paraId="53C1484A"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0.71</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tcPr>
          <w:p w14:paraId="53C1484B"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134" w:type="dxa"/>
            <w:tcBorders>
              <w:top w:val="nil"/>
              <w:left w:val="nil"/>
              <w:bottom w:val="single" w:sz="4" w:space="0" w:color="auto"/>
              <w:right w:val="single" w:sz="4" w:space="0" w:color="auto"/>
            </w:tcBorders>
            <w:shd w:val="clear" w:color="auto" w:fill="auto"/>
            <w:noWrap/>
            <w:vAlign w:val="bottom"/>
          </w:tcPr>
          <w:p w14:paraId="53C1484C"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0.74</w:t>
            </w:r>
          </w:p>
        </w:tc>
        <w:tc>
          <w:tcPr>
            <w:tcW w:w="1047" w:type="dxa"/>
            <w:tcBorders>
              <w:top w:val="nil"/>
              <w:left w:val="nil"/>
              <w:bottom w:val="single" w:sz="4" w:space="0" w:color="auto"/>
              <w:right w:val="single" w:sz="4" w:space="0" w:color="auto"/>
            </w:tcBorders>
            <w:shd w:val="clear" w:color="auto" w:fill="auto"/>
            <w:noWrap/>
            <w:vAlign w:val="bottom"/>
          </w:tcPr>
          <w:p w14:paraId="53C1484D"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0.80</w:t>
            </w:r>
          </w:p>
        </w:tc>
        <w:tc>
          <w:tcPr>
            <w:tcW w:w="1221" w:type="dxa"/>
            <w:tcBorders>
              <w:top w:val="nil"/>
              <w:left w:val="nil"/>
              <w:bottom w:val="single" w:sz="4" w:space="0" w:color="auto"/>
              <w:right w:val="single" w:sz="4" w:space="0" w:color="auto"/>
            </w:tcBorders>
            <w:shd w:val="clear" w:color="auto" w:fill="auto"/>
            <w:noWrap/>
            <w:vAlign w:val="bottom"/>
          </w:tcPr>
          <w:p w14:paraId="53C1484E"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117" w:type="dxa"/>
            <w:tcBorders>
              <w:top w:val="nil"/>
              <w:left w:val="nil"/>
              <w:bottom w:val="single" w:sz="4" w:space="0" w:color="auto"/>
              <w:right w:val="single" w:sz="4" w:space="0" w:color="auto"/>
            </w:tcBorders>
            <w:shd w:val="clear" w:color="auto" w:fill="00B050"/>
            <w:noWrap/>
            <w:vAlign w:val="bottom"/>
          </w:tcPr>
          <w:p w14:paraId="53C1484F"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0.85</w:t>
            </w:r>
          </w:p>
        </w:tc>
      </w:tr>
      <w:tr w:rsidR="002445C4" w:rsidRPr="002445C4" w14:paraId="53C1485A" w14:textId="77777777" w:rsidTr="00830E32">
        <w:trPr>
          <w:trHeight w:hRule="exact" w:val="255"/>
        </w:trPr>
        <w:tc>
          <w:tcPr>
            <w:tcW w:w="771" w:type="dxa"/>
            <w:vMerge/>
            <w:tcBorders>
              <w:top w:val="nil"/>
              <w:left w:val="single" w:sz="4" w:space="0" w:color="auto"/>
              <w:bottom w:val="single" w:sz="4" w:space="0" w:color="auto"/>
              <w:right w:val="single" w:sz="4" w:space="0" w:color="auto"/>
            </w:tcBorders>
            <w:vAlign w:val="center"/>
            <w:hideMark/>
          </w:tcPr>
          <w:p w14:paraId="53C14851" w14:textId="77777777" w:rsidR="00830E32" w:rsidRPr="002445C4" w:rsidRDefault="00830E32" w:rsidP="00830E32">
            <w:pPr>
              <w:spacing w:after="0"/>
              <w:jc w:val="left"/>
              <w:rPr>
                <w:rFonts w:ascii="Arial Narrow" w:hAnsi="Arial Narrow"/>
                <w:lang w:eastAsia="en-AU"/>
              </w:rPr>
            </w:pPr>
          </w:p>
        </w:tc>
        <w:tc>
          <w:tcPr>
            <w:tcW w:w="15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3C14852" w14:textId="77777777" w:rsidR="00830E32" w:rsidRPr="002445C4" w:rsidRDefault="00830E32" w:rsidP="00830E32">
            <w:pPr>
              <w:spacing w:after="0"/>
              <w:jc w:val="left"/>
              <w:rPr>
                <w:rFonts w:ascii="Arial Narrow" w:hAnsi="Arial Narrow"/>
                <w:sz w:val="20"/>
                <w:lang w:eastAsia="en-AU"/>
              </w:rPr>
            </w:pPr>
            <w:r w:rsidRPr="002445C4">
              <w:rPr>
                <w:rFonts w:ascii="Arial Narrow" w:hAnsi="Arial Narrow"/>
                <w:sz w:val="20"/>
                <w:lang w:eastAsia="en-AU"/>
              </w:rPr>
              <w:t>Dunk North</w:t>
            </w:r>
          </w:p>
        </w:tc>
        <w:tc>
          <w:tcPr>
            <w:tcW w:w="284" w:type="dxa"/>
            <w:tcBorders>
              <w:top w:val="nil"/>
              <w:left w:val="nil"/>
              <w:bottom w:val="single" w:sz="4" w:space="0" w:color="auto"/>
              <w:right w:val="single" w:sz="4" w:space="0" w:color="auto"/>
            </w:tcBorders>
            <w:shd w:val="clear" w:color="auto" w:fill="auto"/>
            <w:noWrap/>
            <w:vAlign w:val="center"/>
            <w:hideMark/>
          </w:tcPr>
          <w:p w14:paraId="53C14853"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2</w:t>
            </w:r>
          </w:p>
        </w:tc>
        <w:tc>
          <w:tcPr>
            <w:tcW w:w="1134" w:type="dxa"/>
            <w:tcBorders>
              <w:top w:val="nil"/>
              <w:left w:val="nil"/>
              <w:bottom w:val="single" w:sz="4" w:space="0" w:color="auto"/>
              <w:right w:val="single" w:sz="4" w:space="0" w:color="auto"/>
            </w:tcBorders>
            <w:shd w:val="clear" w:color="auto" w:fill="auto"/>
            <w:noWrap/>
            <w:vAlign w:val="bottom"/>
          </w:tcPr>
          <w:p w14:paraId="53C14854"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0.38</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tcPr>
          <w:p w14:paraId="53C14855"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134" w:type="dxa"/>
            <w:tcBorders>
              <w:top w:val="nil"/>
              <w:left w:val="nil"/>
              <w:bottom w:val="single" w:sz="4" w:space="0" w:color="auto"/>
              <w:right w:val="single" w:sz="4" w:space="0" w:color="auto"/>
            </w:tcBorders>
            <w:shd w:val="clear" w:color="auto" w:fill="auto"/>
            <w:noWrap/>
            <w:vAlign w:val="bottom"/>
          </w:tcPr>
          <w:p w14:paraId="53C14856"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0.19</w:t>
            </w:r>
          </w:p>
        </w:tc>
        <w:tc>
          <w:tcPr>
            <w:tcW w:w="1047" w:type="dxa"/>
            <w:tcBorders>
              <w:top w:val="nil"/>
              <w:left w:val="nil"/>
              <w:bottom w:val="single" w:sz="4" w:space="0" w:color="auto"/>
              <w:right w:val="single" w:sz="4" w:space="0" w:color="auto"/>
            </w:tcBorders>
            <w:shd w:val="clear" w:color="auto" w:fill="auto"/>
            <w:noWrap/>
            <w:vAlign w:val="bottom"/>
          </w:tcPr>
          <w:p w14:paraId="53C14857"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221" w:type="dxa"/>
            <w:tcBorders>
              <w:top w:val="nil"/>
              <w:left w:val="nil"/>
              <w:bottom w:val="single" w:sz="4" w:space="0" w:color="auto"/>
              <w:right w:val="single" w:sz="4" w:space="0" w:color="auto"/>
            </w:tcBorders>
            <w:shd w:val="clear" w:color="auto" w:fill="auto"/>
            <w:noWrap/>
            <w:vAlign w:val="bottom"/>
          </w:tcPr>
          <w:p w14:paraId="53C14858"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0.50</w:t>
            </w:r>
          </w:p>
        </w:tc>
        <w:tc>
          <w:tcPr>
            <w:tcW w:w="1117" w:type="dxa"/>
            <w:tcBorders>
              <w:top w:val="nil"/>
              <w:left w:val="nil"/>
              <w:bottom w:val="single" w:sz="4" w:space="0" w:color="auto"/>
              <w:right w:val="single" w:sz="4" w:space="0" w:color="auto"/>
            </w:tcBorders>
            <w:shd w:val="clear" w:color="auto" w:fill="92D050"/>
            <w:noWrap/>
            <w:vAlign w:val="bottom"/>
          </w:tcPr>
          <w:p w14:paraId="53C14859"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0.61</w:t>
            </w:r>
          </w:p>
        </w:tc>
      </w:tr>
      <w:tr w:rsidR="002445C4" w:rsidRPr="002445C4" w14:paraId="53C14864" w14:textId="77777777" w:rsidTr="00830E32">
        <w:trPr>
          <w:trHeight w:hRule="exact" w:val="255"/>
        </w:trPr>
        <w:tc>
          <w:tcPr>
            <w:tcW w:w="771" w:type="dxa"/>
            <w:vMerge/>
            <w:tcBorders>
              <w:top w:val="nil"/>
              <w:left w:val="single" w:sz="4" w:space="0" w:color="auto"/>
              <w:bottom w:val="single" w:sz="4" w:space="0" w:color="auto"/>
              <w:right w:val="single" w:sz="4" w:space="0" w:color="auto"/>
            </w:tcBorders>
            <w:vAlign w:val="center"/>
            <w:hideMark/>
          </w:tcPr>
          <w:p w14:paraId="53C1485B" w14:textId="77777777" w:rsidR="00830E32" w:rsidRPr="002445C4" w:rsidRDefault="00830E32" w:rsidP="00830E32">
            <w:pPr>
              <w:spacing w:after="0"/>
              <w:jc w:val="left"/>
              <w:rPr>
                <w:rFonts w:ascii="Arial Narrow" w:hAnsi="Arial Narrow"/>
                <w:lang w:eastAsia="en-AU"/>
              </w:rPr>
            </w:pPr>
          </w:p>
        </w:tc>
        <w:tc>
          <w:tcPr>
            <w:tcW w:w="1576" w:type="dxa"/>
            <w:vMerge/>
            <w:tcBorders>
              <w:top w:val="nil"/>
              <w:left w:val="single" w:sz="4" w:space="0" w:color="auto"/>
              <w:bottom w:val="single" w:sz="4" w:space="0" w:color="auto"/>
              <w:right w:val="single" w:sz="4" w:space="0" w:color="auto"/>
            </w:tcBorders>
            <w:vAlign w:val="center"/>
            <w:hideMark/>
          </w:tcPr>
          <w:p w14:paraId="53C1485C" w14:textId="77777777" w:rsidR="00830E32" w:rsidRPr="002445C4" w:rsidRDefault="00830E32" w:rsidP="00830E32">
            <w:pPr>
              <w:spacing w:after="0"/>
              <w:jc w:val="left"/>
              <w:rPr>
                <w:rFonts w:ascii="Arial Narrow" w:hAnsi="Arial Narrow"/>
                <w:sz w:val="20"/>
                <w:lang w:eastAsia="en-AU"/>
              </w:rPr>
            </w:pPr>
          </w:p>
        </w:tc>
        <w:tc>
          <w:tcPr>
            <w:tcW w:w="284" w:type="dxa"/>
            <w:tcBorders>
              <w:top w:val="nil"/>
              <w:left w:val="nil"/>
              <w:bottom w:val="single" w:sz="4" w:space="0" w:color="auto"/>
              <w:right w:val="single" w:sz="4" w:space="0" w:color="auto"/>
            </w:tcBorders>
            <w:shd w:val="clear" w:color="auto" w:fill="auto"/>
            <w:noWrap/>
            <w:vAlign w:val="center"/>
            <w:hideMark/>
          </w:tcPr>
          <w:p w14:paraId="53C1485D"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5</w:t>
            </w:r>
          </w:p>
        </w:tc>
        <w:tc>
          <w:tcPr>
            <w:tcW w:w="1134" w:type="dxa"/>
            <w:tcBorders>
              <w:top w:val="nil"/>
              <w:left w:val="nil"/>
              <w:bottom w:val="single" w:sz="4" w:space="0" w:color="auto"/>
              <w:right w:val="single" w:sz="4" w:space="0" w:color="auto"/>
            </w:tcBorders>
            <w:shd w:val="clear" w:color="auto" w:fill="auto"/>
            <w:noWrap/>
            <w:vAlign w:val="bottom"/>
          </w:tcPr>
          <w:p w14:paraId="53C1485E"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0.35</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tcPr>
          <w:p w14:paraId="53C1485F"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134" w:type="dxa"/>
            <w:tcBorders>
              <w:top w:val="nil"/>
              <w:left w:val="nil"/>
              <w:bottom w:val="single" w:sz="4" w:space="0" w:color="auto"/>
              <w:right w:val="single" w:sz="4" w:space="0" w:color="auto"/>
            </w:tcBorders>
            <w:shd w:val="clear" w:color="auto" w:fill="auto"/>
            <w:noWrap/>
            <w:vAlign w:val="bottom"/>
          </w:tcPr>
          <w:p w14:paraId="53C14860"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0.70</w:t>
            </w:r>
          </w:p>
        </w:tc>
        <w:tc>
          <w:tcPr>
            <w:tcW w:w="1047" w:type="dxa"/>
            <w:tcBorders>
              <w:top w:val="nil"/>
              <w:left w:val="nil"/>
              <w:bottom w:val="single" w:sz="4" w:space="0" w:color="auto"/>
              <w:right w:val="single" w:sz="4" w:space="0" w:color="auto"/>
            </w:tcBorders>
            <w:shd w:val="clear" w:color="auto" w:fill="auto"/>
            <w:noWrap/>
            <w:vAlign w:val="bottom"/>
          </w:tcPr>
          <w:p w14:paraId="53C14861"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0.77</w:t>
            </w:r>
          </w:p>
        </w:tc>
        <w:tc>
          <w:tcPr>
            <w:tcW w:w="1221" w:type="dxa"/>
            <w:tcBorders>
              <w:top w:val="nil"/>
              <w:left w:val="nil"/>
              <w:bottom w:val="single" w:sz="4" w:space="0" w:color="auto"/>
              <w:right w:val="single" w:sz="4" w:space="0" w:color="auto"/>
            </w:tcBorders>
            <w:shd w:val="clear" w:color="auto" w:fill="auto"/>
            <w:noWrap/>
            <w:vAlign w:val="bottom"/>
          </w:tcPr>
          <w:p w14:paraId="53C14862"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0.50</w:t>
            </w:r>
          </w:p>
        </w:tc>
        <w:tc>
          <w:tcPr>
            <w:tcW w:w="1117" w:type="dxa"/>
            <w:tcBorders>
              <w:top w:val="single" w:sz="4" w:space="0" w:color="auto"/>
              <w:left w:val="nil"/>
              <w:bottom w:val="single" w:sz="4" w:space="0" w:color="auto"/>
              <w:right w:val="single" w:sz="4" w:space="0" w:color="auto"/>
            </w:tcBorders>
            <w:shd w:val="clear" w:color="auto" w:fill="92D050"/>
            <w:noWrap/>
            <w:vAlign w:val="bottom"/>
          </w:tcPr>
          <w:p w14:paraId="53C14863"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0.66</w:t>
            </w:r>
          </w:p>
        </w:tc>
      </w:tr>
      <w:tr w:rsidR="002445C4" w:rsidRPr="002445C4" w14:paraId="53C1486E" w14:textId="77777777" w:rsidTr="00830E32">
        <w:trPr>
          <w:trHeight w:hRule="exact" w:val="255"/>
        </w:trPr>
        <w:tc>
          <w:tcPr>
            <w:tcW w:w="771" w:type="dxa"/>
            <w:vMerge/>
            <w:tcBorders>
              <w:top w:val="nil"/>
              <w:left w:val="single" w:sz="4" w:space="0" w:color="auto"/>
              <w:bottom w:val="single" w:sz="4" w:space="0" w:color="auto"/>
              <w:right w:val="single" w:sz="4" w:space="0" w:color="auto"/>
            </w:tcBorders>
            <w:vAlign w:val="center"/>
            <w:hideMark/>
          </w:tcPr>
          <w:p w14:paraId="53C14865" w14:textId="77777777" w:rsidR="00830E32" w:rsidRPr="002445C4" w:rsidRDefault="00830E32" w:rsidP="00830E32">
            <w:pPr>
              <w:spacing w:after="0"/>
              <w:jc w:val="left"/>
              <w:rPr>
                <w:rFonts w:ascii="Arial Narrow" w:hAnsi="Arial Narrow"/>
                <w:lang w:eastAsia="en-AU"/>
              </w:rPr>
            </w:pPr>
          </w:p>
        </w:tc>
        <w:tc>
          <w:tcPr>
            <w:tcW w:w="15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3C14866" w14:textId="77777777" w:rsidR="00830E32" w:rsidRPr="002445C4" w:rsidRDefault="00830E32" w:rsidP="00830E32">
            <w:pPr>
              <w:spacing w:after="0"/>
              <w:jc w:val="left"/>
              <w:rPr>
                <w:rFonts w:ascii="Arial Narrow" w:hAnsi="Arial Narrow"/>
                <w:sz w:val="20"/>
                <w:lang w:eastAsia="en-AU"/>
              </w:rPr>
            </w:pPr>
            <w:r w:rsidRPr="002445C4">
              <w:rPr>
                <w:rFonts w:ascii="Arial Narrow" w:hAnsi="Arial Narrow"/>
                <w:sz w:val="20"/>
                <w:lang w:eastAsia="en-AU"/>
              </w:rPr>
              <w:t>Dunk South</w:t>
            </w:r>
          </w:p>
        </w:tc>
        <w:tc>
          <w:tcPr>
            <w:tcW w:w="284" w:type="dxa"/>
            <w:tcBorders>
              <w:top w:val="nil"/>
              <w:left w:val="nil"/>
              <w:bottom w:val="single" w:sz="4" w:space="0" w:color="auto"/>
              <w:right w:val="single" w:sz="4" w:space="0" w:color="auto"/>
            </w:tcBorders>
            <w:shd w:val="clear" w:color="auto" w:fill="auto"/>
            <w:noWrap/>
            <w:vAlign w:val="center"/>
            <w:hideMark/>
          </w:tcPr>
          <w:p w14:paraId="53C14867"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2</w:t>
            </w:r>
          </w:p>
        </w:tc>
        <w:tc>
          <w:tcPr>
            <w:tcW w:w="1134" w:type="dxa"/>
            <w:tcBorders>
              <w:top w:val="nil"/>
              <w:left w:val="nil"/>
              <w:bottom w:val="single" w:sz="4" w:space="0" w:color="auto"/>
              <w:right w:val="single" w:sz="4" w:space="0" w:color="auto"/>
            </w:tcBorders>
            <w:shd w:val="clear" w:color="auto" w:fill="auto"/>
            <w:noWrap/>
            <w:vAlign w:val="bottom"/>
          </w:tcPr>
          <w:p w14:paraId="53C14868"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0.37</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tcPr>
          <w:p w14:paraId="53C14869"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0.57</w:t>
            </w:r>
          </w:p>
        </w:tc>
        <w:tc>
          <w:tcPr>
            <w:tcW w:w="1134" w:type="dxa"/>
            <w:tcBorders>
              <w:top w:val="nil"/>
              <w:left w:val="nil"/>
              <w:bottom w:val="single" w:sz="4" w:space="0" w:color="auto"/>
              <w:right w:val="single" w:sz="4" w:space="0" w:color="auto"/>
            </w:tcBorders>
            <w:shd w:val="clear" w:color="auto" w:fill="auto"/>
            <w:noWrap/>
            <w:vAlign w:val="bottom"/>
          </w:tcPr>
          <w:p w14:paraId="53C1486A"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047" w:type="dxa"/>
            <w:tcBorders>
              <w:top w:val="nil"/>
              <w:left w:val="nil"/>
              <w:bottom w:val="single" w:sz="4" w:space="0" w:color="auto"/>
              <w:right w:val="single" w:sz="4" w:space="0" w:color="auto"/>
            </w:tcBorders>
            <w:shd w:val="clear" w:color="auto" w:fill="auto"/>
            <w:noWrap/>
            <w:vAlign w:val="bottom"/>
          </w:tcPr>
          <w:p w14:paraId="53C1486B"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0.73</w:t>
            </w:r>
          </w:p>
        </w:tc>
        <w:tc>
          <w:tcPr>
            <w:tcW w:w="1221" w:type="dxa"/>
            <w:tcBorders>
              <w:top w:val="nil"/>
              <w:left w:val="nil"/>
              <w:bottom w:val="single" w:sz="4" w:space="0" w:color="auto"/>
              <w:right w:val="single" w:sz="4" w:space="0" w:color="auto"/>
            </w:tcBorders>
            <w:shd w:val="clear" w:color="auto" w:fill="auto"/>
            <w:noWrap/>
            <w:vAlign w:val="bottom"/>
          </w:tcPr>
          <w:p w14:paraId="53C1486C"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117" w:type="dxa"/>
            <w:tcBorders>
              <w:top w:val="nil"/>
              <w:left w:val="nil"/>
              <w:bottom w:val="single" w:sz="4" w:space="0" w:color="auto"/>
              <w:right w:val="single" w:sz="4" w:space="0" w:color="auto"/>
            </w:tcBorders>
            <w:shd w:val="clear" w:color="000000" w:fill="FFFF00"/>
            <w:noWrap/>
            <w:vAlign w:val="bottom"/>
          </w:tcPr>
          <w:p w14:paraId="53C1486D"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0.53</w:t>
            </w:r>
          </w:p>
        </w:tc>
      </w:tr>
      <w:tr w:rsidR="002445C4" w:rsidRPr="002445C4" w14:paraId="53C14878" w14:textId="77777777" w:rsidTr="00830E32">
        <w:trPr>
          <w:trHeight w:hRule="exact" w:val="255"/>
        </w:trPr>
        <w:tc>
          <w:tcPr>
            <w:tcW w:w="771" w:type="dxa"/>
            <w:vMerge/>
            <w:tcBorders>
              <w:top w:val="nil"/>
              <w:left w:val="single" w:sz="4" w:space="0" w:color="auto"/>
              <w:bottom w:val="single" w:sz="4" w:space="0" w:color="auto"/>
              <w:right w:val="single" w:sz="4" w:space="0" w:color="auto"/>
            </w:tcBorders>
            <w:vAlign w:val="center"/>
            <w:hideMark/>
          </w:tcPr>
          <w:p w14:paraId="53C1486F" w14:textId="77777777" w:rsidR="00830E32" w:rsidRPr="002445C4" w:rsidRDefault="00830E32" w:rsidP="00830E32">
            <w:pPr>
              <w:spacing w:after="0"/>
              <w:jc w:val="left"/>
              <w:rPr>
                <w:rFonts w:ascii="Arial Narrow" w:hAnsi="Arial Narrow"/>
                <w:lang w:eastAsia="en-AU"/>
              </w:rPr>
            </w:pPr>
          </w:p>
        </w:tc>
        <w:tc>
          <w:tcPr>
            <w:tcW w:w="1576" w:type="dxa"/>
            <w:vMerge/>
            <w:tcBorders>
              <w:top w:val="nil"/>
              <w:left w:val="single" w:sz="4" w:space="0" w:color="auto"/>
              <w:bottom w:val="single" w:sz="4" w:space="0" w:color="auto"/>
              <w:right w:val="single" w:sz="4" w:space="0" w:color="auto"/>
            </w:tcBorders>
            <w:vAlign w:val="center"/>
            <w:hideMark/>
          </w:tcPr>
          <w:p w14:paraId="53C14870" w14:textId="77777777" w:rsidR="00830E32" w:rsidRPr="002445C4" w:rsidRDefault="00830E32" w:rsidP="00830E32">
            <w:pPr>
              <w:spacing w:after="0"/>
              <w:jc w:val="left"/>
              <w:rPr>
                <w:rFonts w:ascii="Arial Narrow" w:hAnsi="Arial Narrow"/>
                <w:sz w:val="20"/>
                <w:lang w:eastAsia="en-AU"/>
              </w:rPr>
            </w:pPr>
          </w:p>
        </w:tc>
        <w:tc>
          <w:tcPr>
            <w:tcW w:w="284" w:type="dxa"/>
            <w:tcBorders>
              <w:top w:val="nil"/>
              <w:left w:val="nil"/>
              <w:bottom w:val="single" w:sz="4" w:space="0" w:color="auto"/>
              <w:right w:val="single" w:sz="4" w:space="0" w:color="auto"/>
            </w:tcBorders>
            <w:shd w:val="clear" w:color="auto" w:fill="auto"/>
            <w:noWrap/>
            <w:vAlign w:val="center"/>
            <w:hideMark/>
          </w:tcPr>
          <w:p w14:paraId="53C14871"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5</w:t>
            </w:r>
          </w:p>
        </w:tc>
        <w:tc>
          <w:tcPr>
            <w:tcW w:w="1134" w:type="dxa"/>
            <w:tcBorders>
              <w:top w:val="nil"/>
              <w:left w:val="nil"/>
              <w:bottom w:val="single" w:sz="4" w:space="0" w:color="auto"/>
              <w:right w:val="single" w:sz="4" w:space="0" w:color="auto"/>
            </w:tcBorders>
            <w:shd w:val="clear" w:color="auto" w:fill="auto"/>
            <w:noWrap/>
            <w:vAlign w:val="bottom"/>
          </w:tcPr>
          <w:p w14:paraId="53C14872"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0.50</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tcPr>
          <w:p w14:paraId="53C14873"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134" w:type="dxa"/>
            <w:tcBorders>
              <w:top w:val="nil"/>
              <w:left w:val="nil"/>
              <w:bottom w:val="single" w:sz="4" w:space="0" w:color="auto"/>
              <w:right w:val="single" w:sz="4" w:space="0" w:color="auto"/>
            </w:tcBorders>
            <w:shd w:val="clear" w:color="auto" w:fill="auto"/>
            <w:noWrap/>
            <w:vAlign w:val="bottom"/>
          </w:tcPr>
          <w:p w14:paraId="53C14874"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0.05</w:t>
            </w:r>
          </w:p>
        </w:tc>
        <w:tc>
          <w:tcPr>
            <w:tcW w:w="1047" w:type="dxa"/>
            <w:tcBorders>
              <w:top w:val="nil"/>
              <w:left w:val="nil"/>
              <w:bottom w:val="single" w:sz="4" w:space="0" w:color="auto"/>
              <w:right w:val="single" w:sz="4" w:space="0" w:color="auto"/>
            </w:tcBorders>
            <w:shd w:val="clear" w:color="auto" w:fill="auto"/>
            <w:noWrap/>
            <w:vAlign w:val="bottom"/>
          </w:tcPr>
          <w:p w14:paraId="53C14875"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0.71</w:t>
            </w:r>
          </w:p>
        </w:tc>
        <w:tc>
          <w:tcPr>
            <w:tcW w:w="1221" w:type="dxa"/>
            <w:tcBorders>
              <w:top w:val="nil"/>
              <w:left w:val="nil"/>
              <w:bottom w:val="single" w:sz="4" w:space="0" w:color="auto"/>
              <w:right w:val="single" w:sz="4" w:space="0" w:color="auto"/>
            </w:tcBorders>
            <w:shd w:val="clear" w:color="auto" w:fill="auto"/>
            <w:noWrap/>
            <w:vAlign w:val="bottom"/>
          </w:tcPr>
          <w:p w14:paraId="53C14876"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0.50</w:t>
            </w:r>
          </w:p>
        </w:tc>
        <w:tc>
          <w:tcPr>
            <w:tcW w:w="1117" w:type="dxa"/>
            <w:tcBorders>
              <w:top w:val="nil"/>
              <w:left w:val="nil"/>
              <w:bottom w:val="single" w:sz="4" w:space="0" w:color="auto"/>
              <w:right w:val="single" w:sz="4" w:space="0" w:color="auto"/>
            </w:tcBorders>
            <w:shd w:val="clear" w:color="auto" w:fill="FFFF00"/>
            <w:noWrap/>
            <w:vAlign w:val="bottom"/>
          </w:tcPr>
          <w:p w14:paraId="53C14877"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0.55</w:t>
            </w:r>
          </w:p>
        </w:tc>
      </w:tr>
      <w:tr w:rsidR="002445C4" w:rsidRPr="002445C4" w14:paraId="53C14882" w14:textId="77777777" w:rsidTr="00830E32">
        <w:trPr>
          <w:trHeight w:hRule="exact" w:val="255"/>
        </w:trPr>
        <w:tc>
          <w:tcPr>
            <w:tcW w:w="771" w:type="dxa"/>
            <w:vMerge/>
            <w:tcBorders>
              <w:top w:val="nil"/>
              <w:left w:val="single" w:sz="4" w:space="0" w:color="auto"/>
              <w:bottom w:val="single" w:sz="4" w:space="0" w:color="auto"/>
              <w:right w:val="single" w:sz="4" w:space="0" w:color="auto"/>
            </w:tcBorders>
            <w:vAlign w:val="center"/>
            <w:hideMark/>
          </w:tcPr>
          <w:p w14:paraId="53C14879" w14:textId="77777777" w:rsidR="00830E32" w:rsidRPr="002445C4" w:rsidRDefault="00830E32" w:rsidP="00830E32">
            <w:pPr>
              <w:spacing w:after="0"/>
              <w:jc w:val="left"/>
              <w:rPr>
                <w:rFonts w:ascii="Arial Narrow" w:hAnsi="Arial Narrow"/>
                <w:lang w:eastAsia="en-AU"/>
              </w:rPr>
            </w:pPr>
          </w:p>
        </w:tc>
        <w:tc>
          <w:tcPr>
            <w:tcW w:w="15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3C1487A" w14:textId="77777777" w:rsidR="00830E32" w:rsidRPr="002445C4" w:rsidRDefault="00830E32" w:rsidP="00830E32">
            <w:pPr>
              <w:spacing w:after="0"/>
              <w:jc w:val="left"/>
              <w:rPr>
                <w:rFonts w:ascii="Arial Narrow" w:hAnsi="Arial Narrow"/>
                <w:sz w:val="20"/>
                <w:lang w:eastAsia="en-AU"/>
              </w:rPr>
            </w:pPr>
            <w:r w:rsidRPr="002445C4">
              <w:rPr>
                <w:rFonts w:ascii="Arial Narrow" w:hAnsi="Arial Narrow"/>
                <w:sz w:val="20"/>
                <w:lang w:eastAsia="en-AU"/>
              </w:rPr>
              <w:t>Bedarra</w:t>
            </w:r>
          </w:p>
        </w:tc>
        <w:tc>
          <w:tcPr>
            <w:tcW w:w="284" w:type="dxa"/>
            <w:tcBorders>
              <w:top w:val="nil"/>
              <w:left w:val="nil"/>
              <w:bottom w:val="single" w:sz="4" w:space="0" w:color="auto"/>
              <w:right w:val="single" w:sz="4" w:space="0" w:color="auto"/>
            </w:tcBorders>
            <w:shd w:val="clear" w:color="auto" w:fill="auto"/>
            <w:noWrap/>
            <w:vAlign w:val="center"/>
            <w:hideMark/>
          </w:tcPr>
          <w:p w14:paraId="53C1487B"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2</w:t>
            </w:r>
          </w:p>
        </w:tc>
        <w:tc>
          <w:tcPr>
            <w:tcW w:w="1134" w:type="dxa"/>
            <w:tcBorders>
              <w:top w:val="nil"/>
              <w:left w:val="nil"/>
              <w:bottom w:val="single" w:sz="4" w:space="0" w:color="auto"/>
              <w:right w:val="single" w:sz="4" w:space="0" w:color="auto"/>
            </w:tcBorders>
            <w:shd w:val="clear" w:color="auto" w:fill="auto"/>
            <w:noWrap/>
            <w:vAlign w:val="bottom"/>
          </w:tcPr>
          <w:p w14:paraId="53C1487C"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0.15</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tcPr>
          <w:p w14:paraId="53C1487D"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0.63</w:t>
            </w:r>
          </w:p>
        </w:tc>
        <w:tc>
          <w:tcPr>
            <w:tcW w:w="1134" w:type="dxa"/>
            <w:tcBorders>
              <w:top w:val="nil"/>
              <w:left w:val="nil"/>
              <w:bottom w:val="single" w:sz="4" w:space="0" w:color="auto"/>
              <w:right w:val="single" w:sz="4" w:space="0" w:color="auto"/>
            </w:tcBorders>
            <w:shd w:val="clear" w:color="auto" w:fill="auto"/>
            <w:noWrap/>
            <w:vAlign w:val="bottom"/>
          </w:tcPr>
          <w:p w14:paraId="53C1487E"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047" w:type="dxa"/>
            <w:tcBorders>
              <w:top w:val="nil"/>
              <w:left w:val="nil"/>
              <w:bottom w:val="single" w:sz="4" w:space="0" w:color="auto"/>
              <w:right w:val="single" w:sz="4" w:space="0" w:color="auto"/>
            </w:tcBorders>
            <w:shd w:val="clear" w:color="auto" w:fill="auto"/>
            <w:noWrap/>
            <w:vAlign w:val="bottom"/>
          </w:tcPr>
          <w:p w14:paraId="53C1487F"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0.15</w:t>
            </w:r>
          </w:p>
        </w:tc>
        <w:tc>
          <w:tcPr>
            <w:tcW w:w="1221" w:type="dxa"/>
            <w:tcBorders>
              <w:top w:val="nil"/>
              <w:left w:val="nil"/>
              <w:bottom w:val="single" w:sz="4" w:space="0" w:color="auto"/>
              <w:right w:val="single" w:sz="4" w:space="0" w:color="auto"/>
            </w:tcBorders>
            <w:shd w:val="clear" w:color="auto" w:fill="auto"/>
            <w:noWrap/>
            <w:vAlign w:val="bottom"/>
          </w:tcPr>
          <w:p w14:paraId="53C14880"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NA</w:t>
            </w:r>
          </w:p>
        </w:tc>
        <w:tc>
          <w:tcPr>
            <w:tcW w:w="1117" w:type="dxa"/>
            <w:tcBorders>
              <w:top w:val="nil"/>
              <w:left w:val="nil"/>
              <w:bottom w:val="single" w:sz="4" w:space="0" w:color="auto"/>
              <w:right w:val="single" w:sz="4" w:space="0" w:color="auto"/>
            </w:tcBorders>
            <w:shd w:val="clear" w:color="auto" w:fill="FFC000"/>
            <w:noWrap/>
            <w:vAlign w:val="bottom"/>
          </w:tcPr>
          <w:p w14:paraId="53C14881"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0.23</w:t>
            </w:r>
          </w:p>
        </w:tc>
      </w:tr>
      <w:tr w:rsidR="002445C4" w:rsidRPr="002445C4" w14:paraId="53C1488C" w14:textId="77777777" w:rsidTr="00830E32">
        <w:trPr>
          <w:trHeight w:hRule="exact" w:val="255"/>
        </w:trPr>
        <w:tc>
          <w:tcPr>
            <w:tcW w:w="771" w:type="dxa"/>
            <w:vMerge/>
            <w:tcBorders>
              <w:top w:val="nil"/>
              <w:left w:val="single" w:sz="4" w:space="0" w:color="auto"/>
              <w:bottom w:val="single" w:sz="4" w:space="0" w:color="auto"/>
              <w:right w:val="single" w:sz="4" w:space="0" w:color="auto"/>
            </w:tcBorders>
            <w:vAlign w:val="center"/>
            <w:hideMark/>
          </w:tcPr>
          <w:p w14:paraId="53C14883" w14:textId="77777777" w:rsidR="00830E32" w:rsidRPr="002445C4" w:rsidRDefault="00830E32" w:rsidP="00830E32">
            <w:pPr>
              <w:spacing w:after="0"/>
              <w:jc w:val="left"/>
              <w:rPr>
                <w:rFonts w:ascii="Arial Narrow" w:hAnsi="Arial Narrow"/>
                <w:lang w:eastAsia="en-AU"/>
              </w:rPr>
            </w:pPr>
          </w:p>
        </w:tc>
        <w:tc>
          <w:tcPr>
            <w:tcW w:w="1576" w:type="dxa"/>
            <w:vMerge/>
            <w:tcBorders>
              <w:top w:val="nil"/>
              <w:left w:val="single" w:sz="4" w:space="0" w:color="auto"/>
              <w:bottom w:val="single" w:sz="4" w:space="0" w:color="auto"/>
              <w:right w:val="single" w:sz="4" w:space="0" w:color="auto"/>
            </w:tcBorders>
            <w:vAlign w:val="center"/>
            <w:hideMark/>
          </w:tcPr>
          <w:p w14:paraId="53C14884" w14:textId="77777777" w:rsidR="00830E32" w:rsidRPr="002445C4" w:rsidRDefault="00830E32" w:rsidP="00830E32">
            <w:pPr>
              <w:spacing w:after="0"/>
              <w:jc w:val="left"/>
              <w:rPr>
                <w:rFonts w:ascii="Arial Narrow" w:hAnsi="Arial Narrow"/>
                <w:sz w:val="20"/>
                <w:lang w:eastAsia="en-AU"/>
              </w:rPr>
            </w:pPr>
          </w:p>
        </w:tc>
        <w:tc>
          <w:tcPr>
            <w:tcW w:w="284" w:type="dxa"/>
            <w:tcBorders>
              <w:top w:val="nil"/>
              <w:left w:val="nil"/>
              <w:bottom w:val="single" w:sz="4" w:space="0" w:color="auto"/>
              <w:right w:val="single" w:sz="4" w:space="0" w:color="auto"/>
            </w:tcBorders>
            <w:shd w:val="clear" w:color="auto" w:fill="auto"/>
            <w:noWrap/>
            <w:vAlign w:val="center"/>
            <w:hideMark/>
          </w:tcPr>
          <w:p w14:paraId="53C14885"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5</w:t>
            </w:r>
          </w:p>
        </w:tc>
        <w:tc>
          <w:tcPr>
            <w:tcW w:w="1134" w:type="dxa"/>
            <w:tcBorders>
              <w:top w:val="nil"/>
              <w:left w:val="nil"/>
              <w:bottom w:val="single" w:sz="4" w:space="0" w:color="auto"/>
              <w:right w:val="single" w:sz="4" w:space="0" w:color="auto"/>
            </w:tcBorders>
            <w:shd w:val="clear" w:color="auto" w:fill="auto"/>
            <w:noWrap/>
            <w:vAlign w:val="bottom"/>
          </w:tcPr>
          <w:p w14:paraId="53C14886"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0.32</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tcPr>
          <w:p w14:paraId="53C14887"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134" w:type="dxa"/>
            <w:tcBorders>
              <w:top w:val="nil"/>
              <w:left w:val="nil"/>
              <w:bottom w:val="single" w:sz="4" w:space="0" w:color="auto"/>
              <w:right w:val="single" w:sz="4" w:space="0" w:color="auto"/>
            </w:tcBorders>
            <w:shd w:val="clear" w:color="auto" w:fill="auto"/>
            <w:noWrap/>
            <w:vAlign w:val="bottom"/>
          </w:tcPr>
          <w:p w14:paraId="53C14888"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0.61</w:t>
            </w:r>
          </w:p>
        </w:tc>
        <w:tc>
          <w:tcPr>
            <w:tcW w:w="1047" w:type="dxa"/>
            <w:tcBorders>
              <w:top w:val="nil"/>
              <w:left w:val="nil"/>
              <w:bottom w:val="single" w:sz="4" w:space="0" w:color="auto"/>
              <w:right w:val="single" w:sz="4" w:space="0" w:color="auto"/>
            </w:tcBorders>
            <w:shd w:val="clear" w:color="auto" w:fill="auto"/>
            <w:noWrap/>
            <w:vAlign w:val="bottom"/>
          </w:tcPr>
          <w:p w14:paraId="53C14889"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221" w:type="dxa"/>
            <w:tcBorders>
              <w:top w:val="nil"/>
              <w:left w:val="nil"/>
              <w:bottom w:val="single" w:sz="4" w:space="0" w:color="auto"/>
              <w:right w:val="single" w:sz="4" w:space="0" w:color="auto"/>
            </w:tcBorders>
            <w:shd w:val="clear" w:color="auto" w:fill="auto"/>
            <w:noWrap/>
            <w:vAlign w:val="bottom"/>
          </w:tcPr>
          <w:p w14:paraId="53C1488A"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NA</w:t>
            </w:r>
          </w:p>
        </w:tc>
        <w:tc>
          <w:tcPr>
            <w:tcW w:w="1117" w:type="dxa"/>
            <w:tcBorders>
              <w:top w:val="nil"/>
              <w:left w:val="nil"/>
              <w:bottom w:val="single" w:sz="4" w:space="0" w:color="auto"/>
              <w:right w:val="single" w:sz="4" w:space="0" w:color="auto"/>
            </w:tcBorders>
            <w:shd w:val="clear" w:color="auto" w:fill="92D050"/>
            <w:noWrap/>
            <w:vAlign w:val="bottom"/>
          </w:tcPr>
          <w:p w14:paraId="53C1488B"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0.73</w:t>
            </w:r>
          </w:p>
        </w:tc>
      </w:tr>
      <w:tr w:rsidR="002445C4" w:rsidRPr="002445C4" w14:paraId="53C14894" w14:textId="77777777" w:rsidTr="007677A6">
        <w:trPr>
          <w:cantSplit/>
          <w:trHeight w:hRule="exact" w:val="255"/>
        </w:trPr>
        <w:tc>
          <w:tcPr>
            <w:tcW w:w="2631" w:type="dxa"/>
            <w:gridSpan w:val="3"/>
            <w:tcBorders>
              <w:top w:val="nil"/>
              <w:left w:val="single" w:sz="4" w:space="0" w:color="auto"/>
              <w:bottom w:val="single" w:sz="4" w:space="0" w:color="auto"/>
              <w:right w:val="single" w:sz="4" w:space="0" w:color="auto"/>
            </w:tcBorders>
            <w:shd w:val="clear" w:color="auto" w:fill="92D050"/>
            <w:noWrap/>
            <w:vAlign w:val="center"/>
            <w:hideMark/>
          </w:tcPr>
          <w:p w14:paraId="53C1488D" w14:textId="77777777" w:rsidR="00830E32" w:rsidRPr="002445C4" w:rsidRDefault="00830E32" w:rsidP="00830E32">
            <w:pPr>
              <w:spacing w:after="0"/>
              <w:jc w:val="center"/>
              <w:rPr>
                <w:rFonts w:ascii="Arial Narrow" w:hAnsi="Arial Narrow"/>
                <w:lang w:eastAsia="en-AU"/>
              </w:rPr>
            </w:pPr>
            <w:r w:rsidRPr="007677A6">
              <w:rPr>
                <w:rFonts w:ascii="Arial Narrow" w:hAnsi="Arial Narrow"/>
                <w:sz w:val="20"/>
                <w:lang w:eastAsia="en-AU"/>
              </w:rPr>
              <w:t>Report</w:t>
            </w:r>
            <w:r w:rsidR="007677A6">
              <w:rPr>
                <w:rFonts w:ascii="Arial Narrow" w:hAnsi="Arial Narrow"/>
                <w:sz w:val="20"/>
                <w:lang w:eastAsia="en-AU"/>
              </w:rPr>
              <w:t xml:space="preserve"> </w:t>
            </w:r>
            <w:r w:rsidRPr="007677A6">
              <w:rPr>
                <w:rFonts w:ascii="Arial Narrow" w:hAnsi="Arial Narrow"/>
                <w:sz w:val="20"/>
                <w:lang w:eastAsia="en-AU"/>
              </w:rPr>
              <w:t>Card</w:t>
            </w:r>
            <w:r w:rsidRPr="002445C4">
              <w:rPr>
                <w:rFonts w:ascii="Arial Narrow" w:hAnsi="Arial Narrow"/>
                <w:sz w:val="20"/>
                <w:lang w:eastAsia="en-AU"/>
              </w:rPr>
              <w:t xml:space="preserve"> Score – </w:t>
            </w:r>
            <w:r w:rsidR="007677A6">
              <w:rPr>
                <w:rFonts w:ascii="Arial Narrow" w:hAnsi="Arial Narrow"/>
                <w:sz w:val="20"/>
                <w:lang w:eastAsia="en-AU"/>
              </w:rPr>
              <w:t>Good</w:t>
            </w:r>
          </w:p>
        </w:tc>
        <w:tc>
          <w:tcPr>
            <w:tcW w:w="1134" w:type="dxa"/>
            <w:tcBorders>
              <w:top w:val="nil"/>
              <w:left w:val="nil"/>
              <w:bottom w:val="single" w:sz="4" w:space="0" w:color="auto"/>
              <w:right w:val="single" w:sz="4" w:space="0" w:color="auto"/>
            </w:tcBorders>
            <w:shd w:val="clear" w:color="auto" w:fill="FFFF00"/>
            <w:noWrap/>
            <w:vAlign w:val="bottom"/>
          </w:tcPr>
          <w:p w14:paraId="53C1488E"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0.43</w:t>
            </w:r>
          </w:p>
        </w:tc>
        <w:tc>
          <w:tcPr>
            <w:tcW w:w="1134" w:type="dxa"/>
            <w:tcBorders>
              <w:top w:val="nil"/>
              <w:left w:val="nil"/>
              <w:bottom w:val="single" w:sz="4" w:space="0" w:color="auto"/>
              <w:right w:val="single" w:sz="4" w:space="0" w:color="auto"/>
            </w:tcBorders>
            <w:shd w:val="clear" w:color="000000" w:fill="00B050"/>
            <w:noWrap/>
            <w:tcMar>
              <w:left w:w="0" w:type="dxa"/>
              <w:right w:w="0" w:type="dxa"/>
            </w:tcMar>
            <w:vAlign w:val="bottom"/>
          </w:tcPr>
          <w:p w14:paraId="53C1488F"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0.87</w:t>
            </w:r>
          </w:p>
        </w:tc>
        <w:tc>
          <w:tcPr>
            <w:tcW w:w="1134" w:type="dxa"/>
            <w:tcBorders>
              <w:top w:val="nil"/>
              <w:left w:val="nil"/>
              <w:bottom w:val="single" w:sz="4" w:space="0" w:color="auto"/>
              <w:right w:val="single" w:sz="4" w:space="0" w:color="auto"/>
            </w:tcBorders>
            <w:shd w:val="clear" w:color="auto" w:fill="FFFF00"/>
            <w:noWrap/>
            <w:vAlign w:val="bottom"/>
          </w:tcPr>
          <w:p w14:paraId="53C14890"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0.41</w:t>
            </w:r>
          </w:p>
        </w:tc>
        <w:tc>
          <w:tcPr>
            <w:tcW w:w="1047" w:type="dxa"/>
            <w:tcBorders>
              <w:top w:val="nil"/>
              <w:left w:val="nil"/>
              <w:bottom w:val="single" w:sz="4" w:space="0" w:color="auto"/>
              <w:right w:val="single" w:sz="4" w:space="0" w:color="auto"/>
            </w:tcBorders>
            <w:shd w:val="clear" w:color="000000" w:fill="92D050"/>
            <w:noWrap/>
            <w:vAlign w:val="bottom"/>
          </w:tcPr>
          <w:p w14:paraId="53C14891"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0.72</w:t>
            </w:r>
          </w:p>
        </w:tc>
        <w:tc>
          <w:tcPr>
            <w:tcW w:w="1221" w:type="dxa"/>
            <w:tcBorders>
              <w:top w:val="single" w:sz="4" w:space="0" w:color="auto"/>
              <w:left w:val="nil"/>
              <w:bottom w:val="single" w:sz="4" w:space="0" w:color="auto"/>
              <w:right w:val="single" w:sz="4" w:space="0" w:color="auto"/>
            </w:tcBorders>
            <w:shd w:val="clear" w:color="auto" w:fill="92D050"/>
            <w:noWrap/>
            <w:vAlign w:val="bottom"/>
          </w:tcPr>
          <w:p w14:paraId="53C14892"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0.75</w:t>
            </w:r>
          </w:p>
        </w:tc>
        <w:tc>
          <w:tcPr>
            <w:tcW w:w="1117" w:type="dxa"/>
            <w:tcBorders>
              <w:top w:val="nil"/>
              <w:left w:val="nil"/>
              <w:bottom w:val="single" w:sz="4" w:space="0" w:color="auto"/>
              <w:right w:val="single" w:sz="4" w:space="0" w:color="auto"/>
            </w:tcBorders>
            <w:shd w:val="clear" w:color="auto" w:fill="92D050"/>
            <w:noWrap/>
            <w:vAlign w:val="bottom"/>
          </w:tcPr>
          <w:p w14:paraId="53C14893"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0.64</w:t>
            </w:r>
          </w:p>
        </w:tc>
      </w:tr>
      <w:tr w:rsidR="002445C4" w:rsidRPr="002445C4" w14:paraId="53C1489E" w14:textId="77777777" w:rsidTr="004F16D3">
        <w:trPr>
          <w:trHeight w:hRule="exact" w:val="255"/>
        </w:trPr>
        <w:tc>
          <w:tcPr>
            <w:tcW w:w="771" w:type="dxa"/>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14:paraId="53C14895" w14:textId="77777777" w:rsidR="00830E32" w:rsidRPr="002445C4" w:rsidRDefault="00830E32" w:rsidP="00830E32">
            <w:pPr>
              <w:spacing w:after="0"/>
              <w:jc w:val="center"/>
              <w:rPr>
                <w:rFonts w:ascii="Arial Narrow" w:hAnsi="Arial Narrow"/>
                <w:lang w:eastAsia="en-AU"/>
              </w:rPr>
            </w:pPr>
            <w:r w:rsidRPr="002445C4">
              <w:rPr>
                <w:rFonts w:ascii="Arial Narrow" w:hAnsi="Arial Narrow"/>
                <w:lang w:eastAsia="en-AU"/>
              </w:rPr>
              <w:lastRenderedPageBreak/>
              <w:t>Burdekin</w:t>
            </w:r>
          </w:p>
        </w:tc>
        <w:tc>
          <w:tcPr>
            <w:tcW w:w="15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3C14896" w14:textId="77777777" w:rsidR="00830E32" w:rsidRPr="002445C4" w:rsidRDefault="00830E32" w:rsidP="00830E32">
            <w:pPr>
              <w:spacing w:after="0"/>
              <w:jc w:val="left"/>
              <w:rPr>
                <w:rFonts w:ascii="Arial Narrow" w:hAnsi="Arial Narrow"/>
                <w:sz w:val="20"/>
                <w:lang w:eastAsia="en-AU"/>
              </w:rPr>
            </w:pPr>
            <w:r w:rsidRPr="002445C4">
              <w:rPr>
                <w:rFonts w:ascii="Arial Narrow" w:hAnsi="Arial Narrow"/>
                <w:sz w:val="20"/>
                <w:lang w:eastAsia="en-AU"/>
              </w:rPr>
              <w:t>Palms East</w:t>
            </w:r>
          </w:p>
        </w:tc>
        <w:tc>
          <w:tcPr>
            <w:tcW w:w="284" w:type="dxa"/>
            <w:tcBorders>
              <w:top w:val="nil"/>
              <w:left w:val="nil"/>
              <w:bottom w:val="single" w:sz="4" w:space="0" w:color="auto"/>
              <w:right w:val="single" w:sz="4" w:space="0" w:color="auto"/>
            </w:tcBorders>
            <w:shd w:val="clear" w:color="auto" w:fill="auto"/>
            <w:noWrap/>
            <w:vAlign w:val="center"/>
            <w:hideMark/>
          </w:tcPr>
          <w:p w14:paraId="53C14897"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2</w:t>
            </w:r>
          </w:p>
        </w:tc>
        <w:tc>
          <w:tcPr>
            <w:tcW w:w="1134" w:type="dxa"/>
            <w:tcBorders>
              <w:top w:val="nil"/>
              <w:left w:val="nil"/>
              <w:bottom w:val="single" w:sz="4" w:space="0" w:color="auto"/>
              <w:right w:val="single" w:sz="4" w:space="0" w:color="auto"/>
            </w:tcBorders>
            <w:shd w:val="clear" w:color="auto" w:fill="auto"/>
            <w:noWrap/>
            <w:vAlign w:val="bottom"/>
            <w:hideMark/>
          </w:tcPr>
          <w:p w14:paraId="53C14898"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0.54</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hideMark/>
          </w:tcPr>
          <w:p w14:paraId="53C14899"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0.23</w:t>
            </w:r>
          </w:p>
        </w:tc>
        <w:tc>
          <w:tcPr>
            <w:tcW w:w="1134" w:type="dxa"/>
            <w:tcBorders>
              <w:top w:val="nil"/>
              <w:left w:val="nil"/>
              <w:bottom w:val="single" w:sz="4" w:space="0" w:color="auto"/>
              <w:right w:val="single" w:sz="4" w:space="0" w:color="auto"/>
            </w:tcBorders>
            <w:shd w:val="clear" w:color="auto" w:fill="auto"/>
            <w:noWrap/>
            <w:vAlign w:val="bottom"/>
            <w:hideMark/>
          </w:tcPr>
          <w:p w14:paraId="53C1489A"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047" w:type="dxa"/>
            <w:tcBorders>
              <w:top w:val="nil"/>
              <w:left w:val="nil"/>
              <w:bottom w:val="single" w:sz="4" w:space="0" w:color="auto"/>
              <w:right w:val="single" w:sz="4" w:space="0" w:color="auto"/>
            </w:tcBorders>
            <w:shd w:val="clear" w:color="auto" w:fill="auto"/>
            <w:noWrap/>
            <w:vAlign w:val="bottom"/>
            <w:hideMark/>
          </w:tcPr>
          <w:p w14:paraId="53C1489B"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0.82</w:t>
            </w:r>
          </w:p>
        </w:tc>
        <w:tc>
          <w:tcPr>
            <w:tcW w:w="1221" w:type="dxa"/>
            <w:tcBorders>
              <w:top w:val="nil"/>
              <w:left w:val="nil"/>
              <w:bottom w:val="single" w:sz="4" w:space="0" w:color="auto"/>
              <w:right w:val="single" w:sz="4" w:space="0" w:color="auto"/>
            </w:tcBorders>
            <w:shd w:val="clear" w:color="auto" w:fill="auto"/>
            <w:noWrap/>
            <w:vAlign w:val="bottom"/>
            <w:hideMark/>
          </w:tcPr>
          <w:p w14:paraId="53C1489C"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117" w:type="dxa"/>
            <w:tcBorders>
              <w:top w:val="nil"/>
              <w:left w:val="nil"/>
              <w:bottom w:val="single" w:sz="4" w:space="0" w:color="auto"/>
              <w:right w:val="single" w:sz="4" w:space="0" w:color="auto"/>
            </w:tcBorders>
            <w:shd w:val="clear" w:color="auto" w:fill="92D050"/>
            <w:noWrap/>
            <w:vAlign w:val="bottom"/>
            <w:hideMark/>
          </w:tcPr>
          <w:p w14:paraId="53C1489D"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0.72</w:t>
            </w:r>
          </w:p>
        </w:tc>
      </w:tr>
      <w:tr w:rsidR="002445C4" w:rsidRPr="002445C4" w14:paraId="53C148A8" w14:textId="77777777" w:rsidTr="004F16D3">
        <w:trPr>
          <w:trHeight w:hRule="exact" w:val="255"/>
        </w:trPr>
        <w:tc>
          <w:tcPr>
            <w:tcW w:w="771" w:type="dxa"/>
            <w:vMerge/>
            <w:tcBorders>
              <w:top w:val="nil"/>
              <w:left w:val="single" w:sz="4" w:space="0" w:color="auto"/>
              <w:bottom w:val="single" w:sz="4" w:space="0" w:color="auto"/>
              <w:right w:val="single" w:sz="4" w:space="0" w:color="auto"/>
            </w:tcBorders>
            <w:vAlign w:val="center"/>
            <w:hideMark/>
          </w:tcPr>
          <w:p w14:paraId="53C1489F" w14:textId="77777777" w:rsidR="00830E32" w:rsidRPr="002445C4" w:rsidRDefault="00830E32" w:rsidP="00830E32">
            <w:pPr>
              <w:spacing w:after="0"/>
              <w:jc w:val="left"/>
              <w:rPr>
                <w:rFonts w:ascii="Arial Narrow" w:hAnsi="Arial Narrow"/>
                <w:lang w:eastAsia="en-AU"/>
              </w:rPr>
            </w:pPr>
          </w:p>
        </w:tc>
        <w:tc>
          <w:tcPr>
            <w:tcW w:w="1576" w:type="dxa"/>
            <w:vMerge/>
            <w:tcBorders>
              <w:top w:val="nil"/>
              <w:left w:val="single" w:sz="4" w:space="0" w:color="auto"/>
              <w:bottom w:val="single" w:sz="4" w:space="0" w:color="auto"/>
              <w:right w:val="single" w:sz="4" w:space="0" w:color="auto"/>
            </w:tcBorders>
            <w:vAlign w:val="center"/>
            <w:hideMark/>
          </w:tcPr>
          <w:p w14:paraId="53C148A0" w14:textId="77777777" w:rsidR="00830E32" w:rsidRPr="002445C4" w:rsidRDefault="00830E32" w:rsidP="00830E32">
            <w:pPr>
              <w:spacing w:after="0"/>
              <w:jc w:val="left"/>
              <w:rPr>
                <w:rFonts w:ascii="Arial Narrow" w:hAnsi="Arial Narrow"/>
                <w:sz w:val="20"/>
                <w:lang w:eastAsia="en-AU"/>
              </w:rPr>
            </w:pPr>
          </w:p>
        </w:tc>
        <w:tc>
          <w:tcPr>
            <w:tcW w:w="284" w:type="dxa"/>
            <w:tcBorders>
              <w:top w:val="nil"/>
              <w:left w:val="nil"/>
              <w:bottom w:val="single" w:sz="4" w:space="0" w:color="auto"/>
              <w:right w:val="single" w:sz="4" w:space="0" w:color="auto"/>
            </w:tcBorders>
            <w:shd w:val="clear" w:color="auto" w:fill="auto"/>
            <w:noWrap/>
            <w:vAlign w:val="center"/>
            <w:hideMark/>
          </w:tcPr>
          <w:p w14:paraId="53C148A1"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5</w:t>
            </w:r>
          </w:p>
        </w:tc>
        <w:tc>
          <w:tcPr>
            <w:tcW w:w="1134" w:type="dxa"/>
            <w:tcBorders>
              <w:top w:val="nil"/>
              <w:left w:val="nil"/>
              <w:bottom w:val="single" w:sz="4" w:space="0" w:color="auto"/>
              <w:right w:val="single" w:sz="4" w:space="0" w:color="auto"/>
            </w:tcBorders>
            <w:shd w:val="clear" w:color="auto" w:fill="auto"/>
            <w:noWrap/>
            <w:vAlign w:val="bottom"/>
            <w:hideMark/>
          </w:tcPr>
          <w:p w14:paraId="53C148A2"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0.62</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hideMark/>
          </w:tcPr>
          <w:p w14:paraId="53C148A3"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0.53</w:t>
            </w:r>
          </w:p>
        </w:tc>
        <w:tc>
          <w:tcPr>
            <w:tcW w:w="1134" w:type="dxa"/>
            <w:tcBorders>
              <w:top w:val="nil"/>
              <w:left w:val="nil"/>
              <w:bottom w:val="single" w:sz="4" w:space="0" w:color="auto"/>
              <w:right w:val="single" w:sz="4" w:space="0" w:color="auto"/>
            </w:tcBorders>
            <w:shd w:val="clear" w:color="auto" w:fill="auto"/>
            <w:noWrap/>
            <w:vAlign w:val="bottom"/>
            <w:hideMark/>
          </w:tcPr>
          <w:p w14:paraId="53C148A4"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0.75</w:t>
            </w:r>
          </w:p>
        </w:tc>
        <w:tc>
          <w:tcPr>
            <w:tcW w:w="1047" w:type="dxa"/>
            <w:tcBorders>
              <w:top w:val="nil"/>
              <w:left w:val="nil"/>
              <w:bottom w:val="single" w:sz="4" w:space="0" w:color="auto"/>
              <w:right w:val="single" w:sz="4" w:space="0" w:color="auto"/>
            </w:tcBorders>
            <w:shd w:val="clear" w:color="auto" w:fill="auto"/>
            <w:noWrap/>
            <w:vAlign w:val="bottom"/>
            <w:hideMark/>
          </w:tcPr>
          <w:p w14:paraId="53C148A5"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221" w:type="dxa"/>
            <w:tcBorders>
              <w:top w:val="nil"/>
              <w:left w:val="nil"/>
              <w:bottom w:val="single" w:sz="4" w:space="0" w:color="auto"/>
              <w:right w:val="single" w:sz="4" w:space="0" w:color="auto"/>
            </w:tcBorders>
            <w:shd w:val="clear" w:color="auto" w:fill="auto"/>
            <w:noWrap/>
            <w:vAlign w:val="bottom"/>
            <w:hideMark/>
          </w:tcPr>
          <w:p w14:paraId="53C148A6"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117" w:type="dxa"/>
            <w:tcBorders>
              <w:top w:val="nil"/>
              <w:left w:val="nil"/>
              <w:bottom w:val="single" w:sz="4" w:space="0" w:color="auto"/>
              <w:right w:val="single" w:sz="4" w:space="0" w:color="auto"/>
            </w:tcBorders>
            <w:shd w:val="clear" w:color="auto" w:fill="92D050"/>
            <w:noWrap/>
            <w:vAlign w:val="bottom"/>
            <w:hideMark/>
          </w:tcPr>
          <w:p w14:paraId="53C148A7"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0.78</w:t>
            </w:r>
          </w:p>
        </w:tc>
      </w:tr>
      <w:tr w:rsidR="002445C4" w:rsidRPr="002445C4" w14:paraId="53C148B2" w14:textId="77777777" w:rsidTr="004F16D3">
        <w:trPr>
          <w:trHeight w:hRule="exact" w:val="255"/>
        </w:trPr>
        <w:tc>
          <w:tcPr>
            <w:tcW w:w="771" w:type="dxa"/>
            <w:vMerge/>
            <w:tcBorders>
              <w:top w:val="nil"/>
              <w:left w:val="single" w:sz="4" w:space="0" w:color="auto"/>
              <w:bottom w:val="single" w:sz="4" w:space="0" w:color="auto"/>
              <w:right w:val="single" w:sz="4" w:space="0" w:color="auto"/>
            </w:tcBorders>
            <w:vAlign w:val="center"/>
          </w:tcPr>
          <w:p w14:paraId="53C148A9" w14:textId="77777777" w:rsidR="00830E32" w:rsidRPr="002445C4" w:rsidRDefault="00830E32" w:rsidP="00830E32">
            <w:pPr>
              <w:spacing w:after="0"/>
              <w:jc w:val="left"/>
              <w:rPr>
                <w:rFonts w:ascii="Arial Narrow" w:hAnsi="Arial Narrow"/>
                <w:lang w:eastAsia="en-AU"/>
              </w:rPr>
            </w:pPr>
          </w:p>
        </w:tc>
        <w:tc>
          <w:tcPr>
            <w:tcW w:w="1576" w:type="dxa"/>
            <w:vMerge w:val="restart"/>
            <w:tcBorders>
              <w:top w:val="nil"/>
              <w:left w:val="nil"/>
              <w:right w:val="single" w:sz="4" w:space="0" w:color="auto"/>
            </w:tcBorders>
            <w:shd w:val="clear" w:color="auto" w:fill="auto"/>
            <w:noWrap/>
            <w:vAlign w:val="center"/>
          </w:tcPr>
          <w:p w14:paraId="53C148AA" w14:textId="77777777" w:rsidR="00830E32" w:rsidRPr="002445C4" w:rsidRDefault="00830E32" w:rsidP="00830E32">
            <w:pPr>
              <w:spacing w:after="0"/>
              <w:jc w:val="left"/>
              <w:rPr>
                <w:rFonts w:ascii="Arial Narrow" w:hAnsi="Arial Narrow"/>
                <w:sz w:val="20"/>
                <w:lang w:eastAsia="en-AU"/>
              </w:rPr>
            </w:pPr>
            <w:r w:rsidRPr="002445C4">
              <w:rPr>
                <w:rFonts w:ascii="Arial Narrow" w:hAnsi="Arial Narrow"/>
                <w:sz w:val="20"/>
                <w:lang w:eastAsia="en-AU"/>
              </w:rPr>
              <w:t>Palms West</w:t>
            </w:r>
          </w:p>
        </w:tc>
        <w:tc>
          <w:tcPr>
            <w:tcW w:w="284" w:type="dxa"/>
            <w:tcBorders>
              <w:top w:val="nil"/>
              <w:left w:val="nil"/>
              <w:bottom w:val="single" w:sz="4" w:space="0" w:color="auto"/>
              <w:right w:val="single" w:sz="4" w:space="0" w:color="auto"/>
            </w:tcBorders>
            <w:shd w:val="clear" w:color="auto" w:fill="auto"/>
            <w:noWrap/>
            <w:vAlign w:val="center"/>
          </w:tcPr>
          <w:p w14:paraId="53C148AB"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2</w:t>
            </w:r>
          </w:p>
        </w:tc>
        <w:tc>
          <w:tcPr>
            <w:tcW w:w="1134" w:type="dxa"/>
            <w:tcBorders>
              <w:top w:val="nil"/>
              <w:left w:val="nil"/>
              <w:bottom w:val="single" w:sz="4" w:space="0" w:color="auto"/>
              <w:right w:val="single" w:sz="4" w:space="0" w:color="auto"/>
            </w:tcBorders>
            <w:shd w:val="clear" w:color="auto" w:fill="auto"/>
            <w:noWrap/>
            <w:vAlign w:val="bottom"/>
          </w:tcPr>
          <w:p w14:paraId="53C148AC"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0.46</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tcPr>
          <w:p w14:paraId="53C148AD"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0.36</w:t>
            </w:r>
          </w:p>
        </w:tc>
        <w:tc>
          <w:tcPr>
            <w:tcW w:w="1134" w:type="dxa"/>
            <w:tcBorders>
              <w:top w:val="nil"/>
              <w:left w:val="nil"/>
              <w:bottom w:val="single" w:sz="4" w:space="0" w:color="auto"/>
              <w:right w:val="single" w:sz="4" w:space="0" w:color="auto"/>
            </w:tcBorders>
            <w:shd w:val="clear" w:color="auto" w:fill="auto"/>
            <w:noWrap/>
            <w:vAlign w:val="bottom"/>
          </w:tcPr>
          <w:p w14:paraId="53C148AE"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047" w:type="dxa"/>
            <w:tcBorders>
              <w:top w:val="nil"/>
              <w:left w:val="nil"/>
              <w:bottom w:val="single" w:sz="4" w:space="0" w:color="auto"/>
              <w:right w:val="single" w:sz="4" w:space="0" w:color="auto"/>
            </w:tcBorders>
            <w:shd w:val="clear" w:color="auto" w:fill="auto"/>
            <w:noWrap/>
            <w:vAlign w:val="bottom"/>
          </w:tcPr>
          <w:p w14:paraId="53C148AF"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0.67</w:t>
            </w:r>
          </w:p>
        </w:tc>
        <w:tc>
          <w:tcPr>
            <w:tcW w:w="1221" w:type="dxa"/>
            <w:tcBorders>
              <w:top w:val="nil"/>
              <w:left w:val="nil"/>
              <w:bottom w:val="single" w:sz="4" w:space="0" w:color="auto"/>
              <w:right w:val="single" w:sz="4" w:space="0" w:color="auto"/>
            </w:tcBorders>
            <w:shd w:val="clear" w:color="auto" w:fill="auto"/>
            <w:noWrap/>
            <w:vAlign w:val="bottom"/>
          </w:tcPr>
          <w:p w14:paraId="53C148B0"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117" w:type="dxa"/>
            <w:tcBorders>
              <w:top w:val="nil"/>
              <w:left w:val="nil"/>
              <w:bottom w:val="single" w:sz="4" w:space="0" w:color="auto"/>
              <w:right w:val="single" w:sz="4" w:space="0" w:color="auto"/>
            </w:tcBorders>
            <w:shd w:val="clear" w:color="auto" w:fill="FFFF00"/>
            <w:noWrap/>
            <w:vAlign w:val="bottom"/>
          </w:tcPr>
          <w:p w14:paraId="53C148B1"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0.50</w:t>
            </w:r>
          </w:p>
        </w:tc>
      </w:tr>
      <w:tr w:rsidR="002445C4" w:rsidRPr="002445C4" w14:paraId="53C148BC" w14:textId="77777777" w:rsidTr="004F16D3">
        <w:trPr>
          <w:trHeight w:hRule="exact" w:val="255"/>
        </w:trPr>
        <w:tc>
          <w:tcPr>
            <w:tcW w:w="771" w:type="dxa"/>
            <w:vMerge/>
            <w:tcBorders>
              <w:top w:val="nil"/>
              <w:left w:val="single" w:sz="4" w:space="0" w:color="auto"/>
              <w:bottom w:val="single" w:sz="4" w:space="0" w:color="auto"/>
              <w:right w:val="single" w:sz="4" w:space="0" w:color="auto"/>
            </w:tcBorders>
            <w:vAlign w:val="center"/>
            <w:hideMark/>
          </w:tcPr>
          <w:p w14:paraId="53C148B3" w14:textId="77777777" w:rsidR="00830E32" w:rsidRPr="002445C4" w:rsidRDefault="00830E32" w:rsidP="00830E32">
            <w:pPr>
              <w:spacing w:after="0"/>
              <w:jc w:val="left"/>
              <w:rPr>
                <w:rFonts w:ascii="Arial Narrow" w:hAnsi="Arial Narrow"/>
                <w:lang w:eastAsia="en-AU"/>
              </w:rPr>
            </w:pPr>
          </w:p>
        </w:tc>
        <w:tc>
          <w:tcPr>
            <w:tcW w:w="1576" w:type="dxa"/>
            <w:vMerge/>
            <w:tcBorders>
              <w:left w:val="nil"/>
              <w:bottom w:val="single" w:sz="4" w:space="0" w:color="auto"/>
              <w:right w:val="single" w:sz="4" w:space="0" w:color="auto"/>
            </w:tcBorders>
            <w:shd w:val="clear" w:color="auto" w:fill="auto"/>
            <w:noWrap/>
            <w:vAlign w:val="center"/>
            <w:hideMark/>
          </w:tcPr>
          <w:p w14:paraId="53C148B4" w14:textId="77777777" w:rsidR="00830E32" w:rsidRPr="002445C4" w:rsidRDefault="00830E32" w:rsidP="00830E32">
            <w:pPr>
              <w:spacing w:after="0"/>
              <w:jc w:val="left"/>
              <w:rPr>
                <w:rFonts w:ascii="Arial Narrow" w:hAnsi="Arial Narrow"/>
                <w:sz w:val="20"/>
                <w:lang w:eastAsia="en-AU"/>
              </w:rPr>
            </w:pPr>
          </w:p>
        </w:tc>
        <w:tc>
          <w:tcPr>
            <w:tcW w:w="284" w:type="dxa"/>
            <w:tcBorders>
              <w:top w:val="nil"/>
              <w:left w:val="nil"/>
              <w:bottom w:val="single" w:sz="4" w:space="0" w:color="auto"/>
              <w:right w:val="single" w:sz="4" w:space="0" w:color="auto"/>
            </w:tcBorders>
            <w:shd w:val="clear" w:color="auto" w:fill="auto"/>
            <w:noWrap/>
            <w:vAlign w:val="center"/>
            <w:hideMark/>
          </w:tcPr>
          <w:p w14:paraId="53C148B5"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5</w:t>
            </w:r>
          </w:p>
        </w:tc>
        <w:tc>
          <w:tcPr>
            <w:tcW w:w="1134" w:type="dxa"/>
            <w:tcBorders>
              <w:top w:val="nil"/>
              <w:left w:val="nil"/>
              <w:bottom w:val="single" w:sz="4" w:space="0" w:color="auto"/>
              <w:right w:val="single" w:sz="4" w:space="0" w:color="auto"/>
            </w:tcBorders>
            <w:shd w:val="clear" w:color="auto" w:fill="auto"/>
            <w:noWrap/>
            <w:vAlign w:val="bottom"/>
            <w:hideMark/>
          </w:tcPr>
          <w:p w14:paraId="53C148B6"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0.45</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hideMark/>
          </w:tcPr>
          <w:p w14:paraId="53C148B7"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0.42</w:t>
            </w:r>
          </w:p>
        </w:tc>
        <w:tc>
          <w:tcPr>
            <w:tcW w:w="1134" w:type="dxa"/>
            <w:tcBorders>
              <w:top w:val="nil"/>
              <w:left w:val="nil"/>
              <w:bottom w:val="single" w:sz="4" w:space="0" w:color="auto"/>
              <w:right w:val="single" w:sz="4" w:space="0" w:color="auto"/>
            </w:tcBorders>
            <w:shd w:val="clear" w:color="auto" w:fill="auto"/>
            <w:noWrap/>
            <w:vAlign w:val="bottom"/>
            <w:hideMark/>
          </w:tcPr>
          <w:p w14:paraId="53C148B8"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047" w:type="dxa"/>
            <w:tcBorders>
              <w:top w:val="nil"/>
              <w:left w:val="nil"/>
              <w:bottom w:val="single" w:sz="4" w:space="0" w:color="auto"/>
              <w:right w:val="single" w:sz="4" w:space="0" w:color="auto"/>
            </w:tcBorders>
            <w:shd w:val="clear" w:color="auto" w:fill="auto"/>
            <w:noWrap/>
            <w:vAlign w:val="bottom"/>
            <w:hideMark/>
          </w:tcPr>
          <w:p w14:paraId="53C148B9"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0.43</w:t>
            </w:r>
          </w:p>
        </w:tc>
        <w:tc>
          <w:tcPr>
            <w:tcW w:w="1221" w:type="dxa"/>
            <w:tcBorders>
              <w:top w:val="nil"/>
              <w:left w:val="nil"/>
              <w:bottom w:val="single" w:sz="4" w:space="0" w:color="auto"/>
              <w:right w:val="single" w:sz="4" w:space="0" w:color="auto"/>
            </w:tcBorders>
            <w:shd w:val="clear" w:color="auto" w:fill="auto"/>
            <w:noWrap/>
            <w:vAlign w:val="bottom"/>
            <w:hideMark/>
          </w:tcPr>
          <w:p w14:paraId="53C148BA"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0.50</w:t>
            </w:r>
          </w:p>
        </w:tc>
        <w:tc>
          <w:tcPr>
            <w:tcW w:w="1117" w:type="dxa"/>
            <w:tcBorders>
              <w:top w:val="nil"/>
              <w:left w:val="nil"/>
              <w:bottom w:val="single" w:sz="4" w:space="0" w:color="auto"/>
              <w:right w:val="single" w:sz="4" w:space="0" w:color="auto"/>
            </w:tcBorders>
            <w:shd w:val="clear" w:color="auto" w:fill="FFFF00"/>
            <w:noWrap/>
            <w:vAlign w:val="bottom"/>
            <w:hideMark/>
          </w:tcPr>
          <w:p w14:paraId="53C148BB"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0.56</w:t>
            </w:r>
          </w:p>
        </w:tc>
      </w:tr>
      <w:tr w:rsidR="002445C4" w:rsidRPr="002445C4" w14:paraId="53C148C6" w14:textId="77777777" w:rsidTr="004F16D3">
        <w:trPr>
          <w:trHeight w:hRule="exact" w:val="255"/>
        </w:trPr>
        <w:tc>
          <w:tcPr>
            <w:tcW w:w="771" w:type="dxa"/>
            <w:vMerge/>
            <w:tcBorders>
              <w:top w:val="nil"/>
              <w:left w:val="single" w:sz="4" w:space="0" w:color="auto"/>
              <w:bottom w:val="single" w:sz="4" w:space="0" w:color="auto"/>
              <w:right w:val="single" w:sz="4" w:space="0" w:color="auto"/>
            </w:tcBorders>
            <w:vAlign w:val="center"/>
          </w:tcPr>
          <w:p w14:paraId="53C148BD" w14:textId="77777777" w:rsidR="00830E32" w:rsidRPr="002445C4" w:rsidRDefault="00830E32" w:rsidP="00830E32">
            <w:pPr>
              <w:spacing w:after="0"/>
              <w:jc w:val="left"/>
              <w:rPr>
                <w:rFonts w:ascii="Arial Narrow" w:hAnsi="Arial Narrow"/>
                <w:lang w:eastAsia="en-AU"/>
              </w:rPr>
            </w:pPr>
          </w:p>
        </w:tc>
        <w:tc>
          <w:tcPr>
            <w:tcW w:w="1576" w:type="dxa"/>
            <w:tcBorders>
              <w:top w:val="nil"/>
              <w:left w:val="single" w:sz="4" w:space="0" w:color="auto"/>
              <w:bottom w:val="single" w:sz="4" w:space="0" w:color="auto"/>
              <w:right w:val="single" w:sz="4" w:space="0" w:color="auto"/>
            </w:tcBorders>
            <w:shd w:val="clear" w:color="auto" w:fill="auto"/>
            <w:noWrap/>
            <w:vAlign w:val="center"/>
          </w:tcPr>
          <w:p w14:paraId="53C148BE" w14:textId="77777777" w:rsidR="00830E32" w:rsidRPr="002445C4" w:rsidRDefault="00830E32" w:rsidP="00830E32">
            <w:pPr>
              <w:spacing w:after="0"/>
              <w:jc w:val="left"/>
              <w:rPr>
                <w:rFonts w:ascii="Arial Narrow" w:hAnsi="Arial Narrow"/>
                <w:sz w:val="20"/>
                <w:lang w:eastAsia="en-AU"/>
              </w:rPr>
            </w:pPr>
            <w:r w:rsidRPr="002445C4">
              <w:rPr>
                <w:rFonts w:ascii="Arial Narrow" w:hAnsi="Arial Narrow"/>
                <w:sz w:val="20"/>
                <w:lang w:eastAsia="en-AU"/>
              </w:rPr>
              <w:t>Havannah North</w:t>
            </w:r>
          </w:p>
        </w:tc>
        <w:tc>
          <w:tcPr>
            <w:tcW w:w="284" w:type="dxa"/>
            <w:tcBorders>
              <w:top w:val="nil"/>
              <w:left w:val="nil"/>
              <w:bottom w:val="single" w:sz="4" w:space="0" w:color="auto"/>
              <w:right w:val="single" w:sz="4" w:space="0" w:color="auto"/>
            </w:tcBorders>
            <w:shd w:val="clear" w:color="auto" w:fill="auto"/>
            <w:noWrap/>
            <w:vAlign w:val="center"/>
          </w:tcPr>
          <w:p w14:paraId="53C148BF"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5</w:t>
            </w:r>
          </w:p>
        </w:tc>
        <w:tc>
          <w:tcPr>
            <w:tcW w:w="1134" w:type="dxa"/>
            <w:tcBorders>
              <w:top w:val="nil"/>
              <w:left w:val="nil"/>
              <w:bottom w:val="single" w:sz="4" w:space="0" w:color="auto"/>
              <w:right w:val="single" w:sz="4" w:space="0" w:color="auto"/>
            </w:tcBorders>
            <w:shd w:val="clear" w:color="auto" w:fill="auto"/>
            <w:noWrap/>
            <w:vAlign w:val="bottom"/>
          </w:tcPr>
          <w:p w14:paraId="53C148C0"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0.28</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tcPr>
          <w:p w14:paraId="53C148C1"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0.52</w:t>
            </w:r>
          </w:p>
        </w:tc>
        <w:tc>
          <w:tcPr>
            <w:tcW w:w="1134" w:type="dxa"/>
            <w:tcBorders>
              <w:top w:val="nil"/>
              <w:left w:val="nil"/>
              <w:bottom w:val="single" w:sz="4" w:space="0" w:color="auto"/>
              <w:right w:val="single" w:sz="4" w:space="0" w:color="auto"/>
            </w:tcBorders>
            <w:shd w:val="clear" w:color="auto" w:fill="auto"/>
            <w:noWrap/>
            <w:vAlign w:val="bottom"/>
          </w:tcPr>
          <w:p w14:paraId="53C148C2"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047" w:type="dxa"/>
            <w:tcBorders>
              <w:top w:val="nil"/>
              <w:left w:val="nil"/>
              <w:bottom w:val="single" w:sz="4" w:space="0" w:color="auto"/>
              <w:right w:val="single" w:sz="4" w:space="0" w:color="auto"/>
            </w:tcBorders>
            <w:shd w:val="clear" w:color="auto" w:fill="auto"/>
            <w:noWrap/>
            <w:vAlign w:val="bottom"/>
          </w:tcPr>
          <w:p w14:paraId="53C148C3"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0.77</w:t>
            </w:r>
          </w:p>
        </w:tc>
        <w:tc>
          <w:tcPr>
            <w:tcW w:w="1221" w:type="dxa"/>
            <w:tcBorders>
              <w:top w:val="nil"/>
              <w:left w:val="nil"/>
              <w:bottom w:val="single" w:sz="4" w:space="0" w:color="auto"/>
              <w:right w:val="single" w:sz="4" w:space="0" w:color="auto"/>
            </w:tcBorders>
            <w:shd w:val="clear" w:color="auto" w:fill="auto"/>
            <w:noWrap/>
            <w:vAlign w:val="bottom"/>
          </w:tcPr>
          <w:p w14:paraId="53C148C4"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117" w:type="dxa"/>
            <w:tcBorders>
              <w:top w:val="nil"/>
              <w:left w:val="nil"/>
              <w:bottom w:val="single" w:sz="4" w:space="0" w:color="auto"/>
              <w:right w:val="single" w:sz="4" w:space="0" w:color="auto"/>
            </w:tcBorders>
            <w:shd w:val="clear" w:color="auto" w:fill="FFFF00"/>
            <w:noWrap/>
            <w:vAlign w:val="bottom"/>
          </w:tcPr>
          <w:p w14:paraId="53C148C5"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0.52</w:t>
            </w:r>
          </w:p>
        </w:tc>
      </w:tr>
      <w:tr w:rsidR="002445C4" w:rsidRPr="002445C4" w14:paraId="53C148D0" w14:textId="77777777" w:rsidTr="004F16D3">
        <w:trPr>
          <w:trHeight w:hRule="exact" w:val="255"/>
        </w:trPr>
        <w:tc>
          <w:tcPr>
            <w:tcW w:w="771" w:type="dxa"/>
            <w:vMerge/>
            <w:tcBorders>
              <w:top w:val="nil"/>
              <w:left w:val="single" w:sz="4" w:space="0" w:color="auto"/>
              <w:bottom w:val="single" w:sz="4" w:space="0" w:color="auto"/>
              <w:right w:val="single" w:sz="4" w:space="0" w:color="auto"/>
            </w:tcBorders>
            <w:vAlign w:val="center"/>
            <w:hideMark/>
          </w:tcPr>
          <w:p w14:paraId="53C148C7" w14:textId="77777777" w:rsidR="00830E32" w:rsidRPr="002445C4" w:rsidRDefault="00830E32" w:rsidP="00830E32">
            <w:pPr>
              <w:spacing w:after="0"/>
              <w:jc w:val="left"/>
              <w:rPr>
                <w:rFonts w:ascii="Arial Narrow" w:hAnsi="Arial Narrow"/>
                <w:lang w:eastAsia="en-AU"/>
              </w:rPr>
            </w:pPr>
          </w:p>
        </w:tc>
        <w:tc>
          <w:tcPr>
            <w:tcW w:w="15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3C148C8" w14:textId="77777777" w:rsidR="00830E32" w:rsidRPr="002445C4" w:rsidRDefault="00830E32" w:rsidP="00830E32">
            <w:pPr>
              <w:spacing w:after="0"/>
              <w:jc w:val="left"/>
              <w:rPr>
                <w:rFonts w:ascii="Arial Narrow" w:hAnsi="Arial Narrow"/>
                <w:sz w:val="20"/>
                <w:lang w:eastAsia="en-AU"/>
              </w:rPr>
            </w:pPr>
            <w:r w:rsidRPr="002445C4">
              <w:rPr>
                <w:rFonts w:ascii="Arial Narrow" w:hAnsi="Arial Narrow"/>
                <w:sz w:val="20"/>
                <w:lang w:eastAsia="en-AU"/>
              </w:rPr>
              <w:t>Havannah</w:t>
            </w:r>
          </w:p>
        </w:tc>
        <w:tc>
          <w:tcPr>
            <w:tcW w:w="284" w:type="dxa"/>
            <w:tcBorders>
              <w:top w:val="nil"/>
              <w:left w:val="nil"/>
              <w:bottom w:val="single" w:sz="4" w:space="0" w:color="auto"/>
              <w:right w:val="single" w:sz="4" w:space="0" w:color="auto"/>
            </w:tcBorders>
            <w:shd w:val="clear" w:color="auto" w:fill="auto"/>
            <w:noWrap/>
            <w:vAlign w:val="center"/>
            <w:hideMark/>
          </w:tcPr>
          <w:p w14:paraId="53C148C9"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2</w:t>
            </w:r>
          </w:p>
        </w:tc>
        <w:tc>
          <w:tcPr>
            <w:tcW w:w="1134" w:type="dxa"/>
            <w:tcBorders>
              <w:top w:val="nil"/>
              <w:left w:val="nil"/>
              <w:bottom w:val="single" w:sz="4" w:space="0" w:color="auto"/>
              <w:right w:val="single" w:sz="4" w:space="0" w:color="auto"/>
            </w:tcBorders>
            <w:shd w:val="clear" w:color="auto" w:fill="auto"/>
            <w:noWrap/>
            <w:vAlign w:val="bottom"/>
            <w:hideMark/>
          </w:tcPr>
          <w:p w14:paraId="53C148CA"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0.42</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hideMark/>
          </w:tcPr>
          <w:p w14:paraId="53C148CB"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0.12</w:t>
            </w:r>
          </w:p>
        </w:tc>
        <w:tc>
          <w:tcPr>
            <w:tcW w:w="1134" w:type="dxa"/>
            <w:tcBorders>
              <w:top w:val="nil"/>
              <w:left w:val="nil"/>
              <w:bottom w:val="single" w:sz="4" w:space="0" w:color="auto"/>
              <w:right w:val="single" w:sz="4" w:space="0" w:color="auto"/>
            </w:tcBorders>
            <w:shd w:val="clear" w:color="auto" w:fill="auto"/>
            <w:noWrap/>
            <w:vAlign w:val="bottom"/>
            <w:hideMark/>
          </w:tcPr>
          <w:p w14:paraId="53C148CC"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047" w:type="dxa"/>
            <w:tcBorders>
              <w:top w:val="nil"/>
              <w:left w:val="nil"/>
              <w:bottom w:val="single" w:sz="4" w:space="0" w:color="auto"/>
              <w:right w:val="single" w:sz="4" w:space="0" w:color="auto"/>
            </w:tcBorders>
            <w:shd w:val="clear" w:color="auto" w:fill="auto"/>
            <w:noWrap/>
            <w:vAlign w:val="bottom"/>
            <w:hideMark/>
          </w:tcPr>
          <w:p w14:paraId="53C148CD"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221" w:type="dxa"/>
            <w:tcBorders>
              <w:top w:val="nil"/>
              <w:left w:val="nil"/>
              <w:bottom w:val="single" w:sz="4" w:space="0" w:color="auto"/>
              <w:right w:val="single" w:sz="4" w:space="0" w:color="auto"/>
            </w:tcBorders>
            <w:shd w:val="clear" w:color="auto" w:fill="auto"/>
            <w:noWrap/>
            <w:vAlign w:val="bottom"/>
            <w:hideMark/>
          </w:tcPr>
          <w:p w14:paraId="53C148CE"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117" w:type="dxa"/>
            <w:tcBorders>
              <w:top w:val="nil"/>
              <w:left w:val="nil"/>
              <w:bottom w:val="single" w:sz="4" w:space="0" w:color="auto"/>
              <w:right w:val="single" w:sz="4" w:space="0" w:color="auto"/>
            </w:tcBorders>
            <w:shd w:val="clear" w:color="auto" w:fill="FFFF00"/>
            <w:noWrap/>
            <w:vAlign w:val="bottom"/>
            <w:hideMark/>
          </w:tcPr>
          <w:p w14:paraId="53C148CF"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0.51</w:t>
            </w:r>
          </w:p>
        </w:tc>
      </w:tr>
      <w:tr w:rsidR="002445C4" w:rsidRPr="002445C4" w14:paraId="53C148DA" w14:textId="77777777" w:rsidTr="00C96FCC">
        <w:trPr>
          <w:trHeight w:hRule="exact" w:val="255"/>
        </w:trPr>
        <w:tc>
          <w:tcPr>
            <w:tcW w:w="771" w:type="dxa"/>
            <w:vMerge/>
            <w:tcBorders>
              <w:top w:val="nil"/>
              <w:left w:val="single" w:sz="4" w:space="0" w:color="auto"/>
              <w:bottom w:val="single" w:sz="4" w:space="0" w:color="auto"/>
              <w:right w:val="single" w:sz="4" w:space="0" w:color="auto"/>
            </w:tcBorders>
            <w:vAlign w:val="center"/>
            <w:hideMark/>
          </w:tcPr>
          <w:p w14:paraId="53C148D1" w14:textId="77777777" w:rsidR="00830E32" w:rsidRPr="002445C4" w:rsidRDefault="00830E32" w:rsidP="00830E32">
            <w:pPr>
              <w:spacing w:after="0"/>
              <w:jc w:val="left"/>
              <w:rPr>
                <w:rFonts w:ascii="Arial Narrow" w:hAnsi="Arial Narrow"/>
                <w:lang w:eastAsia="en-AU"/>
              </w:rPr>
            </w:pPr>
          </w:p>
        </w:tc>
        <w:tc>
          <w:tcPr>
            <w:tcW w:w="1576" w:type="dxa"/>
            <w:vMerge/>
            <w:tcBorders>
              <w:top w:val="nil"/>
              <w:left w:val="single" w:sz="4" w:space="0" w:color="auto"/>
              <w:bottom w:val="single" w:sz="4" w:space="0" w:color="auto"/>
              <w:right w:val="single" w:sz="4" w:space="0" w:color="auto"/>
            </w:tcBorders>
            <w:vAlign w:val="center"/>
            <w:hideMark/>
          </w:tcPr>
          <w:p w14:paraId="53C148D2" w14:textId="77777777" w:rsidR="00830E32" w:rsidRPr="002445C4" w:rsidRDefault="00830E32" w:rsidP="00830E32">
            <w:pPr>
              <w:spacing w:after="0"/>
              <w:jc w:val="left"/>
              <w:rPr>
                <w:rFonts w:ascii="Arial Narrow" w:hAnsi="Arial Narrow"/>
                <w:sz w:val="20"/>
                <w:lang w:eastAsia="en-AU"/>
              </w:rPr>
            </w:pPr>
          </w:p>
        </w:tc>
        <w:tc>
          <w:tcPr>
            <w:tcW w:w="284" w:type="dxa"/>
            <w:tcBorders>
              <w:top w:val="nil"/>
              <w:left w:val="nil"/>
              <w:bottom w:val="single" w:sz="4" w:space="0" w:color="auto"/>
              <w:right w:val="single" w:sz="4" w:space="0" w:color="auto"/>
            </w:tcBorders>
            <w:shd w:val="clear" w:color="auto" w:fill="auto"/>
            <w:noWrap/>
            <w:vAlign w:val="center"/>
            <w:hideMark/>
          </w:tcPr>
          <w:p w14:paraId="53C148D3"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5</w:t>
            </w:r>
          </w:p>
        </w:tc>
        <w:tc>
          <w:tcPr>
            <w:tcW w:w="1134" w:type="dxa"/>
            <w:tcBorders>
              <w:top w:val="nil"/>
              <w:left w:val="nil"/>
              <w:bottom w:val="single" w:sz="4" w:space="0" w:color="auto"/>
              <w:right w:val="single" w:sz="4" w:space="0" w:color="auto"/>
            </w:tcBorders>
            <w:shd w:val="clear" w:color="auto" w:fill="auto"/>
            <w:noWrap/>
            <w:vAlign w:val="bottom"/>
            <w:hideMark/>
          </w:tcPr>
          <w:p w14:paraId="53C148D4"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0.52</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hideMark/>
          </w:tcPr>
          <w:p w14:paraId="53C148D5"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0.36</w:t>
            </w:r>
          </w:p>
        </w:tc>
        <w:tc>
          <w:tcPr>
            <w:tcW w:w="1134" w:type="dxa"/>
            <w:tcBorders>
              <w:top w:val="nil"/>
              <w:left w:val="nil"/>
              <w:bottom w:val="single" w:sz="4" w:space="0" w:color="auto"/>
              <w:right w:val="single" w:sz="4" w:space="0" w:color="auto"/>
            </w:tcBorders>
            <w:shd w:val="clear" w:color="auto" w:fill="auto"/>
            <w:noWrap/>
            <w:vAlign w:val="bottom"/>
            <w:hideMark/>
          </w:tcPr>
          <w:p w14:paraId="53C148D6"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0.53</w:t>
            </w:r>
          </w:p>
        </w:tc>
        <w:tc>
          <w:tcPr>
            <w:tcW w:w="1047" w:type="dxa"/>
            <w:tcBorders>
              <w:top w:val="nil"/>
              <w:left w:val="nil"/>
              <w:bottom w:val="single" w:sz="4" w:space="0" w:color="auto"/>
              <w:right w:val="single" w:sz="4" w:space="0" w:color="auto"/>
            </w:tcBorders>
            <w:shd w:val="clear" w:color="auto" w:fill="auto"/>
            <w:noWrap/>
            <w:vAlign w:val="bottom"/>
            <w:hideMark/>
          </w:tcPr>
          <w:p w14:paraId="53C148D7"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221" w:type="dxa"/>
            <w:tcBorders>
              <w:top w:val="nil"/>
              <w:left w:val="nil"/>
              <w:bottom w:val="single" w:sz="4" w:space="0" w:color="auto"/>
              <w:right w:val="single" w:sz="4" w:space="0" w:color="auto"/>
            </w:tcBorders>
            <w:shd w:val="clear" w:color="auto" w:fill="auto"/>
            <w:noWrap/>
            <w:vAlign w:val="bottom"/>
            <w:hideMark/>
          </w:tcPr>
          <w:p w14:paraId="53C148D8"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117" w:type="dxa"/>
            <w:tcBorders>
              <w:top w:val="nil"/>
              <w:left w:val="nil"/>
              <w:bottom w:val="single" w:sz="4" w:space="0" w:color="auto"/>
              <w:right w:val="single" w:sz="4" w:space="0" w:color="auto"/>
            </w:tcBorders>
            <w:shd w:val="clear" w:color="auto" w:fill="92D050"/>
            <w:noWrap/>
            <w:vAlign w:val="bottom"/>
            <w:hideMark/>
          </w:tcPr>
          <w:p w14:paraId="53C148D9"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0.68</w:t>
            </w:r>
          </w:p>
        </w:tc>
      </w:tr>
      <w:tr w:rsidR="002445C4" w:rsidRPr="002445C4" w14:paraId="53C148E4" w14:textId="77777777" w:rsidTr="004F16D3">
        <w:trPr>
          <w:trHeight w:hRule="exact" w:val="255"/>
        </w:trPr>
        <w:tc>
          <w:tcPr>
            <w:tcW w:w="771" w:type="dxa"/>
            <w:vMerge/>
            <w:tcBorders>
              <w:top w:val="nil"/>
              <w:left w:val="single" w:sz="4" w:space="0" w:color="auto"/>
              <w:bottom w:val="single" w:sz="4" w:space="0" w:color="auto"/>
              <w:right w:val="single" w:sz="4" w:space="0" w:color="auto"/>
            </w:tcBorders>
            <w:vAlign w:val="center"/>
            <w:hideMark/>
          </w:tcPr>
          <w:p w14:paraId="53C148DB" w14:textId="77777777" w:rsidR="00830E32" w:rsidRPr="002445C4" w:rsidRDefault="00830E32" w:rsidP="00830E32">
            <w:pPr>
              <w:spacing w:after="0"/>
              <w:jc w:val="left"/>
              <w:rPr>
                <w:rFonts w:ascii="Arial Narrow" w:hAnsi="Arial Narrow"/>
                <w:lang w:eastAsia="en-AU"/>
              </w:rPr>
            </w:pPr>
          </w:p>
        </w:tc>
        <w:tc>
          <w:tcPr>
            <w:tcW w:w="15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3C148DC" w14:textId="77777777" w:rsidR="00830E32" w:rsidRPr="002445C4" w:rsidRDefault="00830E32" w:rsidP="00830E32">
            <w:pPr>
              <w:spacing w:after="0"/>
              <w:jc w:val="left"/>
              <w:rPr>
                <w:rFonts w:ascii="Arial Narrow" w:hAnsi="Arial Narrow"/>
                <w:sz w:val="20"/>
                <w:lang w:eastAsia="en-AU"/>
              </w:rPr>
            </w:pPr>
            <w:r w:rsidRPr="002445C4">
              <w:rPr>
                <w:rFonts w:ascii="Arial Narrow" w:hAnsi="Arial Narrow"/>
                <w:sz w:val="20"/>
                <w:lang w:eastAsia="en-AU"/>
              </w:rPr>
              <w:t>Pandora</w:t>
            </w:r>
          </w:p>
        </w:tc>
        <w:tc>
          <w:tcPr>
            <w:tcW w:w="284" w:type="dxa"/>
            <w:tcBorders>
              <w:top w:val="nil"/>
              <w:left w:val="nil"/>
              <w:bottom w:val="single" w:sz="4" w:space="0" w:color="auto"/>
              <w:right w:val="single" w:sz="4" w:space="0" w:color="auto"/>
            </w:tcBorders>
            <w:shd w:val="clear" w:color="auto" w:fill="auto"/>
            <w:noWrap/>
            <w:vAlign w:val="center"/>
            <w:hideMark/>
          </w:tcPr>
          <w:p w14:paraId="53C148DD"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2</w:t>
            </w:r>
          </w:p>
        </w:tc>
        <w:tc>
          <w:tcPr>
            <w:tcW w:w="1134" w:type="dxa"/>
            <w:tcBorders>
              <w:top w:val="nil"/>
              <w:left w:val="nil"/>
              <w:bottom w:val="single" w:sz="4" w:space="0" w:color="auto"/>
              <w:right w:val="single" w:sz="4" w:space="0" w:color="auto"/>
            </w:tcBorders>
            <w:shd w:val="clear" w:color="auto" w:fill="auto"/>
            <w:noWrap/>
            <w:vAlign w:val="bottom"/>
            <w:hideMark/>
          </w:tcPr>
          <w:p w14:paraId="53C148DE"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0.12</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hideMark/>
          </w:tcPr>
          <w:p w14:paraId="53C148DF"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0.27</w:t>
            </w:r>
          </w:p>
        </w:tc>
        <w:tc>
          <w:tcPr>
            <w:tcW w:w="1134" w:type="dxa"/>
            <w:tcBorders>
              <w:top w:val="nil"/>
              <w:left w:val="nil"/>
              <w:bottom w:val="single" w:sz="4" w:space="0" w:color="auto"/>
              <w:right w:val="single" w:sz="4" w:space="0" w:color="auto"/>
            </w:tcBorders>
            <w:shd w:val="clear" w:color="auto" w:fill="auto"/>
            <w:noWrap/>
            <w:vAlign w:val="bottom"/>
            <w:hideMark/>
          </w:tcPr>
          <w:p w14:paraId="53C148E0"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047" w:type="dxa"/>
            <w:tcBorders>
              <w:top w:val="nil"/>
              <w:left w:val="nil"/>
              <w:bottom w:val="single" w:sz="4" w:space="0" w:color="auto"/>
              <w:right w:val="single" w:sz="4" w:space="0" w:color="auto"/>
            </w:tcBorders>
            <w:shd w:val="clear" w:color="auto" w:fill="auto"/>
            <w:noWrap/>
            <w:vAlign w:val="bottom"/>
            <w:hideMark/>
          </w:tcPr>
          <w:p w14:paraId="53C148E1"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0.57</w:t>
            </w:r>
          </w:p>
        </w:tc>
        <w:tc>
          <w:tcPr>
            <w:tcW w:w="1221" w:type="dxa"/>
            <w:tcBorders>
              <w:top w:val="nil"/>
              <w:left w:val="nil"/>
              <w:bottom w:val="single" w:sz="4" w:space="0" w:color="auto"/>
              <w:right w:val="single" w:sz="4" w:space="0" w:color="auto"/>
            </w:tcBorders>
            <w:shd w:val="clear" w:color="auto" w:fill="auto"/>
            <w:noWrap/>
            <w:vAlign w:val="bottom"/>
            <w:hideMark/>
          </w:tcPr>
          <w:p w14:paraId="53C148E2"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0.50</w:t>
            </w:r>
          </w:p>
        </w:tc>
        <w:tc>
          <w:tcPr>
            <w:tcW w:w="1117" w:type="dxa"/>
            <w:tcBorders>
              <w:top w:val="nil"/>
              <w:left w:val="nil"/>
              <w:bottom w:val="single" w:sz="4" w:space="0" w:color="auto"/>
              <w:right w:val="single" w:sz="4" w:space="0" w:color="auto"/>
            </w:tcBorders>
            <w:shd w:val="clear" w:color="auto" w:fill="FFC000"/>
            <w:noWrap/>
            <w:vAlign w:val="bottom"/>
            <w:hideMark/>
          </w:tcPr>
          <w:p w14:paraId="53C148E3"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0.29</w:t>
            </w:r>
          </w:p>
        </w:tc>
      </w:tr>
      <w:tr w:rsidR="002445C4" w:rsidRPr="002445C4" w14:paraId="53C148EE" w14:textId="77777777" w:rsidTr="004F16D3">
        <w:trPr>
          <w:trHeight w:hRule="exact" w:val="255"/>
        </w:trPr>
        <w:tc>
          <w:tcPr>
            <w:tcW w:w="771" w:type="dxa"/>
            <w:vMerge/>
            <w:tcBorders>
              <w:top w:val="nil"/>
              <w:left w:val="single" w:sz="4" w:space="0" w:color="auto"/>
              <w:bottom w:val="single" w:sz="4" w:space="0" w:color="auto"/>
              <w:right w:val="single" w:sz="4" w:space="0" w:color="auto"/>
            </w:tcBorders>
            <w:vAlign w:val="center"/>
            <w:hideMark/>
          </w:tcPr>
          <w:p w14:paraId="53C148E5" w14:textId="77777777" w:rsidR="00830E32" w:rsidRPr="002445C4" w:rsidRDefault="00830E32" w:rsidP="00830E32">
            <w:pPr>
              <w:spacing w:after="0"/>
              <w:jc w:val="left"/>
              <w:rPr>
                <w:rFonts w:ascii="Arial Narrow" w:hAnsi="Arial Narrow"/>
                <w:lang w:eastAsia="en-AU"/>
              </w:rPr>
            </w:pPr>
          </w:p>
        </w:tc>
        <w:tc>
          <w:tcPr>
            <w:tcW w:w="1576" w:type="dxa"/>
            <w:vMerge/>
            <w:tcBorders>
              <w:top w:val="nil"/>
              <w:left w:val="single" w:sz="4" w:space="0" w:color="auto"/>
              <w:bottom w:val="single" w:sz="4" w:space="0" w:color="auto"/>
              <w:right w:val="single" w:sz="4" w:space="0" w:color="auto"/>
            </w:tcBorders>
            <w:vAlign w:val="center"/>
            <w:hideMark/>
          </w:tcPr>
          <w:p w14:paraId="53C148E6" w14:textId="77777777" w:rsidR="00830E32" w:rsidRPr="002445C4" w:rsidRDefault="00830E32" w:rsidP="00830E32">
            <w:pPr>
              <w:spacing w:after="0"/>
              <w:jc w:val="left"/>
              <w:rPr>
                <w:rFonts w:ascii="Arial Narrow" w:hAnsi="Arial Narrow"/>
                <w:sz w:val="20"/>
                <w:lang w:eastAsia="en-AU"/>
              </w:rPr>
            </w:pPr>
          </w:p>
        </w:tc>
        <w:tc>
          <w:tcPr>
            <w:tcW w:w="284" w:type="dxa"/>
            <w:tcBorders>
              <w:top w:val="nil"/>
              <w:left w:val="nil"/>
              <w:bottom w:val="single" w:sz="4" w:space="0" w:color="auto"/>
              <w:right w:val="single" w:sz="4" w:space="0" w:color="auto"/>
            </w:tcBorders>
            <w:shd w:val="clear" w:color="auto" w:fill="auto"/>
            <w:noWrap/>
            <w:vAlign w:val="center"/>
            <w:hideMark/>
          </w:tcPr>
          <w:p w14:paraId="53C148E7"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5</w:t>
            </w:r>
          </w:p>
        </w:tc>
        <w:tc>
          <w:tcPr>
            <w:tcW w:w="1134" w:type="dxa"/>
            <w:tcBorders>
              <w:top w:val="nil"/>
              <w:left w:val="nil"/>
              <w:bottom w:val="single" w:sz="4" w:space="0" w:color="auto"/>
              <w:right w:val="single" w:sz="4" w:space="0" w:color="auto"/>
            </w:tcBorders>
            <w:shd w:val="clear" w:color="auto" w:fill="auto"/>
            <w:noWrap/>
            <w:vAlign w:val="bottom"/>
            <w:hideMark/>
          </w:tcPr>
          <w:p w14:paraId="53C148E8"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0.15</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hideMark/>
          </w:tcPr>
          <w:p w14:paraId="53C148E9"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0.77</w:t>
            </w:r>
          </w:p>
        </w:tc>
        <w:tc>
          <w:tcPr>
            <w:tcW w:w="1134" w:type="dxa"/>
            <w:tcBorders>
              <w:top w:val="nil"/>
              <w:left w:val="nil"/>
              <w:bottom w:val="single" w:sz="4" w:space="0" w:color="auto"/>
              <w:right w:val="single" w:sz="4" w:space="0" w:color="auto"/>
            </w:tcBorders>
            <w:shd w:val="clear" w:color="auto" w:fill="auto"/>
            <w:noWrap/>
            <w:vAlign w:val="bottom"/>
            <w:hideMark/>
          </w:tcPr>
          <w:p w14:paraId="53C148EA"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0.15</w:t>
            </w:r>
          </w:p>
        </w:tc>
        <w:tc>
          <w:tcPr>
            <w:tcW w:w="1047" w:type="dxa"/>
            <w:tcBorders>
              <w:top w:val="nil"/>
              <w:left w:val="nil"/>
              <w:bottom w:val="single" w:sz="4" w:space="0" w:color="auto"/>
              <w:right w:val="single" w:sz="4" w:space="0" w:color="auto"/>
            </w:tcBorders>
            <w:shd w:val="clear" w:color="auto" w:fill="auto"/>
            <w:noWrap/>
            <w:vAlign w:val="bottom"/>
            <w:hideMark/>
          </w:tcPr>
          <w:p w14:paraId="53C148EB"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0.37</w:t>
            </w:r>
          </w:p>
        </w:tc>
        <w:tc>
          <w:tcPr>
            <w:tcW w:w="1221" w:type="dxa"/>
            <w:tcBorders>
              <w:top w:val="nil"/>
              <w:left w:val="nil"/>
              <w:bottom w:val="single" w:sz="4" w:space="0" w:color="auto"/>
              <w:right w:val="single" w:sz="4" w:space="0" w:color="auto"/>
            </w:tcBorders>
            <w:shd w:val="clear" w:color="auto" w:fill="auto"/>
            <w:noWrap/>
            <w:vAlign w:val="bottom"/>
            <w:hideMark/>
          </w:tcPr>
          <w:p w14:paraId="53C148EC"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117" w:type="dxa"/>
            <w:tcBorders>
              <w:top w:val="nil"/>
              <w:left w:val="nil"/>
              <w:bottom w:val="single" w:sz="4" w:space="0" w:color="auto"/>
              <w:right w:val="single" w:sz="4" w:space="0" w:color="auto"/>
            </w:tcBorders>
            <w:shd w:val="clear" w:color="auto" w:fill="FFFF00"/>
            <w:noWrap/>
            <w:vAlign w:val="bottom"/>
            <w:hideMark/>
          </w:tcPr>
          <w:p w14:paraId="53C148ED"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0.49</w:t>
            </w:r>
          </w:p>
        </w:tc>
      </w:tr>
      <w:tr w:rsidR="002445C4" w:rsidRPr="002445C4" w14:paraId="53C148F8" w14:textId="77777777" w:rsidTr="00830E32">
        <w:trPr>
          <w:trHeight w:hRule="exact" w:val="255"/>
        </w:trPr>
        <w:tc>
          <w:tcPr>
            <w:tcW w:w="771" w:type="dxa"/>
            <w:vMerge/>
            <w:tcBorders>
              <w:top w:val="nil"/>
              <w:left w:val="single" w:sz="4" w:space="0" w:color="auto"/>
              <w:bottom w:val="single" w:sz="4" w:space="0" w:color="auto"/>
              <w:right w:val="single" w:sz="4" w:space="0" w:color="auto"/>
            </w:tcBorders>
            <w:vAlign w:val="center"/>
            <w:hideMark/>
          </w:tcPr>
          <w:p w14:paraId="53C148EF" w14:textId="77777777" w:rsidR="00830E32" w:rsidRPr="002445C4" w:rsidRDefault="00830E32" w:rsidP="00830E32">
            <w:pPr>
              <w:spacing w:after="0"/>
              <w:jc w:val="left"/>
              <w:rPr>
                <w:rFonts w:ascii="Arial Narrow" w:hAnsi="Arial Narrow"/>
                <w:lang w:eastAsia="en-AU"/>
              </w:rPr>
            </w:pPr>
          </w:p>
        </w:tc>
        <w:tc>
          <w:tcPr>
            <w:tcW w:w="1576" w:type="dxa"/>
            <w:tcBorders>
              <w:top w:val="nil"/>
              <w:left w:val="nil"/>
              <w:bottom w:val="single" w:sz="4" w:space="0" w:color="auto"/>
              <w:right w:val="single" w:sz="4" w:space="0" w:color="auto"/>
            </w:tcBorders>
            <w:shd w:val="clear" w:color="auto" w:fill="auto"/>
            <w:noWrap/>
            <w:vAlign w:val="center"/>
            <w:hideMark/>
          </w:tcPr>
          <w:p w14:paraId="53C148F0" w14:textId="77777777" w:rsidR="00830E32" w:rsidRPr="002445C4" w:rsidRDefault="00830E32" w:rsidP="00830E32">
            <w:pPr>
              <w:spacing w:after="0"/>
              <w:jc w:val="left"/>
              <w:rPr>
                <w:rFonts w:ascii="Arial Narrow" w:hAnsi="Arial Narrow"/>
                <w:sz w:val="20"/>
                <w:lang w:eastAsia="en-AU"/>
              </w:rPr>
            </w:pPr>
            <w:r w:rsidRPr="002445C4">
              <w:rPr>
                <w:rFonts w:ascii="Arial Narrow" w:hAnsi="Arial Narrow"/>
                <w:sz w:val="20"/>
                <w:lang w:eastAsia="en-AU"/>
              </w:rPr>
              <w:t>Pandora North</w:t>
            </w:r>
          </w:p>
        </w:tc>
        <w:tc>
          <w:tcPr>
            <w:tcW w:w="284" w:type="dxa"/>
            <w:tcBorders>
              <w:top w:val="nil"/>
              <w:left w:val="nil"/>
              <w:bottom w:val="single" w:sz="4" w:space="0" w:color="auto"/>
              <w:right w:val="single" w:sz="4" w:space="0" w:color="auto"/>
            </w:tcBorders>
            <w:shd w:val="clear" w:color="auto" w:fill="auto"/>
            <w:noWrap/>
            <w:vAlign w:val="center"/>
            <w:hideMark/>
          </w:tcPr>
          <w:p w14:paraId="53C148F1"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5</w:t>
            </w:r>
          </w:p>
        </w:tc>
        <w:tc>
          <w:tcPr>
            <w:tcW w:w="1134" w:type="dxa"/>
            <w:tcBorders>
              <w:top w:val="nil"/>
              <w:left w:val="nil"/>
              <w:bottom w:val="single" w:sz="4" w:space="0" w:color="auto"/>
              <w:right w:val="single" w:sz="4" w:space="0" w:color="auto"/>
            </w:tcBorders>
            <w:shd w:val="clear" w:color="auto" w:fill="auto"/>
            <w:noWrap/>
            <w:vAlign w:val="bottom"/>
            <w:hideMark/>
          </w:tcPr>
          <w:p w14:paraId="53C148F2"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0.77</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hideMark/>
          </w:tcPr>
          <w:p w14:paraId="53C148F3"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0.52</w:t>
            </w:r>
          </w:p>
        </w:tc>
        <w:tc>
          <w:tcPr>
            <w:tcW w:w="1134" w:type="dxa"/>
            <w:tcBorders>
              <w:top w:val="nil"/>
              <w:left w:val="nil"/>
              <w:bottom w:val="single" w:sz="4" w:space="0" w:color="auto"/>
              <w:right w:val="single" w:sz="4" w:space="0" w:color="auto"/>
            </w:tcBorders>
            <w:shd w:val="clear" w:color="auto" w:fill="auto"/>
            <w:noWrap/>
            <w:vAlign w:val="bottom"/>
            <w:hideMark/>
          </w:tcPr>
          <w:p w14:paraId="53C148F4"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047" w:type="dxa"/>
            <w:tcBorders>
              <w:top w:val="nil"/>
              <w:left w:val="nil"/>
              <w:bottom w:val="single" w:sz="4" w:space="0" w:color="auto"/>
              <w:right w:val="single" w:sz="4" w:space="0" w:color="auto"/>
            </w:tcBorders>
            <w:shd w:val="clear" w:color="auto" w:fill="auto"/>
            <w:noWrap/>
            <w:vAlign w:val="bottom"/>
            <w:hideMark/>
          </w:tcPr>
          <w:p w14:paraId="53C148F5"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0.31</w:t>
            </w:r>
          </w:p>
        </w:tc>
        <w:tc>
          <w:tcPr>
            <w:tcW w:w="1221" w:type="dxa"/>
            <w:tcBorders>
              <w:top w:val="nil"/>
              <w:left w:val="nil"/>
              <w:bottom w:val="single" w:sz="4" w:space="0" w:color="auto"/>
              <w:right w:val="single" w:sz="4" w:space="0" w:color="auto"/>
            </w:tcBorders>
            <w:shd w:val="clear" w:color="auto" w:fill="auto"/>
            <w:noWrap/>
            <w:vAlign w:val="bottom"/>
            <w:hideMark/>
          </w:tcPr>
          <w:p w14:paraId="53C148F6"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117" w:type="dxa"/>
            <w:tcBorders>
              <w:top w:val="nil"/>
              <w:left w:val="nil"/>
              <w:bottom w:val="single" w:sz="4" w:space="0" w:color="auto"/>
              <w:right w:val="single" w:sz="4" w:space="0" w:color="auto"/>
            </w:tcBorders>
            <w:shd w:val="clear" w:color="000000" w:fill="FFC000"/>
            <w:noWrap/>
            <w:vAlign w:val="bottom"/>
            <w:hideMark/>
          </w:tcPr>
          <w:p w14:paraId="53C148F7"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0.32</w:t>
            </w:r>
          </w:p>
        </w:tc>
      </w:tr>
      <w:tr w:rsidR="002445C4" w:rsidRPr="002445C4" w14:paraId="53C14902" w14:textId="77777777" w:rsidTr="004F16D3">
        <w:trPr>
          <w:trHeight w:hRule="exact" w:val="255"/>
        </w:trPr>
        <w:tc>
          <w:tcPr>
            <w:tcW w:w="771" w:type="dxa"/>
            <w:vMerge/>
            <w:tcBorders>
              <w:top w:val="nil"/>
              <w:left w:val="single" w:sz="4" w:space="0" w:color="auto"/>
              <w:bottom w:val="single" w:sz="4" w:space="0" w:color="auto"/>
              <w:right w:val="single" w:sz="4" w:space="0" w:color="auto"/>
            </w:tcBorders>
            <w:vAlign w:val="center"/>
            <w:hideMark/>
          </w:tcPr>
          <w:p w14:paraId="53C148F9" w14:textId="77777777" w:rsidR="00830E32" w:rsidRPr="002445C4" w:rsidRDefault="00830E32" w:rsidP="00830E32">
            <w:pPr>
              <w:spacing w:after="0"/>
              <w:jc w:val="left"/>
              <w:rPr>
                <w:rFonts w:ascii="Arial Narrow" w:hAnsi="Arial Narrow"/>
                <w:lang w:eastAsia="en-AU"/>
              </w:rPr>
            </w:pPr>
          </w:p>
        </w:tc>
        <w:tc>
          <w:tcPr>
            <w:tcW w:w="1576" w:type="dxa"/>
            <w:vMerge w:val="restart"/>
            <w:tcBorders>
              <w:top w:val="nil"/>
              <w:left w:val="single" w:sz="4" w:space="0" w:color="auto"/>
              <w:bottom w:val="single" w:sz="4" w:space="0" w:color="auto"/>
              <w:right w:val="single" w:sz="4" w:space="0" w:color="auto"/>
            </w:tcBorders>
            <w:vAlign w:val="center"/>
            <w:hideMark/>
          </w:tcPr>
          <w:p w14:paraId="53C148FA" w14:textId="77777777" w:rsidR="00830E32" w:rsidRPr="002445C4" w:rsidRDefault="00830E32" w:rsidP="00830E32">
            <w:pPr>
              <w:spacing w:after="0"/>
              <w:jc w:val="left"/>
              <w:rPr>
                <w:rFonts w:ascii="Arial Narrow" w:hAnsi="Arial Narrow"/>
                <w:sz w:val="20"/>
                <w:lang w:eastAsia="en-AU"/>
              </w:rPr>
            </w:pPr>
            <w:r w:rsidRPr="002445C4">
              <w:rPr>
                <w:rFonts w:ascii="Arial Narrow" w:hAnsi="Arial Narrow"/>
                <w:sz w:val="20"/>
                <w:lang w:eastAsia="en-AU"/>
              </w:rPr>
              <w:t>Lady Elliot</w:t>
            </w:r>
          </w:p>
        </w:tc>
        <w:tc>
          <w:tcPr>
            <w:tcW w:w="284" w:type="dxa"/>
            <w:tcBorders>
              <w:top w:val="nil"/>
              <w:left w:val="nil"/>
              <w:bottom w:val="single" w:sz="4" w:space="0" w:color="auto"/>
              <w:right w:val="single" w:sz="4" w:space="0" w:color="auto"/>
            </w:tcBorders>
            <w:shd w:val="clear" w:color="auto" w:fill="auto"/>
            <w:noWrap/>
            <w:vAlign w:val="center"/>
            <w:hideMark/>
          </w:tcPr>
          <w:p w14:paraId="53C148FB"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2</w:t>
            </w:r>
          </w:p>
        </w:tc>
        <w:tc>
          <w:tcPr>
            <w:tcW w:w="1134" w:type="dxa"/>
            <w:tcBorders>
              <w:top w:val="nil"/>
              <w:left w:val="nil"/>
              <w:bottom w:val="single" w:sz="4" w:space="0" w:color="auto"/>
              <w:right w:val="single" w:sz="4" w:space="0" w:color="auto"/>
            </w:tcBorders>
            <w:shd w:val="clear" w:color="auto" w:fill="auto"/>
            <w:noWrap/>
            <w:vAlign w:val="bottom"/>
            <w:hideMark/>
          </w:tcPr>
          <w:p w14:paraId="53C148FC"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0.34</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hideMark/>
          </w:tcPr>
          <w:p w14:paraId="53C148FD"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0.33</w:t>
            </w:r>
          </w:p>
        </w:tc>
        <w:tc>
          <w:tcPr>
            <w:tcW w:w="1134" w:type="dxa"/>
            <w:tcBorders>
              <w:top w:val="nil"/>
              <w:left w:val="nil"/>
              <w:bottom w:val="single" w:sz="4" w:space="0" w:color="auto"/>
              <w:right w:val="single" w:sz="4" w:space="0" w:color="auto"/>
            </w:tcBorders>
            <w:shd w:val="clear" w:color="auto" w:fill="auto"/>
            <w:noWrap/>
            <w:vAlign w:val="bottom"/>
            <w:hideMark/>
          </w:tcPr>
          <w:p w14:paraId="53C148FE"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047" w:type="dxa"/>
            <w:tcBorders>
              <w:top w:val="nil"/>
              <w:left w:val="nil"/>
              <w:bottom w:val="single" w:sz="4" w:space="0" w:color="auto"/>
              <w:right w:val="single" w:sz="4" w:space="0" w:color="auto"/>
            </w:tcBorders>
            <w:shd w:val="clear" w:color="auto" w:fill="auto"/>
            <w:noWrap/>
            <w:vAlign w:val="bottom"/>
            <w:hideMark/>
          </w:tcPr>
          <w:p w14:paraId="53C148FF"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0.66</w:t>
            </w:r>
          </w:p>
        </w:tc>
        <w:tc>
          <w:tcPr>
            <w:tcW w:w="1221" w:type="dxa"/>
            <w:tcBorders>
              <w:top w:val="nil"/>
              <w:left w:val="nil"/>
              <w:bottom w:val="single" w:sz="4" w:space="0" w:color="auto"/>
              <w:right w:val="single" w:sz="4" w:space="0" w:color="auto"/>
            </w:tcBorders>
            <w:shd w:val="clear" w:color="auto" w:fill="auto"/>
            <w:noWrap/>
            <w:vAlign w:val="bottom"/>
            <w:hideMark/>
          </w:tcPr>
          <w:p w14:paraId="53C14900"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117" w:type="dxa"/>
            <w:tcBorders>
              <w:top w:val="nil"/>
              <w:left w:val="nil"/>
              <w:bottom w:val="single" w:sz="4" w:space="0" w:color="auto"/>
              <w:right w:val="single" w:sz="4" w:space="0" w:color="auto"/>
            </w:tcBorders>
            <w:shd w:val="clear" w:color="000000" w:fill="FFFF00"/>
            <w:noWrap/>
            <w:vAlign w:val="bottom"/>
            <w:hideMark/>
          </w:tcPr>
          <w:p w14:paraId="53C14901"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0.47</w:t>
            </w:r>
          </w:p>
        </w:tc>
      </w:tr>
      <w:tr w:rsidR="002445C4" w:rsidRPr="002445C4" w14:paraId="53C1490C" w14:textId="77777777" w:rsidTr="004F16D3">
        <w:trPr>
          <w:trHeight w:hRule="exact" w:val="255"/>
        </w:trPr>
        <w:tc>
          <w:tcPr>
            <w:tcW w:w="771" w:type="dxa"/>
            <w:vMerge/>
            <w:tcBorders>
              <w:top w:val="nil"/>
              <w:left w:val="single" w:sz="4" w:space="0" w:color="auto"/>
              <w:bottom w:val="single" w:sz="4" w:space="0" w:color="auto"/>
              <w:right w:val="single" w:sz="4" w:space="0" w:color="auto"/>
            </w:tcBorders>
            <w:vAlign w:val="center"/>
            <w:hideMark/>
          </w:tcPr>
          <w:p w14:paraId="53C14903" w14:textId="77777777" w:rsidR="00830E32" w:rsidRPr="002445C4" w:rsidRDefault="00830E32" w:rsidP="00830E32">
            <w:pPr>
              <w:spacing w:after="0"/>
              <w:jc w:val="left"/>
              <w:rPr>
                <w:rFonts w:ascii="Arial Narrow" w:hAnsi="Arial Narrow"/>
                <w:lang w:eastAsia="en-AU"/>
              </w:rPr>
            </w:pPr>
          </w:p>
        </w:tc>
        <w:tc>
          <w:tcPr>
            <w:tcW w:w="1576" w:type="dxa"/>
            <w:vMerge/>
            <w:tcBorders>
              <w:top w:val="nil"/>
              <w:left w:val="single" w:sz="4" w:space="0" w:color="auto"/>
              <w:bottom w:val="single" w:sz="4" w:space="0" w:color="auto"/>
              <w:right w:val="single" w:sz="4" w:space="0" w:color="auto"/>
            </w:tcBorders>
            <w:vAlign w:val="center"/>
            <w:hideMark/>
          </w:tcPr>
          <w:p w14:paraId="53C14904" w14:textId="77777777" w:rsidR="00830E32" w:rsidRPr="002445C4" w:rsidRDefault="00830E32" w:rsidP="00830E32">
            <w:pPr>
              <w:spacing w:after="0"/>
              <w:jc w:val="left"/>
              <w:rPr>
                <w:rFonts w:ascii="Arial Narrow" w:hAnsi="Arial Narrow"/>
                <w:sz w:val="20"/>
                <w:lang w:eastAsia="en-AU"/>
              </w:rPr>
            </w:pPr>
          </w:p>
        </w:tc>
        <w:tc>
          <w:tcPr>
            <w:tcW w:w="284" w:type="dxa"/>
            <w:tcBorders>
              <w:top w:val="nil"/>
              <w:left w:val="nil"/>
              <w:bottom w:val="single" w:sz="4" w:space="0" w:color="auto"/>
              <w:right w:val="single" w:sz="4" w:space="0" w:color="auto"/>
            </w:tcBorders>
            <w:shd w:val="clear" w:color="auto" w:fill="auto"/>
            <w:noWrap/>
            <w:vAlign w:val="center"/>
            <w:hideMark/>
          </w:tcPr>
          <w:p w14:paraId="53C14905"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5</w:t>
            </w:r>
          </w:p>
        </w:tc>
        <w:tc>
          <w:tcPr>
            <w:tcW w:w="1134" w:type="dxa"/>
            <w:tcBorders>
              <w:top w:val="nil"/>
              <w:left w:val="nil"/>
              <w:bottom w:val="single" w:sz="4" w:space="0" w:color="auto"/>
              <w:right w:val="single" w:sz="4" w:space="0" w:color="auto"/>
            </w:tcBorders>
            <w:shd w:val="clear" w:color="auto" w:fill="auto"/>
            <w:noWrap/>
            <w:vAlign w:val="bottom"/>
            <w:hideMark/>
          </w:tcPr>
          <w:p w14:paraId="53C14906"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0.55</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hideMark/>
          </w:tcPr>
          <w:p w14:paraId="53C14907"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134" w:type="dxa"/>
            <w:tcBorders>
              <w:top w:val="nil"/>
              <w:left w:val="nil"/>
              <w:bottom w:val="single" w:sz="4" w:space="0" w:color="auto"/>
              <w:right w:val="single" w:sz="4" w:space="0" w:color="auto"/>
            </w:tcBorders>
            <w:shd w:val="clear" w:color="auto" w:fill="auto"/>
            <w:noWrap/>
            <w:vAlign w:val="bottom"/>
            <w:hideMark/>
          </w:tcPr>
          <w:p w14:paraId="53C14908"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047" w:type="dxa"/>
            <w:tcBorders>
              <w:top w:val="nil"/>
              <w:left w:val="nil"/>
              <w:bottom w:val="single" w:sz="4" w:space="0" w:color="auto"/>
              <w:right w:val="single" w:sz="4" w:space="0" w:color="auto"/>
            </w:tcBorders>
            <w:shd w:val="clear" w:color="auto" w:fill="auto"/>
            <w:noWrap/>
            <w:vAlign w:val="bottom"/>
            <w:hideMark/>
          </w:tcPr>
          <w:p w14:paraId="53C14909"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0.65</w:t>
            </w:r>
          </w:p>
        </w:tc>
        <w:tc>
          <w:tcPr>
            <w:tcW w:w="1221" w:type="dxa"/>
            <w:tcBorders>
              <w:top w:val="nil"/>
              <w:left w:val="nil"/>
              <w:bottom w:val="single" w:sz="4" w:space="0" w:color="auto"/>
              <w:right w:val="single" w:sz="4" w:space="0" w:color="auto"/>
            </w:tcBorders>
            <w:shd w:val="clear" w:color="auto" w:fill="auto"/>
            <w:noWrap/>
            <w:vAlign w:val="bottom"/>
            <w:hideMark/>
          </w:tcPr>
          <w:p w14:paraId="53C1490A"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117" w:type="dxa"/>
            <w:tcBorders>
              <w:top w:val="nil"/>
              <w:left w:val="nil"/>
              <w:bottom w:val="single" w:sz="4" w:space="0" w:color="auto"/>
              <w:right w:val="single" w:sz="4" w:space="0" w:color="auto"/>
            </w:tcBorders>
            <w:shd w:val="clear" w:color="000000" w:fill="FFFF00"/>
            <w:noWrap/>
            <w:vAlign w:val="bottom"/>
            <w:hideMark/>
          </w:tcPr>
          <w:p w14:paraId="53C1490B"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0.44</w:t>
            </w:r>
          </w:p>
        </w:tc>
      </w:tr>
      <w:tr w:rsidR="002445C4" w:rsidRPr="002445C4" w14:paraId="53C14916" w14:textId="77777777" w:rsidTr="00830E32">
        <w:trPr>
          <w:trHeight w:hRule="exact" w:val="255"/>
        </w:trPr>
        <w:tc>
          <w:tcPr>
            <w:tcW w:w="771" w:type="dxa"/>
            <w:vMerge/>
            <w:tcBorders>
              <w:top w:val="nil"/>
              <w:left w:val="single" w:sz="4" w:space="0" w:color="auto"/>
              <w:bottom w:val="single" w:sz="4" w:space="0" w:color="auto"/>
              <w:right w:val="single" w:sz="4" w:space="0" w:color="auto"/>
            </w:tcBorders>
            <w:vAlign w:val="center"/>
          </w:tcPr>
          <w:p w14:paraId="53C1490D" w14:textId="77777777" w:rsidR="00830E32" w:rsidRPr="002445C4" w:rsidRDefault="00830E32" w:rsidP="00830E32">
            <w:pPr>
              <w:spacing w:after="0"/>
              <w:jc w:val="left"/>
              <w:rPr>
                <w:rFonts w:ascii="Arial Narrow" w:hAnsi="Arial Narrow"/>
                <w:lang w:eastAsia="en-AU"/>
              </w:rPr>
            </w:pPr>
          </w:p>
        </w:tc>
        <w:tc>
          <w:tcPr>
            <w:tcW w:w="1576" w:type="dxa"/>
            <w:vMerge w:val="restart"/>
            <w:tcBorders>
              <w:top w:val="nil"/>
              <w:left w:val="nil"/>
              <w:right w:val="single" w:sz="4" w:space="0" w:color="auto"/>
            </w:tcBorders>
            <w:shd w:val="clear" w:color="auto" w:fill="auto"/>
            <w:noWrap/>
            <w:vAlign w:val="center"/>
          </w:tcPr>
          <w:p w14:paraId="53C1490E" w14:textId="77777777" w:rsidR="00830E32" w:rsidRPr="002445C4" w:rsidRDefault="00830E32" w:rsidP="00830E32">
            <w:pPr>
              <w:spacing w:after="0"/>
              <w:jc w:val="left"/>
              <w:rPr>
                <w:rFonts w:ascii="Arial Narrow" w:hAnsi="Arial Narrow"/>
                <w:sz w:val="20"/>
                <w:lang w:eastAsia="en-AU"/>
              </w:rPr>
            </w:pPr>
            <w:r w:rsidRPr="002445C4">
              <w:rPr>
                <w:rFonts w:ascii="Arial Narrow" w:hAnsi="Arial Narrow"/>
                <w:sz w:val="20"/>
                <w:lang w:eastAsia="en-AU"/>
              </w:rPr>
              <w:t>Magnetic</w:t>
            </w:r>
          </w:p>
        </w:tc>
        <w:tc>
          <w:tcPr>
            <w:tcW w:w="284" w:type="dxa"/>
            <w:tcBorders>
              <w:top w:val="nil"/>
              <w:left w:val="nil"/>
              <w:bottom w:val="single" w:sz="4" w:space="0" w:color="auto"/>
              <w:right w:val="single" w:sz="4" w:space="0" w:color="auto"/>
            </w:tcBorders>
            <w:shd w:val="clear" w:color="auto" w:fill="auto"/>
            <w:noWrap/>
            <w:vAlign w:val="center"/>
          </w:tcPr>
          <w:p w14:paraId="53C1490F"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2</w:t>
            </w:r>
          </w:p>
        </w:tc>
        <w:tc>
          <w:tcPr>
            <w:tcW w:w="1134" w:type="dxa"/>
            <w:tcBorders>
              <w:top w:val="nil"/>
              <w:left w:val="nil"/>
              <w:bottom w:val="single" w:sz="4" w:space="0" w:color="auto"/>
              <w:right w:val="single" w:sz="4" w:space="0" w:color="auto"/>
            </w:tcBorders>
            <w:shd w:val="clear" w:color="auto" w:fill="auto"/>
            <w:noWrap/>
            <w:vAlign w:val="bottom"/>
          </w:tcPr>
          <w:p w14:paraId="53C14910"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0.31</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tcPr>
          <w:p w14:paraId="53C14911"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0.22</w:t>
            </w:r>
          </w:p>
        </w:tc>
        <w:tc>
          <w:tcPr>
            <w:tcW w:w="1134" w:type="dxa"/>
            <w:tcBorders>
              <w:top w:val="nil"/>
              <w:left w:val="nil"/>
              <w:bottom w:val="single" w:sz="4" w:space="0" w:color="auto"/>
              <w:right w:val="single" w:sz="4" w:space="0" w:color="auto"/>
            </w:tcBorders>
            <w:shd w:val="clear" w:color="auto" w:fill="auto"/>
            <w:noWrap/>
            <w:vAlign w:val="bottom"/>
          </w:tcPr>
          <w:p w14:paraId="53C14912"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047" w:type="dxa"/>
            <w:tcBorders>
              <w:top w:val="nil"/>
              <w:left w:val="nil"/>
              <w:bottom w:val="single" w:sz="4" w:space="0" w:color="auto"/>
              <w:right w:val="single" w:sz="4" w:space="0" w:color="auto"/>
            </w:tcBorders>
            <w:shd w:val="clear" w:color="auto" w:fill="auto"/>
            <w:noWrap/>
            <w:vAlign w:val="bottom"/>
          </w:tcPr>
          <w:p w14:paraId="53C14913"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0.45</w:t>
            </w:r>
          </w:p>
        </w:tc>
        <w:tc>
          <w:tcPr>
            <w:tcW w:w="1221" w:type="dxa"/>
            <w:tcBorders>
              <w:top w:val="nil"/>
              <w:left w:val="nil"/>
              <w:bottom w:val="single" w:sz="4" w:space="0" w:color="auto"/>
              <w:right w:val="single" w:sz="4" w:space="0" w:color="auto"/>
            </w:tcBorders>
            <w:shd w:val="clear" w:color="auto" w:fill="auto"/>
            <w:noWrap/>
            <w:vAlign w:val="bottom"/>
          </w:tcPr>
          <w:p w14:paraId="53C14914"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0.50</w:t>
            </w:r>
          </w:p>
        </w:tc>
        <w:tc>
          <w:tcPr>
            <w:tcW w:w="1117" w:type="dxa"/>
            <w:tcBorders>
              <w:top w:val="nil"/>
              <w:left w:val="nil"/>
              <w:bottom w:val="single" w:sz="4" w:space="0" w:color="auto"/>
              <w:right w:val="single" w:sz="4" w:space="0" w:color="auto"/>
            </w:tcBorders>
            <w:shd w:val="clear" w:color="auto" w:fill="FFC000"/>
            <w:noWrap/>
            <w:vAlign w:val="bottom"/>
          </w:tcPr>
          <w:p w14:paraId="53C14915"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0.30</w:t>
            </w:r>
          </w:p>
        </w:tc>
      </w:tr>
      <w:tr w:rsidR="002445C4" w:rsidRPr="002445C4" w14:paraId="53C14920" w14:textId="77777777" w:rsidTr="00830E32">
        <w:trPr>
          <w:trHeight w:hRule="exact" w:val="255"/>
        </w:trPr>
        <w:tc>
          <w:tcPr>
            <w:tcW w:w="771" w:type="dxa"/>
            <w:vMerge/>
            <w:tcBorders>
              <w:top w:val="nil"/>
              <w:left w:val="single" w:sz="4" w:space="0" w:color="auto"/>
              <w:bottom w:val="single" w:sz="4" w:space="0" w:color="auto"/>
              <w:right w:val="single" w:sz="4" w:space="0" w:color="auto"/>
            </w:tcBorders>
            <w:vAlign w:val="center"/>
          </w:tcPr>
          <w:p w14:paraId="53C14917" w14:textId="77777777" w:rsidR="00830E32" w:rsidRPr="002445C4" w:rsidRDefault="00830E32" w:rsidP="00830E32">
            <w:pPr>
              <w:spacing w:after="0"/>
              <w:jc w:val="left"/>
              <w:rPr>
                <w:rFonts w:ascii="Arial Narrow" w:hAnsi="Arial Narrow"/>
                <w:lang w:eastAsia="en-AU"/>
              </w:rPr>
            </w:pPr>
          </w:p>
        </w:tc>
        <w:tc>
          <w:tcPr>
            <w:tcW w:w="1576" w:type="dxa"/>
            <w:vMerge/>
            <w:tcBorders>
              <w:left w:val="nil"/>
              <w:bottom w:val="single" w:sz="4" w:space="0" w:color="auto"/>
              <w:right w:val="single" w:sz="4" w:space="0" w:color="auto"/>
            </w:tcBorders>
            <w:shd w:val="clear" w:color="auto" w:fill="auto"/>
            <w:noWrap/>
            <w:vAlign w:val="center"/>
          </w:tcPr>
          <w:p w14:paraId="53C14918" w14:textId="77777777" w:rsidR="00830E32" w:rsidRPr="002445C4" w:rsidRDefault="00830E32" w:rsidP="00830E32">
            <w:pPr>
              <w:spacing w:after="0"/>
              <w:jc w:val="left"/>
              <w:rPr>
                <w:rFonts w:ascii="Arial Narrow" w:hAnsi="Arial Narrow"/>
                <w:sz w:val="20"/>
                <w:lang w:eastAsia="en-AU"/>
              </w:rPr>
            </w:pPr>
          </w:p>
        </w:tc>
        <w:tc>
          <w:tcPr>
            <w:tcW w:w="284" w:type="dxa"/>
            <w:tcBorders>
              <w:top w:val="nil"/>
              <w:left w:val="nil"/>
              <w:bottom w:val="single" w:sz="4" w:space="0" w:color="auto"/>
              <w:right w:val="single" w:sz="4" w:space="0" w:color="auto"/>
            </w:tcBorders>
            <w:shd w:val="clear" w:color="auto" w:fill="auto"/>
            <w:noWrap/>
            <w:vAlign w:val="center"/>
          </w:tcPr>
          <w:p w14:paraId="53C14919"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5</w:t>
            </w:r>
          </w:p>
        </w:tc>
        <w:tc>
          <w:tcPr>
            <w:tcW w:w="1134" w:type="dxa"/>
            <w:tcBorders>
              <w:top w:val="nil"/>
              <w:left w:val="nil"/>
              <w:bottom w:val="single" w:sz="4" w:space="0" w:color="auto"/>
              <w:right w:val="single" w:sz="4" w:space="0" w:color="auto"/>
            </w:tcBorders>
            <w:shd w:val="clear" w:color="auto" w:fill="auto"/>
            <w:noWrap/>
            <w:vAlign w:val="bottom"/>
          </w:tcPr>
          <w:p w14:paraId="53C1491A"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0.50</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tcPr>
          <w:p w14:paraId="53C1491B"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0.67</w:t>
            </w:r>
          </w:p>
        </w:tc>
        <w:tc>
          <w:tcPr>
            <w:tcW w:w="1134" w:type="dxa"/>
            <w:tcBorders>
              <w:top w:val="nil"/>
              <w:left w:val="nil"/>
              <w:bottom w:val="single" w:sz="4" w:space="0" w:color="auto"/>
              <w:right w:val="single" w:sz="4" w:space="0" w:color="auto"/>
            </w:tcBorders>
            <w:shd w:val="clear" w:color="auto" w:fill="auto"/>
            <w:noWrap/>
            <w:vAlign w:val="bottom"/>
          </w:tcPr>
          <w:p w14:paraId="53C1491C"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047" w:type="dxa"/>
            <w:tcBorders>
              <w:top w:val="nil"/>
              <w:left w:val="nil"/>
              <w:bottom w:val="single" w:sz="4" w:space="0" w:color="auto"/>
              <w:right w:val="single" w:sz="4" w:space="0" w:color="auto"/>
            </w:tcBorders>
            <w:shd w:val="clear" w:color="auto" w:fill="auto"/>
            <w:noWrap/>
            <w:vAlign w:val="bottom"/>
          </w:tcPr>
          <w:p w14:paraId="53C1491D"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0.53</w:t>
            </w:r>
          </w:p>
        </w:tc>
        <w:tc>
          <w:tcPr>
            <w:tcW w:w="1221" w:type="dxa"/>
            <w:tcBorders>
              <w:top w:val="nil"/>
              <w:left w:val="nil"/>
              <w:bottom w:val="single" w:sz="4" w:space="0" w:color="auto"/>
              <w:right w:val="single" w:sz="4" w:space="0" w:color="auto"/>
            </w:tcBorders>
            <w:shd w:val="clear" w:color="auto" w:fill="auto"/>
            <w:noWrap/>
            <w:vAlign w:val="bottom"/>
          </w:tcPr>
          <w:p w14:paraId="53C1491E"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0.50</w:t>
            </w:r>
          </w:p>
        </w:tc>
        <w:tc>
          <w:tcPr>
            <w:tcW w:w="1117" w:type="dxa"/>
            <w:tcBorders>
              <w:top w:val="nil"/>
              <w:left w:val="nil"/>
              <w:bottom w:val="single" w:sz="4" w:space="0" w:color="auto"/>
              <w:right w:val="single" w:sz="4" w:space="0" w:color="auto"/>
            </w:tcBorders>
            <w:shd w:val="clear" w:color="auto" w:fill="FFFF00"/>
            <w:noWrap/>
            <w:vAlign w:val="bottom"/>
          </w:tcPr>
          <w:p w14:paraId="53C1491F"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0.44</w:t>
            </w:r>
          </w:p>
        </w:tc>
      </w:tr>
      <w:tr w:rsidR="002445C4" w:rsidRPr="002445C4" w14:paraId="53C1492A" w14:textId="77777777" w:rsidTr="00830E32">
        <w:trPr>
          <w:trHeight w:hRule="exact" w:val="255"/>
        </w:trPr>
        <w:tc>
          <w:tcPr>
            <w:tcW w:w="771" w:type="dxa"/>
            <w:vMerge/>
            <w:tcBorders>
              <w:top w:val="nil"/>
              <w:left w:val="single" w:sz="4" w:space="0" w:color="auto"/>
              <w:bottom w:val="single" w:sz="4" w:space="0" w:color="auto"/>
              <w:right w:val="single" w:sz="4" w:space="0" w:color="auto"/>
            </w:tcBorders>
            <w:vAlign w:val="center"/>
            <w:hideMark/>
          </w:tcPr>
          <w:p w14:paraId="53C14921" w14:textId="77777777" w:rsidR="00830E32" w:rsidRPr="002445C4" w:rsidRDefault="00830E32" w:rsidP="00830E32">
            <w:pPr>
              <w:spacing w:after="0"/>
              <w:jc w:val="left"/>
              <w:rPr>
                <w:rFonts w:ascii="Arial Narrow" w:hAnsi="Arial Narrow"/>
                <w:lang w:eastAsia="en-AU"/>
              </w:rPr>
            </w:pPr>
          </w:p>
        </w:tc>
        <w:tc>
          <w:tcPr>
            <w:tcW w:w="1576" w:type="dxa"/>
            <w:tcBorders>
              <w:top w:val="nil"/>
              <w:left w:val="nil"/>
              <w:bottom w:val="single" w:sz="4" w:space="0" w:color="auto"/>
              <w:right w:val="single" w:sz="4" w:space="0" w:color="auto"/>
            </w:tcBorders>
            <w:shd w:val="clear" w:color="auto" w:fill="auto"/>
            <w:noWrap/>
            <w:vAlign w:val="center"/>
            <w:hideMark/>
          </w:tcPr>
          <w:p w14:paraId="53C14922" w14:textId="77777777" w:rsidR="00830E32" w:rsidRPr="002445C4" w:rsidRDefault="00830E32" w:rsidP="00830E32">
            <w:pPr>
              <w:spacing w:after="0"/>
              <w:jc w:val="left"/>
              <w:rPr>
                <w:rFonts w:ascii="Arial Narrow" w:hAnsi="Arial Narrow"/>
                <w:sz w:val="20"/>
                <w:lang w:eastAsia="en-AU"/>
              </w:rPr>
            </w:pPr>
            <w:r w:rsidRPr="002445C4">
              <w:rPr>
                <w:rFonts w:ascii="Arial Narrow" w:hAnsi="Arial Narrow"/>
                <w:sz w:val="20"/>
                <w:lang w:eastAsia="en-AU"/>
              </w:rPr>
              <w:t>Middle Rf LTMP</w:t>
            </w:r>
          </w:p>
        </w:tc>
        <w:tc>
          <w:tcPr>
            <w:tcW w:w="284" w:type="dxa"/>
            <w:tcBorders>
              <w:top w:val="nil"/>
              <w:left w:val="nil"/>
              <w:bottom w:val="single" w:sz="4" w:space="0" w:color="auto"/>
              <w:right w:val="single" w:sz="4" w:space="0" w:color="auto"/>
            </w:tcBorders>
            <w:shd w:val="clear" w:color="auto" w:fill="auto"/>
            <w:noWrap/>
            <w:vAlign w:val="center"/>
            <w:hideMark/>
          </w:tcPr>
          <w:p w14:paraId="53C14923"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2</w:t>
            </w:r>
          </w:p>
        </w:tc>
        <w:tc>
          <w:tcPr>
            <w:tcW w:w="1134" w:type="dxa"/>
            <w:tcBorders>
              <w:top w:val="nil"/>
              <w:left w:val="nil"/>
              <w:bottom w:val="single" w:sz="4" w:space="0" w:color="auto"/>
              <w:right w:val="single" w:sz="4" w:space="0" w:color="auto"/>
            </w:tcBorders>
            <w:shd w:val="clear" w:color="auto" w:fill="auto"/>
            <w:noWrap/>
            <w:vAlign w:val="bottom"/>
            <w:hideMark/>
          </w:tcPr>
          <w:p w14:paraId="53C14924"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0.52</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hideMark/>
          </w:tcPr>
          <w:p w14:paraId="53C14925"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0.54</w:t>
            </w:r>
          </w:p>
        </w:tc>
        <w:tc>
          <w:tcPr>
            <w:tcW w:w="1134" w:type="dxa"/>
            <w:tcBorders>
              <w:top w:val="nil"/>
              <w:left w:val="nil"/>
              <w:bottom w:val="single" w:sz="4" w:space="0" w:color="auto"/>
              <w:right w:val="single" w:sz="4" w:space="0" w:color="auto"/>
            </w:tcBorders>
            <w:shd w:val="clear" w:color="auto" w:fill="auto"/>
            <w:noWrap/>
            <w:vAlign w:val="bottom"/>
            <w:hideMark/>
          </w:tcPr>
          <w:p w14:paraId="53C14926"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047" w:type="dxa"/>
            <w:tcBorders>
              <w:top w:val="nil"/>
              <w:left w:val="nil"/>
              <w:bottom w:val="single" w:sz="4" w:space="0" w:color="auto"/>
              <w:right w:val="single" w:sz="4" w:space="0" w:color="auto"/>
            </w:tcBorders>
            <w:shd w:val="clear" w:color="auto" w:fill="auto"/>
            <w:noWrap/>
            <w:vAlign w:val="bottom"/>
            <w:hideMark/>
          </w:tcPr>
          <w:p w14:paraId="53C14927"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NA</w:t>
            </w:r>
          </w:p>
        </w:tc>
        <w:tc>
          <w:tcPr>
            <w:tcW w:w="1221" w:type="dxa"/>
            <w:tcBorders>
              <w:top w:val="nil"/>
              <w:left w:val="nil"/>
              <w:bottom w:val="single" w:sz="4" w:space="0" w:color="auto"/>
              <w:right w:val="single" w:sz="4" w:space="0" w:color="auto"/>
            </w:tcBorders>
            <w:shd w:val="clear" w:color="auto" w:fill="auto"/>
            <w:noWrap/>
            <w:vAlign w:val="bottom"/>
            <w:hideMark/>
          </w:tcPr>
          <w:p w14:paraId="53C14928"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0.50</w:t>
            </w:r>
          </w:p>
        </w:tc>
        <w:tc>
          <w:tcPr>
            <w:tcW w:w="1117" w:type="dxa"/>
            <w:tcBorders>
              <w:top w:val="nil"/>
              <w:left w:val="nil"/>
              <w:bottom w:val="single" w:sz="4" w:space="0" w:color="auto"/>
              <w:right w:val="single" w:sz="4" w:space="0" w:color="auto"/>
            </w:tcBorders>
            <w:shd w:val="clear" w:color="000000" w:fill="FFC000"/>
            <w:noWrap/>
            <w:vAlign w:val="bottom"/>
            <w:hideMark/>
          </w:tcPr>
          <w:p w14:paraId="53C14929"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0.39</w:t>
            </w:r>
          </w:p>
        </w:tc>
      </w:tr>
      <w:tr w:rsidR="002445C4" w:rsidRPr="002445C4" w14:paraId="53C14934" w14:textId="77777777" w:rsidTr="00C96FCC">
        <w:trPr>
          <w:cantSplit/>
          <w:trHeight w:hRule="exact" w:val="255"/>
        </w:trPr>
        <w:tc>
          <w:tcPr>
            <w:tcW w:w="2631" w:type="dxa"/>
            <w:gridSpan w:val="3"/>
            <w:tcBorders>
              <w:top w:val="nil"/>
              <w:left w:val="single" w:sz="4" w:space="0" w:color="auto"/>
              <w:bottom w:val="single" w:sz="4" w:space="0" w:color="auto"/>
              <w:right w:val="single" w:sz="4" w:space="0" w:color="auto"/>
            </w:tcBorders>
            <w:shd w:val="clear" w:color="auto" w:fill="auto"/>
            <w:noWrap/>
            <w:vAlign w:val="center"/>
            <w:hideMark/>
          </w:tcPr>
          <w:p w14:paraId="53C1492B" w14:textId="77777777" w:rsidR="00830E32" w:rsidRPr="002445C4" w:rsidRDefault="00830E32" w:rsidP="00830E32">
            <w:pPr>
              <w:shd w:val="clear" w:color="auto" w:fill="FFFF00"/>
              <w:spacing w:after="0"/>
              <w:jc w:val="center"/>
              <w:rPr>
                <w:rFonts w:ascii="Arial Narrow" w:hAnsi="Arial Narrow"/>
                <w:lang w:eastAsia="en-AU"/>
              </w:rPr>
            </w:pPr>
            <w:r w:rsidRPr="002445C4">
              <w:rPr>
                <w:rFonts w:ascii="Arial Narrow" w:hAnsi="Arial Narrow"/>
                <w:sz w:val="20"/>
                <w:lang w:eastAsia="en-AU"/>
              </w:rPr>
              <w:t>Report Card Score – Moderate</w:t>
            </w:r>
            <w:r w:rsidRPr="002445C4">
              <w:rPr>
                <w:rFonts w:ascii="Arial Narrow" w:hAnsi="Arial Narrow"/>
                <w:lang w:eastAsia="en-AU"/>
              </w:rPr>
              <w:t> </w:t>
            </w:r>
          </w:p>
          <w:p w14:paraId="53C1492C" w14:textId="77777777" w:rsidR="00830E32" w:rsidRPr="002445C4" w:rsidRDefault="00830E32" w:rsidP="00830E32">
            <w:pPr>
              <w:spacing w:after="0"/>
              <w:jc w:val="left"/>
              <w:rPr>
                <w:rFonts w:ascii="Arial Narrow" w:hAnsi="Arial Narrow"/>
                <w:sz w:val="20"/>
                <w:lang w:eastAsia="en-AU"/>
              </w:rPr>
            </w:pPr>
            <w:r w:rsidRPr="002445C4">
              <w:rPr>
                <w:rFonts w:ascii="Arial Narrow" w:hAnsi="Arial Narrow"/>
                <w:sz w:val="20"/>
                <w:lang w:eastAsia="en-AU"/>
              </w:rPr>
              <w:t> </w:t>
            </w:r>
          </w:p>
          <w:p w14:paraId="53C1492D" w14:textId="77777777" w:rsidR="00830E32" w:rsidRPr="002445C4" w:rsidRDefault="00830E32" w:rsidP="00830E32">
            <w:pPr>
              <w:spacing w:after="0"/>
              <w:jc w:val="center"/>
              <w:rPr>
                <w:rFonts w:ascii="Arial Narrow" w:hAnsi="Arial Narrow"/>
                <w:lang w:eastAsia="en-AU"/>
              </w:rPr>
            </w:pPr>
            <w:r w:rsidRPr="002445C4">
              <w:rPr>
                <w:rFonts w:ascii="Arial Narrow" w:hAnsi="Arial Narrow"/>
                <w:lang w:eastAsia="en-AU"/>
              </w:rPr>
              <w:t> </w:t>
            </w:r>
          </w:p>
        </w:tc>
        <w:tc>
          <w:tcPr>
            <w:tcW w:w="1134" w:type="dxa"/>
            <w:tcBorders>
              <w:top w:val="nil"/>
              <w:left w:val="nil"/>
              <w:bottom w:val="single" w:sz="4" w:space="0" w:color="auto"/>
              <w:right w:val="single" w:sz="4" w:space="0" w:color="auto"/>
            </w:tcBorders>
            <w:shd w:val="clear" w:color="auto" w:fill="FFFF00"/>
            <w:noWrap/>
            <w:vAlign w:val="bottom"/>
          </w:tcPr>
          <w:p w14:paraId="53C1492E"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0.44</w:t>
            </w:r>
          </w:p>
        </w:tc>
        <w:tc>
          <w:tcPr>
            <w:tcW w:w="1134" w:type="dxa"/>
            <w:tcBorders>
              <w:top w:val="nil"/>
              <w:left w:val="nil"/>
              <w:bottom w:val="single" w:sz="4" w:space="0" w:color="auto"/>
              <w:right w:val="single" w:sz="4" w:space="0" w:color="auto"/>
            </w:tcBorders>
            <w:shd w:val="clear" w:color="000000" w:fill="FFFF00"/>
            <w:noWrap/>
            <w:tcMar>
              <w:left w:w="0" w:type="dxa"/>
              <w:right w:w="0" w:type="dxa"/>
            </w:tcMar>
            <w:vAlign w:val="bottom"/>
          </w:tcPr>
          <w:p w14:paraId="53C1492F"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0.46</w:t>
            </w:r>
          </w:p>
        </w:tc>
        <w:tc>
          <w:tcPr>
            <w:tcW w:w="1134" w:type="dxa"/>
            <w:tcBorders>
              <w:top w:val="nil"/>
              <w:left w:val="nil"/>
              <w:bottom w:val="single" w:sz="4" w:space="0" w:color="auto"/>
              <w:right w:val="single" w:sz="4" w:space="0" w:color="auto"/>
            </w:tcBorders>
            <w:shd w:val="clear" w:color="000000" w:fill="FFC000"/>
            <w:noWrap/>
            <w:vAlign w:val="bottom"/>
          </w:tcPr>
          <w:p w14:paraId="53C14930"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0.36</w:t>
            </w:r>
          </w:p>
        </w:tc>
        <w:tc>
          <w:tcPr>
            <w:tcW w:w="1047" w:type="dxa"/>
            <w:tcBorders>
              <w:top w:val="nil"/>
              <w:left w:val="nil"/>
              <w:bottom w:val="single" w:sz="4" w:space="0" w:color="auto"/>
              <w:right w:val="single" w:sz="4" w:space="0" w:color="auto"/>
            </w:tcBorders>
            <w:shd w:val="clear" w:color="000000" w:fill="FFFF00"/>
            <w:noWrap/>
            <w:vAlign w:val="bottom"/>
          </w:tcPr>
          <w:p w14:paraId="53C14931"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0.59</w:t>
            </w:r>
          </w:p>
        </w:tc>
        <w:tc>
          <w:tcPr>
            <w:tcW w:w="1221" w:type="dxa"/>
            <w:tcBorders>
              <w:top w:val="nil"/>
              <w:left w:val="nil"/>
              <w:bottom w:val="single" w:sz="4" w:space="0" w:color="auto"/>
              <w:right w:val="single" w:sz="4" w:space="0" w:color="auto"/>
            </w:tcBorders>
            <w:shd w:val="clear" w:color="auto" w:fill="92D050"/>
            <w:noWrap/>
            <w:vAlign w:val="bottom"/>
          </w:tcPr>
          <w:p w14:paraId="53C14932"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0.63</w:t>
            </w:r>
          </w:p>
        </w:tc>
        <w:tc>
          <w:tcPr>
            <w:tcW w:w="1117" w:type="dxa"/>
            <w:tcBorders>
              <w:top w:val="nil"/>
              <w:left w:val="nil"/>
              <w:bottom w:val="single" w:sz="4" w:space="0" w:color="auto"/>
              <w:right w:val="single" w:sz="4" w:space="0" w:color="auto"/>
            </w:tcBorders>
            <w:shd w:val="clear" w:color="000000" w:fill="FFFF00"/>
            <w:noWrap/>
            <w:vAlign w:val="bottom"/>
          </w:tcPr>
          <w:p w14:paraId="53C14933"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0.50</w:t>
            </w:r>
          </w:p>
        </w:tc>
      </w:tr>
      <w:bookmarkEnd w:id="614"/>
    </w:tbl>
    <w:p w14:paraId="53C14935" w14:textId="77777777" w:rsidR="00A84742" w:rsidRPr="002445C4" w:rsidRDefault="00A84742" w:rsidP="00A84742">
      <w:pPr>
        <w:jc w:val="left"/>
        <w:rPr>
          <w:rFonts w:ascii="Arial Narrow" w:hAnsi="Arial Narrow"/>
        </w:rPr>
      </w:pPr>
    </w:p>
    <w:p w14:paraId="53C14936" w14:textId="77777777" w:rsidR="00A84742" w:rsidRPr="002445C4" w:rsidRDefault="00A84742" w:rsidP="00A84742">
      <w:pPr>
        <w:jc w:val="left"/>
        <w:rPr>
          <w:rFonts w:ascii="Arial Narrow" w:hAnsi="Arial Narrow"/>
        </w:rPr>
      </w:pPr>
    </w:p>
    <w:p w14:paraId="53C14937" w14:textId="77777777" w:rsidR="00A84742" w:rsidRPr="002445C4" w:rsidRDefault="00A84742" w:rsidP="00A84742">
      <w:pPr>
        <w:jc w:val="left"/>
        <w:rPr>
          <w:rFonts w:ascii="Arial Narrow" w:hAnsi="Arial Narrow"/>
          <w:bCs/>
          <w:sz w:val="20"/>
        </w:rPr>
      </w:pPr>
      <w:r w:rsidRPr="002445C4">
        <w:rPr>
          <w:rFonts w:ascii="Arial Narrow" w:hAnsi="Arial Narrow"/>
          <w:bCs/>
          <w:sz w:val="20"/>
        </w:rPr>
        <w:t>Table A 5 continued</w:t>
      </w:r>
    </w:p>
    <w:tbl>
      <w:tblPr>
        <w:tblW w:w="9418" w:type="dxa"/>
        <w:tblInd w:w="91" w:type="dxa"/>
        <w:tblLayout w:type="fixed"/>
        <w:tblCellMar>
          <w:left w:w="28" w:type="dxa"/>
          <w:right w:w="28" w:type="dxa"/>
        </w:tblCellMar>
        <w:tblLook w:val="04A0" w:firstRow="1" w:lastRow="0" w:firstColumn="1" w:lastColumn="0" w:noHBand="0" w:noVBand="1"/>
        <w:tblCaption w:val="Table A 5 continued"/>
        <w:tblDescription w:val=" A Table listing the reef level scores for the index and each metric estimated in 2018. "/>
      </w:tblPr>
      <w:tblGrid>
        <w:gridCol w:w="771"/>
        <w:gridCol w:w="1576"/>
        <w:gridCol w:w="284"/>
        <w:gridCol w:w="1134"/>
        <w:gridCol w:w="1134"/>
        <w:gridCol w:w="1134"/>
        <w:gridCol w:w="1047"/>
        <w:gridCol w:w="1221"/>
        <w:gridCol w:w="1117"/>
      </w:tblGrid>
      <w:tr w:rsidR="002445C4" w:rsidRPr="002445C4" w14:paraId="53C14941" w14:textId="77777777" w:rsidTr="004F16D3">
        <w:trPr>
          <w:cantSplit/>
          <w:trHeight w:val="925"/>
          <w:tblHeader/>
        </w:trPr>
        <w:tc>
          <w:tcPr>
            <w:tcW w:w="771"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53C14938" w14:textId="77777777" w:rsidR="00A84742" w:rsidRPr="002445C4" w:rsidRDefault="00A84742" w:rsidP="00A84742">
            <w:pPr>
              <w:spacing w:after="0"/>
              <w:jc w:val="center"/>
              <w:rPr>
                <w:rFonts w:ascii="Arial Narrow" w:hAnsi="Arial Narrow"/>
                <w:b/>
                <w:sz w:val="20"/>
                <w:lang w:eastAsia="en-AU"/>
              </w:rPr>
            </w:pPr>
            <w:bookmarkStart w:id="615" w:name="_Hlk22738628"/>
            <w:r w:rsidRPr="002445C4">
              <w:rPr>
                <w:rFonts w:ascii="Arial Narrow" w:hAnsi="Arial Narrow"/>
                <w:b/>
                <w:sz w:val="20"/>
                <w:lang w:eastAsia="en-AU"/>
              </w:rPr>
              <w:t>Region</w:t>
            </w:r>
          </w:p>
        </w:tc>
        <w:tc>
          <w:tcPr>
            <w:tcW w:w="1576" w:type="dxa"/>
            <w:tcBorders>
              <w:top w:val="single" w:sz="4" w:space="0" w:color="auto"/>
              <w:left w:val="nil"/>
              <w:bottom w:val="single" w:sz="4" w:space="0" w:color="auto"/>
              <w:right w:val="single" w:sz="4" w:space="0" w:color="auto"/>
            </w:tcBorders>
            <w:shd w:val="clear" w:color="auto" w:fill="BFBFBF"/>
            <w:noWrap/>
            <w:vAlign w:val="center"/>
            <w:hideMark/>
          </w:tcPr>
          <w:p w14:paraId="53C14939" w14:textId="77777777" w:rsidR="00A84742" w:rsidRPr="002445C4" w:rsidRDefault="00A84742" w:rsidP="00A84742">
            <w:pPr>
              <w:spacing w:after="0"/>
              <w:jc w:val="center"/>
              <w:rPr>
                <w:rFonts w:ascii="Arial Narrow" w:hAnsi="Arial Narrow"/>
                <w:b/>
                <w:sz w:val="20"/>
                <w:lang w:eastAsia="en-AU"/>
              </w:rPr>
            </w:pPr>
            <w:r w:rsidRPr="002445C4">
              <w:rPr>
                <w:rFonts w:ascii="Arial Narrow" w:hAnsi="Arial Narrow"/>
                <w:b/>
                <w:sz w:val="20"/>
                <w:lang w:eastAsia="en-AU"/>
              </w:rPr>
              <w:t>Reef</w:t>
            </w:r>
          </w:p>
        </w:tc>
        <w:tc>
          <w:tcPr>
            <w:tcW w:w="284" w:type="dxa"/>
            <w:tcBorders>
              <w:top w:val="single" w:sz="4" w:space="0" w:color="auto"/>
              <w:left w:val="nil"/>
              <w:bottom w:val="single" w:sz="4" w:space="0" w:color="auto"/>
              <w:right w:val="single" w:sz="4" w:space="0" w:color="auto"/>
            </w:tcBorders>
            <w:shd w:val="clear" w:color="auto" w:fill="BFBFBF"/>
            <w:noWrap/>
            <w:textDirection w:val="btLr"/>
            <w:vAlign w:val="center"/>
            <w:hideMark/>
          </w:tcPr>
          <w:p w14:paraId="53C1493A" w14:textId="77777777" w:rsidR="00A84742" w:rsidRPr="002445C4" w:rsidRDefault="00A84742" w:rsidP="00A84742">
            <w:pPr>
              <w:spacing w:after="0"/>
              <w:jc w:val="center"/>
              <w:rPr>
                <w:rFonts w:ascii="Arial Narrow" w:hAnsi="Arial Narrow"/>
                <w:b/>
                <w:sz w:val="20"/>
                <w:lang w:eastAsia="en-AU"/>
              </w:rPr>
            </w:pPr>
            <w:r w:rsidRPr="002445C4">
              <w:rPr>
                <w:rFonts w:ascii="Arial Narrow" w:hAnsi="Arial Narrow"/>
                <w:b/>
                <w:sz w:val="20"/>
                <w:lang w:eastAsia="en-AU"/>
              </w:rPr>
              <w:t>Depth</w:t>
            </w:r>
          </w:p>
        </w:tc>
        <w:tc>
          <w:tcPr>
            <w:tcW w:w="1134" w:type="dxa"/>
            <w:tcBorders>
              <w:top w:val="single" w:sz="4" w:space="0" w:color="auto"/>
              <w:left w:val="nil"/>
              <w:bottom w:val="single" w:sz="4" w:space="0" w:color="auto"/>
              <w:right w:val="single" w:sz="4" w:space="0" w:color="auto"/>
            </w:tcBorders>
            <w:shd w:val="clear" w:color="auto" w:fill="BFBFBF"/>
            <w:noWrap/>
            <w:vAlign w:val="center"/>
            <w:hideMark/>
          </w:tcPr>
          <w:p w14:paraId="53C1493B" w14:textId="77777777" w:rsidR="00A84742" w:rsidRPr="002445C4" w:rsidRDefault="00A84742" w:rsidP="00A84742">
            <w:pPr>
              <w:spacing w:after="0"/>
              <w:jc w:val="center"/>
              <w:rPr>
                <w:rFonts w:ascii="Arial Narrow" w:hAnsi="Arial Narrow"/>
                <w:b/>
                <w:sz w:val="20"/>
                <w:lang w:eastAsia="en-AU"/>
              </w:rPr>
            </w:pPr>
            <w:r w:rsidRPr="002445C4">
              <w:rPr>
                <w:rFonts w:ascii="Arial Narrow" w:hAnsi="Arial Narrow"/>
                <w:b/>
                <w:sz w:val="20"/>
                <w:lang w:eastAsia="en-AU"/>
              </w:rPr>
              <w:t>Coral cover</w:t>
            </w:r>
          </w:p>
        </w:tc>
        <w:tc>
          <w:tcPr>
            <w:tcW w:w="1134" w:type="dxa"/>
            <w:tcBorders>
              <w:top w:val="single" w:sz="4" w:space="0" w:color="auto"/>
              <w:left w:val="nil"/>
              <w:bottom w:val="single" w:sz="4" w:space="0" w:color="auto"/>
              <w:right w:val="single" w:sz="4" w:space="0" w:color="auto"/>
            </w:tcBorders>
            <w:shd w:val="clear" w:color="auto" w:fill="BFBFBF"/>
            <w:noWrap/>
            <w:tcMar>
              <w:left w:w="0" w:type="dxa"/>
              <w:right w:w="0" w:type="dxa"/>
            </w:tcMar>
            <w:vAlign w:val="center"/>
            <w:hideMark/>
          </w:tcPr>
          <w:p w14:paraId="53C1493C" w14:textId="77777777" w:rsidR="00A84742" w:rsidRPr="002445C4" w:rsidRDefault="00A84742" w:rsidP="00A84742">
            <w:pPr>
              <w:spacing w:after="0"/>
              <w:jc w:val="center"/>
              <w:rPr>
                <w:rFonts w:ascii="Arial Narrow" w:hAnsi="Arial Narrow"/>
                <w:b/>
                <w:sz w:val="20"/>
                <w:lang w:eastAsia="en-AU"/>
              </w:rPr>
            </w:pPr>
            <w:r w:rsidRPr="002445C4">
              <w:rPr>
                <w:rFonts w:ascii="Arial Narrow" w:hAnsi="Arial Narrow"/>
                <w:b/>
                <w:sz w:val="20"/>
                <w:lang w:eastAsia="en-AU"/>
              </w:rPr>
              <w:t xml:space="preserve">Juvenile </w:t>
            </w:r>
          </w:p>
        </w:tc>
        <w:tc>
          <w:tcPr>
            <w:tcW w:w="1134" w:type="dxa"/>
            <w:tcBorders>
              <w:top w:val="single" w:sz="4" w:space="0" w:color="auto"/>
              <w:left w:val="nil"/>
              <w:bottom w:val="single" w:sz="4" w:space="0" w:color="auto"/>
              <w:right w:val="single" w:sz="4" w:space="0" w:color="auto"/>
            </w:tcBorders>
            <w:shd w:val="clear" w:color="auto" w:fill="BFBFBF"/>
            <w:noWrap/>
            <w:vAlign w:val="center"/>
            <w:hideMark/>
          </w:tcPr>
          <w:p w14:paraId="53C1493D" w14:textId="77777777" w:rsidR="00A84742" w:rsidRPr="002445C4" w:rsidRDefault="00A84742" w:rsidP="00A84742">
            <w:pPr>
              <w:spacing w:after="0"/>
              <w:jc w:val="center"/>
              <w:rPr>
                <w:rFonts w:ascii="Arial Narrow" w:hAnsi="Arial Narrow"/>
                <w:b/>
                <w:sz w:val="20"/>
                <w:lang w:eastAsia="en-AU"/>
              </w:rPr>
            </w:pPr>
            <w:r w:rsidRPr="002445C4">
              <w:rPr>
                <w:rFonts w:ascii="Arial Narrow" w:hAnsi="Arial Narrow"/>
                <w:b/>
                <w:sz w:val="20"/>
                <w:lang w:eastAsia="en-AU"/>
              </w:rPr>
              <w:t xml:space="preserve">Macroalgae </w:t>
            </w:r>
          </w:p>
        </w:tc>
        <w:tc>
          <w:tcPr>
            <w:tcW w:w="1047" w:type="dxa"/>
            <w:tcBorders>
              <w:top w:val="single" w:sz="4" w:space="0" w:color="auto"/>
              <w:left w:val="nil"/>
              <w:bottom w:val="single" w:sz="4" w:space="0" w:color="auto"/>
              <w:right w:val="single" w:sz="4" w:space="0" w:color="auto"/>
            </w:tcBorders>
            <w:shd w:val="clear" w:color="auto" w:fill="BFBFBF"/>
            <w:noWrap/>
            <w:vAlign w:val="center"/>
            <w:hideMark/>
          </w:tcPr>
          <w:p w14:paraId="53C1493E" w14:textId="77777777" w:rsidR="00A84742" w:rsidRPr="002445C4" w:rsidRDefault="00A84742" w:rsidP="00A84742">
            <w:pPr>
              <w:spacing w:after="0"/>
              <w:jc w:val="center"/>
              <w:rPr>
                <w:rFonts w:ascii="Arial Narrow" w:hAnsi="Arial Narrow"/>
                <w:b/>
                <w:sz w:val="20"/>
                <w:lang w:eastAsia="en-AU"/>
              </w:rPr>
            </w:pPr>
            <w:r w:rsidRPr="002445C4">
              <w:rPr>
                <w:rFonts w:ascii="Arial Narrow" w:hAnsi="Arial Narrow"/>
                <w:b/>
                <w:sz w:val="20"/>
                <w:lang w:eastAsia="en-AU"/>
              </w:rPr>
              <w:t>Cover Change</w:t>
            </w:r>
          </w:p>
        </w:tc>
        <w:tc>
          <w:tcPr>
            <w:tcW w:w="1221" w:type="dxa"/>
            <w:tcBorders>
              <w:top w:val="single" w:sz="4" w:space="0" w:color="auto"/>
              <w:left w:val="nil"/>
              <w:bottom w:val="single" w:sz="4" w:space="0" w:color="auto"/>
              <w:right w:val="single" w:sz="4" w:space="0" w:color="auto"/>
            </w:tcBorders>
            <w:shd w:val="clear" w:color="auto" w:fill="BFBFBF"/>
            <w:noWrap/>
            <w:vAlign w:val="center"/>
            <w:hideMark/>
          </w:tcPr>
          <w:p w14:paraId="53C1493F" w14:textId="77777777" w:rsidR="00A84742" w:rsidRPr="002445C4" w:rsidRDefault="00A84742" w:rsidP="00A84742">
            <w:pPr>
              <w:spacing w:after="0"/>
              <w:jc w:val="center"/>
              <w:rPr>
                <w:rFonts w:ascii="Arial Narrow" w:hAnsi="Arial Narrow"/>
                <w:b/>
                <w:sz w:val="20"/>
                <w:lang w:eastAsia="en-AU"/>
              </w:rPr>
            </w:pPr>
            <w:r w:rsidRPr="002445C4">
              <w:rPr>
                <w:rFonts w:ascii="Arial Narrow" w:hAnsi="Arial Narrow"/>
                <w:b/>
                <w:sz w:val="20"/>
                <w:lang w:eastAsia="en-AU"/>
              </w:rPr>
              <w:t>Composition</w:t>
            </w:r>
          </w:p>
        </w:tc>
        <w:tc>
          <w:tcPr>
            <w:tcW w:w="1117" w:type="dxa"/>
            <w:tcBorders>
              <w:top w:val="single" w:sz="4" w:space="0" w:color="auto"/>
              <w:left w:val="nil"/>
              <w:bottom w:val="single" w:sz="4" w:space="0" w:color="auto"/>
              <w:right w:val="single" w:sz="4" w:space="0" w:color="auto"/>
            </w:tcBorders>
            <w:shd w:val="clear" w:color="auto" w:fill="BFBFBF"/>
            <w:noWrap/>
            <w:vAlign w:val="center"/>
            <w:hideMark/>
          </w:tcPr>
          <w:p w14:paraId="53C14940" w14:textId="77777777" w:rsidR="00A84742" w:rsidRPr="002445C4" w:rsidRDefault="00A84742" w:rsidP="00A84742">
            <w:pPr>
              <w:spacing w:after="0"/>
              <w:jc w:val="center"/>
              <w:rPr>
                <w:rFonts w:ascii="Arial Narrow" w:hAnsi="Arial Narrow"/>
                <w:b/>
                <w:sz w:val="20"/>
                <w:lang w:eastAsia="en-AU"/>
              </w:rPr>
            </w:pPr>
            <w:r w:rsidRPr="002445C4">
              <w:rPr>
                <w:rFonts w:ascii="Arial Narrow" w:hAnsi="Arial Narrow"/>
                <w:b/>
                <w:sz w:val="20"/>
                <w:lang w:eastAsia="en-AU"/>
              </w:rPr>
              <w:t>Coral index</w:t>
            </w:r>
          </w:p>
        </w:tc>
      </w:tr>
      <w:tr w:rsidR="002445C4" w:rsidRPr="002445C4" w14:paraId="53C1494B" w14:textId="77777777" w:rsidTr="00830E32">
        <w:trPr>
          <w:trHeight w:hRule="exact" w:val="255"/>
        </w:trPr>
        <w:tc>
          <w:tcPr>
            <w:tcW w:w="771" w:type="dxa"/>
            <w:vMerge w:val="restart"/>
            <w:tcBorders>
              <w:top w:val="nil"/>
              <w:left w:val="single" w:sz="4" w:space="0" w:color="auto"/>
              <w:right w:val="single" w:sz="4" w:space="0" w:color="auto"/>
            </w:tcBorders>
            <w:shd w:val="clear" w:color="auto" w:fill="auto"/>
            <w:noWrap/>
            <w:textDirection w:val="btLr"/>
            <w:vAlign w:val="center"/>
          </w:tcPr>
          <w:p w14:paraId="53C14942" w14:textId="77777777" w:rsidR="00830E32" w:rsidRPr="002445C4" w:rsidRDefault="005F2B5B" w:rsidP="00830E32">
            <w:pPr>
              <w:spacing w:after="0"/>
              <w:jc w:val="center"/>
              <w:rPr>
                <w:rFonts w:ascii="Arial Narrow" w:hAnsi="Arial Narrow"/>
                <w:lang w:eastAsia="en-AU"/>
              </w:rPr>
            </w:pPr>
            <w:r>
              <w:rPr>
                <w:rFonts w:ascii="Arial Narrow" w:hAnsi="Arial Narrow"/>
                <w:lang w:eastAsia="en-AU"/>
              </w:rPr>
              <w:t>Mackay-Whitsunday</w:t>
            </w:r>
          </w:p>
        </w:tc>
        <w:tc>
          <w:tcPr>
            <w:tcW w:w="1576" w:type="dxa"/>
            <w:tcBorders>
              <w:top w:val="nil"/>
              <w:left w:val="nil"/>
              <w:bottom w:val="single" w:sz="4" w:space="0" w:color="auto"/>
              <w:right w:val="single" w:sz="4" w:space="0" w:color="auto"/>
            </w:tcBorders>
            <w:shd w:val="clear" w:color="auto" w:fill="auto"/>
            <w:noWrap/>
            <w:vAlign w:val="center"/>
          </w:tcPr>
          <w:p w14:paraId="53C14943" w14:textId="77777777" w:rsidR="00830E32" w:rsidRPr="002445C4" w:rsidRDefault="00830E32" w:rsidP="00830E32">
            <w:pPr>
              <w:spacing w:after="0"/>
              <w:jc w:val="left"/>
              <w:rPr>
                <w:rFonts w:ascii="Arial Narrow" w:hAnsi="Arial Narrow"/>
                <w:sz w:val="20"/>
                <w:lang w:eastAsia="en-AU"/>
              </w:rPr>
            </w:pPr>
            <w:r w:rsidRPr="002445C4">
              <w:rPr>
                <w:rFonts w:ascii="Arial Narrow" w:hAnsi="Arial Narrow"/>
                <w:sz w:val="20"/>
                <w:lang w:eastAsia="en-AU"/>
              </w:rPr>
              <w:t>Hayman</w:t>
            </w:r>
          </w:p>
        </w:tc>
        <w:tc>
          <w:tcPr>
            <w:tcW w:w="284" w:type="dxa"/>
            <w:tcBorders>
              <w:top w:val="nil"/>
              <w:left w:val="nil"/>
              <w:bottom w:val="single" w:sz="4" w:space="0" w:color="auto"/>
              <w:right w:val="single" w:sz="4" w:space="0" w:color="auto"/>
            </w:tcBorders>
            <w:shd w:val="clear" w:color="auto" w:fill="auto"/>
            <w:noWrap/>
            <w:vAlign w:val="center"/>
          </w:tcPr>
          <w:p w14:paraId="53C14944"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5</w:t>
            </w:r>
          </w:p>
        </w:tc>
        <w:tc>
          <w:tcPr>
            <w:tcW w:w="1134" w:type="dxa"/>
            <w:tcBorders>
              <w:top w:val="nil"/>
              <w:left w:val="nil"/>
              <w:bottom w:val="single" w:sz="4" w:space="0" w:color="auto"/>
              <w:right w:val="single" w:sz="4" w:space="0" w:color="auto"/>
            </w:tcBorders>
            <w:shd w:val="clear" w:color="auto" w:fill="auto"/>
            <w:noWrap/>
            <w:vAlign w:val="bottom"/>
          </w:tcPr>
          <w:p w14:paraId="53C14945"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0.13</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tcPr>
          <w:p w14:paraId="53C14946"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0.22</w:t>
            </w:r>
          </w:p>
        </w:tc>
        <w:tc>
          <w:tcPr>
            <w:tcW w:w="1134" w:type="dxa"/>
            <w:tcBorders>
              <w:top w:val="nil"/>
              <w:left w:val="nil"/>
              <w:bottom w:val="single" w:sz="4" w:space="0" w:color="auto"/>
              <w:right w:val="single" w:sz="4" w:space="0" w:color="auto"/>
            </w:tcBorders>
            <w:shd w:val="clear" w:color="auto" w:fill="auto"/>
            <w:noWrap/>
            <w:vAlign w:val="bottom"/>
          </w:tcPr>
          <w:p w14:paraId="53C14947"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047" w:type="dxa"/>
            <w:tcBorders>
              <w:top w:val="nil"/>
              <w:left w:val="nil"/>
              <w:bottom w:val="single" w:sz="4" w:space="0" w:color="auto"/>
              <w:right w:val="single" w:sz="4" w:space="0" w:color="auto"/>
            </w:tcBorders>
            <w:shd w:val="clear" w:color="auto" w:fill="auto"/>
            <w:noWrap/>
            <w:vAlign w:val="bottom"/>
          </w:tcPr>
          <w:p w14:paraId="53C14948"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0.20</w:t>
            </w:r>
          </w:p>
        </w:tc>
        <w:tc>
          <w:tcPr>
            <w:tcW w:w="1221" w:type="dxa"/>
            <w:tcBorders>
              <w:top w:val="nil"/>
              <w:left w:val="nil"/>
              <w:bottom w:val="single" w:sz="4" w:space="0" w:color="auto"/>
              <w:right w:val="single" w:sz="4" w:space="0" w:color="auto"/>
            </w:tcBorders>
            <w:shd w:val="clear" w:color="auto" w:fill="auto"/>
            <w:noWrap/>
            <w:vAlign w:val="bottom"/>
          </w:tcPr>
          <w:p w14:paraId="53C14949"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117" w:type="dxa"/>
            <w:tcBorders>
              <w:top w:val="nil"/>
              <w:left w:val="nil"/>
              <w:bottom w:val="single" w:sz="4" w:space="0" w:color="auto"/>
              <w:right w:val="single" w:sz="4" w:space="0" w:color="auto"/>
            </w:tcBorders>
            <w:shd w:val="clear" w:color="auto" w:fill="FFC000"/>
            <w:noWrap/>
            <w:vAlign w:val="bottom"/>
          </w:tcPr>
          <w:p w14:paraId="53C1494A"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0.31</w:t>
            </w:r>
          </w:p>
        </w:tc>
      </w:tr>
      <w:tr w:rsidR="002445C4" w:rsidRPr="002445C4" w14:paraId="53C14955" w14:textId="77777777" w:rsidTr="00830E32">
        <w:trPr>
          <w:trHeight w:hRule="exact" w:val="255"/>
        </w:trPr>
        <w:tc>
          <w:tcPr>
            <w:tcW w:w="771" w:type="dxa"/>
            <w:vMerge/>
            <w:tcBorders>
              <w:left w:val="single" w:sz="4" w:space="0" w:color="auto"/>
              <w:right w:val="single" w:sz="4" w:space="0" w:color="auto"/>
            </w:tcBorders>
            <w:shd w:val="clear" w:color="auto" w:fill="auto"/>
            <w:noWrap/>
            <w:textDirection w:val="btLr"/>
            <w:vAlign w:val="center"/>
          </w:tcPr>
          <w:p w14:paraId="53C1494C" w14:textId="77777777" w:rsidR="00830E32" w:rsidRPr="002445C4" w:rsidRDefault="00830E32" w:rsidP="00830E32">
            <w:pPr>
              <w:spacing w:after="0"/>
              <w:jc w:val="center"/>
              <w:rPr>
                <w:rFonts w:ascii="Arial Narrow" w:hAnsi="Arial Narrow"/>
                <w:lang w:eastAsia="en-AU"/>
              </w:rPr>
            </w:pPr>
          </w:p>
        </w:tc>
        <w:tc>
          <w:tcPr>
            <w:tcW w:w="1576" w:type="dxa"/>
            <w:tcBorders>
              <w:top w:val="nil"/>
              <w:left w:val="nil"/>
              <w:bottom w:val="single" w:sz="4" w:space="0" w:color="auto"/>
              <w:right w:val="single" w:sz="4" w:space="0" w:color="auto"/>
            </w:tcBorders>
            <w:shd w:val="clear" w:color="auto" w:fill="auto"/>
            <w:noWrap/>
            <w:vAlign w:val="center"/>
          </w:tcPr>
          <w:p w14:paraId="53C1494D" w14:textId="77777777" w:rsidR="00830E32" w:rsidRPr="002445C4" w:rsidRDefault="00830E32" w:rsidP="00830E32">
            <w:pPr>
              <w:spacing w:after="0"/>
              <w:jc w:val="left"/>
              <w:rPr>
                <w:rFonts w:ascii="Arial Narrow" w:hAnsi="Arial Narrow"/>
                <w:sz w:val="20"/>
                <w:lang w:eastAsia="en-AU"/>
              </w:rPr>
            </w:pPr>
            <w:r w:rsidRPr="002445C4">
              <w:rPr>
                <w:rFonts w:ascii="Arial Narrow" w:hAnsi="Arial Narrow"/>
                <w:sz w:val="20"/>
                <w:lang w:eastAsia="en-AU"/>
              </w:rPr>
              <w:t>Langford</w:t>
            </w:r>
          </w:p>
        </w:tc>
        <w:tc>
          <w:tcPr>
            <w:tcW w:w="284" w:type="dxa"/>
            <w:tcBorders>
              <w:top w:val="nil"/>
              <w:left w:val="nil"/>
              <w:bottom w:val="single" w:sz="4" w:space="0" w:color="auto"/>
              <w:right w:val="single" w:sz="4" w:space="0" w:color="auto"/>
            </w:tcBorders>
            <w:shd w:val="clear" w:color="auto" w:fill="auto"/>
            <w:noWrap/>
            <w:vAlign w:val="center"/>
          </w:tcPr>
          <w:p w14:paraId="53C1494E"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5</w:t>
            </w:r>
          </w:p>
        </w:tc>
        <w:tc>
          <w:tcPr>
            <w:tcW w:w="1134" w:type="dxa"/>
            <w:tcBorders>
              <w:top w:val="nil"/>
              <w:left w:val="nil"/>
              <w:bottom w:val="single" w:sz="4" w:space="0" w:color="auto"/>
              <w:right w:val="single" w:sz="4" w:space="0" w:color="auto"/>
            </w:tcBorders>
            <w:shd w:val="clear" w:color="auto" w:fill="auto"/>
            <w:noWrap/>
            <w:vAlign w:val="bottom"/>
          </w:tcPr>
          <w:p w14:paraId="53C1494F"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0.20</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tcPr>
          <w:p w14:paraId="53C14950"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0.28</w:t>
            </w:r>
          </w:p>
        </w:tc>
        <w:tc>
          <w:tcPr>
            <w:tcW w:w="1134" w:type="dxa"/>
            <w:tcBorders>
              <w:top w:val="nil"/>
              <w:left w:val="nil"/>
              <w:bottom w:val="single" w:sz="4" w:space="0" w:color="auto"/>
              <w:right w:val="single" w:sz="4" w:space="0" w:color="auto"/>
            </w:tcBorders>
            <w:shd w:val="clear" w:color="auto" w:fill="auto"/>
            <w:noWrap/>
            <w:vAlign w:val="bottom"/>
          </w:tcPr>
          <w:p w14:paraId="53C14951"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047" w:type="dxa"/>
            <w:tcBorders>
              <w:top w:val="nil"/>
              <w:left w:val="nil"/>
              <w:bottom w:val="single" w:sz="4" w:space="0" w:color="auto"/>
              <w:right w:val="single" w:sz="4" w:space="0" w:color="auto"/>
            </w:tcBorders>
            <w:shd w:val="clear" w:color="auto" w:fill="auto"/>
            <w:noWrap/>
            <w:vAlign w:val="bottom"/>
          </w:tcPr>
          <w:p w14:paraId="53C14952"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221" w:type="dxa"/>
            <w:tcBorders>
              <w:top w:val="nil"/>
              <w:left w:val="nil"/>
              <w:bottom w:val="single" w:sz="4" w:space="0" w:color="auto"/>
              <w:right w:val="single" w:sz="4" w:space="0" w:color="auto"/>
            </w:tcBorders>
            <w:shd w:val="clear" w:color="auto" w:fill="auto"/>
            <w:noWrap/>
            <w:vAlign w:val="bottom"/>
          </w:tcPr>
          <w:p w14:paraId="53C14953"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117" w:type="dxa"/>
            <w:tcBorders>
              <w:top w:val="nil"/>
              <w:left w:val="nil"/>
              <w:bottom w:val="single" w:sz="4" w:space="0" w:color="auto"/>
              <w:right w:val="single" w:sz="4" w:space="0" w:color="auto"/>
            </w:tcBorders>
            <w:shd w:val="clear" w:color="auto" w:fill="FFC000"/>
            <w:noWrap/>
            <w:vAlign w:val="bottom"/>
          </w:tcPr>
          <w:p w14:paraId="53C14954"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0.30</w:t>
            </w:r>
          </w:p>
        </w:tc>
      </w:tr>
      <w:tr w:rsidR="002445C4" w:rsidRPr="002445C4" w14:paraId="53C1495F" w14:textId="77777777" w:rsidTr="00830E32">
        <w:trPr>
          <w:trHeight w:hRule="exact" w:val="255"/>
        </w:trPr>
        <w:tc>
          <w:tcPr>
            <w:tcW w:w="771" w:type="dxa"/>
            <w:vMerge/>
            <w:tcBorders>
              <w:left w:val="single" w:sz="4" w:space="0" w:color="auto"/>
              <w:right w:val="single" w:sz="4" w:space="0" w:color="auto"/>
            </w:tcBorders>
            <w:shd w:val="clear" w:color="auto" w:fill="auto"/>
            <w:noWrap/>
            <w:textDirection w:val="btLr"/>
            <w:vAlign w:val="center"/>
            <w:hideMark/>
          </w:tcPr>
          <w:p w14:paraId="53C14956" w14:textId="77777777" w:rsidR="00830E32" w:rsidRPr="002445C4" w:rsidRDefault="00830E32" w:rsidP="00830E32">
            <w:pPr>
              <w:spacing w:after="0"/>
              <w:jc w:val="center"/>
              <w:rPr>
                <w:rFonts w:ascii="Arial Narrow" w:hAnsi="Arial Narrow"/>
                <w:lang w:eastAsia="en-AU"/>
              </w:rPr>
            </w:pPr>
          </w:p>
        </w:tc>
        <w:tc>
          <w:tcPr>
            <w:tcW w:w="1576" w:type="dxa"/>
            <w:tcBorders>
              <w:top w:val="nil"/>
              <w:left w:val="nil"/>
              <w:bottom w:val="single" w:sz="4" w:space="0" w:color="auto"/>
              <w:right w:val="single" w:sz="4" w:space="0" w:color="auto"/>
            </w:tcBorders>
            <w:shd w:val="clear" w:color="auto" w:fill="auto"/>
            <w:noWrap/>
            <w:vAlign w:val="center"/>
            <w:hideMark/>
          </w:tcPr>
          <w:p w14:paraId="53C14957" w14:textId="77777777" w:rsidR="00830E32" w:rsidRPr="002445C4" w:rsidRDefault="00830E32" w:rsidP="00830E32">
            <w:pPr>
              <w:spacing w:after="0"/>
              <w:jc w:val="left"/>
              <w:rPr>
                <w:rFonts w:ascii="Arial Narrow" w:hAnsi="Arial Narrow"/>
                <w:sz w:val="20"/>
                <w:lang w:eastAsia="en-AU"/>
              </w:rPr>
            </w:pPr>
            <w:r w:rsidRPr="002445C4">
              <w:rPr>
                <w:rFonts w:ascii="Arial Narrow" w:hAnsi="Arial Narrow"/>
                <w:sz w:val="20"/>
                <w:lang w:eastAsia="en-AU"/>
              </w:rPr>
              <w:t>Border</w:t>
            </w:r>
          </w:p>
        </w:tc>
        <w:tc>
          <w:tcPr>
            <w:tcW w:w="284" w:type="dxa"/>
            <w:tcBorders>
              <w:top w:val="nil"/>
              <w:left w:val="nil"/>
              <w:bottom w:val="single" w:sz="4" w:space="0" w:color="auto"/>
              <w:right w:val="single" w:sz="4" w:space="0" w:color="auto"/>
            </w:tcBorders>
            <w:shd w:val="clear" w:color="auto" w:fill="auto"/>
            <w:noWrap/>
            <w:vAlign w:val="center"/>
            <w:hideMark/>
          </w:tcPr>
          <w:p w14:paraId="53C14958"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5</w:t>
            </w:r>
          </w:p>
        </w:tc>
        <w:tc>
          <w:tcPr>
            <w:tcW w:w="1134" w:type="dxa"/>
            <w:tcBorders>
              <w:top w:val="nil"/>
              <w:left w:val="nil"/>
              <w:bottom w:val="single" w:sz="4" w:space="0" w:color="auto"/>
              <w:right w:val="single" w:sz="4" w:space="0" w:color="auto"/>
            </w:tcBorders>
            <w:shd w:val="clear" w:color="auto" w:fill="auto"/>
            <w:noWrap/>
            <w:vAlign w:val="bottom"/>
            <w:hideMark/>
          </w:tcPr>
          <w:p w14:paraId="53C14959"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0.47</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hideMark/>
          </w:tcPr>
          <w:p w14:paraId="53C1495A"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0.33</w:t>
            </w:r>
          </w:p>
        </w:tc>
        <w:tc>
          <w:tcPr>
            <w:tcW w:w="1134" w:type="dxa"/>
            <w:tcBorders>
              <w:top w:val="nil"/>
              <w:left w:val="nil"/>
              <w:bottom w:val="single" w:sz="4" w:space="0" w:color="auto"/>
              <w:right w:val="single" w:sz="4" w:space="0" w:color="auto"/>
            </w:tcBorders>
            <w:shd w:val="clear" w:color="auto" w:fill="auto"/>
            <w:noWrap/>
            <w:vAlign w:val="bottom"/>
            <w:hideMark/>
          </w:tcPr>
          <w:p w14:paraId="53C1495B"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047" w:type="dxa"/>
            <w:tcBorders>
              <w:top w:val="nil"/>
              <w:left w:val="nil"/>
              <w:bottom w:val="single" w:sz="4" w:space="0" w:color="auto"/>
              <w:right w:val="single" w:sz="4" w:space="0" w:color="auto"/>
            </w:tcBorders>
            <w:shd w:val="clear" w:color="auto" w:fill="auto"/>
            <w:noWrap/>
            <w:vAlign w:val="bottom"/>
            <w:hideMark/>
          </w:tcPr>
          <w:p w14:paraId="53C1495C"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0.47</w:t>
            </w:r>
          </w:p>
        </w:tc>
        <w:tc>
          <w:tcPr>
            <w:tcW w:w="1221" w:type="dxa"/>
            <w:tcBorders>
              <w:top w:val="nil"/>
              <w:left w:val="nil"/>
              <w:bottom w:val="single" w:sz="4" w:space="0" w:color="auto"/>
              <w:right w:val="single" w:sz="4" w:space="0" w:color="auto"/>
            </w:tcBorders>
            <w:shd w:val="clear" w:color="auto" w:fill="auto"/>
            <w:noWrap/>
            <w:vAlign w:val="bottom"/>
            <w:hideMark/>
          </w:tcPr>
          <w:p w14:paraId="53C1495D"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117" w:type="dxa"/>
            <w:tcBorders>
              <w:top w:val="nil"/>
              <w:left w:val="nil"/>
              <w:bottom w:val="single" w:sz="4" w:space="0" w:color="auto"/>
              <w:right w:val="single" w:sz="4" w:space="0" w:color="auto"/>
            </w:tcBorders>
            <w:shd w:val="clear" w:color="auto" w:fill="FFFF00"/>
            <w:noWrap/>
            <w:vAlign w:val="bottom"/>
            <w:hideMark/>
          </w:tcPr>
          <w:p w14:paraId="53C1495E"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0.45</w:t>
            </w:r>
          </w:p>
        </w:tc>
      </w:tr>
      <w:tr w:rsidR="002445C4" w:rsidRPr="002445C4" w14:paraId="53C14969" w14:textId="77777777" w:rsidTr="00830E32">
        <w:trPr>
          <w:trHeight w:hRule="exact" w:val="255"/>
        </w:trPr>
        <w:tc>
          <w:tcPr>
            <w:tcW w:w="771" w:type="dxa"/>
            <w:vMerge/>
            <w:tcBorders>
              <w:left w:val="single" w:sz="4" w:space="0" w:color="auto"/>
              <w:right w:val="single" w:sz="4" w:space="0" w:color="auto"/>
            </w:tcBorders>
            <w:vAlign w:val="center"/>
            <w:hideMark/>
          </w:tcPr>
          <w:p w14:paraId="53C14960" w14:textId="77777777" w:rsidR="00830E32" w:rsidRPr="002445C4" w:rsidRDefault="00830E32" w:rsidP="00830E32">
            <w:pPr>
              <w:spacing w:after="0"/>
              <w:jc w:val="left"/>
              <w:rPr>
                <w:rFonts w:ascii="Arial Narrow" w:hAnsi="Arial Narrow"/>
                <w:lang w:eastAsia="en-AU"/>
              </w:rPr>
            </w:pPr>
          </w:p>
        </w:tc>
        <w:tc>
          <w:tcPr>
            <w:tcW w:w="15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3C14961" w14:textId="77777777" w:rsidR="00830E32" w:rsidRPr="002445C4" w:rsidRDefault="00830E32" w:rsidP="00830E32">
            <w:pPr>
              <w:spacing w:after="0"/>
              <w:jc w:val="left"/>
              <w:rPr>
                <w:rFonts w:ascii="Arial Narrow" w:hAnsi="Arial Narrow"/>
                <w:sz w:val="20"/>
                <w:lang w:eastAsia="en-AU"/>
              </w:rPr>
            </w:pPr>
            <w:r w:rsidRPr="002445C4">
              <w:rPr>
                <w:rFonts w:ascii="Arial Narrow" w:hAnsi="Arial Narrow"/>
                <w:sz w:val="20"/>
                <w:lang w:eastAsia="en-AU"/>
              </w:rPr>
              <w:t>Hook</w:t>
            </w:r>
          </w:p>
        </w:tc>
        <w:tc>
          <w:tcPr>
            <w:tcW w:w="284" w:type="dxa"/>
            <w:tcBorders>
              <w:top w:val="nil"/>
              <w:left w:val="nil"/>
              <w:bottom w:val="single" w:sz="4" w:space="0" w:color="auto"/>
              <w:right w:val="single" w:sz="4" w:space="0" w:color="auto"/>
            </w:tcBorders>
            <w:shd w:val="clear" w:color="auto" w:fill="auto"/>
            <w:noWrap/>
            <w:vAlign w:val="center"/>
            <w:hideMark/>
          </w:tcPr>
          <w:p w14:paraId="53C14962"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2</w:t>
            </w:r>
          </w:p>
        </w:tc>
        <w:tc>
          <w:tcPr>
            <w:tcW w:w="1134" w:type="dxa"/>
            <w:tcBorders>
              <w:top w:val="nil"/>
              <w:left w:val="nil"/>
              <w:bottom w:val="single" w:sz="4" w:space="0" w:color="auto"/>
              <w:right w:val="single" w:sz="4" w:space="0" w:color="auto"/>
            </w:tcBorders>
            <w:shd w:val="clear" w:color="auto" w:fill="auto"/>
            <w:noWrap/>
            <w:vAlign w:val="bottom"/>
            <w:hideMark/>
          </w:tcPr>
          <w:p w14:paraId="53C14963"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0.09</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hideMark/>
          </w:tcPr>
          <w:p w14:paraId="53C14964"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0.08</w:t>
            </w:r>
          </w:p>
        </w:tc>
        <w:tc>
          <w:tcPr>
            <w:tcW w:w="1134" w:type="dxa"/>
            <w:tcBorders>
              <w:top w:val="nil"/>
              <w:left w:val="nil"/>
              <w:bottom w:val="single" w:sz="4" w:space="0" w:color="auto"/>
              <w:right w:val="single" w:sz="4" w:space="0" w:color="auto"/>
            </w:tcBorders>
            <w:shd w:val="clear" w:color="auto" w:fill="auto"/>
            <w:noWrap/>
            <w:vAlign w:val="bottom"/>
            <w:hideMark/>
          </w:tcPr>
          <w:p w14:paraId="53C14965"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0.93</w:t>
            </w:r>
          </w:p>
        </w:tc>
        <w:tc>
          <w:tcPr>
            <w:tcW w:w="1047" w:type="dxa"/>
            <w:tcBorders>
              <w:top w:val="nil"/>
              <w:left w:val="nil"/>
              <w:bottom w:val="single" w:sz="4" w:space="0" w:color="auto"/>
              <w:right w:val="single" w:sz="4" w:space="0" w:color="auto"/>
            </w:tcBorders>
            <w:shd w:val="clear" w:color="auto" w:fill="auto"/>
            <w:noWrap/>
            <w:vAlign w:val="bottom"/>
            <w:hideMark/>
          </w:tcPr>
          <w:p w14:paraId="53C14966"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0.28</w:t>
            </w:r>
          </w:p>
        </w:tc>
        <w:tc>
          <w:tcPr>
            <w:tcW w:w="1221" w:type="dxa"/>
            <w:tcBorders>
              <w:top w:val="nil"/>
              <w:left w:val="nil"/>
              <w:bottom w:val="single" w:sz="4" w:space="0" w:color="auto"/>
              <w:right w:val="single" w:sz="4" w:space="0" w:color="auto"/>
            </w:tcBorders>
            <w:shd w:val="clear" w:color="auto" w:fill="auto"/>
            <w:noWrap/>
            <w:vAlign w:val="bottom"/>
            <w:hideMark/>
          </w:tcPr>
          <w:p w14:paraId="53C14967"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117" w:type="dxa"/>
            <w:tcBorders>
              <w:top w:val="nil"/>
              <w:left w:val="nil"/>
              <w:bottom w:val="single" w:sz="4" w:space="0" w:color="auto"/>
              <w:right w:val="single" w:sz="4" w:space="0" w:color="auto"/>
            </w:tcBorders>
            <w:shd w:val="clear" w:color="auto" w:fill="FFC000"/>
            <w:noWrap/>
            <w:vAlign w:val="bottom"/>
            <w:hideMark/>
          </w:tcPr>
          <w:p w14:paraId="53C14968"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0.28</w:t>
            </w:r>
          </w:p>
        </w:tc>
      </w:tr>
      <w:tr w:rsidR="002445C4" w:rsidRPr="002445C4" w14:paraId="53C14973" w14:textId="77777777" w:rsidTr="00830E32">
        <w:trPr>
          <w:trHeight w:hRule="exact" w:val="255"/>
        </w:trPr>
        <w:tc>
          <w:tcPr>
            <w:tcW w:w="771" w:type="dxa"/>
            <w:vMerge/>
            <w:tcBorders>
              <w:left w:val="single" w:sz="4" w:space="0" w:color="auto"/>
              <w:right w:val="single" w:sz="4" w:space="0" w:color="auto"/>
            </w:tcBorders>
            <w:vAlign w:val="center"/>
            <w:hideMark/>
          </w:tcPr>
          <w:p w14:paraId="53C1496A" w14:textId="77777777" w:rsidR="00830E32" w:rsidRPr="002445C4" w:rsidRDefault="00830E32" w:rsidP="00830E32">
            <w:pPr>
              <w:spacing w:after="0"/>
              <w:jc w:val="left"/>
              <w:rPr>
                <w:rFonts w:ascii="Arial Narrow" w:hAnsi="Arial Narrow"/>
                <w:lang w:eastAsia="en-AU"/>
              </w:rPr>
            </w:pPr>
          </w:p>
        </w:tc>
        <w:tc>
          <w:tcPr>
            <w:tcW w:w="1576" w:type="dxa"/>
            <w:vMerge/>
            <w:tcBorders>
              <w:top w:val="nil"/>
              <w:left w:val="single" w:sz="4" w:space="0" w:color="auto"/>
              <w:bottom w:val="single" w:sz="4" w:space="0" w:color="auto"/>
              <w:right w:val="single" w:sz="4" w:space="0" w:color="auto"/>
            </w:tcBorders>
            <w:vAlign w:val="center"/>
            <w:hideMark/>
          </w:tcPr>
          <w:p w14:paraId="53C1496B" w14:textId="77777777" w:rsidR="00830E32" w:rsidRPr="002445C4" w:rsidRDefault="00830E32" w:rsidP="00830E32">
            <w:pPr>
              <w:spacing w:after="0"/>
              <w:jc w:val="left"/>
              <w:rPr>
                <w:rFonts w:ascii="Arial Narrow" w:hAnsi="Arial Narrow"/>
                <w:sz w:val="20"/>
                <w:lang w:eastAsia="en-AU"/>
              </w:rPr>
            </w:pPr>
          </w:p>
        </w:tc>
        <w:tc>
          <w:tcPr>
            <w:tcW w:w="284" w:type="dxa"/>
            <w:tcBorders>
              <w:top w:val="nil"/>
              <w:left w:val="nil"/>
              <w:bottom w:val="single" w:sz="4" w:space="0" w:color="auto"/>
              <w:right w:val="single" w:sz="4" w:space="0" w:color="auto"/>
            </w:tcBorders>
            <w:shd w:val="clear" w:color="auto" w:fill="auto"/>
            <w:noWrap/>
            <w:vAlign w:val="center"/>
            <w:hideMark/>
          </w:tcPr>
          <w:p w14:paraId="53C1496C"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5</w:t>
            </w:r>
          </w:p>
        </w:tc>
        <w:tc>
          <w:tcPr>
            <w:tcW w:w="1134" w:type="dxa"/>
            <w:tcBorders>
              <w:top w:val="nil"/>
              <w:left w:val="nil"/>
              <w:bottom w:val="single" w:sz="4" w:space="0" w:color="auto"/>
              <w:right w:val="single" w:sz="4" w:space="0" w:color="auto"/>
            </w:tcBorders>
            <w:shd w:val="clear" w:color="auto" w:fill="auto"/>
            <w:noWrap/>
            <w:vAlign w:val="bottom"/>
            <w:hideMark/>
          </w:tcPr>
          <w:p w14:paraId="53C1496D"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0.30</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hideMark/>
          </w:tcPr>
          <w:p w14:paraId="53C1496E"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0.14</w:t>
            </w:r>
          </w:p>
        </w:tc>
        <w:tc>
          <w:tcPr>
            <w:tcW w:w="1134" w:type="dxa"/>
            <w:tcBorders>
              <w:top w:val="nil"/>
              <w:left w:val="nil"/>
              <w:bottom w:val="single" w:sz="4" w:space="0" w:color="auto"/>
              <w:right w:val="single" w:sz="4" w:space="0" w:color="auto"/>
            </w:tcBorders>
            <w:shd w:val="clear" w:color="auto" w:fill="auto"/>
            <w:noWrap/>
            <w:vAlign w:val="bottom"/>
            <w:hideMark/>
          </w:tcPr>
          <w:p w14:paraId="53C1496F"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0.81</w:t>
            </w:r>
          </w:p>
        </w:tc>
        <w:tc>
          <w:tcPr>
            <w:tcW w:w="1047" w:type="dxa"/>
            <w:tcBorders>
              <w:top w:val="nil"/>
              <w:left w:val="nil"/>
              <w:bottom w:val="single" w:sz="4" w:space="0" w:color="auto"/>
              <w:right w:val="single" w:sz="4" w:space="0" w:color="auto"/>
            </w:tcBorders>
            <w:shd w:val="clear" w:color="auto" w:fill="auto"/>
            <w:noWrap/>
            <w:vAlign w:val="bottom"/>
            <w:hideMark/>
          </w:tcPr>
          <w:p w14:paraId="53C14970"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0.13</w:t>
            </w:r>
          </w:p>
        </w:tc>
        <w:tc>
          <w:tcPr>
            <w:tcW w:w="1221" w:type="dxa"/>
            <w:tcBorders>
              <w:top w:val="nil"/>
              <w:left w:val="nil"/>
              <w:bottom w:val="single" w:sz="4" w:space="0" w:color="auto"/>
              <w:right w:val="single" w:sz="4" w:space="0" w:color="auto"/>
            </w:tcBorders>
            <w:shd w:val="clear" w:color="auto" w:fill="auto"/>
            <w:noWrap/>
            <w:vAlign w:val="bottom"/>
            <w:hideMark/>
          </w:tcPr>
          <w:p w14:paraId="53C14971"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0.50</w:t>
            </w:r>
          </w:p>
        </w:tc>
        <w:tc>
          <w:tcPr>
            <w:tcW w:w="1117" w:type="dxa"/>
            <w:tcBorders>
              <w:top w:val="nil"/>
              <w:left w:val="nil"/>
              <w:bottom w:val="single" w:sz="4" w:space="0" w:color="auto"/>
              <w:right w:val="single" w:sz="4" w:space="0" w:color="auto"/>
            </w:tcBorders>
            <w:shd w:val="clear" w:color="auto" w:fill="FFC000"/>
            <w:noWrap/>
            <w:vAlign w:val="bottom"/>
            <w:hideMark/>
          </w:tcPr>
          <w:p w14:paraId="53C14972"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0.38</w:t>
            </w:r>
          </w:p>
        </w:tc>
      </w:tr>
      <w:tr w:rsidR="002445C4" w:rsidRPr="002445C4" w14:paraId="53C1497D" w14:textId="77777777" w:rsidTr="004F16D3">
        <w:trPr>
          <w:trHeight w:hRule="exact" w:val="255"/>
        </w:trPr>
        <w:tc>
          <w:tcPr>
            <w:tcW w:w="771" w:type="dxa"/>
            <w:vMerge/>
            <w:tcBorders>
              <w:left w:val="single" w:sz="4" w:space="0" w:color="auto"/>
              <w:right w:val="single" w:sz="4" w:space="0" w:color="auto"/>
            </w:tcBorders>
            <w:vAlign w:val="center"/>
            <w:hideMark/>
          </w:tcPr>
          <w:p w14:paraId="53C14974" w14:textId="77777777" w:rsidR="00830E32" w:rsidRPr="002445C4" w:rsidRDefault="00830E32" w:rsidP="00830E32">
            <w:pPr>
              <w:spacing w:after="0"/>
              <w:jc w:val="left"/>
              <w:rPr>
                <w:rFonts w:ascii="Arial Narrow" w:hAnsi="Arial Narrow"/>
                <w:lang w:eastAsia="en-AU"/>
              </w:rPr>
            </w:pPr>
          </w:p>
        </w:tc>
        <w:tc>
          <w:tcPr>
            <w:tcW w:w="15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3C14975" w14:textId="77777777" w:rsidR="00830E32" w:rsidRPr="002445C4" w:rsidRDefault="00830E32" w:rsidP="00830E32">
            <w:pPr>
              <w:spacing w:after="0"/>
              <w:jc w:val="left"/>
              <w:rPr>
                <w:rFonts w:ascii="Arial Narrow" w:hAnsi="Arial Narrow"/>
                <w:sz w:val="20"/>
                <w:lang w:eastAsia="en-AU"/>
              </w:rPr>
            </w:pPr>
            <w:r w:rsidRPr="002445C4">
              <w:rPr>
                <w:rFonts w:ascii="Arial Narrow" w:hAnsi="Arial Narrow"/>
                <w:sz w:val="20"/>
                <w:lang w:eastAsia="en-AU"/>
              </w:rPr>
              <w:t>Double Cone</w:t>
            </w:r>
          </w:p>
        </w:tc>
        <w:tc>
          <w:tcPr>
            <w:tcW w:w="284" w:type="dxa"/>
            <w:tcBorders>
              <w:top w:val="nil"/>
              <w:left w:val="nil"/>
              <w:bottom w:val="single" w:sz="4" w:space="0" w:color="auto"/>
              <w:right w:val="single" w:sz="4" w:space="0" w:color="auto"/>
            </w:tcBorders>
            <w:shd w:val="clear" w:color="auto" w:fill="auto"/>
            <w:noWrap/>
            <w:vAlign w:val="center"/>
            <w:hideMark/>
          </w:tcPr>
          <w:p w14:paraId="53C14976"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2</w:t>
            </w:r>
          </w:p>
        </w:tc>
        <w:tc>
          <w:tcPr>
            <w:tcW w:w="1134" w:type="dxa"/>
            <w:tcBorders>
              <w:top w:val="nil"/>
              <w:left w:val="nil"/>
              <w:bottom w:val="single" w:sz="4" w:space="0" w:color="auto"/>
              <w:right w:val="single" w:sz="4" w:space="0" w:color="auto"/>
            </w:tcBorders>
            <w:shd w:val="clear" w:color="auto" w:fill="auto"/>
            <w:noWrap/>
            <w:vAlign w:val="bottom"/>
            <w:hideMark/>
          </w:tcPr>
          <w:p w14:paraId="53C14977"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0.02</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hideMark/>
          </w:tcPr>
          <w:p w14:paraId="53C14978"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0.07</w:t>
            </w:r>
          </w:p>
        </w:tc>
        <w:tc>
          <w:tcPr>
            <w:tcW w:w="1134" w:type="dxa"/>
            <w:tcBorders>
              <w:top w:val="nil"/>
              <w:left w:val="nil"/>
              <w:bottom w:val="single" w:sz="4" w:space="0" w:color="auto"/>
              <w:right w:val="single" w:sz="4" w:space="0" w:color="auto"/>
            </w:tcBorders>
            <w:shd w:val="clear" w:color="auto" w:fill="auto"/>
            <w:noWrap/>
            <w:vAlign w:val="bottom"/>
            <w:hideMark/>
          </w:tcPr>
          <w:p w14:paraId="53C14979"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047" w:type="dxa"/>
            <w:tcBorders>
              <w:top w:val="nil"/>
              <w:left w:val="nil"/>
              <w:bottom w:val="single" w:sz="4" w:space="0" w:color="auto"/>
              <w:right w:val="single" w:sz="4" w:space="0" w:color="auto"/>
            </w:tcBorders>
            <w:shd w:val="clear" w:color="auto" w:fill="auto"/>
            <w:noWrap/>
            <w:vAlign w:val="bottom"/>
            <w:hideMark/>
          </w:tcPr>
          <w:p w14:paraId="53C1497A"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0.40</w:t>
            </w:r>
          </w:p>
        </w:tc>
        <w:tc>
          <w:tcPr>
            <w:tcW w:w="1221" w:type="dxa"/>
            <w:tcBorders>
              <w:top w:val="nil"/>
              <w:left w:val="nil"/>
              <w:bottom w:val="single" w:sz="4" w:space="0" w:color="auto"/>
              <w:right w:val="single" w:sz="4" w:space="0" w:color="auto"/>
            </w:tcBorders>
            <w:shd w:val="clear" w:color="auto" w:fill="auto"/>
            <w:noWrap/>
            <w:vAlign w:val="bottom"/>
            <w:hideMark/>
          </w:tcPr>
          <w:p w14:paraId="53C1497B"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117" w:type="dxa"/>
            <w:tcBorders>
              <w:top w:val="nil"/>
              <w:left w:val="nil"/>
              <w:bottom w:val="single" w:sz="4" w:space="0" w:color="auto"/>
              <w:right w:val="single" w:sz="4" w:space="0" w:color="auto"/>
            </w:tcBorders>
            <w:shd w:val="clear" w:color="auto" w:fill="FF0000"/>
            <w:noWrap/>
            <w:vAlign w:val="bottom"/>
            <w:hideMark/>
          </w:tcPr>
          <w:p w14:paraId="53C1497C"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0.10</w:t>
            </w:r>
          </w:p>
        </w:tc>
      </w:tr>
      <w:tr w:rsidR="002445C4" w:rsidRPr="002445C4" w14:paraId="53C14987" w14:textId="77777777" w:rsidTr="00830E32">
        <w:trPr>
          <w:trHeight w:hRule="exact" w:val="255"/>
        </w:trPr>
        <w:tc>
          <w:tcPr>
            <w:tcW w:w="771" w:type="dxa"/>
            <w:vMerge/>
            <w:tcBorders>
              <w:left w:val="single" w:sz="4" w:space="0" w:color="auto"/>
              <w:right w:val="single" w:sz="4" w:space="0" w:color="auto"/>
            </w:tcBorders>
            <w:vAlign w:val="center"/>
            <w:hideMark/>
          </w:tcPr>
          <w:p w14:paraId="53C1497E" w14:textId="77777777" w:rsidR="00830E32" w:rsidRPr="002445C4" w:rsidRDefault="00830E32" w:rsidP="00830E32">
            <w:pPr>
              <w:spacing w:after="0"/>
              <w:jc w:val="left"/>
              <w:rPr>
                <w:rFonts w:ascii="Arial Narrow" w:hAnsi="Arial Narrow"/>
                <w:lang w:eastAsia="en-AU"/>
              </w:rPr>
            </w:pPr>
          </w:p>
        </w:tc>
        <w:tc>
          <w:tcPr>
            <w:tcW w:w="1576" w:type="dxa"/>
            <w:vMerge/>
            <w:tcBorders>
              <w:top w:val="nil"/>
              <w:left w:val="single" w:sz="4" w:space="0" w:color="auto"/>
              <w:bottom w:val="single" w:sz="4" w:space="0" w:color="auto"/>
              <w:right w:val="single" w:sz="4" w:space="0" w:color="auto"/>
            </w:tcBorders>
            <w:vAlign w:val="center"/>
            <w:hideMark/>
          </w:tcPr>
          <w:p w14:paraId="53C1497F" w14:textId="77777777" w:rsidR="00830E32" w:rsidRPr="002445C4" w:rsidRDefault="00830E32" w:rsidP="00830E32">
            <w:pPr>
              <w:spacing w:after="0"/>
              <w:jc w:val="left"/>
              <w:rPr>
                <w:rFonts w:ascii="Arial Narrow" w:hAnsi="Arial Narrow"/>
                <w:sz w:val="20"/>
                <w:lang w:eastAsia="en-AU"/>
              </w:rPr>
            </w:pPr>
          </w:p>
        </w:tc>
        <w:tc>
          <w:tcPr>
            <w:tcW w:w="284" w:type="dxa"/>
            <w:tcBorders>
              <w:top w:val="nil"/>
              <w:left w:val="nil"/>
              <w:bottom w:val="single" w:sz="4" w:space="0" w:color="auto"/>
              <w:right w:val="single" w:sz="4" w:space="0" w:color="auto"/>
            </w:tcBorders>
            <w:shd w:val="clear" w:color="auto" w:fill="auto"/>
            <w:noWrap/>
            <w:vAlign w:val="center"/>
            <w:hideMark/>
          </w:tcPr>
          <w:p w14:paraId="53C14980"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5</w:t>
            </w:r>
          </w:p>
        </w:tc>
        <w:tc>
          <w:tcPr>
            <w:tcW w:w="1134" w:type="dxa"/>
            <w:tcBorders>
              <w:top w:val="nil"/>
              <w:left w:val="nil"/>
              <w:bottom w:val="single" w:sz="4" w:space="0" w:color="auto"/>
              <w:right w:val="single" w:sz="4" w:space="0" w:color="auto"/>
            </w:tcBorders>
            <w:shd w:val="clear" w:color="auto" w:fill="auto"/>
            <w:noWrap/>
            <w:vAlign w:val="bottom"/>
            <w:hideMark/>
          </w:tcPr>
          <w:p w14:paraId="53C14981"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0.24</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hideMark/>
          </w:tcPr>
          <w:p w14:paraId="53C14982"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0.14</w:t>
            </w:r>
          </w:p>
        </w:tc>
        <w:tc>
          <w:tcPr>
            <w:tcW w:w="1134" w:type="dxa"/>
            <w:tcBorders>
              <w:top w:val="nil"/>
              <w:left w:val="nil"/>
              <w:bottom w:val="single" w:sz="4" w:space="0" w:color="auto"/>
              <w:right w:val="single" w:sz="4" w:space="0" w:color="auto"/>
            </w:tcBorders>
            <w:shd w:val="clear" w:color="auto" w:fill="auto"/>
            <w:noWrap/>
            <w:vAlign w:val="bottom"/>
            <w:hideMark/>
          </w:tcPr>
          <w:p w14:paraId="53C14983"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047" w:type="dxa"/>
            <w:tcBorders>
              <w:top w:val="nil"/>
              <w:left w:val="nil"/>
              <w:bottom w:val="single" w:sz="4" w:space="0" w:color="auto"/>
              <w:right w:val="single" w:sz="4" w:space="0" w:color="auto"/>
            </w:tcBorders>
            <w:shd w:val="clear" w:color="auto" w:fill="auto"/>
            <w:noWrap/>
            <w:vAlign w:val="bottom"/>
            <w:hideMark/>
          </w:tcPr>
          <w:p w14:paraId="53C14984"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0.16</w:t>
            </w:r>
          </w:p>
        </w:tc>
        <w:tc>
          <w:tcPr>
            <w:tcW w:w="1221" w:type="dxa"/>
            <w:tcBorders>
              <w:top w:val="nil"/>
              <w:left w:val="nil"/>
              <w:bottom w:val="single" w:sz="4" w:space="0" w:color="auto"/>
              <w:right w:val="single" w:sz="4" w:space="0" w:color="auto"/>
            </w:tcBorders>
            <w:shd w:val="clear" w:color="auto" w:fill="auto"/>
            <w:noWrap/>
            <w:vAlign w:val="bottom"/>
            <w:hideMark/>
          </w:tcPr>
          <w:p w14:paraId="53C14985"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117" w:type="dxa"/>
            <w:tcBorders>
              <w:top w:val="nil"/>
              <w:left w:val="nil"/>
              <w:bottom w:val="single" w:sz="4" w:space="0" w:color="auto"/>
              <w:right w:val="single" w:sz="4" w:space="0" w:color="auto"/>
            </w:tcBorders>
            <w:shd w:val="clear" w:color="auto" w:fill="FF0000"/>
            <w:noWrap/>
            <w:vAlign w:val="bottom"/>
            <w:hideMark/>
          </w:tcPr>
          <w:p w14:paraId="53C14986"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0.11</w:t>
            </w:r>
          </w:p>
        </w:tc>
      </w:tr>
      <w:tr w:rsidR="002445C4" w:rsidRPr="002445C4" w14:paraId="53C14991" w14:textId="77777777" w:rsidTr="004F16D3">
        <w:trPr>
          <w:trHeight w:hRule="exact" w:val="255"/>
        </w:trPr>
        <w:tc>
          <w:tcPr>
            <w:tcW w:w="771" w:type="dxa"/>
            <w:vMerge/>
            <w:tcBorders>
              <w:left w:val="single" w:sz="4" w:space="0" w:color="auto"/>
              <w:right w:val="single" w:sz="4" w:space="0" w:color="auto"/>
            </w:tcBorders>
            <w:vAlign w:val="center"/>
            <w:hideMark/>
          </w:tcPr>
          <w:p w14:paraId="53C14988" w14:textId="77777777" w:rsidR="00830E32" w:rsidRPr="002445C4" w:rsidRDefault="00830E32" w:rsidP="00830E32">
            <w:pPr>
              <w:spacing w:after="0"/>
              <w:jc w:val="left"/>
              <w:rPr>
                <w:rFonts w:ascii="Arial Narrow" w:hAnsi="Arial Narrow"/>
                <w:lang w:eastAsia="en-AU"/>
              </w:rPr>
            </w:pPr>
          </w:p>
        </w:tc>
        <w:tc>
          <w:tcPr>
            <w:tcW w:w="15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3C14989" w14:textId="77777777" w:rsidR="00830E32" w:rsidRPr="002445C4" w:rsidRDefault="00830E32" w:rsidP="00830E32">
            <w:pPr>
              <w:spacing w:after="0"/>
              <w:jc w:val="left"/>
              <w:rPr>
                <w:rFonts w:ascii="Arial Narrow" w:hAnsi="Arial Narrow"/>
                <w:sz w:val="20"/>
                <w:lang w:eastAsia="en-AU"/>
              </w:rPr>
            </w:pPr>
            <w:r w:rsidRPr="002445C4">
              <w:rPr>
                <w:rFonts w:ascii="Arial Narrow" w:hAnsi="Arial Narrow"/>
                <w:sz w:val="20"/>
                <w:lang w:eastAsia="en-AU"/>
              </w:rPr>
              <w:t>Daydream</w:t>
            </w:r>
          </w:p>
        </w:tc>
        <w:tc>
          <w:tcPr>
            <w:tcW w:w="284" w:type="dxa"/>
            <w:tcBorders>
              <w:top w:val="nil"/>
              <w:left w:val="nil"/>
              <w:bottom w:val="single" w:sz="4" w:space="0" w:color="auto"/>
              <w:right w:val="single" w:sz="4" w:space="0" w:color="auto"/>
            </w:tcBorders>
            <w:shd w:val="clear" w:color="auto" w:fill="auto"/>
            <w:noWrap/>
            <w:vAlign w:val="center"/>
            <w:hideMark/>
          </w:tcPr>
          <w:p w14:paraId="53C1498A"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2</w:t>
            </w:r>
          </w:p>
        </w:tc>
        <w:tc>
          <w:tcPr>
            <w:tcW w:w="1134" w:type="dxa"/>
            <w:tcBorders>
              <w:top w:val="nil"/>
              <w:left w:val="nil"/>
              <w:bottom w:val="single" w:sz="4" w:space="0" w:color="auto"/>
              <w:right w:val="single" w:sz="4" w:space="0" w:color="auto"/>
            </w:tcBorders>
            <w:shd w:val="clear" w:color="auto" w:fill="auto"/>
            <w:noWrap/>
            <w:vAlign w:val="bottom"/>
            <w:hideMark/>
          </w:tcPr>
          <w:p w14:paraId="53C1498B"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0.01</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hideMark/>
          </w:tcPr>
          <w:p w14:paraId="53C1498C"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0.20</w:t>
            </w:r>
          </w:p>
        </w:tc>
        <w:tc>
          <w:tcPr>
            <w:tcW w:w="1134" w:type="dxa"/>
            <w:tcBorders>
              <w:top w:val="nil"/>
              <w:left w:val="nil"/>
              <w:bottom w:val="single" w:sz="4" w:space="0" w:color="auto"/>
              <w:right w:val="single" w:sz="4" w:space="0" w:color="auto"/>
            </w:tcBorders>
            <w:shd w:val="clear" w:color="auto" w:fill="auto"/>
            <w:noWrap/>
            <w:vAlign w:val="bottom"/>
            <w:hideMark/>
          </w:tcPr>
          <w:p w14:paraId="53C1498D"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047" w:type="dxa"/>
            <w:tcBorders>
              <w:top w:val="nil"/>
              <w:left w:val="nil"/>
              <w:bottom w:val="single" w:sz="4" w:space="0" w:color="auto"/>
              <w:right w:val="single" w:sz="4" w:space="0" w:color="auto"/>
            </w:tcBorders>
            <w:shd w:val="clear" w:color="auto" w:fill="auto"/>
            <w:noWrap/>
            <w:vAlign w:val="bottom"/>
            <w:hideMark/>
          </w:tcPr>
          <w:p w14:paraId="53C1498E"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0.43</w:t>
            </w:r>
          </w:p>
        </w:tc>
        <w:tc>
          <w:tcPr>
            <w:tcW w:w="1221" w:type="dxa"/>
            <w:tcBorders>
              <w:top w:val="nil"/>
              <w:left w:val="nil"/>
              <w:bottom w:val="single" w:sz="4" w:space="0" w:color="auto"/>
              <w:right w:val="single" w:sz="4" w:space="0" w:color="auto"/>
            </w:tcBorders>
            <w:shd w:val="clear" w:color="auto" w:fill="auto"/>
            <w:noWrap/>
            <w:vAlign w:val="bottom"/>
            <w:hideMark/>
          </w:tcPr>
          <w:p w14:paraId="53C1498F"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117" w:type="dxa"/>
            <w:tcBorders>
              <w:top w:val="nil"/>
              <w:left w:val="nil"/>
              <w:bottom w:val="single" w:sz="4" w:space="0" w:color="auto"/>
              <w:right w:val="single" w:sz="4" w:space="0" w:color="auto"/>
            </w:tcBorders>
            <w:shd w:val="clear" w:color="auto" w:fill="FF0000"/>
            <w:noWrap/>
            <w:vAlign w:val="bottom"/>
            <w:hideMark/>
          </w:tcPr>
          <w:p w14:paraId="53C14990"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0.13</w:t>
            </w:r>
          </w:p>
        </w:tc>
      </w:tr>
      <w:tr w:rsidR="002445C4" w:rsidRPr="002445C4" w14:paraId="53C1499B" w14:textId="77777777" w:rsidTr="004F16D3">
        <w:trPr>
          <w:trHeight w:hRule="exact" w:val="255"/>
        </w:trPr>
        <w:tc>
          <w:tcPr>
            <w:tcW w:w="771" w:type="dxa"/>
            <w:vMerge/>
            <w:tcBorders>
              <w:left w:val="single" w:sz="4" w:space="0" w:color="auto"/>
              <w:right w:val="single" w:sz="4" w:space="0" w:color="auto"/>
            </w:tcBorders>
            <w:vAlign w:val="center"/>
            <w:hideMark/>
          </w:tcPr>
          <w:p w14:paraId="53C14992" w14:textId="77777777" w:rsidR="00830E32" w:rsidRPr="002445C4" w:rsidRDefault="00830E32" w:rsidP="00830E32">
            <w:pPr>
              <w:spacing w:after="0"/>
              <w:jc w:val="left"/>
              <w:rPr>
                <w:rFonts w:ascii="Arial Narrow" w:hAnsi="Arial Narrow"/>
                <w:lang w:eastAsia="en-AU"/>
              </w:rPr>
            </w:pPr>
          </w:p>
        </w:tc>
        <w:tc>
          <w:tcPr>
            <w:tcW w:w="1576" w:type="dxa"/>
            <w:vMerge/>
            <w:tcBorders>
              <w:top w:val="nil"/>
              <w:left w:val="single" w:sz="4" w:space="0" w:color="auto"/>
              <w:bottom w:val="single" w:sz="4" w:space="0" w:color="auto"/>
              <w:right w:val="single" w:sz="4" w:space="0" w:color="auto"/>
            </w:tcBorders>
            <w:vAlign w:val="center"/>
            <w:hideMark/>
          </w:tcPr>
          <w:p w14:paraId="53C14993" w14:textId="77777777" w:rsidR="00830E32" w:rsidRPr="002445C4" w:rsidRDefault="00830E32" w:rsidP="00830E32">
            <w:pPr>
              <w:spacing w:after="0"/>
              <w:jc w:val="left"/>
              <w:rPr>
                <w:rFonts w:ascii="Arial Narrow" w:hAnsi="Arial Narrow"/>
                <w:sz w:val="20"/>
                <w:lang w:eastAsia="en-AU"/>
              </w:rPr>
            </w:pPr>
          </w:p>
        </w:tc>
        <w:tc>
          <w:tcPr>
            <w:tcW w:w="284" w:type="dxa"/>
            <w:tcBorders>
              <w:top w:val="nil"/>
              <w:left w:val="nil"/>
              <w:bottom w:val="single" w:sz="4" w:space="0" w:color="auto"/>
              <w:right w:val="single" w:sz="4" w:space="0" w:color="auto"/>
            </w:tcBorders>
            <w:shd w:val="clear" w:color="auto" w:fill="auto"/>
            <w:noWrap/>
            <w:vAlign w:val="center"/>
            <w:hideMark/>
          </w:tcPr>
          <w:p w14:paraId="53C14994"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5</w:t>
            </w:r>
          </w:p>
        </w:tc>
        <w:tc>
          <w:tcPr>
            <w:tcW w:w="1134" w:type="dxa"/>
            <w:tcBorders>
              <w:top w:val="nil"/>
              <w:left w:val="nil"/>
              <w:bottom w:val="single" w:sz="4" w:space="0" w:color="auto"/>
              <w:right w:val="single" w:sz="4" w:space="0" w:color="auto"/>
            </w:tcBorders>
            <w:shd w:val="clear" w:color="auto" w:fill="auto"/>
            <w:noWrap/>
            <w:vAlign w:val="bottom"/>
            <w:hideMark/>
          </w:tcPr>
          <w:p w14:paraId="53C14995"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0.04</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hideMark/>
          </w:tcPr>
          <w:p w14:paraId="53C14996"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0.19</w:t>
            </w:r>
          </w:p>
        </w:tc>
        <w:tc>
          <w:tcPr>
            <w:tcW w:w="1134" w:type="dxa"/>
            <w:tcBorders>
              <w:top w:val="nil"/>
              <w:left w:val="nil"/>
              <w:bottom w:val="single" w:sz="4" w:space="0" w:color="auto"/>
              <w:right w:val="single" w:sz="4" w:space="0" w:color="auto"/>
            </w:tcBorders>
            <w:shd w:val="clear" w:color="auto" w:fill="auto"/>
            <w:noWrap/>
            <w:vAlign w:val="bottom"/>
            <w:hideMark/>
          </w:tcPr>
          <w:p w14:paraId="53C14997"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0.19</w:t>
            </w:r>
          </w:p>
        </w:tc>
        <w:tc>
          <w:tcPr>
            <w:tcW w:w="1047" w:type="dxa"/>
            <w:tcBorders>
              <w:top w:val="nil"/>
              <w:left w:val="nil"/>
              <w:bottom w:val="single" w:sz="4" w:space="0" w:color="auto"/>
              <w:right w:val="single" w:sz="4" w:space="0" w:color="auto"/>
            </w:tcBorders>
            <w:shd w:val="clear" w:color="auto" w:fill="auto"/>
            <w:noWrap/>
            <w:vAlign w:val="bottom"/>
            <w:hideMark/>
          </w:tcPr>
          <w:p w14:paraId="53C14998"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0.39</w:t>
            </w:r>
          </w:p>
        </w:tc>
        <w:tc>
          <w:tcPr>
            <w:tcW w:w="1221" w:type="dxa"/>
            <w:tcBorders>
              <w:top w:val="nil"/>
              <w:left w:val="nil"/>
              <w:bottom w:val="single" w:sz="4" w:space="0" w:color="auto"/>
              <w:right w:val="single" w:sz="4" w:space="0" w:color="auto"/>
            </w:tcBorders>
            <w:shd w:val="clear" w:color="auto" w:fill="auto"/>
            <w:noWrap/>
            <w:vAlign w:val="bottom"/>
            <w:hideMark/>
          </w:tcPr>
          <w:p w14:paraId="53C14999"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117" w:type="dxa"/>
            <w:tcBorders>
              <w:top w:val="nil"/>
              <w:left w:val="nil"/>
              <w:bottom w:val="single" w:sz="4" w:space="0" w:color="auto"/>
              <w:right w:val="single" w:sz="4" w:space="0" w:color="auto"/>
            </w:tcBorders>
            <w:shd w:val="clear" w:color="auto" w:fill="FF0000"/>
            <w:noWrap/>
            <w:vAlign w:val="bottom"/>
            <w:hideMark/>
          </w:tcPr>
          <w:p w14:paraId="53C1499A"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0.16</w:t>
            </w:r>
          </w:p>
        </w:tc>
      </w:tr>
      <w:tr w:rsidR="002445C4" w:rsidRPr="002445C4" w14:paraId="53C149A5" w14:textId="77777777" w:rsidTr="00830E32">
        <w:trPr>
          <w:trHeight w:hRule="exact" w:val="255"/>
        </w:trPr>
        <w:tc>
          <w:tcPr>
            <w:tcW w:w="771" w:type="dxa"/>
            <w:vMerge/>
            <w:tcBorders>
              <w:left w:val="single" w:sz="4" w:space="0" w:color="auto"/>
              <w:right w:val="single" w:sz="4" w:space="0" w:color="auto"/>
            </w:tcBorders>
            <w:vAlign w:val="center"/>
            <w:hideMark/>
          </w:tcPr>
          <w:p w14:paraId="53C1499C" w14:textId="77777777" w:rsidR="00830E32" w:rsidRPr="002445C4" w:rsidRDefault="00830E32" w:rsidP="00830E32">
            <w:pPr>
              <w:spacing w:after="0"/>
              <w:jc w:val="left"/>
              <w:rPr>
                <w:rFonts w:ascii="Arial Narrow" w:hAnsi="Arial Narrow"/>
                <w:lang w:eastAsia="en-AU"/>
              </w:rPr>
            </w:pPr>
          </w:p>
        </w:tc>
        <w:tc>
          <w:tcPr>
            <w:tcW w:w="15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3C1499D" w14:textId="77777777" w:rsidR="00830E32" w:rsidRPr="002445C4" w:rsidRDefault="00830E32" w:rsidP="00830E32">
            <w:pPr>
              <w:spacing w:after="0"/>
              <w:jc w:val="left"/>
              <w:rPr>
                <w:rFonts w:ascii="Arial Narrow" w:hAnsi="Arial Narrow"/>
                <w:sz w:val="20"/>
                <w:lang w:eastAsia="en-AU"/>
              </w:rPr>
            </w:pPr>
            <w:r w:rsidRPr="002445C4">
              <w:rPr>
                <w:rFonts w:ascii="Arial Narrow" w:hAnsi="Arial Narrow"/>
                <w:sz w:val="20"/>
                <w:lang w:eastAsia="en-AU"/>
              </w:rPr>
              <w:t>Dent</w:t>
            </w:r>
          </w:p>
        </w:tc>
        <w:tc>
          <w:tcPr>
            <w:tcW w:w="284" w:type="dxa"/>
            <w:tcBorders>
              <w:top w:val="nil"/>
              <w:left w:val="nil"/>
              <w:bottom w:val="single" w:sz="4" w:space="0" w:color="auto"/>
              <w:right w:val="single" w:sz="4" w:space="0" w:color="auto"/>
            </w:tcBorders>
            <w:shd w:val="clear" w:color="auto" w:fill="auto"/>
            <w:noWrap/>
            <w:vAlign w:val="center"/>
            <w:hideMark/>
          </w:tcPr>
          <w:p w14:paraId="53C1499E"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2</w:t>
            </w:r>
          </w:p>
        </w:tc>
        <w:tc>
          <w:tcPr>
            <w:tcW w:w="1134" w:type="dxa"/>
            <w:tcBorders>
              <w:top w:val="nil"/>
              <w:left w:val="nil"/>
              <w:bottom w:val="single" w:sz="4" w:space="0" w:color="auto"/>
              <w:right w:val="single" w:sz="4" w:space="0" w:color="auto"/>
            </w:tcBorders>
            <w:shd w:val="clear" w:color="auto" w:fill="auto"/>
            <w:noWrap/>
            <w:vAlign w:val="bottom"/>
            <w:hideMark/>
          </w:tcPr>
          <w:p w14:paraId="53C1499F"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0.35</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hideMark/>
          </w:tcPr>
          <w:p w14:paraId="53C149A0"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0.16</w:t>
            </w:r>
          </w:p>
        </w:tc>
        <w:tc>
          <w:tcPr>
            <w:tcW w:w="1134" w:type="dxa"/>
            <w:tcBorders>
              <w:top w:val="nil"/>
              <w:left w:val="nil"/>
              <w:bottom w:val="single" w:sz="4" w:space="0" w:color="auto"/>
              <w:right w:val="single" w:sz="4" w:space="0" w:color="auto"/>
            </w:tcBorders>
            <w:shd w:val="clear" w:color="auto" w:fill="auto"/>
            <w:noWrap/>
            <w:vAlign w:val="bottom"/>
            <w:hideMark/>
          </w:tcPr>
          <w:p w14:paraId="53C149A1"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047" w:type="dxa"/>
            <w:tcBorders>
              <w:top w:val="nil"/>
              <w:left w:val="nil"/>
              <w:bottom w:val="single" w:sz="4" w:space="0" w:color="auto"/>
              <w:right w:val="single" w:sz="4" w:space="0" w:color="auto"/>
            </w:tcBorders>
            <w:shd w:val="clear" w:color="auto" w:fill="auto"/>
            <w:noWrap/>
            <w:vAlign w:val="bottom"/>
            <w:hideMark/>
          </w:tcPr>
          <w:p w14:paraId="53C149A2"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221" w:type="dxa"/>
            <w:tcBorders>
              <w:top w:val="nil"/>
              <w:left w:val="nil"/>
              <w:bottom w:val="single" w:sz="4" w:space="0" w:color="auto"/>
              <w:right w:val="single" w:sz="4" w:space="0" w:color="auto"/>
            </w:tcBorders>
            <w:shd w:val="clear" w:color="auto" w:fill="auto"/>
            <w:noWrap/>
            <w:vAlign w:val="bottom"/>
            <w:hideMark/>
          </w:tcPr>
          <w:p w14:paraId="53C149A3"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117" w:type="dxa"/>
            <w:tcBorders>
              <w:top w:val="nil"/>
              <w:left w:val="nil"/>
              <w:bottom w:val="single" w:sz="4" w:space="0" w:color="auto"/>
              <w:right w:val="single" w:sz="4" w:space="0" w:color="auto"/>
            </w:tcBorders>
            <w:shd w:val="clear" w:color="auto" w:fill="FFC000"/>
            <w:noWrap/>
            <w:vAlign w:val="bottom"/>
            <w:hideMark/>
          </w:tcPr>
          <w:p w14:paraId="53C149A4"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0.30</w:t>
            </w:r>
          </w:p>
        </w:tc>
      </w:tr>
      <w:tr w:rsidR="002445C4" w:rsidRPr="002445C4" w14:paraId="53C149AF" w14:textId="77777777" w:rsidTr="00830E32">
        <w:trPr>
          <w:trHeight w:hRule="exact" w:val="255"/>
        </w:trPr>
        <w:tc>
          <w:tcPr>
            <w:tcW w:w="771" w:type="dxa"/>
            <w:vMerge/>
            <w:tcBorders>
              <w:left w:val="single" w:sz="4" w:space="0" w:color="auto"/>
              <w:right w:val="single" w:sz="4" w:space="0" w:color="auto"/>
            </w:tcBorders>
            <w:vAlign w:val="center"/>
            <w:hideMark/>
          </w:tcPr>
          <w:p w14:paraId="53C149A6" w14:textId="77777777" w:rsidR="00830E32" w:rsidRPr="002445C4" w:rsidRDefault="00830E32" w:rsidP="00830E32">
            <w:pPr>
              <w:spacing w:after="0"/>
              <w:jc w:val="left"/>
              <w:rPr>
                <w:rFonts w:ascii="Arial Narrow" w:hAnsi="Arial Narrow"/>
                <w:lang w:eastAsia="en-AU"/>
              </w:rPr>
            </w:pPr>
          </w:p>
        </w:tc>
        <w:tc>
          <w:tcPr>
            <w:tcW w:w="1576" w:type="dxa"/>
            <w:vMerge/>
            <w:tcBorders>
              <w:top w:val="nil"/>
              <w:left w:val="single" w:sz="4" w:space="0" w:color="auto"/>
              <w:bottom w:val="single" w:sz="4" w:space="0" w:color="auto"/>
              <w:right w:val="single" w:sz="4" w:space="0" w:color="auto"/>
            </w:tcBorders>
            <w:vAlign w:val="center"/>
            <w:hideMark/>
          </w:tcPr>
          <w:p w14:paraId="53C149A7" w14:textId="77777777" w:rsidR="00830E32" w:rsidRPr="002445C4" w:rsidRDefault="00830E32" w:rsidP="00830E32">
            <w:pPr>
              <w:spacing w:after="0"/>
              <w:jc w:val="left"/>
              <w:rPr>
                <w:rFonts w:ascii="Arial Narrow" w:hAnsi="Arial Narrow"/>
                <w:sz w:val="20"/>
                <w:lang w:eastAsia="en-AU"/>
              </w:rPr>
            </w:pPr>
          </w:p>
        </w:tc>
        <w:tc>
          <w:tcPr>
            <w:tcW w:w="284" w:type="dxa"/>
            <w:tcBorders>
              <w:top w:val="nil"/>
              <w:left w:val="nil"/>
              <w:bottom w:val="single" w:sz="4" w:space="0" w:color="auto"/>
              <w:right w:val="single" w:sz="4" w:space="0" w:color="auto"/>
            </w:tcBorders>
            <w:shd w:val="clear" w:color="auto" w:fill="auto"/>
            <w:noWrap/>
            <w:vAlign w:val="center"/>
            <w:hideMark/>
          </w:tcPr>
          <w:p w14:paraId="53C149A8"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5</w:t>
            </w:r>
          </w:p>
        </w:tc>
        <w:tc>
          <w:tcPr>
            <w:tcW w:w="1134" w:type="dxa"/>
            <w:tcBorders>
              <w:top w:val="nil"/>
              <w:left w:val="nil"/>
              <w:bottom w:val="single" w:sz="4" w:space="0" w:color="auto"/>
              <w:right w:val="single" w:sz="4" w:space="0" w:color="auto"/>
            </w:tcBorders>
            <w:shd w:val="clear" w:color="auto" w:fill="auto"/>
            <w:noWrap/>
            <w:vAlign w:val="bottom"/>
            <w:hideMark/>
          </w:tcPr>
          <w:p w14:paraId="53C149A9"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0.40</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hideMark/>
          </w:tcPr>
          <w:p w14:paraId="53C149AA"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0.16</w:t>
            </w:r>
          </w:p>
        </w:tc>
        <w:tc>
          <w:tcPr>
            <w:tcW w:w="1134" w:type="dxa"/>
            <w:tcBorders>
              <w:top w:val="nil"/>
              <w:left w:val="nil"/>
              <w:bottom w:val="single" w:sz="4" w:space="0" w:color="auto"/>
              <w:right w:val="single" w:sz="4" w:space="0" w:color="auto"/>
            </w:tcBorders>
            <w:shd w:val="clear" w:color="auto" w:fill="auto"/>
            <w:noWrap/>
            <w:vAlign w:val="bottom"/>
            <w:hideMark/>
          </w:tcPr>
          <w:p w14:paraId="53C149AB"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047" w:type="dxa"/>
            <w:tcBorders>
              <w:top w:val="nil"/>
              <w:left w:val="nil"/>
              <w:bottom w:val="single" w:sz="4" w:space="0" w:color="auto"/>
              <w:right w:val="single" w:sz="4" w:space="0" w:color="auto"/>
            </w:tcBorders>
            <w:shd w:val="clear" w:color="auto" w:fill="auto"/>
            <w:noWrap/>
            <w:vAlign w:val="bottom"/>
            <w:hideMark/>
          </w:tcPr>
          <w:p w14:paraId="53C149AC"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221" w:type="dxa"/>
            <w:tcBorders>
              <w:top w:val="nil"/>
              <w:left w:val="nil"/>
              <w:bottom w:val="single" w:sz="4" w:space="0" w:color="auto"/>
              <w:right w:val="single" w:sz="4" w:space="0" w:color="auto"/>
            </w:tcBorders>
            <w:shd w:val="clear" w:color="auto" w:fill="auto"/>
            <w:noWrap/>
            <w:vAlign w:val="bottom"/>
            <w:hideMark/>
          </w:tcPr>
          <w:p w14:paraId="53C149AD"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117" w:type="dxa"/>
            <w:tcBorders>
              <w:top w:val="nil"/>
              <w:left w:val="nil"/>
              <w:bottom w:val="single" w:sz="4" w:space="0" w:color="auto"/>
              <w:right w:val="single" w:sz="4" w:space="0" w:color="auto"/>
            </w:tcBorders>
            <w:shd w:val="clear" w:color="auto" w:fill="FFC000"/>
            <w:noWrap/>
            <w:vAlign w:val="bottom"/>
            <w:hideMark/>
          </w:tcPr>
          <w:p w14:paraId="53C149AE"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0.31</w:t>
            </w:r>
          </w:p>
        </w:tc>
      </w:tr>
      <w:tr w:rsidR="002445C4" w:rsidRPr="002445C4" w14:paraId="53C149B9" w14:textId="77777777" w:rsidTr="004F16D3">
        <w:trPr>
          <w:trHeight w:hRule="exact" w:val="255"/>
        </w:trPr>
        <w:tc>
          <w:tcPr>
            <w:tcW w:w="771" w:type="dxa"/>
            <w:vMerge/>
            <w:tcBorders>
              <w:left w:val="single" w:sz="4" w:space="0" w:color="auto"/>
              <w:right w:val="single" w:sz="4" w:space="0" w:color="auto"/>
            </w:tcBorders>
            <w:vAlign w:val="center"/>
            <w:hideMark/>
          </w:tcPr>
          <w:p w14:paraId="53C149B0" w14:textId="77777777" w:rsidR="00830E32" w:rsidRPr="002445C4" w:rsidRDefault="00830E32" w:rsidP="00830E32">
            <w:pPr>
              <w:spacing w:after="0"/>
              <w:jc w:val="left"/>
              <w:rPr>
                <w:rFonts w:ascii="Arial Narrow" w:hAnsi="Arial Narrow"/>
                <w:lang w:eastAsia="en-AU"/>
              </w:rPr>
            </w:pPr>
          </w:p>
        </w:tc>
        <w:tc>
          <w:tcPr>
            <w:tcW w:w="15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3C149B1" w14:textId="77777777" w:rsidR="00830E32" w:rsidRPr="002445C4" w:rsidRDefault="00830E32" w:rsidP="00830E32">
            <w:pPr>
              <w:spacing w:after="0"/>
              <w:jc w:val="left"/>
              <w:rPr>
                <w:rFonts w:ascii="Arial Narrow" w:hAnsi="Arial Narrow"/>
                <w:sz w:val="20"/>
                <w:lang w:eastAsia="en-AU"/>
              </w:rPr>
            </w:pPr>
            <w:r w:rsidRPr="002445C4">
              <w:rPr>
                <w:rFonts w:ascii="Arial Narrow" w:hAnsi="Arial Narrow"/>
                <w:sz w:val="20"/>
                <w:lang w:eastAsia="en-AU"/>
              </w:rPr>
              <w:t>Shute Harbour</w:t>
            </w:r>
          </w:p>
        </w:tc>
        <w:tc>
          <w:tcPr>
            <w:tcW w:w="284" w:type="dxa"/>
            <w:tcBorders>
              <w:top w:val="nil"/>
              <w:left w:val="nil"/>
              <w:bottom w:val="single" w:sz="4" w:space="0" w:color="auto"/>
              <w:right w:val="single" w:sz="4" w:space="0" w:color="auto"/>
            </w:tcBorders>
            <w:shd w:val="clear" w:color="auto" w:fill="auto"/>
            <w:noWrap/>
            <w:vAlign w:val="center"/>
            <w:hideMark/>
          </w:tcPr>
          <w:p w14:paraId="53C149B2"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2</w:t>
            </w:r>
          </w:p>
        </w:tc>
        <w:tc>
          <w:tcPr>
            <w:tcW w:w="1134" w:type="dxa"/>
            <w:tcBorders>
              <w:top w:val="nil"/>
              <w:left w:val="nil"/>
              <w:bottom w:val="single" w:sz="4" w:space="0" w:color="auto"/>
              <w:right w:val="single" w:sz="4" w:space="0" w:color="auto"/>
            </w:tcBorders>
            <w:shd w:val="clear" w:color="auto" w:fill="auto"/>
            <w:noWrap/>
            <w:vAlign w:val="bottom"/>
            <w:hideMark/>
          </w:tcPr>
          <w:p w14:paraId="53C149B3"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0.59</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hideMark/>
          </w:tcPr>
          <w:p w14:paraId="53C149B4"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0.31</w:t>
            </w:r>
          </w:p>
        </w:tc>
        <w:tc>
          <w:tcPr>
            <w:tcW w:w="1134" w:type="dxa"/>
            <w:tcBorders>
              <w:top w:val="nil"/>
              <w:left w:val="nil"/>
              <w:bottom w:val="single" w:sz="4" w:space="0" w:color="auto"/>
              <w:right w:val="single" w:sz="4" w:space="0" w:color="auto"/>
            </w:tcBorders>
            <w:shd w:val="clear" w:color="auto" w:fill="auto"/>
            <w:noWrap/>
            <w:vAlign w:val="bottom"/>
            <w:hideMark/>
          </w:tcPr>
          <w:p w14:paraId="53C149B5"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047" w:type="dxa"/>
            <w:tcBorders>
              <w:top w:val="nil"/>
              <w:left w:val="nil"/>
              <w:bottom w:val="single" w:sz="4" w:space="0" w:color="auto"/>
              <w:right w:val="single" w:sz="4" w:space="0" w:color="auto"/>
            </w:tcBorders>
            <w:shd w:val="clear" w:color="auto" w:fill="auto"/>
            <w:noWrap/>
            <w:vAlign w:val="bottom"/>
            <w:hideMark/>
          </w:tcPr>
          <w:p w14:paraId="53C149B6"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0.85</w:t>
            </w:r>
          </w:p>
        </w:tc>
        <w:tc>
          <w:tcPr>
            <w:tcW w:w="1221" w:type="dxa"/>
            <w:tcBorders>
              <w:top w:val="nil"/>
              <w:left w:val="nil"/>
              <w:bottom w:val="single" w:sz="4" w:space="0" w:color="auto"/>
              <w:right w:val="single" w:sz="4" w:space="0" w:color="auto"/>
            </w:tcBorders>
            <w:shd w:val="clear" w:color="auto" w:fill="auto"/>
            <w:noWrap/>
            <w:vAlign w:val="bottom"/>
            <w:hideMark/>
          </w:tcPr>
          <w:p w14:paraId="53C149B7"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117" w:type="dxa"/>
            <w:tcBorders>
              <w:top w:val="nil"/>
              <w:left w:val="nil"/>
              <w:bottom w:val="single" w:sz="4" w:space="0" w:color="auto"/>
              <w:right w:val="single" w:sz="4" w:space="0" w:color="auto"/>
            </w:tcBorders>
            <w:shd w:val="clear" w:color="auto" w:fill="92D050"/>
            <w:noWrap/>
            <w:vAlign w:val="bottom"/>
            <w:hideMark/>
          </w:tcPr>
          <w:p w14:paraId="53C149B8"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0.75</w:t>
            </w:r>
          </w:p>
        </w:tc>
      </w:tr>
      <w:tr w:rsidR="002445C4" w:rsidRPr="002445C4" w14:paraId="53C149C3" w14:textId="77777777" w:rsidTr="004F16D3">
        <w:trPr>
          <w:trHeight w:hRule="exact" w:val="255"/>
        </w:trPr>
        <w:tc>
          <w:tcPr>
            <w:tcW w:w="771" w:type="dxa"/>
            <w:vMerge/>
            <w:tcBorders>
              <w:left w:val="single" w:sz="4" w:space="0" w:color="auto"/>
              <w:right w:val="single" w:sz="4" w:space="0" w:color="auto"/>
            </w:tcBorders>
            <w:vAlign w:val="center"/>
            <w:hideMark/>
          </w:tcPr>
          <w:p w14:paraId="53C149BA" w14:textId="77777777" w:rsidR="00830E32" w:rsidRPr="002445C4" w:rsidRDefault="00830E32" w:rsidP="00830E32">
            <w:pPr>
              <w:spacing w:after="0"/>
              <w:jc w:val="left"/>
              <w:rPr>
                <w:rFonts w:ascii="Arial Narrow" w:hAnsi="Arial Narrow"/>
                <w:lang w:eastAsia="en-AU"/>
              </w:rPr>
            </w:pPr>
          </w:p>
        </w:tc>
        <w:tc>
          <w:tcPr>
            <w:tcW w:w="1576" w:type="dxa"/>
            <w:vMerge/>
            <w:tcBorders>
              <w:top w:val="nil"/>
              <w:left w:val="single" w:sz="4" w:space="0" w:color="auto"/>
              <w:bottom w:val="single" w:sz="4" w:space="0" w:color="auto"/>
              <w:right w:val="single" w:sz="4" w:space="0" w:color="auto"/>
            </w:tcBorders>
            <w:vAlign w:val="center"/>
            <w:hideMark/>
          </w:tcPr>
          <w:p w14:paraId="53C149BB" w14:textId="77777777" w:rsidR="00830E32" w:rsidRPr="002445C4" w:rsidRDefault="00830E32" w:rsidP="00830E32">
            <w:pPr>
              <w:spacing w:after="0"/>
              <w:jc w:val="left"/>
              <w:rPr>
                <w:rFonts w:ascii="Arial Narrow" w:hAnsi="Arial Narrow"/>
                <w:sz w:val="20"/>
                <w:lang w:eastAsia="en-AU"/>
              </w:rPr>
            </w:pPr>
          </w:p>
        </w:tc>
        <w:tc>
          <w:tcPr>
            <w:tcW w:w="284" w:type="dxa"/>
            <w:tcBorders>
              <w:top w:val="nil"/>
              <w:left w:val="nil"/>
              <w:bottom w:val="single" w:sz="4" w:space="0" w:color="auto"/>
              <w:right w:val="single" w:sz="4" w:space="0" w:color="auto"/>
            </w:tcBorders>
            <w:shd w:val="clear" w:color="auto" w:fill="auto"/>
            <w:noWrap/>
            <w:vAlign w:val="center"/>
            <w:hideMark/>
          </w:tcPr>
          <w:p w14:paraId="53C149BC"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5</w:t>
            </w:r>
          </w:p>
        </w:tc>
        <w:tc>
          <w:tcPr>
            <w:tcW w:w="1134" w:type="dxa"/>
            <w:tcBorders>
              <w:top w:val="nil"/>
              <w:left w:val="nil"/>
              <w:bottom w:val="single" w:sz="4" w:space="0" w:color="auto"/>
              <w:right w:val="single" w:sz="4" w:space="0" w:color="auto"/>
            </w:tcBorders>
            <w:shd w:val="clear" w:color="auto" w:fill="auto"/>
            <w:noWrap/>
            <w:vAlign w:val="bottom"/>
            <w:hideMark/>
          </w:tcPr>
          <w:p w14:paraId="53C149BD"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0.25</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hideMark/>
          </w:tcPr>
          <w:p w14:paraId="53C149BE"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0.40</w:t>
            </w:r>
          </w:p>
        </w:tc>
        <w:tc>
          <w:tcPr>
            <w:tcW w:w="1134" w:type="dxa"/>
            <w:tcBorders>
              <w:top w:val="nil"/>
              <w:left w:val="nil"/>
              <w:bottom w:val="single" w:sz="4" w:space="0" w:color="auto"/>
              <w:right w:val="single" w:sz="4" w:space="0" w:color="auto"/>
            </w:tcBorders>
            <w:shd w:val="clear" w:color="auto" w:fill="auto"/>
            <w:noWrap/>
            <w:vAlign w:val="bottom"/>
            <w:hideMark/>
          </w:tcPr>
          <w:p w14:paraId="53C149BF"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0.79</w:t>
            </w:r>
          </w:p>
        </w:tc>
        <w:tc>
          <w:tcPr>
            <w:tcW w:w="1047" w:type="dxa"/>
            <w:tcBorders>
              <w:top w:val="nil"/>
              <w:left w:val="nil"/>
              <w:bottom w:val="single" w:sz="4" w:space="0" w:color="auto"/>
              <w:right w:val="single" w:sz="4" w:space="0" w:color="auto"/>
            </w:tcBorders>
            <w:shd w:val="clear" w:color="auto" w:fill="auto"/>
            <w:noWrap/>
            <w:vAlign w:val="bottom"/>
            <w:hideMark/>
          </w:tcPr>
          <w:p w14:paraId="53C149C0"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0.46</w:t>
            </w:r>
          </w:p>
        </w:tc>
        <w:tc>
          <w:tcPr>
            <w:tcW w:w="1221" w:type="dxa"/>
            <w:tcBorders>
              <w:top w:val="nil"/>
              <w:left w:val="nil"/>
              <w:bottom w:val="single" w:sz="4" w:space="0" w:color="auto"/>
              <w:right w:val="single" w:sz="4" w:space="0" w:color="auto"/>
            </w:tcBorders>
            <w:shd w:val="clear" w:color="auto" w:fill="auto"/>
            <w:noWrap/>
            <w:vAlign w:val="bottom"/>
            <w:hideMark/>
          </w:tcPr>
          <w:p w14:paraId="53C149C1"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117" w:type="dxa"/>
            <w:tcBorders>
              <w:top w:val="nil"/>
              <w:left w:val="nil"/>
              <w:bottom w:val="single" w:sz="4" w:space="0" w:color="auto"/>
              <w:right w:val="single" w:sz="4" w:space="0" w:color="auto"/>
            </w:tcBorders>
            <w:shd w:val="clear" w:color="auto" w:fill="FFFF00"/>
            <w:noWrap/>
            <w:vAlign w:val="bottom"/>
            <w:hideMark/>
          </w:tcPr>
          <w:p w14:paraId="53C149C2"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0.58</w:t>
            </w:r>
          </w:p>
        </w:tc>
      </w:tr>
      <w:tr w:rsidR="002445C4" w:rsidRPr="002445C4" w14:paraId="53C149CD" w14:textId="77777777" w:rsidTr="00830E32">
        <w:trPr>
          <w:trHeight w:hRule="exact" w:val="255"/>
        </w:trPr>
        <w:tc>
          <w:tcPr>
            <w:tcW w:w="771" w:type="dxa"/>
            <w:vMerge/>
            <w:tcBorders>
              <w:left w:val="single" w:sz="4" w:space="0" w:color="auto"/>
              <w:right w:val="single" w:sz="4" w:space="0" w:color="auto"/>
            </w:tcBorders>
            <w:vAlign w:val="center"/>
            <w:hideMark/>
          </w:tcPr>
          <w:p w14:paraId="53C149C4" w14:textId="77777777" w:rsidR="00830E32" w:rsidRPr="002445C4" w:rsidRDefault="00830E32" w:rsidP="00830E32">
            <w:pPr>
              <w:spacing w:after="0"/>
              <w:jc w:val="left"/>
              <w:rPr>
                <w:rFonts w:ascii="Arial Narrow" w:hAnsi="Arial Narrow"/>
                <w:lang w:eastAsia="en-AU"/>
              </w:rPr>
            </w:pPr>
          </w:p>
        </w:tc>
        <w:tc>
          <w:tcPr>
            <w:tcW w:w="15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3C149C5" w14:textId="77777777" w:rsidR="00830E32" w:rsidRPr="002445C4" w:rsidRDefault="00830E32" w:rsidP="00830E32">
            <w:pPr>
              <w:spacing w:after="0"/>
              <w:jc w:val="left"/>
              <w:rPr>
                <w:rFonts w:ascii="Arial Narrow" w:hAnsi="Arial Narrow"/>
                <w:sz w:val="20"/>
                <w:lang w:eastAsia="en-AU"/>
              </w:rPr>
            </w:pPr>
            <w:r w:rsidRPr="002445C4">
              <w:rPr>
                <w:rFonts w:ascii="Arial Narrow" w:hAnsi="Arial Narrow"/>
                <w:sz w:val="20"/>
                <w:lang w:eastAsia="en-AU"/>
              </w:rPr>
              <w:t>Pine</w:t>
            </w:r>
          </w:p>
        </w:tc>
        <w:tc>
          <w:tcPr>
            <w:tcW w:w="284" w:type="dxa"/>
            <w:tcBorders>
              <w:top w:val="nil"/>
              <w:left w:val="nil"/>
              <w:bottom w:val="single" w:sz="4" w:space="0" w:color="auto"/>
              <w:right w:val="single" w:sz="4" w:space="0" w:color="auto"/>
            </w:tcBorders>
            <w:shd w:val="clear" w:color="auto" w:fill="auto"/>
            <w:noWrap/>
            <w:vAlign w:val="center"/>
            <w:hideMark/>
          </w:tcPr>
          <w:p w14:paraId="53C149C6"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2</w:t>
            </w:r>
          </w:p>
        </w:tc>
        <w:tc>
          <w:tcPr>
            <w:tcW w:w="1134" w:type="dxa"/>
            <w:tcBorders>
              <w:top w:val="nil"/>
              <w:left w:val="nil"/>
              <w:bottom w:val="single" w:sz="4" w:space="0" w:color="auto"/>
              <w:right w:val="single" w:sz="4" w:space="0" w:color="auto"/>
            </w:tcBorders>
            <w:shd w:val="clear" w:color="auto" w:fill="auto"/>
            <w:noWrap/>
            <w:vAlign w:val="bottom"/>
            <w:hideMark/>
          </w:tcPr>
          <w:p w14:paraId="53C149C7"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0.12</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hideMark/>
          </w:tcPr>
          <w:p w14:paraId="53C149C8"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0.14</w:t>
            </w:r>
          </w:p>
        </w:tc>
        <w:tc>
          <w:tcPr>
            <w:tcW w:w="1134" w:type="dxa"/>
            <w:tcBorders>
              <w:top w:val="nil"/>
              <w:left w:val="nil"/>
              <w:bottom w:val="single" w:sz="4" w:space="0" w:color="auto"/>
              <w:right w:val="single" w:sz="4" w:space="0" w:color="auto"/>
            </w:tcBorders>
            <w:shd w:val="clear" w:color="auto" w:fill="auto"/>
            <w:noWrap/>
            <w:vAlign w:val="bottom"/>
            <w:hideMark/>
          </w:tcPr>
          <w:p w14:paraId="53C149C9"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047" w:type="dxa"/>
            <w:tcBorders>
              <w:top w:val="nil"/>
              <w:left w:val="nil"/>
              <w:bottom w:val="single" w:sz="4" w:space="0" w:color="auto"/>
              <w:right w:val="single" w:sz="4" w:space="0" w:color="auto"/>
            </w:tcBorders>
            <w:shd w:val="clear" w:color="auto" w:fill="auto"/>
            <w:noWrap/>
            <w:vAlign w:val="bottom"/>
            <w:hideMark/>
          </w:tcPr>
          <w:p w14:paraId="53C149CA"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221" w:type="dxa"/>
            <w:tcBorders>
              <w:top w:val="nil"/>
              <w:left w:val="nil"/>
              <w:bottom w:val="single" w:sz="4" w:space="0" w:color="auto"/>
              <w:right w:val="single" w:sz="4" w:space="0" w:color="auto"/>
            </w:tcBorders>
            <w:shd w:val="clear" w:color="auto" w:fill="auto"/>
            <w:noWrap/>
            <w:vAlign w:val="bottom"/>
            <w:hideMark/>
          </w:tcPr>
          <w:p w14:paraId="53C149CB"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0.50</w:t>
            </w:r>
          </w:p>
        </w:tc>
        <w:tc>
          <w:tcPr>
            <w:tcW w:w="1117" w:type="dxa"/>
            <w:tcBorders>
              <w:top w:val="nil"/>
              <w:left w:val="nil"/>
              <w:bottom w:val="single" w:sz="4" w:space="0" w:color="auto"/>
              <w:right w:val="single" w:sz="4" w:space="0" w:color="auto"/>
            </w:tcBorders>
            <w:shd w:val="clear" w:color="auto" w:fill="FF0000"/>
            <w:noWrap/>
            <w:vAlign w:val="bottom"/>
            <w:hideMark/>
          </w:tcPr>
          <w:p w14:paraId="53C149CC"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0.15</w:t>
            </w:r>
          </w:p>
        </w:tc>
      </w:tr>
      <w:tr w:rsidR="002445C4" w:rsidRPr="002445C4" w14:paraId="53C149D7" w14:textId="77777777" w:rsidTr="00830E32">
        <w:trPr>
          <w:trHeight w:hRule="exact" w:val="255"/>
        </w:trPr>
        <w:tc>
          <w:tcPr>
            <w:tcW w:w="771" w:type="dxa"/>
            <w:vMerge/>
            <w:tcBorders>
              <w:left w:val="single" w:sz="4" w:space="0" w:color="auto"/>
              <w:right w:val="single" w:sz="4" w:space="0" w:color="auto"/>
            </w:tcBorders>
            <w:vAlign w:val="center"/>
            <w:hideMark/>
          </w:tcPr>
          <w:p w14:paraId="53C149CE" w14:textId="77777777" w:rsidR="00830E32" w:rsidRPr="002445C4" w:rsidRDefault="00830E32" w:rsidP="00830E32">
            <w:pPr>
              <w:spacing w:after="0"/>
              <w:jc w:val="left"/>
              <w:rPr>
                <w:rFonts w:ascii="Arial Narrow" w:hAnsi="Arial Narrow"/>
                <w:lang w:eastAsia="en-AU"/>
              </w:rPr>
            </w:pPr>
          </w:p>
        </w:tc>
        <w:tc>
          <w:tcPr>
            <w:tcW w:w="1576" w:type="dxa"/>
            <w:vMerge/>
            <w:tcBorders>
              <w:top w:val="nil"/>
              <w:left w:val="single" w:sz="4" w:space="0" w:color="auto"/>
              <w:bottom w:val="single" w:sz="4" w:space="0" w:color="auto"/>
              <w:right w:val="single" w:sz="4" w:space="0" w:color="auto"/>
            </w:tcBorders>
            <w:vAlign w:val="center"/>
            <w:hideMark/>
          </w:tcPr>
          <w:p w14:paraId="53C149CF" w14:textId="77777777" w:rsidR="00830E32" w:rsidRPr="002445C4" w:rsidRDefault="00830E32" w:rsidP="00830E32">
            <w:pPr>
              <w:spacing w:after="0"/>
              <w:jc w:val="left"/>
              <w:rPr>
                <w:rFonts w:ascii="Arial Narrow" w:hAnsi="Arial Narrow"/>
                <w:sz w:val="20"/>
                <w:lang w:eastAsia="en-AU"/>
              </w:rPr>
            </w:pPr>
          </w:p>
        </w:tc>
        <w:tc>
          <w:tcPr>
            <w:tcW w:w="284" w:type="dxa"/>
            <w:tcBorders>
              <w:top w:val="nil"/>
              <w:left w:val="nil"/>
              <w:bottom w:val="single" w:sz="4" w:space="0" w:color="auto"/>
              <w:right w:val="single" w:sz="4" w:space="0" w:color="auto"/>
            </w:tcBorders>
            <w:shd w:val="clear" w:color="auto" w:fill="auto"/>
            <w:noWrap/>
            <w:vAlign w:val="center"/>
            <w:hideMark/>
          </w:tcPr>
          <w:p w14:paraId="53C149D0"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5</w:t>
            </w:r>
          </w:p>
        </w:tc>
        <w:tc>
          <w:tcPr>
            <w:tcW w:w="1134" w:type="dxa"/>
            <w:tcBorders>
              <w:top w:val="nil"/>
              <w:left w:val="nil"/>
              <w:bottom w:val="single" w:sz="4" w:space="0" w:color="auto"/>
              <w:right w:val="single" w:sz="4" w:space="0" w:color="auto"/>
            </w:tcBorders>
            <w:shd w:val="clear" w:color="auto" w:fill="auto"/>
            <w:noWrap/>
            <w:vAlign w:val="bottom"/>
            <w:hideMark/>
          </w:tcPr>
          <w:p w14:paraId="53C149D1"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0.18</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hideMark/>
          </w:tcPr>
          <w:p w14:paraId="53C149D2"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0.20</w:t>
            </w:r>
          </w:p>
        </w:tc>
        <w:tc>
          <w:tcPr>
            <w:tcW w:w="1134" w:type="dxa"/>
            <w:tcBorders>
              <w:top w:val="nil"/>
              <w:left w:val="nil"/>
              <w:bottom w:val="single" w:sz="4" w:space="0" w:color="auto"/>
              <w:right w:val="single" w:sz="4" w:space="0" w:color="auto"/>
            </w:tcBorders>
            <w:shd w:val="clear" w:color="auto" w:fill="auto"/>
            <w:noWrap/>
            <w:vAlign w:val="bottom"/>
            <w:hideMark/>
          </w:tcPr>
          <w:p w14:paraId="53C149D3"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0.03</w:t>
            </w:r>
          </w:p>
        </w:tc>
        <w:tc>
          <w:tcPr>
            <w:tcW w:w="1047" w:type="dxa"/>
            <w:tcBorders>
              <w:top w:val="nil"/>
              <w:left w:val="nil"/>
              <w:bottom w:val="single" w:sz="4" w:space="0" w:color="auto"/>
              <w:right w:val="single" w:sz="4" w:space="0" w:color="auto"/>
            </w:tcBorders>
            <w:shd w:val="clear" w:color="auto" w:fill="auto"/>
            <w:noWrap/>
            <w:vAlign w:val="bottom"/>
            <w:hideMark/>
          </w:tcPr>
          <w:p w14:paraId="53C149D4"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221" w:type="dxa"/>
            <w:tcBorders>
              <w:top w:val="nil"/>
              <w:left w:val="nil"/>
              <w:bottom w:val="single" w:sz="4" w:space="0" w:color="auto"/>
              <w:right w:val="single" w:sz="4" w:space="0" w:color="auto"/>
            </w:tcBorders>
            <w:shd w:val="clear" w:color="auto" w:fill="auto"/>
            <w:noWrap/>
            <w:vAlign w:val="bottom"/>
            <w:hideMark/>
          </w:tcPr>
          <w:p w14:paraId="53C149D5"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117" w:type="dxa"/>
            <w:tcBorders>
              <w:top w:val="nil"/>
              <w:left w:val="nil"/>
              <w:bottom w:val="single" w:sz="4" w:space="0" w:color="auto"/>
              <w:right w:val="single" w:sz="4" w:space="0" w:color="auto"/>
            </w:tcBorders>
            <w:shd w:val="clear" w:color="auto" w:fill="FF0000"/>
            <w:noWrap/>
            <w:vAlign w:val="bottom"/>
            <w:hideMark/>
          </w:tcPr>
          <w:p w14:paraId="53C149D6"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0.08</w:t>
            </w:r>
          </w:p>
        </w:tc>
      </w:tr>
      <w:tr w:rsidR="002445C4" w:rsidRPr="002445C4" w14:paraId="53C149E1" w14:textId="77777777" w:rsidTr="004F16D3">
        <w:trPr>
          <w:trHeight w:hRule="exact" w:val="255"/>
        </w:trPr>
        <w:tc>
          <w:tcPr>
            <w:tcW w:w="771" w:type="dxa"/>
            <w:vMerge/>
            <w:tcBorders>
              <w:left w:val="single" w:sz="4" w:space="0" w:color="auto"/>
              <w:right w:val="single" w:sz="4" w:space="0" w:color="auto"/>
            </w:tcBorders>
            <w:vAlign w:val="center"/>
            <w:hideMark/>
          </w:tcPr>
          <w:p w14:paraId="53C149D8" w14:textId="77777777" w:rsidR="00830E32" w:rsidRPr="002445C4" w:rsidRDefault="00830E32" w:rsidP="00830E32">
            <w:pPr>
              <w:spacing w:after="0"/>
              <w:jc w:val="left"/>
              <w:rPr>
                <w:rFonts w:ascii="Arial Narrow" w:hAnsi="Arial Narrow"/>
                <w:lang w:eastAsia="en-AU"/>
              </w:rPr>
            </w:pPr>
          </w:p>
        </w:tc>
        <w:tc>
          <w:tcPr>
            <w:tcW w:w="15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3C149D9" w14:textId="77777777" w:rsidR="00830E32" w:rsidRPr="002445C4" w:rsidRDefault="00830E32" w:rsidP="00830E32">
            <w:pPr>
              <w:spacing w:after="0"/>
              <w:jc w:val="left"/>
              <w:rPr>
                <w:rFonts w:ascii="Arial Narrow" w:hAnsi="Arial Narrow"/>
                <w:sz w:val="20"/>
                <w:lang w:eastAsia="en-AU"/>
              </w:rPr>
            </w:pPr>
            <w:r w:rsidRPr="002445C4">
              <w:rPr>
                <w:rFonts w:ascii="Arial Narrow" w:hAnsi="Arial Narrow"/>
                <w:sz w:val="20"/>
                <w:lang w:eastAsia="en-AU"/>
              </w:rPr>
              <w:t>Seaforth</w:t>
            </w:r>
          </w:p>
        </w:tc>
        <w:tc>
          <w:tcPr>
            <w:tcW w:w="284" w:type="dxa"/>
            <w:tcBorders>
              <w:top w:val="nil"/>
              <w:left w:val="nil"/>
              <w:bottom w:val="single" w:sz="4" w:space="0" w:color="auto"/>
              <w:right w:val="single" w:sz="4" w:space="0" w:color="auto"/>
            </w:tcBorders>
            <w:shd w:val="clear" w:color="auto" w:fill="auto"/>
            <w:noWrap/>
            <w:vAlign w:val="center"/>
            <w:hideMark/>
          </w:tcPr>
          <w:p w14:paraId="53C149DA"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2</w:t>
            </w:r>
          </w:p>
        </w:tc>
        <w:tc>
          <w:tcPr>
            <w:tcW w:w="1134" w:type="dxa"/>
            <w:tcBorders>
              <w:top w:val="nil"/>
              <w:left w:val="nil"/>
              <w:bottom w:val="single" w:sz="4" w:space="0" w:color="auto"/>
              <w:right w:val="single" w:sz="4" w:space="0" w:color="auto"/>
            </w:tcBorders>
            <w:shd w:val="clear" w:color="auto" w:fill="auto"/>
            <w:noWrap/>
            <w:vAlign w:val="bottom"/>
            <w:hideMark/>
          </w:tcPr>
          <w:p w14:paraId="53C149DB"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0.24</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hideMark/>
          </w:tcPr>
          <w:p w14:paraId="53C149DC"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0.22</w:t>
            </w:r>
          </w:p>
        </w:tc>
        <w:tc>
          <w:tcPr>
            <w:tcW w:w="1134" w:type="dxa"/>
            <w:tcBorders>
              <w:top w:val="nil"/>
              <w:left w:val="nil"/>
              <w:bottom w:val="single" w:sz="4" w:space="0" w:color="auto"/>
              <w:right w:val="single" w:sz="4" w:space="0" w:color="auto"/>
            </w:tcBorders>
            <w:shd w:val="clear" w:color="auto" w:fill="auto"/>
            <w:noWrap/>
            <w:vAlign w:val="bottom"/>
            <w:hideMark/>
          </w:tcPr>
          <w:p w14:paraId="53C149DD"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047" w:type="dxa"/>
            <w:tcBorders>
              <w:top w:val="nil"/>
              <w:left w:val="nil"/>
              <w:bottom w:val="single" w:sz="4" w:space="0" w:color="auto"/>
              <w:right w:val="single" w:sz="4" w:space="0" w:color="auto"/>
            </w:tcBorders>
            <w:shd w:val="clear" w:color="auto" w:fill="auto"/>
            <w:noWrap/>
            <w:vAlign w:val="bottom"/>
            <w:hideMark/>
          </w:tcPr>
          <w:p w14:paraId="53C149DE"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0.25</w:t>
            </w:r>
          </w:p>
        </w:tc>
        <w:tc>
          <w:tcPr>
            <w:tcW w:w="1221" w:type="dxa"/>
            <w:tcBorders>
              <w:top w:val="nil"/>
              <w:left w:val="nil"/>
              <w:bottom w:val="single" w:sz="4" w:space="0" w:color="auto"/>
              <w:right w:val="single" w:sz="4" w:space="0" w:color="auto"/>
            </w:tcBorders>
            <w:shd w:val="clear" w:color="auto" w:fill="auto"/>
            <w:noWrap/>
            <w:vAlign w:val="bottom"/>
            <w:hideMark/>
          </w:tcPr>
          <w:p w14:paraId="53C149DF"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117" w:type="dxa"/>
            <w:tcBorders>
              <w:top w:val="nil"/>
              <w:left w:val="nil"/>
              <w:bottom w:val="single" w:sz="4" w:space="0" w:color="auto"/>
              <w:right w:val="single" w:sz="4" w:space="0" w:color="auto"/>
            </w:tcBorders>
            <w:shd w:val="clear" w:color="auto" w:fill="FFC000"/>
            <w:noWrap/>
            <w:vAlign w:val="bottom"/>
            <w:hideMark/>
          </w:tcPr>
          <w:p w14:paraId="53C149E0"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0.34</w:t>
            </w:r>
          </w:p>
        </w:tc>
      </w:tr>
      <w:tr w:rsidR="002445C4" w:rsidRPr="002445C4" w14:paraId="53C149EB" w14:textId="77777777" w:rsidTr="004F16D3">
        <w:trPr>
          <w:trHeight w:hRule="exact" w:val="255"/>
        </w:trPr>
        <w:tc>
          <w:tcPr>
            <w:tcW w:w="771" w:type="dxa"/>
            <w:vMerge/>
            <w:tcBorders>
              <w:left w:val="single" w:sz="4" w:space="0" w:color="auto"/>
              <w:bottom w:val="single" w:sz="4" w:space="0" w:color="auto"/>
              <w:right w:val="single" w:sz="4" w:space="0" w:color="auto"/>
            </w:tcBorders>
            <w:vAlign w:val="center"/>
            <w:hideMark/>
          </w:tcPr>
          <w:p w14:paraId="53C149E2" w14:textId="77777777" w:rsidR="00830E32" w:rsidRPr="002445C4" w:rsidRDefault="00830E32" w:rsidP="00830E32">
            <w:pPr>
              <w:spacing w:after="0"/>
              <w:jc w:val="left"/>
              <w:rPr>
                <w:rFonts w:ascii="Arial Narrow" w:hAnsi="Arial Narrow"/>
                <w:lang w:eastAsia="en-AU"/>
              </w:rPr>
            </w:pPr>
          </w:p>
        </w:tc>
        <w:tc>
          <w:tcPr>
            <w:tcW w:w="1576" w:type="dxa"/>
            <w:vMerge/>
            <w:tcBorders>
              <w:top w:val="nil"/>
              <w:left w:val="single" w:sz="4" w:space="0" w:color="auto"/>
              <w:bottom w:val="single" w:sz="4" w:space="0" w:color="auto"/>
              <w:right w:val="single" w:sz="4" w:space="0" w:color="auto"/>
            </w:tcBorders>
            <w:vAlign w:val="center"/>
            <w:hideMark/>
          </w:tcPr>
          <w:p w14:paraId="53C149E3" w14:textId="77777777" w:rsidR="00830E32" w:rsidRPr="002445C4" w:rsidRDefault="00830E32" w:rsidP="00830E32">
            <w:pPr>
              <w:spacing w:after="0"/>
              <w:jc w:val="left"/>
              <w:rPr>
                <w:rFonts w:ascii="Arial Narrow" w:hAnsi="Arial Narrow"/>
                <w:sz w:val="20"/>
                <w:lang w:eastAsia="en-AU"/>
              </w:rPr>
            </w:pPr>
          </w:p>
        </w:tc>
        <w:tc>
          <w:tcPr>
            <w:tcW w:w="284" w:type="dxa"/>
            <w:tcBorders>
              <w:top w:val="nil"/>
              <w:left w:val="nil"/>
              <w:bottom w:val="single" w:sz="4" w:space="0" w:color="auto"/>
              <w:right w:val="single" w:sz="4" w:space="0" w:color="auto"/>
            </w:tcBorders>
            <w:shd w:val="clear" w:color="auto" w:fill="auto"/>
            <w:noWrap/>
            <w:vAlign w:val="center"/>
            <w:hideMark/>
          </w:tcPr>
          <w:p w14:paraId="53C149E4"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5</w:t>
            </w:r>
          </w:p>
        </w:tc>
        <w:tc>
          <w:tcPr>
            <w:tcW w:w="1134" w:type="dxa"/>
            <w:tcBorders>
              <w:top w:val="nil"/>
              <w:left w:val="nil"/>
              <w:bottom w:val="single" w:sz="4" w:space="0" w:color="auto"/>
              <w:right w:val="single" w:sz="4" w:space="0" w:color="auto"/>
            </w:tcBorders>
            <w:shd w:val="clear" w:color="auto" w:fill="auto"/>
            <w:noWrap/>
            <w:vAlign w:val="bottom"/>
            <w:hideMark/>
          </w:tcPr>
          <w:p w14:paraId="53C149E5"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0.19</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hideMark/>
          </w:tcPr>
          <w:p w14:paraId="53C149E6"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0.45</w:t>
            </w:r>
          </w:p>
        </w:tc>
        <w:tc>
          <w:tcPr>
            <w:tcW w:w="1134" w:type="dxa"/>
            <w:tcBorders>
              <w:top w:val="nil"/>
              <w:left w:val="nil"/>
              <w:bottom w:val="single" w:sz="4" w:space="0" w:color="auto"/>
              <w:right w:val="single" w:sz="4" w:space="0" w:color="auto"/>
            </w:tcBorders>
            <w:shd w:val="clear" w:color="auto" w:fill="auto"/>
            <w:noWrap/>
            <w:vAlign w:val="bottom"/>
            <w:hideMark/>
          </w:tcPr>
          <w:p w14:paraId="53C149E7"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047" w:type="dxa"/>
            <w:tcBorders>
              <w:top w:val="nil"/>
              <w:left w:val="nil"/>
              <w:bottom w:val="single" w:sz="4" w:space="0" w:color="auto"/>
              <w:right w:val="single" w:sz="4" w:space="0" w:color="auto"/>
            </w:tcBorders>
            <w:shd w:val="clear" w:color="auto" w:fill="auto"/>
            <w:noWrap/>
            <w:vAlign w:val="bottom"/>
            <w:hideMark/>
          </w:tcPr>
          <w:p w14:paraId="53C149E8"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0.10</w:t>
            </w:r>
          </w:p>
        </w:tc>
        <w:tc>
          <w:tcPr>
            <w:tcW w:w="1221" w:type="dxa"/>
            <w:tcBorders>
              <w:top w:val="nil"/>
              <w:left w:val="nil"/>
              <w:bottom w:val="single" w:sz="4" w:space="0" w:color="auto"/>
              <w:right w:val="single" w:sz="4" w:space="0" w:color="auto"/>
            </w:tcBorders>
            <w:shd w:val="clear" w:color="auto" w:fill="auto"/>
            <w:noWrap/>
            <w:vAlign w:val="bottom"/>
            <w:hideMark/>
          </w:tcPr>
          <w:p w14:paraId="53C149E9"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117" w:type="dxa"/>
            <w:tcBorders>
              <w:top w:val="nil"/>
              <w:left w:val="nil"/>
              <w:bottom w:val="single" w:sz="4" w:space="0" w:color="auto"/>
              <w:right w:val="single" w:sz="4" w:space="0" w:color="auto"/>
            </w:tcBorders>
            <w:shd w:val="clear" w:color="auto" w:fill="FFC000"/>
            <w:noWrap/>
            <w:vAlign w:val="bottom"/>
            <w:hideMark/>
          </w:tcPr>
          <w:p w14:paraId="53C149EA"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0.35</w:t>
            </w:r>
          </w:p>
        </w:tc>
      </w:tr>
      <w:tr w:rsidR="002445C4" w:rsidRPr="002445C4" w14:paraId="53C149F5" w14:textId="77777777" w:rsidTr="009663BF">
        <w:trPr>
          <w:cantSplit/>
          <w:trHeight w:hRule="exact" w:val="255"/>
        </w:trPr>
        <w:tc>
          <w:tcPr>
            <w:tcW w:w="2631" w:type="dxa"/>
            <w:gridSpan w:val="3"/>
            <w:tcBorders>
              <w:top w:val="nil"/>
              <w:left w:val="single" w:sz="4" w:space="0" w:color="auto"/>
              <w:bottom w:val="single" w:sz="4" w:space="0" w:color="auto"/>
              <w:right w:val="single" w:sz="4" w:space="0" w:color="auto"/>
            </w:tcBorders>
            <w:shd w:val="clear" w:color="auto" w:fill="FFC000"/>
            <w:noWrap/>
            <w:vAlign w:val="center"/>
            <w:hideMark/>
          </w:tcPr>
          <w:p w14:paraId="53C149EC" w14:textId="77777777" w:rsidR="00830E32" w:rsidRPr="002445C4" w:rsidRDefault="00830E32" w:rsidP="009663BF">
            <w:pPr>
              <w:shd w:val="clear" w:color="auto" w:fill="FFC000"/>
              <w:spacing w:after="0"/>
              <w:jc w:val="center"/>
              <w:rPr>
                <w:rFonts w:ascii="Arial Narrow" w:hAnsi="Arial Narrow"/>
                <w:lang w:eastAsia="en-AU"/>
              </w:rPr>
            </w:pPr>
            <w:r w:rsidRPr="002445C4">
              <w:rPr>
                <w:rFonts w:ascii="Arial Narrow" w:hAnsi="Arial Narrow"/>
                <w:lang w:eastAsia="en-AU"/>
              </w:rPr>
              <w:t> </w:t>
            </w:r>
            <w:r w:rsidRPr="002445C4">
              <w:rPr>
                <w:rFonts w:ascii="Arial Narrow" w:hAnsi="Arial Narrow"/>
                <w:sz w:val="20"/>
                <w:lang w:eastAsia="en-AU"/>
              </w:rPr>
              <w:t xml:space="preserve">Report Card Score – </w:t>
            </w:r>
            <w:r w:rsidR="009663BF">
              <w:rPr>
                <w:rFonts w:ascii="Arial Narrow" w:hAnsi="Arial Narrow"/>
                <w:sz w:val="20"/>
                <w:lang w:eastAsia="en-AU"/>
              </w:rPr>
              <w:t>Poor</w:t>
            </w:r>
          </w:p>
          <w:p w14:paraId="53C149ED" w14:textId="77777777" w:rsidR="00830E32" w:rsidRPr="002445C4" w:rsidRDefault="00830E32" w:rsidP="00830E32">
            <w:pPr>
              <w:spacing w:after="0"/>
              <w:jc w:val="left"/>
              <w:rPr>
                <w:rFonts w:ascii="Arial Narrow" w:hAnsi="Arial Narrow"/>
                <w:sz w:val="20"/>
                <w:lang w:eastAsia="en-AU"/>
              </w:rPr>
            </w:pPr>
            <w:r w:rsidRPr="002445C4">
              <w:rPr>
                <w:rFonts w:ascii="Arial Narrow" w:hAnsi="Arial Narrow"/>
                <w:sz w:val="20"/>
                <w:lang w:eastAsia="en-AU"/>
              </w:rPr>
              <w:t> </w:t>
            </w:r>
          </w:p>
          <w:p w14:paraId="53C149EE" w14:textId="77777777" w:rsidR="00830E32" w:rsidRPr="002445C4" w:rsidRDefault="00830E32" w:rsidP="00830E32">
            <w:pPr>
              <w:spacing w:after="0"/>
              <w:jc w:val="center"/>
              <w:rPr>
                <w:rFonts w:ascii="Arial Narrow" w:hAnsi="Arial Narrow"/>
                <w:lang w:eastAsia="en-AU"/>
              </w:rPr>
            </w:pPr>
            <w:r w:rsidRPr="002445C4">
              <w:rPr>
                <w:rFonts w:ascii="Arial Narrow" w:hAnsi="Arial Narrow"/>
                <w:lang w:eastAsia="en-AU"/>
              </w:rPr>
              <w:t> </w:t>
            </w:r>
          </w:p>
        </w:tc>
        <w:tc>
          <w:tcPr>
            <w:tcW w:w="1134" w:type="dxa"/>
            <w:tcBorders>
              <w:top w:val="nil"/>
              <w:left w:val="nil"/>
              <w:bottom w:val="single" w:sz="4" w:space="0" w:color="auto"/>
              <w:right w:val="single" w:sz="4" w:space="0" w:color="auto"/>
            </w:tcBorders>
            <w:shd w:val="clear" w:color="auto" w:fill="FFC000"/>
            <w:noWrap/>
            <w:vAlign w:val="bottom"/>
          </w:tcPr>
          <w:p w14:paraId="53C149EF"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0.22</w:t>
            </w:r>
          </w:p>
        </w:tc>
        <w:tc>
          <w:tcPr>
            <w:tcW w:w="1134" w:type="dxa"/>
            <w:tcBorders>
              <w:top w:val="nil"/>
              <w:left w:val="nil"/>
              <w:bottom w:val="single" w:sz="4" w:space="0" w:color="auto"/>
              <w:right w:val="single" w:sz="4" w:space="0" w:color="auto"/>
            </w:tcBorders>
            <w:shd w:val="clear" w:color="auto" w:fill="FFC000"/>
            <w:noWrap/>
            <w:tcMar>
              <w:left w:w="0" w:type="dxa"/>
              <w:right w:w="0" w:type="dxa"/>
            </w:tcMar>
            <w:vAlign w:val="bottom"/>
          </w:tcPr>
          <w:p w14:paraId="53C149F0"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0.22</w:t>
            </w:r>
          </w:p>
        </w:tc>
        <w:tc>
          <w:tcPr>
            <w:tcW w:w="1134" w:type="dxa"/>
            <w:tcBorders>
              <w:top w:val="nil"/>
              <w:left w:val="nil"/>
              <w:bottom w:val="single" w:sz="4" w:space="0" w:color="auto"/>
              <w:right w:val="single" w:sz="4" w:space="0" w:color="auto"/>
            </w:tcBorders>
            <w:shd w:val="clear" w:color="auto" w:fill="FFFF00"/>
            <w:noWrap/>
            <w:vAlign w:val="bottom"/>
          </w:tcPr>
          <w:p w14:paraId="53C149F1"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0.51</w:t>
            </w:r>
          </w:p>
        </w:tc>
        <w:tc>
          <w:tcPr>
            <w:tcW w:w="1047" w:type="dxa"/>
            <w:tcBorders>
              <w:top w:val="nil"/>
              <w:left w:val="nil"/>
              <w:bottom w:val="single" w:sz="4" w:space="0" w:color="auto"/>
              <w:right w:val="single" w:sz="4" w:space="0" w:color="auto"/>
            </w:tcBorders>
            <w:shd w:val="clear" w:color="auto" w:fill="FFC000"/>
            <w:noWrap/>
            <w:vAlign w:val="bottom"/>
          </w:tcPr>
          <w:p w14:paraId="53C149F2"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0.24</w:t>
            </w:r>
          </w:p>
        </w:tc>
        <w:tc>
          <w:tcPr>
            <w:tcW w:w="1221" w:type="dxa"/>
            <w:tcBorders>
              <w:top w:val="nil"/>
              <w:left w:val="nil"/>
              <w:bottom w:val="single" w:sz="4" w:space="0" w:color="auto"/>
              <w:right w:val="single" w:sz="4" w:space="0" w:color="auto"/>
            </w:tcBorders>
            <w:shd w:val="clear" w:color="auto" w:fill="FFC000"/>
            <w:noWrap/>
            <w:vAlign w:val="bottom"/>
          </w:tcPr>
          <w:p w14:paraId="53C149F3"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0.29</w:t>
            </w:r>
          </w:p>
        </w:tc>
        <w:tc>
          <w:tcPr>
            <w:tcW w:w="1117" w:type="dxa"/>
            <w:tcBorders>
              <w:top w:val="nil"/>
              <w:left w:val="nil"/>
              <w:bottom w:val="single" w:sz="4" w:space="0" w:color="auto"/>
              <w:right w:val="single" w:sz="4" w:space="0" w:color="auto"/>
            </w:tcBorders>
            <w:shd w:val="clear" w:color="auto" w:fill="FFC000"/>
            <w:noWrap/>
            <w:vAlign w:val="bottom"/>
          </w:tcPr>
          <w:p w14:paraId="53C149F4"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0.30</w:t>
            </w:r>
          </w:p>
        </w:tc>
      </w:tr>
      <w:tr w:rsidR="002445C4" w:rsidRPr="002445C4" w14:paraId="53C149FF" w14:textId="77777777" w:rsidTr="00830E32">
        <w:trPr>
          <w:trHeight w:hRule="exact" w:val="255"/>
        </w:trPr>
        <w:tc>
          <w:tcPr>
            <w:tcW w:w="771" w:type="dxa"/>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14:paraId="53C149F6" w14:textId="77777777" w:rsidR="00830E32" w:rsidRPr="002445C4" w:rsidRDefault="00830E32" w:rsidP="00830E32">
            <w:pPr>
              <w:spacing w:after="0"/>
              <w:jc w:val="center"/>
              <w:rPr>
                <w:rFonts w:ascii="Arial Narrow" w:hAnsi="Arial Narrow"/>
                <w:lang w:eastAsia="en-AU"/>
              </w:rPr>
            </w:pPr>
            <w:r w:rsidRPr="002445C4">
              <w:rPr>
                <w:rFonts w:ascii="Arial Narrow" w:hAnsi="Arial Narrow"/>
                <w:lang w:eastAsia="en-AU"/>
              </w:rPr>
              <w:t>Fitzroy</w:t>
            </w:r>
          </w:p>
        </w:tc>
        <w:tc>
          <w:tcPr>
            <w:tcW w:w="15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3C149F7" w14:textId="77777777" w:rsidR="00830E32" w:rsidRPr="002445C4" w:rsidRDefault="00830E32" w:rsidP="00830E32">
            <w:pPr>
              <w:spacing w:after="0"/>
              <w:jc w:val="left"/>
              <w:rPr>
                <w:rFonts w:ascii="Arial Narrow" w:hAnsi="Arial Narrow"/>
                <w:sz w:val="20"/>
                <w:lang w:eastAsia="en-AU"/>
              </w:rPr>
            </w:pPr>
            <w:r w:rsidRPr="002445C4">
              <w:rPr>
                <w:rFonts w:ascii="Arial Narrow" w:hAnsi="Arial Narrow"/>
                <w:sz w:val="20"/>
                <w:lang w:eastAsia="en-AU"/>
              </w:rPr>
              <w:t>Barren</w:t>
            </w:r>
          </w:p>
        </w:tc>
        <w:tc>
          <w:tcPr>
            <w:tcW w:w="284" w:type="dxa"/>
            <w:tcBorders>
              <w:top w:val="nil"/>
              <w:left w:val="nil"/>
              <w:bottom w:val="single" w:sz="4" w:space="0" w:color="auto"/>
              <w:right w:val="single" w:sz="4" w:space="0" w:color="auto"/>
            </w:tcBorders>
            <w:shd w:val="clear" w:color="auto" w:fill="auto"/>
            <w:noWrap/>
            <w:vAlign w:val="center"/>
            <w:hideMark/>
          </w:tcPr>
          <w:p w14:paraId="53C149F8"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2</w:t>
            </w:r>
          </w:p>
        </w:tc>
        <w:tc>
          <w:tcPr>
            <w:tcW w:w="1134" w:type="dxa"/>
            <w:tcBorders>
              <w:top w:val="nil"/>
              <w:left w:val="nil"/>
              <w:bottom w:val="single" w:sz="4" w:space="0" w:color="auto"/>
              <w:right w:val="single" w:sz="4" w:space="0" w:color="auto"/>
            </w:tcBorders>
            <w:shd w:val="clear" w:color="auto" w:fill="auto"/>
            <w:noWrap/>
            <w:vAlign w:val="bottom"/>
            <w:hideMark/>
          </w:tcPr>
          <w:p w14:paraId="53C149F9"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0.59</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hideMark/>
          </w:tcPr>
          <w:p w14:paraId="53C149FA"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134" w:type="dxa"/>
            <w:tcBorders>
              <w:top w:val="nil"/>
              <w:left w:val="nil"/>
              <w:bottom w:val="single" w:sz="4" w:space="0" w:color="auto"/>
              <w:right w:val="single" w:sz="4" w:space="0" w:color="auto"/>
            </w:tcBorders>
            <w:shd w:val="clear" w:color="auto" w:fill="auto"/>
            <w:noWrap/>
            <w:vAlign w:val="bottom"/>
            <w:hideMark/>
          </w:tcPr>
          <w:p w14:paraId="53C149FB"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047" w:type="dxa"/>
            <w:tcBorders>
              <w:top w:val="nil"/>
              <w:left w:val="nil"/>
              <w:bottom w:val="single" w:sz="4" w:space="0" w:color="auto"/>
              <w:right w:val="single" w:sz="4" w:space="0" w:color="auto"/>
            </w:tcBorders>
            <w:shd w:val="clear" w:color="auto" w:fill="auto"/>
            <w:noWrap/>
            <w:vAlign w:val="bottom"/>
            <w:hideMark/>
          </w:tcPr>
          <w:p w14:paraId="53C149FC"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0.37</w:t>
            </w:r>
          </w:p>
        </w:tc>
        <w:tc>
          <w:tcPr>
            <w:tcW w:w="1221" w:type="dxa"/>
            <w:tcBorders>
              <w:top w:val="nil"/>
              <w:left w:val="nil"/>
              <w:bottom w:val="single" w:sz="4" w:space="0" w:color="auto"/>
              <w:right w:val="single" w:sz="4" w:space="0" w:color="auto"/>
            </w:tcBorders>
            <w:shd w:val="clear" w:color="auto" w:fill="auto"/>
            <w:noWrap/>
            <w:vAlign w:val="bottom"/>
            <w:hideMark/>
          </w:tcPr>
          <w:p w14:paraId="53C149FD"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117" w:type="dxa"/>
            <w:tcBorders>
              <w:top w:val="nil"/>
              <w:left w:val="nil"/>
              <w:bottom w:val="single" w:sz="4" w:space="0" w:color="auto"/>
              <w:right w:val="single" w:sz="4" w:space="0" w:color="auto"/>
            </w:tcBorders>
            <w:shd w:val="clear" w:color="auto" w:fill="FFFF00"/>
            <w:noWrap/>
            <w:vAlign w:val="bottom"/>
            <w:hideMark/>
          </w:tcPr>
          <w:p w14:paraId="53C149FE"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0.59</w:t>
            </w:r>
          </w:p>
        </w:tc>
      </w:tr>
      <w:tr w:rsidR="002445C4" w:rsidRPr="002445C4" w14:paraId="53C14A09" w14:textId="77777777" w:rsidTr="00830E32">
        <w:trPr>
          <w:trHeight w:hRule="exact" w:val="255"/>
        </w:trPr>
        <w:tc>
          <w:tcPr>
            <w:tcW w:w="771" w:type="dxa"/>
            <w:vMerge/>
            <w:tcBorders>
              <w:top w:val="nil"/>
              <w:left w:val="single" w:sz="4" w:space="0" w:color="auto"/>
              <w:bottom w:val="single" w:sz="4" w:space="0" w:color="auto"/>
              <w:right w:val="single" w:sz="4" w:space="0" w:color="auto"/>
            </w:tcBorders>
            <w:vAlign w:val="center"/>
            <w:hideMark/>
          </w:tcPr>
          <w:p w14:paraId="53C14A00" w14:textId="77777777" w:rsidR="00830E32" w:rsidRPr="002445C4" w:rsidRDefault="00830E32" w:rsidP="00830E32">
            <w:pPr>
              <w:spacing w:after="0"/>
              <w:jc w:val="left"/>
              <w:rPr>
                <w:rFonts w:ascii="Arial Narrow" w:hAnsi="Arial Narrow"/>
                <w:lang w:eastAsia="en-AU"/>
              </w:rPr>
            </w:pPr>
          </w:p>
        </w:tc>
        <w:tc>
          <w:tcPr>
            <w:tcW w:w="1576" w:type="dxa"/>
            <w:vMerge/>
            <w:tcBorders>
              <w:top w:val="nil"/>
              <w:left w:val="single" w:sz="4" w:space="0" w:color="auto"/>
              <w:bottom w:val="single" w:sz="4" w:space="0" w:color="auto"/>
              <w:right w:val="single" w:sz="4" w:space="0" w:color="auto"/>
            </w:tcBorders>
            <w:vAlign w:val="center"/>
            <w:hideMark/>
          </w:tcPr>
          <w:p w14:paraId="53C14A01" w14:textId="77777777" w:rsidR="00830E32" w:rsidRPr="002445C4" w:rsidRDefault="00830E32" w:rsidP="00830E32">
            <w:pPr>
              <w:spacing w:after="0"/>
              <w:jc w:val="left"/>
              <w:rPr>
                <w:rFonts w:ascii="Arial Narrow" w:hAnsi="Arial Narrow"/>
                <w:sz w:val="20"/>
                <w:lang w:eastAsia="en-AU"/>
              </w:rPr>
            </w:pPr>
          </w:p>
        </w:tc>
        <w:tc>
          <w:tcPr>
            <w:tcW w:w="284" w:type="dxa"/>
            <w:tcBorders>
              <w:top w:val="nil"/>
              <w:left w:val="nil"/>
              <w:bottom w:val="single" w:sz="4" w:space="0" w:color="auto"/>
              <w:right w:val="single" w:sz="4" w:space="0" w:color="auto"/>
            </w:tcBorders>
            <w:shd w:val="clear" w:color="auto" w:fill="auto"/>
            <w:noWrap/>
            <w:vAlign w:val="center"/>
            <w:hideMark/>
          </w:tcPr>
          <w:p w14:paraId="53C14A02"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5</w:t>
            </w:r>
          </w:p>
        </w:tc>
        <w:tc>
          <w:tcPr>
            <w:tcW w:w="1134" w:type="dxa"/>
            <w:tcBorders>
              <w:top w:val="nil"/>
              <w:left w:val="nil"/>
              <w:bottom w:val="single" w:sz="4" w:space="0" w:color="auto"/>
              <w:right w:val="single" w:sz="4" w:space="0" w:color="auto"/>
            </w:tcBorders>
            <w:shd w:val="clear" w:color="auto" w:fill="auto"/>
            <w:noWrap/>
            <w:vAlign w:val="bottom"/>
            <w:hideMark/>
          </w:tcPr>
          <w:p w14:paraId="53C14A03"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0.93</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hideMark/>
          </w:tcPr>
          <w:p w14:paraId="53C14A04"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0.12</w:t>
            </w:r>
          </w:p>
        </w:tc>
        <w:tc>
          <w:tcPr>
            <w:tcW w:w="1134" w:type="dxa"/>
            <w:tcBorders>
              <w:top w:val="nil"/>
              <w:left w:val="nil"/>
              <w:bottom w:val="single" w:sz="4" w:space="0" w:color="auto"/>
              <w:right w:val="single" w:sz="4" w:space="0" w:color="auto"/>
            </w:tcBorders>
            <w:shd w:val="clear" w:color="auto" w:fill="auto"/>
            <w:noWrap/>
            <w:vAlign w:val="bottom"/>
            <w:hideMark/>
          </w:tcPr>
          <w:p w14:paraId="53C14A05"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047" w:type="dxa"/>
            <w:tcBorders>
              <w:top w:val="nil"/>
              <w:left w:val="nil"/>
              <w:bottom w:val="single" w:sz="4" w:space="0" w:color="auto"/>
              <w:right w:val="single" w:sz="4" w:space="0" w:color="auto"/>
            </w:tcBorders>
            <w:shd w:val="clear" w:color="auto" w:fill="auto"/>
            <w:noWrap/>
            <w:vAlign w:val="bottom"/>
            <w:hideMark/>
          </w:tcPr>
          <w:p w14:paraId="53C14A06"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0.75</w:t>
            </w:r>
          </w:p>
        </w:tc>
        <w:tc>
          <w:tcPr>
            <w:tcW w:w="1221" w:type="dxa"/>
            <w:tcBorders>
              <w:top w:val="nil"/>
              <w:left w:val="nil"/>
              <w:bottom w:val="single" w:sz="4" w:space="0" w:color="auto"/>
              <w:right w:val="single" w:sz="4" w:space="0" w:color="auto"/>
            </w:tcBorders>
            <w:shd w:val="clear" w:color="auto" w:fill="auto"/>
            <w:noWrap/>
            <w:vAlign w:val="bottom"/>
            <w:hideMark/>
          </w:tcPr>
          <w:p w14:paraId="53C14A07"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0.50</w:t>
            </w:r>
          </w:p>
        </w:tc>
        <w:tc>
          <w:tcPr>
            <w:tcW w:w="1117" w:type="dxa"/>
            <w:tcBorders>
              <w:top w:val="nil"/>
              <w:left w:val="nil"/>
              <w:bottom w:val="single" w:sz="4" w:space="0" w:color="auto"/>
              <w:right w:val="single" w:sz="4" w:space="0" w:color="auto"/>
            </w:tcBorders>
            <w:shd w:val="clear" w:color="auto" w:fill="FFFF00"/>
            <w:noWrap/>
            <w:vAlign w:val="bottom"/>
            <w:hideMark/>
          </w:tcPr>
          <w:p w14:paraId="53C14A08"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0.46</w:t>
            </w:r>
          </w:p>
        </w:tc>
      </w:tr>
      <w:tr w:rsidR="002445C4" w:rsidRPr="002445C4" w14:paraId="53C14A13" w14:textId="77777777" w:rsidTr="004F16D3">
        <w:trPr>
          <w:trHeight w:hRule="exact" w:val="255"/>
        </w:trPr>
        <w:tc>
          <w:tcPr>
            <w:tcW w:w="771" w:type="dxa"/>
            <w:vMerge/>
            <w:tcBorders>
              <w:top w:val="nil"/>
              <w:left w:val="single" w:sz="4" w:space="0" w:color="auto"/>
              <w:bottom w:val="single" w:sz="4" w:space="0" w:color="auto"/>
              <w:right w:val="single" w:sz="4" w:space="0" w:color="auto"/>
            </w:tcBorders>
            <w:vAlign w:val="center"/>
            <w:hideMark/>
          </w:tcPr>
          <w:p w14:paraId="53C14A0A" w14:textId="77777777" w:rsidR="00830E32" w:rsidRPr="002445C4" w:rsidRDefault="00830E32" w:rsidP="00830E32">
            <w:pPr>
              <w:spacing w:after="0"/>
              <w:jc w:val="left"/>
              <w:rPr>
                <w:rFonts w:ascii="Arial Narrow" w:hAnsi="Arial Narrow"/>
                <w:lang w:eastAsia="en-AU"/>
              </w:rPr>
            </w:pPr>
          </w:p>
        </w:tc>
        <w:tc>
          <w:tcPr>
            <w:tcW w:w="1576" w:type="dxa"/>
            <w:vMerge w:val="restart"/>
            <w:tcBorders>
              <w:top w:val="nil"/>
              <w:left w:val="single" w:sz="4" w:space="0" w:color="auto"/>
              <w:bottom w:val="single" w:sz="4" w:space="0" w:color="auto"/>
              <w:right w:val="single" w:sz="4" w:space="0" w:color="auto"/>
            </w:tcBorders>
            <w:shd w:val="clear" w:color="auto" w:fill="auto"/>
            <w:noWrap/>
            <w:vAlign w:val="center"/>
          </w:tcPr>
          <w:p w14:paraId="53C14A0B" w14:textId="77777777" w:rsidR="00830E32" w:rsidRPr="002445C4" w:rsidRDefault="00830E32" w:rsidP="00830E32">
            <w:pPr>
              <w:spacing w:after="0"/>
              <w:jc w:val="left"/>
              <w:rPr>
                <w:rFonts w:ascii="Arial Narrow" w:hAnsi="Arial Narrow"/>
                <w:sz w:val="20"/>
                <w:lang w:eastAsia="en-AU"/>
              </w:rPr>
            </w:pPr>
            <w:r w:rsidRPr="002445C4">
              <w:rPr>
                <w:rFonts w:ascii="Arial Narrow" w:hAnsi="Arial Narrow"/>
                <w:sz w:val="20"/>
                <w:lang w:eastAsia="en-AU"/>
              </w:rPr>
              <w:t>North Keppel</w:t>
            </w:r>
          </w:p>
        </w:tc>
        <w:tc>
          <w:tcPr>
            <w:tcW w:w="284" w:type="dxa"/>
            <w:tcBorders>
              <w:top w:val="nil"/>
              <w:left w:val="nil"/>
              <w:bottom w:val="single" w:sz="4" w:space="0" w:color="auto"/>
              <w:right w:val="single" w:sz="4" w:space="0" w:color="auto"/>
            </w:tcBorders>
            <w:shd w:val="clear" w:color="auto" w:fill="auto"/>
            <w:noWrap/>
            <w:vAlign w:val="center"/>
            <w:hideMark/>
          </w:tcPr>
          <w:p w14:paraId="53C14A0C"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2</w:t>
            </w:r>
          </w:p>
        </w:tc>
        <w:tc>
          <w:tcPr>
            <w:tcW w:w="1134" w:type="dxa"/>
            <w:tcBorders>
              <w:top w:val="nil"/>
              <w:left w:val="nil"/>
              <w:bottom w:val="single" w:sz="4" w:space="0" w:color="auto"/>
              <w:right w:val="single" w:sz="4" w:space="0" w:color="auto"/>
            </w:tcBorders>
            <w:shd w:val="clear" w:color="auto" w:fill="auto"/>
            <w:noWrap/>
            <w:vAlign w:val="bottom"/>
            <w:hideMark/>
          </w:tcPr>
          <w:p w14:paraId="53C14A0D"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0.51</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hideMark/>
          </w:tcPr>
          <w:p w14:paraId="53C14A0E"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0.07</w:t>
            </w:r>
          </w:p>
        </w:tc>
        <w:tc>
          <w:tcPr>
            <w:tcW w:w="1134" w:type="dxa"/>
            <w:tcBorders>
              <w:top w:val="nil"/>
              <w:left w:val="nil"/>
              <w:bottom w:val="single" w:sz="4" w:space="0" w:color="auto"/>
              <w:right w:val="single" w:sz="4" w:space="0" w:color="auto"/>
            </w:tcBorders>
            <w:shd w:val="clear" w:color="auto" w:fill="auto"/>
            <w:noWrap/>
            <w:vAlign w:val="bottom"/>
            <w:hideMark/>
          </w:tcPr>
          <w:p w14:paraId="53C14A0F"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047" w:type="dxa"/>
            <w:tcBorders>
              <w:top w:val="nil"/>
              <w:left w:val="nil"/>
              <w:bottom w:val="single" w:sz="4" w:space="0" w:color="auto"/>
              <w:right w:val="single" w:sz="4" w:space="0" w:color="auto"/>
            </w:tcBorders>
            <w:shd w:val="clear" w:color="auto" w:fill="auto"/>
            <w:noWrap/>
            <w:vAlign w:val="bottom"/>
            <w:hideMark/>
          </w:tcPr>
          <w:p w14:paraId="53C14A10"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0.20</w:t>
            </w:r>
          </w:p>
        </w:tc>
        <w:tc>
          <w:tcPr>
            <w:tcW w:w="1221" w:type="dxa"/>
            <w:tcBorders>
              <w:top w:val="nil"/>
              <w:left w:val="nil"/>
              <w:bottom w:val="single" w:sz="4" w:space="0" w:color="auto"/>
              <w:right w:val="single" w:sz="4" w:space="0" w:color="auto"/>
            </w:tcBorders>
            <w:shd w:val="clear" w:color="auto" w:fill="auto"/>
            <w:noWrap/>
            <w:vAlign w:val="bottom"/>
            <w:hideMark/>
          </w:tcPr>
          <w:p w14:paraId="53C14A11"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117" w:type="dxa"/>
            <w:tcBorders>
              <w:top w:val="nil"/>
              <w:left w:val="nil"/>
              <w:bottom w:val="single" w:sz="4" w:space="0" w:color="auto"/>
              <w:right w:val="single" w:sz="4" w:space="0" w:color="auto"/>
            </w:tcBorders>
            <w:shd w:val="clear" w:color="auto" w:fill="FFC000"/>
            <w:noWrap/>
            <w:vAlign w:val="bottom"/>
            <w:hideMark/>
          </w:tcPr>
          <w:p w14:paraId="53C14A12"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0.35</w:t>
            </w:r>
          </w:p>
        </w:tc>
      </w:tr>
      <w:tr w:rsidR="002445C4" w:rsidRPr="002445C4" w14:paraId="53C14A1D" w14:textId="77777777" w:rsidTr="004F16D3">
        <w:trPr>
          <w:trHeight w:hRule="exact" w:val="255"/>
        </w:trPr>
        <w:tc>
          <w:tcPr>
            <w:tcW w:w="771" w:type="dxa"/>
            <w:vMerge/>
            <w:tcBorders>
              <w:top w:val="nil"/>
              <w:left w:val="single" w:sz="4" w:space="0" w:color="auto"/>
              <w:bottom w:val="single" w:sz="4" w:space="0" w:color="auto"/>
              <w:right w:val="single" w:sz="4" w:space="0" w:color="auto"/>
            </w:tcBorders>
            <w:vAlign w:val="center"/>
            <w:hideMark/>
          </w:tcPr>
          <w:p w14:paraId="53C14A14" w14:textId="77777777" w:rsidR="00830E32" w:rsidRPr="002445C4" w:rsidRDefault="00830E32" w:rsidP="00830E32">
            <w:pPr>
              <w:spacing w:after="0"/>
              <w:jc w:val="left"/>
              <w:rPr>
                <w:rFonts w:ascii="Arial Narrow" w:hAnsi="Arial Narrow"/>
                <w:lang w:eastAsia="en-AU"/>
              </w:rPr>
            </w:pPr>
          </w:p>
        </w:tc>
        <w:tc>
          <w:tcPr>
            <w:tcW w:w="1576" w:type="dxa"/>
            <w:vMerge/>
            <w:tcBorders>
              <w:top w:val="nil"/>
              <w:left w:val="single" w:sz="4" w:space="0" w:color="auto"/>
              <w:bottom w:val="single" w:sz="4" w:space="0" w:color="auto"/>
              <w:right w:val="single" w:sz="4" w:space="0" w:color="auto"/>
            </w:tcBorders>
            <w:vAlign w:val="center"/>
            <w:hideMark/>
          </w:tcPr>
          <w:p w14:paraId="53C14A15" w14:textId="77777777" w:rsidR="00830E32" w:rsidRPr="002445C4" w:rsidRDefault="00830E32" w:rsidP="00830E32">
            <w:pPr>
              <w:spacing w:after="0"/>
              <w:jc w:val="left"/>
              <w:rPr>
                <w:rFonts w:ascii="Arial Narrow" w:hAnsi="Arial Narrow"/>
                <w:sz w:val="20"/>
                <w:lang w:eastAsia="en-AU"/>
              </w:rPr>
            </w:pPr>
          </w:p>
        </w:tc>
        <w:tc>
          <w:tcPr>
            <w:tcW w:w="284" w:type="dxa"/>
            <w:tcBorders>
              <w:top w:val="nil"/>
              <w:left w:val="nil"/>
              <w:bottom w:val="single" w:sz="4" w:space="0" w:color="auto"/>
              <w:right w:val="single" w:sz="4" w:space="0" w:color="auto"/>
            </w:tcBorders>
            <w:shd w:val="clear" w:color="auto" w:fill="auto"/>
            <w:noWrap/>
            <w:vAlign w:val="center"/>
            <w:hideMark/>
          </w:tcPr>
          <w:p w14:paraId="53C14A16"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5</w:t>
            </w:r>
          </w:p>
        </w:tc>
        <w:tc>
          <w:tcPr>
            <w:tcW w:w="1134" w:type="dxa"/>
            <w:tcBorders>
              <w:top w:val="nil"/>
              <w:left w:val="nil"/>
              <w:bottom w:val="single" w:sz="4" w:space="0" w:color="auto"/>
              <w:right w:val="single" w:sz="4" w:space="0" w:color="auto"/>
            </w:tcBorders>
            <w:shd w:val="clear" w:color="auto" w:fill="auto"/>
            <w:noWrap/>
            <w:vAlign w:val="bottom"/>
            <w:hideMark/>
          </w:tcPr>
          <w:p w14:paraId="53C14A17"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0.30</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hideMark/>
          </w:tcPr>
          <w:p w14:paraId="53C14A18"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0.08</w:t>
            </w:r>
          </w:p>
        </w:tc>
        <w:tc>
          <w:tcPr>
            <w:tcW w:w="1134" w:type="dxa"/>
            <w:tcBorders>
              <w:top w:val="nil"/>
              <w:left w:val="nil"/>
              <w:bottom w:val="single" w:sz="4" w:space="0" w:color="auto"/>
              <w:right w:val="single" w:sz="4" w:space="0" w:color="auto"/>
            </w:tcBorders>
            <w:shd w:val="clear" w:color="auto" w:fill="auto"/>
            <w:noWrap/>
            <w:vAlign w:val="bottom"/>
            <w:hideMark/>
          </w:tcPr>
          <w:p w14:paraId="53C14A19"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047" w:type="dxa"/>
            <w:tcBorders>
              <w:top w:val="nil"/>
              <w:left w:val="nil"/>
              <w:bottom w:val="single" w:sz="4" w:space="0" w:color="auto"/>
              <w:right w:val="single" w:sz="4" w:space="0" w:color="auto"/>
            </w:tcBorders>
            <w:shd w:val="clear" w:color="auto" w:fill="auto"/>
            <w:noWrap/>
            <w:vAlign w:val="bottom"/>
            <w:hideMark/>
          </w:tcPr>
          <w:p w14:paraId="53C14A1A"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0.44</w:t>
            </w:r>
          </w:p>
        </w:tc>
        <w:tc>
          <w:tcPr>
            <w:tcW w:w="1221" w:type="dxa"/>
            <w:tcBorders>
              <w:top w:val="nil"/>
              <w:left w:val="nil"/>
              <w:bottom w:val="single" w:sz="4" w:space="0" w:color="auto"/>
              <w:right w:val="single" w:sz="4" w:space="0" w:color="auto"/>
            </w:tcBorders>
            <w:shd w:val="clear" w:color="auto" w:fill="auto"/>
            <w:noWrap/>
            <w:vAlign w:val="bottom"/>
            <w:hideMark/>
          </w:tcPr>
          <w:p w14:paraId="53C14A1B"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0.50</w:t>
            </w:r>
          </w:p>
        </w:tc>
        <w:tc>
          <w:tcPr>
            <w:tcW w:w="1117" w:type="dxa"/>
            <w:tcBorders>
              <w:top w:val="nil"/>
              <w:left w:val="nil"/>
              <w:bottom w:val="single" w:sz="4" w:space="0" w:color="auto"/>
              <w:right w:val="single" w:sz="4" w:space="0" w:color="auto"/>
            </w:tcBorders>
            <w:shd w:val="clear" w:color="auto" w:fill="FFC000"/>
            <w:noWrap/>
            <w:vAlign w:val="bottom"/>
            <w:hideMark/>
          </w:tcPr>
          <w:p w14:paraId="53C14A1C"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0.26</w:t>
            </w:r>
          </w:p>
        </w:tc>
      </w:tr>
      <w:tr w:rsidR="002445C4" w:rsidRPr="002445C4" w14:paraId="53C14A27" w14:textId="77777777" w:rsidTr="00830E32">
        <w:trPr>
          <w:trHeight w:hRule="exact" w:val="255"/>
        </w:trPr>
        <w:tc>
          <w:tcPr>
            <w:tcW w:w="771" w:type="dxa"/>
            <w:vMerge/>
            <w:tcBorders>
              <w:top w:val="nil"/>
              <w:left w:val="single" w:sz="4" w:space="0" w:color="auto"/>
              <w:bottom w:val="single" w:sz="4" w:space="0" w:color="auto"/>
              <w:right w:val="single" w:sz="4" w:space="0" w:color="auto"/>
            </w:tcBorders>
            <w:vAlign w:val="center"/>
            <w:hideMark/>
          </w:tcPr>
          <w:p w14:paraId="53C14A1E" w14:textId="77777777" w:rsidR="00830E32" w:rsidRPr="002445C4" w:rsidRDefault="00830E32" w:rsidP="00830E32">
            <w:pPr>
              <w:spacing w:after="0"/>
              <w:jc w:val="left"/>
              <w:rPr>
                <w:rFonts w:ascii="Arial Narrow" w:hAnsi="Arial Narrow"/>
                <w:lang w:eastAsia="en-AU"/>
              </w:rPr>
            </w:pPr>
          </w:p>
        </w:tc>
        <w:tc>
          <w:tcPr>
            <w:tcW w:w="15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3C14A1F" w14:textId="77777777" w:rsidR="00830E32" w:rsidRPr="002445C4" w:rsidRDefault="00830E32" w:rsidP="00830E32">
            <w:pPr>
              <w:spacing w:after="0"/>
              <w:jc w:val="left"/>
              <w:rPr>
                <w:rFonts w:ascii="Arial Narrow" w:hAnsi="Arial Narrow"/>
                <w:sz w:val="20"/>
                <w:lang w:eastAsia="en-AU"/>
              </w:rPr>
            </w:pPr>
            <w:r w:rsidRPr="002445C4">
              <w:rPr>
                <w:rFonts w:ascii="Arial Narrow" w:hAnsi="Arial Narrow"/>
                <w:sz w:val="20"/>
                <w:lang w:eastAsia="en-AU"/>
              </w:rPr>
              <w:t>Middle</w:t>
            </w:r>
          </w:p>
        </w:tc>
        <w:tc>
          <w:tcPr>
            <w:tcW w:w="284" w:type="dxa"/>
            <w:tcBorders>
              <w:top w:val="nil"/>
              <w:left w:val="nil"/>
              <w:bottom w:val="single" w:sz="4" w:space="0" w:color="auto"/>
              <w:right w:val="single" w:sz="4" w:space="0" w:color="auto"/>
            </w:tcBorders>
            <w:shd w:val="clear" w:color="auto" w:fill="auto"/>
            <w:noWrap/>
            <w:vAlign w:val="center"/>
            <w:hideMark/>
          </w:tcPr>
          <w:p w14:paraId="53C14A20"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2</w:t>
            </w:r>
          </w:p>
        </w:tc>
        <w:tc>
          <w:tcPr>
            <w:tcW w:w="1134" w:type="dxa"/>
            <w:tcBorders>
              <w:top w:val="nil"/>
              <w:left w:val="nil"/>
              <w:bottom w:val="single" w:sz="4" w:space="0" w:color="auto"/>
              <w:right w:val="single" w:sz="4" w:space="0" w:color="auto"/>
            </w:tcBorders>
            <w:shd w:val="clear" w:color="auto" w:fill="auto"/>
            <w:noWrap/>
            <w:vAlign w:val="bottom"/>
            <w:hideMark/>
          </w:tcPr>
          <w:p w14:paraId="53C14A21"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0.45</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hideMark/>
          </w:tcPr>
          <w:p w14:paraId="53C14A22"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0.41</w:t>
            </w:r>
          </w:p>
        </w:tc>
        <w:tc>
          <w:tcPr>
            <w:tcW w:w="1134" w:type="dxa"/>
            <w:tcBorders>
              <w:top w:val="nil"/>
              <w:left w:val="nil"/>
              <w:bottom w:val="single" w:sz="4" w:space="0" w:color="auto"/>
              <w:right w:val="single" w:sz="4" w:space="0" w:color="auto"/>
            </w:tcBorders>
            <w:shd w:val="clear" w:color="auto" w:fill="auto"/>
            <w:noWrap/>
            <w:vAlign w:val="bottom"/>
            <w:hideMark/>
          </w:tcPr>
          <w:p w14:paraId="53C14A23"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047" w:type="dxa"/>
            <w:tcBorders>
              <w:top w:val="nil"/>
              <w:left w:val="nil"/>
              <w:bottom w:val="single" w:sz="4" w:space="0" w:color="auto"/>
              <w:right w:val="single" w:sz="4" w:space="0" w:color="auto"/>
            </w:tcBorders>
            <w:shd w:val="clear" w:color="auto" w:fill="auto"/>
            <w:noWrap/>
            <w:vAlign w:val="bottom"/>
            <w:hideMark/>
          </w:tcPr>
          <w:p w14:paraId="53C14A24"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0.58</w:t>
            </w:r>
          </w:p>
        </w:tc>
        <w:tc>
          <w:tcPr>
            <w:tcW w:w="1221" w:type="dxa"/>
            <w:tcBorders>
              <w:top w:val="nil"/>
              <w:left w:val="nil"/>
              <w:bottom w:val="single" w:sz="4" w:space="0" w:color="auto"/>
              <w:right w:val="single" w:sz="4" w:space="0" w:color="auto"/>
            </w:tcBorders>
            <w:shd w:val="clear" w:color="auto" w:fill="auto"/>
            <w:noWrap/>
            <w:vAlign w:val="bottom"/>
            <w:hideMark/>
          </w:tcPr>
          <w:p w14:paraId="53C14A25"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117" w:type="dxa"/>
            <w:tcBorders>
              <w:top w:val="nil"/>
              <w:left w:val="nil"/>
              <w:bottom w:val="single" w:sz="4" w:space="0" w:color="auto"/>
              <w:right w:val="single" w:sz="4" w:space="0" w:color="auto"/>
            </w:tcBorders>
            <w:shd w:val="clear" w:color="auto" w:fill="FFC000"/>
            <w:noWrap/>
            <w:vAlign w:val="bottom"/>
            <w:hideMark/>
          </w:tcPr>
          <w:p w14:paraId="53C14A26"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0.29</w:t>
            </w:r>
          </w:p>
        </w:tc>
      </w:tr>
      <w:tr w:rsidR="002445C4" w:rsidRPr="002445C4" w14:paraId="53C14A31" w14:textId="77777777" w:rsidTr="004F16D3">
        <w:trPr>
          <w:trHeight w:hRule="exact" w:val="255"/>
        </w:trPr>
        <w:tc>
          <w:tcPr>
            <w:tcW w:w="771" w:type="dxa"/>
            <w:vMerge/>
            <w:tcBorders>
              <w:top w:val="nil"/>
              <w:left w:val="single" w:sz="4" w:space="0" w:color="auto"/>
              <w:bottom w:val="single" w:sz="4" w:space="0" w:color="auto"/>
              <w:right w:val="single" w:sz="4" w:space="0" w:color="auto"/>
            </w:tcBorders>
            <w:vAlign w:val="center"/>
            <w:hideMark/>
          </w:tcPr>
          <w:p w14:paraId="53C14A28" w14:textId="77777777" w:rsidR="00830E32" w:rsidRPr="002445C4" w:rsidRDefault="00830E32" w:rsidP="00830E32">
            <w:pPr>
              <w:spacing w:after="0"/>
              <w:jc w:val="left"/>
              <w:rPr>
                <w:rFonts w:ascii="Arial Narrow" w:hAnsi="Arial Narrow"/>
                <w:lang w:eastAsia="en-AU"/>
              </w:rPr>
            </w:pPr>
          </w:p>
        </w:tc>
        <w:tc>
          <w:tcPr>
            <w:tcW w:w="1576" w:type="dxa"/>
            <w:vMerge/>
            <w:tcBorders>
              <w:top w:val="nil"/>
              <w:left w:val="single" w:sz="4" w:space="0" w:color="auto"/>
              <w:bottom w:val="single" w:sz="4" w:space="0" w:color="auto"/>
              <w:right w:val="single" w:sz="4" w:space="0" w:color="auto"/>
            </w:tcBorders>
            <w:vAlign w:val="center"/>
            <w:hideMark/>
          </w:tcPr>
          <w:p w14:paraId="53C14A29" w14:textId="77777777" w:rsidR="00830E32" w:rsidRPr="002445C4" w:rsidRDefault="00830E32" w:rsidP="00830E32">
            <w:pPr>
              <w:spacing w:after="0"/>
              <w:jc w:val="left"/>
              <w:rPr>
                <w:rFonts w:ascii="Arial Narrow" w:hAnsi="Arial Narrow"/>
                <w:sz w:val="20"/>
                <w:lang w:eastAsia="en-AU"/>
              </w:rPr>
            </w:pPr>
          </w:p>
        </w:tc>
        <w:tc>
          <w:tcPr>
            <w:tcW w:w="284" w:type="dxa"/>
            <w:tcBorders>
              <w:top w:val="nil"/>
              <w:left w:val="nil"/>
              <w:bottom w:val="single" w:sz="4" w:space="0" w:color="auto"/>
              <w:right w:val="single" w:sz="4" w:space="0" w:color="auto"/>
            </w:tcBorders>
            <w:shd w:val="clear" w:color="auto" w:fill="auto"/>
            <w:noWrap/>
            <w:vAlign w:val="center"/>
            <w:hideMark/>
          </w:tcPr>
          <w:p w14:paraId="53C14A2A"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5</w:t>
            </w:r>
          </w:p>
        </w:tc>
        <w:tc>
          <w:tcPr>
            <w:tcW w:w="1134" w:type="dxa"/>
            <w:tcBorders>
              <w:top w:val="nil"/>
              <w:left w:val="nil"/>
              <w:bottom w:val="single" w:sz="4" w:space="0" w:color="auto"/>
              <w:right w:val="single" w:sz="4" w:space="0" w:color="auto"/>
            </w:tcBorders>
            <w:shd w:val="clear" w:color="auto" w:fill="auto"/>
            <w:noWrap/>
            <w:vAlign w:val="bottom"/>
            <w:hideMark/>
          </w:tcPr>
          <w:p w14:paraId="53C14A2B"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0.22</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hideMark/>
          </w:tcPr>
          <w:p w14:paraId="53C14A2C"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0.69</w:t>
            </w:r>
          </w:p>
        </w:tc>
        <w:tc>
          <w:tcPr>
            <w:tcW w:w="1134" w:type="dxa"/>
            <w:tcBorders>
              <w:top w:val="nil"/>
              <w:left w:val="nil"/>
              <w:bottom w:val="single" w:sz="4" w:space="0" w:color="auto"/>
              <w:right w:val="single" w:sz="4" w:space="0" w:color="auto"/>
            </w:tcBorders>
            <w:shd w:val="clear" w:color="auto" w:fill="auto"/>
            <w:noWrap/>
            <w:vAlign w:val="bottom"/>
            <w:hideMark/>
          </w:tcPr>
          <w:p w14:paraId="53C14A2D"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0.28</w:t>
            </w:r>
          </w:p>
        </w:tc>
        <w:tc>
          <w:tcPr>
            <w:tcW w:w="1047" w:type="dxa"/>
            <w:tcBorders>
              <w:top w:val="nil"/>
              <w:left w:val="nil"/>
              <w:bottom w:val="single" w:sz="4" w:space="0" w:color="auto"/>
              <w:right w:val="single" w:sz="4" w:space="0" w:color="auto"/>
            </w:tcBorders>
            <w:shd w:val="clear" w:color="auto" w:fill="auto"/>
            <w:noWrap/>
            <w:vAlign w:val="bottom"/>
            <w:hideMark/>
          </w:tcPr>
          <w:p w14:paraId="53C14A2E"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0.44</w:t>
            </w:r>
          </w:p>
        </w:tc>
        <w:tc>
          <w:tcPr>
            <w:tcW w:w="1221" w:type="dxa"/>
            <w:tcBorders>
              <w:top w:val="nil"/>
              <w:left w:val="nil"/>
              <w:bottom w:val="single" w:sz="4" w:space="0" w:color="auto"/>
              <w:right w:val="single" w:sz="4" w:space="0" w:color="auto"/>
            </w:tcBorders>
            <w:shd w:val="clear" w:color="auto" w:fill="auto"/>
            <w:noWrap/>
            <w:vAlign w:val="bottom"/>
            <w:hideMark/>
          </w:tcPr>
          <w:p w14:paraId="53C14A2F"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117" w:type="dxa"/>
            <w:tcBorders>
              <w:top w:val="nil"/>
              <w:left w:val="nil"/>
              <w:bottom w:val="single" w:sz="4" w:space="0" w:color="auto"/>
              <w:right w:val="single" w:sz="4" w:space="0" w:color="auto"/>
            </w:tcBorders>
            <w:shd w:val="clear" w:color="auto" w:fill="FFC000"/>
            <w:noWrap/>
            <w:vAlign w:val="bottom"/>
            <w:hideMark/>
          </w:tcPr>
          <w:p w14:paraId="53C14A30"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0.32</w:t>
            </w:r>
          </w:p>
        </w:tc>
      </w:tr>
      <w:tr w:rsidR="002445C4" w:rsidRPr="002445C4" w14:paraId="53C14A3B" w14:textId="77777777" w:rsidTr="004F16D3">
        <w:trPr>
          <w:trHeight w:hRule="exact" w:val="255"/>
        </w:trPr>
        <w:tc>
          <w:tcPr>
            <w:tcW w:w="771" w:type="dxa"/>
            <w:vMerge/>
            <w:tcBorders>
              <w:top w:val="nil"/>
              <w:left w:val="single" w:sz="4" w:space="0" w:color="auto"/>
              <w:bottom w:val="single" w:sz="4" w:space="0" w:color="auto"/>
              <w:right w:val="single" w:sz="4" w:space="0" w:color="auto"/>
            </w:tcBorders>
            <w:vAlign w:val="center"/>
            <w:hideMark/>
          </w:tcPr>
          <w:p w14:paraId="53C14A32" w14:textId="77777777" w:rsidR="00830E32" w:rsidRPr="002445C4" w:rsidRDefault="00830E32" w:rsidP="00830E32">
            <w:pPr>
              <w:spacing w:after="0"/>
              <w:jc w:val="left"/>
              <w:rPr>
                <w:rFonts w:ascii="Arial Narrow" w:hAnsi="Arial Narrow"/>
                <w:lang w:eastAsia="en-AU"/>
              </w:rPr>
            </w:pPr>
          </w:p>
        </w:tc>
        <w:tc>
          <w:tcPr>
            <w:tcW w:w="15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3C14A33" w14:textId="77777777" w:rsidR="00830E32" w:rsidRPr="002445C4" w:rsidRDefault="00830E32" w:rsidP="00830E32">
            <w:pPr>
              <w:spacing w:after="0"/>
              <w:jc w:val="left"/>
              <w:rPr>
                <w:rFonts w:ascii="Arial Narrow" w:hAnsi="Arial Narrow"/>
                <w:sz w:val="20"/>
                <w:lang w:eastAsia="en-AU"/>
              </w:rPr>
            </w:pPr>
            <w:r w:rsidRPr="002445C4">
              <w:rPr>
                <w:rFonts w:ascii="Arial Narrow" w:hAnsi="Arial Narrow"/>
                <w:sz w:val="20"/>
                <w:lang w:eastAsia="en-AU"/>
              </w:rPr>
              <w:t>Keppels South</w:t>
            </w:r>
          </w:p>
        </w:tc>
        <w:tc>
          <w:tcPr>
            <w:tcW w:w="284" w:type="dxa"/>
            <w:tcBorders>
              <w:top w:val="nil"/>
              <w:left w:val="nil"/>
              <w:bottom w:val="single" w:sz="4" w:space="0" w:color="auto"/>
              <w:right w:val="single" w:sz="4" w:space="0" w:color="auto"/>
            </w:tcBorders>
            <w:shd w:val="clear" w:color="auto" w:fill="auto"/>
            <w:noWrap/>
            <w:vAlign w:val="center"/>
            <w:hideMark/>
          </w:tcPr>
          <w:p w14:paraId="53C14A34"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2</w:t>
            </w:r>
          </w:p>
        </w:tc>
        <w:tc>
          <w:tcPr>
            <w:tcW w:w="1134" w:type="dxa"/>
            <w:tcBorders>
              <w:top w:val="nil"/>
              <w:left w:val="nil"/>
              <w:bottom w:val="single" w:sz="4" w:space="0" w:color="auto"/>
              <w:right w:val="single" w:sz="4" w:space="0" w:color="auto"/>
            </w:tcBorders>
            <w:shd w:val="clear" w:color="auto" w:fill="auto"/>
            <w:noWrap/>
            <w:vAlign w:val="bottom"/>
            <w:hideMark/>
          </w:tcPr>
          <w:p w14:paraId="53C14A35"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0.36</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hideMark/>
          </w:tcPr>
          <w:p w14:paraId="53C14A36"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0.64</w:t>
            </w:r>
          </w:p>
        </w:tc>
        <w:tc>
          <w:tcPr>
            <w:tcW w:w="1134" w:type="dxa"/>
            <w:tcBorders>
              <w:top w:val="nil"/>
              <w:left w:val="nil"/>
              <w:bottom w:val="single" w:sz="4" w:space="0" w:color="auto"/>
              <w:right w:val="single" w:sz="4" w:space="0" w:color="auto"/>
            </w:tcBorders>
            <w:shd w:val="clear" w:color="auto" w:fill="auto"/>
            <w:noWrap/>
            <w:vAlign w:val="bottom"/>
            <w:hideMark/>
          </w:tcPr>
          <w:p w14:paraId="53C14A37"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0.19</w:t>
            </w:r>
          </w:p>
        </w:tc>
        <w:tc>
          <w:tcPr>
            <w:tcW w:w="1047" w:type="dxa"/>
            <w:tcBorders>
              <w:top w:val="nil"/>
              <w:left w:val="nil"/>
              <w:bottom w:val="single" w:sz="4" w:space="0" w:color="auto"/>
              <w:right w:val="single" w:sz="4" w:space="0" w:color="auto"/>
            </w:tcBorders>
            <w:shd w:val="clear" w:color="auto" w:fill="auto"/>
            <w:noWrap/>
            <w:vAlign w:val="bottom"/>
            <w:hideMark/>
          </w:tcPr>
          <w:p w14:paraId="53C14A38"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0.48</w:t>
            </w:r>
          </w:p>
        </w:tc>
        <w:tc>
          <w:tcPr>
            <w:tcW w:w="1221" w:type="dxa"/>
            <w:tcBorders>
              <w:top w:val="nil"/>
              <w:left w:val="nil"/>
              <w:bottom w:val="single" w:sz="4" w:space="0" w:color="auto"/>
              <w:right w:val="single" w:sz="4" w:space="0" w:color="auto"/>
            </w:tcBorders>
            <w:shd w:val="clear" w:color="auto" w:fill="auto"/>
            <w:noWrap/>
            <w:vAlign w:val="bottom"/>
            <w:hideMark/>
          </w:tcPr>
          <w:p w14:paraId="53C14A39"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117" w:type="dxa"/>
            <w:tcBorders>
              <w:top w:val="nil"/>
              <w:left w:val="nil"/>
              <w:bottom w:val="single" w:sz="4" w:space="0" w:color="auto"/>
              <w:right w:val="single" w:sz="4" w:space="0" w:color="auto"/>
            </w:tcBorders>
            <w:shd w:val="clear" w:color="auto" w:fill="FFC000"/>
            <w:noWrap/>
            <w:vAlign w:val="bottom"/>
            <w:hideMark/>
          </w:tcPr>
          <w:p w14:paraId="53C14A3A"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0.33</w:t>
            </w:r>
          </w:p>
        </w:tc>
      </w:tr>
      <w:tr w:rsidR="002445C4" w:rsidRPr="002445C4" w14:paraId="53C14A45" w14:textId="77777777" w:rsidTr="004F16D3">
        <w:trPr>
          <w:trHeight w:hRule="exact" w:val="255"/>
        </w:trPr>
        <w:tc>
          <w:tcPr>
            <w:tcW w:w="771" w:type="dxa"/>
            <w:vMerge/>
            <w:tcBorders>
              <w:top w:val="nil"/>
              <w:left w:val="single" w:sz="4" w:space="0" w:color="auto"/>
              <w:bottom w:val="single" w:sz="4" w:space="0" w:color="auto"/>
              <w:right w:val="single" w:sz="4" w:space="0" w:color="auto"/>
            </w:tcBorders>
            <w:vAlign w:val="center"/>
            <w:hideMark/>
          </w:tcPr>
          <w:p w14:paraId="53C14A3C" w14:textId="77777777" w:rsidR="00830E32" w:rsidRPr="002445C4" w:rsidRDefault="00830E32" w:rsidP="00830E32">
            <w:pPr>
              <w:spacing w:after="0"/>
              <w:jc w:val="left"/>
              <w:rPr>
                <w:rFonts w:ascii="Arial Narrow" w:hAnsi="Arial Narrow"/>
                <w:lang w:eastAsia="en-AU"/>
              </w:rPr>
            </w:pPr>
          </w:p>
        </w:tc>
        <w:tc>
          <w:tcPr>
            <w:tcW w:w="1576" w:type="dxa"/>
            <w:vMerge/>
            <w:tcBorders>
              <w:top w:val="nil"/>
              <w:left w:val="single" w:sz="4" w:space="0" w:color="auto"/>
              <w:bottom w:val="single" w:sz="4" w:space="0" w:color="auto"/>
              <w:right w:val="single" w:sz="4" w:space="0" w:color="auto"/>
            </w:tcBorders>
            <w:vAlign w:val="center"/>
            <w:hideMark/>
          </w:tcPr>
          <w:p w14:paraId="53C14A3D" w14:textId="77777777" w:rsidR="00830E32" w:rsidRPr="002445C4" w:rsidRDefault="00830E32" w:rsidP="00830E32">
            <w:pPr>
              <w:spacing w:after="0"/>
              <w:jc w:val="left"/>
              <w:rPr>
                <w:rFonts w:ascii="Arial Narrow" w:hAnsi="Arial Narrow"/>
                <w:sz w:val="20"/>
                <w:lang w:eastAsia="en-AU"/>
              </w:rPr>
            </w:pPr>
          </w:p>
        </w:tc>
        <w:tc>
          <w:tcPr>
            <w:tcW w:w="284" w:type="dxa"/>
            <w:tcBorders>
              <w:top w:val="nil"/>
              <w:left w:val="nil"/>
              <w:bottom w:val="single" w:sz="4" w:space="0" w:color="auto"/>
              <w:right w:val="single" w:sz="4" w:space="0" w:color="auto"/>
            </w:tcBorders>
            <w:shd w:val="clear" w:color="auto" w:fill="auto"/>
            <w:noWrap/>
            <w:vAlign w:val="center"/>
            <w:hideMark/>
          </w:tcPr>
          <w:p w14:paraId="53C14A3E"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5</w:t>
            </w:r>
          </w:p>
        </w:tc>
        <w:tc>
          <w:tcPr>
            <w:tcW w:w="1134" w:type="dxa"/>
            <w:tcBorders>
              <w:top w:val="nil"/>
              <w:left w:val="nil"/>
              <w:bottom w:val="single" w:sz="4" w:space="0" w:color="auto"/>
              <w:right w:val="single" w:sz="4" w:space="0" w:color="auto"/>
            </w:tcBorders>
            <w:shd w:val="clear" w:color="auto" w:fill="auto"/>
            <w:noWrap/>
            <w:vAlign w:val="bottom"/>
            <w:hideMark/>
          </w:tcPr>
          <w:p w14:paraId="53C14A3F"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0.42</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hideMark/>
          </w:tcPr>
          <w:p w14:paraId="53C14A40"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0.16</w:t>
            </w:r>
          </w:p>
        </w:tc>
        <w:tc>
          <w:tcPr>
            <w:tcW w:w="1134" w:type="dxa"/>
            <w:tcBorders>
              <w:top w:val="nil"/>
              <w:left w:val="nil"/>
              <w:bottom w:val="single" w:sz="4" w:space="0" w:color="auto"/>
              <w:right w:val="single" w:sz="4" w:space="0" w:color="auto"/>
            </w:tcBorders>
            <w:shd w:val="clear" w:color="auto" w:fill="auto"/>
            <w:noWrap/>
            <w:vAlign w:val="bottom"/>
            <w:hideMark/>
          </w:tcPr>
          <w:p w14:paraId="53C14A41"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0.24</w:t>
            </w:r>
          </w:p>
        </w:tc>
        <w:tc>
          <w:tcPr>
            <w:tcW w:w="1047" w:type="dxa"/>
            <w:tcBorders>
              <w:top w:val="nil"/>
              <w:left w:val="nil"/>
              <w:bottom w:val="single" w:sz="4" w:space="0" w:color="auto"/>
              <w:right w:val="single" w:sz="4" w:space="0" w:color="auto"/>
            </w:tcBorders>
            <w:shd w:val="clear" w:color="auto" w:fill="auto"/>
            <w:noWrap/>
            <w:vAlign w:val="bottom"/>
            <w:hideMark/>
          </w:tcPr>
          <w:p w14:paraId="53C14A42"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0.17</w:t>
            </w:r>
          </w:p>
        </w:tc>
        <w:tc>
          <w:tcPr>
            <w:tcW w:w="1221" w:type="dxa"/>
            <w:tcBorders>
              <w:top w:val="nil"/>
              <w:left w:val="nil"/>
              <w:bottom w:val="single" w:sz="4" w:space="0" w:color="auto"/>
              <w:right w:val="single" w:sz="4" w:space="0" w:color="auto"/>
            </w:tcBorders>
            <w:shd w:val="clear" w:color="auto" w:fill="auto"/>
            <w:noWrap/>
            <w:vAlign w:val="bottom"/>
            <w:hideMark/>
          </w:tcPr>
          <w:p w14:paraId="53C14A43"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0.50</w:t>
            </w:r>
          </w:p>
        </w:tc>
        <w:tc>
          <w:tcPr>
            <w:tcW w:w="1117" w:type="dxa"/>
            <w:tcBorders>
              <w:top w:val="nil"/>
              <w:left w:val="nil"/>
              <w:bottom w:val="single" w:sz="4" w:space="0" w:color="auto"/>
              <w:right w:val="single" w:sz="4" w:space="0" w:color="auto"/>
            </w:tcBorders>
            <w:shd w:val="clear" w:color="auto" w:fill="FFC000"/>
            <w:noWrap/>
            <w:vAlign w:val="bottom"/>
            <w:hideMark/>
          </w:tcPr>
          <w:p w14:paraId="53C14A44"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0.30</w:t>
            </w:r>
          </w:p>
        </w:tc>
      </w:tr>
      <w:tr w:rsidR="002445C4" w:rsidRPr="002445C4" w14:paraId="53C14A4F" w14:textId="77777777" w:rsidTr="004F16D3">
        <w:trPr>
          <w:trHeight w:hRule="exact" w:val="255"/>
        </w:trPr>
        <w:tc>
          <w:tcPr>
            <w:tcW w:w="771" w:type="dxa"/>
            <w:vMerge/>
            <w:tcBorders>
              <w:top w:val="nil"/>
              <w:left w:val="single" w:sz="4" w:space="0" w:color="auto"/>
              <w:bottom w:val="single" w:sz="4" w:space="0" w:color="auto"/>
              <w:right w:val="single" w:sz="4" w:space="0" w:color="auto"/>
            </w:tcBorders>
            <w:vAlign w:val="center"/>
            <w:hideMark/>
          </w:tcPr>
          <w:p w14:paraId="53C14A46" w14:textId="77777777" w:rsidR="00830E32" w:rsidRPr="002445C4" w:rsidRDefault="00830E32" w:rsidP="00830E32">
            <w:pPr>
              <w:spacing w:after="0"/>
              <w:jc w:val="left"/>
              <w:rPr>
                <w:rFonts w:ascii="Arial Narrow" w:hAnsi="Arial Narrow"/>
                <w:lang w:eastAsia="en-AU"/>
              </w:rPr>
            </w:pPr>
          </w:p>
        </w:tc>
        <w:tc>
          <w:tcPr>
            <w:tcW w:w="15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3C14A47" w14:textId="77777777" w:rsidR="00830E32" w:rsidRPr="002445C4" w:rsidRDefault="00830E32" w:rsidP="00830E32">
            <w:pPr>
              <w:spacing w:after="0"/>
              <w:jc w:val="left"/>
              <w:rPr>
                <w:rFonts w:ascii="Arial Narrow" w:hAnsi="Arial Narrow"/>
                <w:sz w:val="20"/>
                <w:lang w:eastAsia="en-AU"/>
              </w:rPr>
            </w:pPr>
            <w:r w:rsidRPr="002445C4">
              <w:rPr>
                <w:rFonts w:ascii="Arial Narrow" w:hAnsi="Arial Narrow"/>
                <w:sz w:val="20"/>
                <w:lang w:eastAsia="en-AU"/>
              </w:rPr>
              <w:t>Pelican</w:t>
            </w:r>
          </w:p>
        </w:tc>
        <w:tc>
          <w:tcPr>
            <w:tcW w:w="284" w:type="dxa"/>
            <w:tcBorders>
              <w:top w:val="nil"/>
              <w:left w:val="nil"/>
              <w:bottom w:val="single" w:sz="4" w:space="0" w:color="auto"/>
              <w:right w:val="single" w:sz="4" w:space="0" w:color="auto"/>
            </w:tcBorders>
            <w:shd w:val="clear" w:color="auto" w:fill="auto"/>
            <w:noWrap/>
            <w:vAlign w:val="center"/>
            <w:hideMark/>
          </w:tcPr>
          <w:p w14:paraId="53C14A48"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2</w:t>
            </w:r>
          </w:p>
        </w:tc>
        <w:tc>
          <w:tcPr>
            <w:tcW w:w="1134" w:type="dxa"/>
            <w:tcBorders>
              <w:top w:val="nil"/>
              <w:left w:val="nil"/>
              <w:bottom w:val="single" w:sz="4" w:space="0" w:color="auto"/>
              <w:right w:val="single" w:sz="4" w:space="0" w:color="auto"/>
            </w:tcBorders>
            <w:shd w:val="clear" w:color="auto" w:fill="auto"/>
            <w:noWrap/>
            <w:vAlign w:val="bottom"/>
            <w:hideMark/>
          </w:tcPr>
          <w:p w14:paraId="53C14A49"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0.01</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hideMark/>
          </w:tcPr>
          <w:p w14:paraId="53C14A4A"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0.11</w:t>
            </w:r>
          </w:p>
        </w:tc>
        <w:tc>
          <w:tcPr>
            <w:tcW w:w="1134" w:type="dxa"/>
            <w:tcBorders>
              <w:top w:val="nil"/>
              <w:left w:val="nil"/>
              <w:bottom w:val="single" w:sz="4" w:space="0" w:color="auto"/>
              <w:right w:val="single" w:sz="4" w:space="0" w:color="auto"/>
            </w:tcBorders>
            <w:shd w:val="clear" w:color="auto" w:fill="auto"/>
            <w:noWrap/>
            <w:vAlign w:val="bottom"/>
            <w:hideMark/>
          </w:tcPr>
          <w:p w14:paraId="53C14A4B"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047" w:type="dxa"/>
            <w:tcBorders>
              <w:top w:val="nil"/>
              <w:left w:val="nil"/>
              <w:bottom w:val="single" w:sz="4" w:space="0" w:color="auto"/>
              <w:right w:val="single" w:sz="4" w:space="0" w:color="auto"/>
            </w:tcBorders>
            <w:shd w:val="clear" w:color="auto" w:fill="auto"/>
            <w:noWrap/>
            <w:vAlign w:val="bottom"/>
            <w:hideMark/>
          </w:tcPr>
          <w:p w14:paraId="53C14A4C"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221" w:type="dxa"/>
            <w:tcBorders>
              <w:top w:val="nil"/>
              <w:left w:val="nil"/>
              <w:bottom w:val="single" w:sz="4" w:space="0" w:color="auto"/>
              <w:right w:val="single" w:sz="4" w:space="0" w:color="auto"/>
            </w:tcBorders>
            <w:shd w:val="clear" w:color="auto" w:fill="auto"/>
            <w:noWrap/>
            <w:vAlign w:val="bottom"/>
            <w:hideMark/>
          </w:tcPr>
          <w:p w14:paraId="53C14A4D"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117" w:type="dxa"/>
            <w:tcBorders>
              <w:top w:val="nil"/>
              <w:left w:val="nil"/>
              <w:bottom w:val="single" w:sz="4" w:space="0" w:color="auto"/>
              <w:right w:val="single" w:sz="4" w:space="0" w:color="auto"/>
            </w:tcBorders>
            <w:shd w:val="clear" w:color="auto" w:fill="FFC000"/>
            <w:noWrap/>
            <w:vAlign w:val="bottom"/>
            <w:hideMark/>
          </w:tcPr>
          <w:p w14:paraId="53C14A4E"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0.22</w:t>
            </w:r>
          </w:p>
        </w:tc>
      </w:tr>
      <w:tr w:rsidR="002445C4" w:rsidRPr="002445C4" w14:paraId="53C14A59" w14:textId="77777777" w:rsidTr="004F16D3">
        <w:trPr>
          <w:trHeight w:hRule="exact" w:val="255"/>
        </w:trPr>
        <w:tc>
          <w:tcPr>
            <w:tcW w:w="771" w:type="dxa"/>
            <w:vMerge/>
            <w:tcBorders>
              <w:top w:val="nil"/>
              <w:left w:val="single" w:sz="4" w:space="0" w:color="auto"/>
              <w:bottom w:val="single" w:sz="4" w:space="0" w:color="auto"/>
              <w:right w:val="single" w:sz="4" w:space="0" w:color="auto"/>
            </w:tcBorders>
            <w:vAlign w:val="center"/>
            <w:hideMark/>
          </w:tcPr>
          <w:p w14:paraId="53C14A50" w14:textId="77777777" w:rsidR="00830E32" w:rsidRPr="002445C4" w:rsidRDefault="00830E32" w:rsidP="00830E32">
            <w:pPr>
              <w:spacing w:after="0"/>
              <w:jc w:val="left"/>
              <w:rPr>
                <w:rFonts w:ascii="Arial Narrow" w:hAnsi="Arial Narrow"/>
                <w:lang w:eastAsia="en-AU"/>
              </w:rPr>
            </w:pPr>
          </w:p>
        </w:tc>
        <w:tc>
          <w:tcPr>
            <w:tcW w:w="1576" w:type="dxa"/>
            <w:vMerge/>
            <w:tcBorders>
              <w:top w:val="nil"/>
              <w:left w:val="single" w:sz="4" w:space="0" w:color="auto"/>
              <w:bottom w:val="single" w:sz="4" w:space="0" w:color="auto"/>
              <w:right w:val="single" w:sz="4" w:space="0" w:color="auto"/>
            </w:tcBorders>
            <w:vAlign w:val="center"/>
            <w:hideMark/>
          </w:tcPr>
          <w:p w14:paraId="53C14A51" w14:textId="77777777" w:rsidR="00830E32" w:rsidRPr="002445C4" w:rsidRDefault="00830E32" w:rsidP="00830E32">
            <w:pPr>
              <w:spacing w:after="0"/>
              <w:jc w:val="left"/>
              <w:rPr>
                <w:rFonts w:ascii="Arial Narrow" w:hAnsi="Arial Narrow"/>
                <w:sz w:val="20"/>
                <w:lang w:eastAsia="en-AU"/>
              </w:rPr>
            </w:pPr>
          </w:p>
        </w:tc>
        <w:tc>
          <w:tcPr>
            <w:tcW w:w="284" w:type="dxa"/>
            <w:tcBorders>
              <w:top w:val="nil"/>
              <w:left w:val="nil"/>
              <w:bottom w:val="single" w:sz="4" w:space="0" w:color="auto"/>
              <w:right w:val="single" w:sz="4" w:space="0" w:color="auto"/>
            </w:tcBorders>
            <w:shd w:val="clear" w:color="auto" w:fill="auto"/>
            <w:noWrap/>
            <w:vAlign w:val="center"/>
            <w:hideMark/>
          </w:tcPr>
          <w:p w14:paraId="53C14A52"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5</w:t>
            </w:r>
          </w:p>
        </w:tc>
        <w:tc>
          <w:tcPr>
            <w:tcW w:w="1134" w:type="dxa"/>
            <w:tcBorders>
              <w:top w:val="nil"/>
              <w:left w:val="nil"/>
              <w:bottom w:val="single" w:sz="4" w:space="0" w:color="auto"/>
              <w:right w:val="single" w:sz="4" w:space="0" w:color="auto"/>
            </w:tcBorders>
            <w:shd w:val="clear" w:color="auto" w:fill="auto"/>
            <w:noWrap/>
            <w:vAlign w:val="bottom"/>
            <w:hideMark/>
          </w:tcPr>
          <w:p w14:paraId="53C14A53"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0.28</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hideMark/>
          </w:tcPr>
          <w:p w14:paraId="53C14A54"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0.40</w:t>
            </w:r>
          </w:p>
        </w:tc>
        <w:tc>
          <w:tcPr>
            <w:tcW w:w="1134" w:type="dxa"/>
            <w:tcBorders>
              <w:top w:val="nil"/>
              <w:left w:val="nil"/>
              <w:bottom w:val="single" w:sz="4" w:space="0" w:color="auto"/>
              <w:right w:val="single" w:sz="4" w:space="0" w:color="auto"/>
            </w:tcBorders>
            <w:shd w:val="clear" w:color="auto" w:fill="auto"/>
            <w:noWrap/>
            <w:vAlign w:val="bottom"/>
            <w:hideMark/>
          </w:tcPr>
          <w:p w14:paraId="53C14A55"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047" w:type="dxa"/>
            <w:tcBorders>
              <w:top w:val="nil"/>
              <w:left w:val="nil"/>
              <w:bottom w:val="single" w:sz="4" w:space="0" w:color="auto"/>
              <w:right w:val="single" w:sz="4" w:space="0" w:color="auto"/>
            </w:tcBorders>
            <w:shd w:val="clear" w:color="auto" w:fill="auto"/>
            <w:noWrap/>
            <w:vAlign w:val="bottom"/>
            <w:hideMark/>
          </w:tcPr>
          <w:p w14:paraId="53C14A56"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221" w:type="dxa"/>
            <w:tcBorders>
              <w:top w:val="nil"/>
              <w:left w:val="nil"/>
              <w:bottom w:val="single" w:sz="4" w:space="0" w:color="auto"/>
              <w:right w:val="single" w:sz="4" w:space="0" w:color="auto"/>
            </w:tcBorders>
            <w:shd w:val="clear" w:color="auto" w:fill="auto"/>
            <w:noWrap/>
            <w:vAlign w:val="bottom"/>
            <w:hideMark/>
          </w:tcPr>
          <w:p w14:paraId="53C14A57"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0.50</w:t>
            </w:r>
          </w:p>
        </w:tc>
        <w:tc>
          <w:tcPr>
            <w:tcW w:w="1117" w:type="dxa"/>
            <w:tcBorders>
              <w:top w:val="nil"/>
              <w:left w:val="nil"/>
              <w:bottom w:val="single" w:sz="4" w:space="0" w:color="auto"/>
              <w:right w:val="single" w:sz="4" w:space="0" w:color="auto"/>
            </w:tcBorders>
            <w:shd w:val="clear" w:color="auto" w:fill="FFFF00"/>
            <w:noWrap/>
            <w:vAlign w:val="bottom"/>
            <w:hideMark/>
          </w:tcPr>
          <w:p w14:paraId="53C14A58"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0.43</w:t>
            </w:r>
          </w:p>
        </w:tc>
      </w:tr>
      <w:tr w:rsidR="002445C4" w:rsidRPr="002445C4" w14:paraId="53C14A63" w14:textId="77777777" w:rsidTr="00830E32">
        <w:trPr>
          <w:trHeight w:hRule="exact" w:val="255"/>
        </w:trPr>
        <w:tc>
          <w:tcPr>
            <w:tcW w:w="771" w:type="dxa"/>
            <w:vMerge/>
            <w:tcBorders>
              <w:top w:val="nil"/>
              <w:left w:val="single" w:sz="4" w:space="0" w:color="auto"/>
              <w:bottom w:val="single" w:sz="4" w:space="0" w:color="auto"/>
              <w:right w:val="single" w:sz="4" w:space="0" w:color="auto"/>
            </w:tcBorders>
            <w:vAlign w:val="center"/>
            <w:hideMark/>
          </w:tcPr>
          <w:p w14:paraId="53C14A5A" w14:textId="77777777" w:rsidR="00830E32" w:rsidRPr="002445C4" w:rsidRDefault="00830E32" w:rsidP="00830E32">
            <w:pPr>
              <w:spacing w:after="0"/>
              <w:jc w:val="left"/>
              <w:rPr>
                <w:rFonts w:ascii="Arial Narrow" w:hAnsi="Arial Narrow"/>
                <w:lang w:eastAsia="en-AU"/>
              </w:rPr>
            </w:pPr>
          </w:p>
        </w:tc>
        <w:tc>
          <w:tcPr>
            <w:tcW w:w="15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3C14A5B" w14:textId="77777777" w:rsidR="00830E32" w:rsidRPr="002445C4" w:rsidRDefault="00830E32" w:rsidP="00830E32">
            <w:pPr>
              <w:spacing w:after="0"/>
              <w:jc w:val="left"/>
              <w:rPr>
                <w:rFonts w:ascii="Arial Narrow" w:hAnsi="Arial Narrow"/>
                <w:sz w:val="20"/>
                <w:lang w:eastAsia="en-AU"/>
              </w:rPr>
            </w:pPr>
            <w:r w:rsidRPr="002445C4">
              <w:rPr>
                <w:rFonts w:ascii="Arial Narrow" w:hAnsi="Arial Narrow"/>
                <w:sz w:val="20"/>
                <w:lang w:eastAsia="en-AU"/>
              </w:rPr>
              <w:t>Peak</w:t>
            </w:r>
          </w:p>
        </w:tc>
        <w:tc>
          <w:tcPr>
            <w:tcW w:w="284" w:type="dxa"/>
            <w:tcBorders>
              <w:top w:val="nil"/>
              <w:left w:val="nil"/>
              <w:bottom w:val="single" w:sz="4" w:space="0" w:color="auto"/>
              <w:right w:val="single" w:sz="4" w:space="0" w:color="auto"/>
            </w:tcBorders>
            <w:shd w:val="clear" w:color="auto" w:fill="auto"/>
            <w:noWrap/>
            <w:vAlign w:val="center"/>
            <w:hideMark/>
          </w:tcPr>
          <w:p w14:paraId="53C14A5C"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2</w:t>
            </w:r>
          </w:p>
        </w:tc>
        <w:tc>
          <w:tcPr>
            <w:tcW w:w="1134" w:type="dxa"/>
            <w:tcBorders>
              <w:top w:val="nil"/>
              <w:left w:val="nil"/>
              <w:bottom w:val="single" w:sz="4" w:space="0" w:color="auto"/>
              <w:right w:val="single" w:sz="4" w:space="0" w:color="auto"/>
            </w:tcBorders>
            <w:shd w:val="clear" w:color="auto" w:fill="auto"/>
            <w:noWrap/>
            <w:vAlign w:val="bottom"/>
            <w:hideMark/>
          </w:tcPr>
          <w:p w14:paraId="53C14A5D"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0.12</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hideMark/>
          </w:tcPr>
          <w:p w14:paraId="53C14A5E"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0.07</w:t>
            </w:r>
          </w:p>
        </w:tc>
        <w:tc>
          <w:tcPr>
            <w:tcW w:w="1134" w:type="dxa"/>
            <w:tcBorders>
              <w:top w:val="nil"/>
              <w:left w:val="nil"/>
              <w:bottom w:val="single" w:sz="4" w:space="0" w:color="auto"/>
              <w:right w:val="single" w:sz="4" w:space="0" w:color="auto"/>
            </w:tcBorders>
            <w:shd w:val="clear" w:color="auto" w:fill="auto"/>
            <w:noWrap/>
            <w:vAlign w:val="bottom"/>
            <w:hideMark/>
          </w:tcPr>
          <w:p w14:paraId="53C14A5F"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047" w:type="dxa"/>
            <w:tcBorders>
              <w:top w:val="nil"/>
              <w:left w:val="nil"/>
              <w:bottom w:val="single" w:sz="4" w:space="0" w:color="auto"/>
              <w:right w:val="single" w:sz="4" w:space="0" w:color="auto"/>
            </w:tcBorders>
            <w:shd w:val="clear" w:color="auto" w:fill="auto"/>
            <w:noWrap/>
            <w:vAlign w:val="bottom"/>
            <w:hideMark/>
          </w:tcPr>
          <w:p w14:paraId="53C14A60"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0.18</w:t>
            </w:r>
          </w:p>
        </w:tc>
        <w:tc>
          <w:tcPr>
            <w:tcW w:w="1221" w:type="dxa"/>
            <w:tcBorders>
              <w:top w:val="nil"/>
              <w:left w:val="nil"/>
              <w:bottom w:val="single" w:sz="4" w:space="0" w:color="auto"/>
              <w:right w:val="single" w:sz="4" w:space="0" w:color="auto"/>
            </w:tcBorders>
            <w:shd w:val="clear" w:color="auto" w:fill="auto"/>
            <w:noWrap/>
            <w:vAlign w:val="bottom"/>
            <w:hideMark/>
          </w:tcPr>
          <w:p w14:paraId="53C14A61"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1.00</w:t>
            </w:r>
          </w:p>
        </w:tc>
        <w:tc>
          <w:tcPr>
            <w:tcW w:w="1117" w:type="dxa"/>
            <w:tcBorders>
              <w:top w:val="nil"/>
              <w:left w:val="nil"/>
              <w:bottom w:val="single" w:sz="4" w:space="0" w:color="auto"/>
              <w:right w:val="single" w:sz="4" w:space="0" w:color="auto"/>
            </w:tcBorders>
            <w:shd w:val="clear" w:color="auto" w:fill="FFC000"/>
            <w:noWrap/>
            <w:vAlign w:val="bottom"/>
            <w:hideMark/>
          </w:tcPr>
          <w:p w14:paraId="53C14A62"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0.27</w:t>
            </w:r>
          </w:p>
        </w:tc>
      </w:tr>
      <w:tr w:rsidR="002445C4" w:rsidRPr="002445C4" w14:paraId="53C14A6D" w14:textId="77777777" w:rsidTr="00830E32">
        <w:trPr>
          <w:trHeight w:hRule="exact" w:val="255"/>
        </w:trPr>
        <w:tc>
          <w:tcPr>
            <w:tcW w:w="771" w:type="dxa"/>
            <w:vMerge/>
            <w:tcBorders>
              <w:top w:val="nil"/>
              <w:left w:val="single" w:sz="4" w:space="0" w:color="auto"/>
              <w:bottom w:val="single" w:sz="4" w:space="0" w:color="auto"/>
              <w:right w:val="single" w:sz="4" w:space="0" w:color="auto"/>
            </w:tcBorders>
            <w:vAlign w:val="center"/>
            <w:hideMark/>
          </w:tcPr>
          <w:p w14:paraId="53C14A64" w14:textId="77777777" w:rsidR="00830E32" w:rsidRPr="002445C4" w:rsidRDefault="00830E32" w:rsidP="00830E32">
            <w:pPr>
              <w:spacing w:after="0"/>
              <w:jc w:val="left"/>
              <w:rPr>
                <w:rFonts w:ascii="Arial Narrow" w:hAnsi="Arial Narrow"/>
                <w:lang w:eastAsia="en-AU"/>
              </w:rPr>
            </w:pPr>
          </w:p>
        </w:tc>
        <w:tc>
          <w:tcPr>
            <w:tcW w:w="1576" w:type="dxa"/>
            <w:vMerge/>
            <w:tcBorders>
              <w:top w:val="nil"/>
              <w:left w:val="single" w:sz="4" w:space="0" w:color="auto"/>
              <w:bottom w:val="single" w:sz="4" w:space="0" w:color="auto"/>
              <w:right w:val="single" w:sz="4" w:space="0" w:color="auto"/>
            </w:tcBorders>
            <w:vAlign w:val="center"/>
            <w:hideMark/>
          </w:tcPr>
          <w:p w14:paraId="53C14A65" w14:textId="77777777" w:rsidR="00830E32" w:rsidRPr="002445C4" w:rsidRDefault="00830E32" w:rsidP="00830E32">
            <w:pPr>
              <w:spacing w:after="0"/>
              <w:jc w:val="left"/>
              <w:rPr>
                <w:rFonts w:ascii="Arial Narrow" w:hAnsi="Arial Narrow"/>
                <w:lang w:eastAsia="en-AU"/>
              </w:rPr>
            </w:pPr>
          </w:p>
        </w:tc>
        <w:tc>
          <w:tcPr>
            <w:tcW w:w="284" w:type="dxa"/>
            <w:tcBorders>
              <w:top w:val="nil"/>
              <w:left w:val="nil"/>
              <w:bottom w:val="single" w:sz="4" w:space="0" w:color="auto"/>
              <w:right w:val="single" w:sz="4" w:space="0" w:color="auto"/>
            </w:tcBorders>
            <w:shd w:val="clear" w:color="auto" w:fill="auto"/>
            <w:noWrap/>
            <w:vAlign w:val="center"/>
            <w:hideMark/>
          </w:tcPr>
          <w:p w14:paraId="53C14A66" w14:textId="77777777" w:rsidR="00830E32" w:rsidRPr="002445C4" w:rsidRDefault="00830E32" w:rsidP="00830E32">
            <w:pPr>
              <w:spacing w:after="0"/>
              <w:jc w:val="center"/>
              <w:rPr>
                <w:rFonts w:ascii="Arial Narrow" w:hAnsi="Arial Narrow"/>
                <w:sz w:val="20"/>
                <w:lang w:eastAsia="en-AU"/>
              </w:rPr>
            </w:pPr>
            <w:r w:rsidRPr="002445C4">
              <w:rPr>
                <w:rFonts w:ascii="Arial Narrow" w:hAnsi="Arial Narrow"/>
                <w:sz w:val="20"/>
                <w:lang w:eastAsia="en-AU"/>
              </w:rPr>
              <w:t>5</w:t>
            </w:r>
          </w:p>
        </w:tc>
        <w:tc>
          <w:tcPr>
            <w:tcW w:w="1134" w:type="dxa"/>
            <w:tcBorders>
              <w:top w:val="nil"/>
              <w:left w:val="nil"/>
              <w:bottom w:val="single" w:sz="4" w:space="0" w:color="auto"/>
              <w:right w:val="single" w:sz="4" w:space="0" w:color="auto"/>
            </w:tcBorders>
            <w:shd w:val="clear" w:color="auto" w:fill="auto"/>
            <w:noWrap/>
            <w:vAlign w:val="bottom"/>
            <w:hideMark/>
          </w:tcPr>
          <w:p w14:paraId="53C14A67"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0.30</w:t>
            </w:r>
          </w:p>
        </w:tc>
        <w:tc>
          <w:tcPr>
            <w:tcW w:w="1134" w:type="dxa"/>
            <w:tcBorders>
              <w:top w:val="nil"/>
              <w:left w:val="nil"/>
              <w:bottom w:val="single" w:sz="4" w:space="0" w:color="auto"/>
              <w:right w:val="single" w:sz="4" w:space="0" w:color="auto"/>
            </w:tcBorders>
            <w:shd w:val="clear" w:color="auto" w:fill="auto"/>
            <w:noWrap/>
            <w:tcMar>
              <w:left w:w="0" w:type="dxa"/>
              <w:right w:w="0" w:type="dxa"/>
            </w:tcMar>
            <w:vAlign w:val="bottom"/>
            <w:hideMark/>
          </w:tcPr>
          <w:p w14:paraId="53C14A68"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0.24</w:t>
            </w:r>
          </w:p>
        </w:tc>
        <w:tc>
          <w:tcPr>
            <w:tcW w:w="1134" w:type="dxa"/>
            <w:tcBorders>
              <w:top w:val="nil"/>
              <w:left w:val="nil"/>
              <w:bottom w:val="single" w:sz="4" w:space="0" w:color="auto"/>
              <w:right w:val="single" w:sz="4" w:space="0" w:color="auto"/>
            </w:tcBorders>
            <w:shd w:val="clear" w:color="auto" w:fill="auto"/>
            <w:noWrap/>
            <w:vAlign w:val="bottom"/>
            <w:hideMark/>
          </w:tcPr>
          <w:p w14:paraId="53C14A69"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047" w:type="dxa"/>
            <w:tcBorders>
              <w:top w:val="nil"/>
              <w:left w:val="nil"/>
              <w:bottom w:val="single" w:sz="4" w:space="0" w:color="auto"/>
              <w:right w:val="single" w:sz="4" w:space="0" w:color="auto"/>
            </w:tcBorders>
            <w:shd w:val="clear" w:color="auto" w:fill="auto"/>
            <w:noWrap/>
            <w:vAlign w:val="bottom"/>
            <w:hideMark/>
          </w:tcPr>
          <w:p w14:paraId="53C14A6A" w14:textId="77777777" w:rsidR="00830E32" w:rsidRPr="002445C4" w:rsidRDefault="001F21C6" w:rsidP="00830E32">
            <w:pPr>
              <w:jc w:val="center"/>
              <w:rPr>
                <w:rFonts w:ascii="Arial Narrow" w:hAnsi="Arial Narrow"/>
                <w:sz w:val="20"/>
                <w:szCs w:val="20"/>
              </w:rPr>
            </w:pPr>
            <w:r>
              <w:rPr>
                <w:rFonts w:ascii="Arial Narrow" w:hAnsi="Arial Narrow"/>
                <w:sz w:val="20"/>
                <w:szCs w:val="20"/>
              </w:rPr>
              <w:t>0.00</w:t>
            </w:r>
          </w:p>
        </w:tc>
        <w:tc>
          <w:tcPr>
            <w:tcW w:w="1221" w:type="dxa"/>
            <w:tcBorders>
              <w:top w:val="nil"/>
              <w:left w:val="nil"/>
              <w:bottom w:val="single" w:sz="4" w:space="0" w:color="auto"/>
              <w:right w:val="single" w:sz="4" w:space="0" w:color="auto"/>
            </w:tcBorders>
            <w:shd w:val="clear" w:color="auto" w:fill="auto"/>
            <w:noWrap/>
            <w:vAlign w:val="bottom"/>
            <w:hideMark/>
          </w:tcPr>
          <w:p w14:paraId="53C14A6B"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0.50</w:t>
            </w:r>
          </w:p>
        </w:tc>
        <w:tc>
          <w:tcPr>
            <w:tcW w:w="1117" w:type="dxa"/>
            <w:tcBorders>
              <w:top w:val="nil"/>
              <w:left w:val="nil"/>
              <w:bottom w:val="single" w:sz="4" w:space="0" w:color="auto"/>
              <w:right w:val="single" w:sz="4" w:space="0" w:color="auto"/>
            </w:tcBorders>
            <w:shd w:val="clear" w:color="auto" w:fill="FFC000"/>
            <w:noWrap/>
            <w:vAlign w:val="bottom"/>
            <w:hideMark/>
          </w:tcPr>
          <w:p w14:paraId="53C14A6C"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0.21</w:t>
            </w:r>
          </w:p>
        </w:tc>
      </w:tr>
      <w:tr w:rsidR="002445C4" w:rsidRPr="002445C4" w14:paraId="53C14A75" w14:textId="77777777" w:rsidTr="00830E32">
        <w:trPr>
          <w:trHeight w:hRule="exact" w:val="255"/>
        </w:trPr>
        <w:tc>
          <w:tcPr>
            <w:tcW w:w="2631" w:type="dxa"/>
            <w:gridSpan w:val="3"/>
            <w:tcBorders>
              <w:top w:val="single" w:sz="4" w:space="0" w:color="auto"/>
              <w:left w:val="single" w:sz="4" w:space="0" w:color="auto"/>
              <w:bottom w:val="single" w:sz="4" w:space="0" w:color="auto"/>
              <w:right w:val="single" w:sz="4" w:space="0" w:color="auto"/>
            </w:tcBorders>
            <w:shd w:val="clear" w:color="auto" w:fill="FFC000"/>
            <w:vAlign w:val="center"/>
            <w:hideMark/>
          </w:tcPr>
          <w:p w14:paraId="53C14A6E" w14:textId="77777777" w:rsidR="00830E32" w:rsidRPr="002445C4" w:rsidRDefault="00830E32" w:rsidP="00830E32">
            <w:pPr>
              <w:spacing w:after="0"/>
              <w:jc w:val="left"/>
              <w:rPr>
                <w:rFonts w:ascii="Arial Narrow" w:hAnsi="Arial Narrow"/>
                <w:lang w:eastAsia="en-AU"/>
              </w:rPr>
            </w:pPr>
            <w:r w:rsidRPr="002445C4">
              <w:rPr>
                <w:rFonts w:ascii="Arial Narrow" w:hAnsi="Arial Narrow"/>
                <w:sz w:val="20"/>
                <w:lang w:eastAsia="en-AU"/>
              </w:rPr>
              <w:t>Report Card Score – Poor</w:t>
            </w:r>
            <w:r w:rsidRPr="002445C4">
              <w:rPr>
                <w:rFonts w:ascii="Arial Narrow" w:hAnsi="Arial Narrow"/>
                <w:lang w:eastAsia="en-AU"/>
              </w:rPr>
              <w:t> </w:t>
            </w:r>
          </w:p>
        </w:tc>
        <w:tc>
          <w:tcPr>
            <w:tcW w:w="1134" w:type="dxa"/>
            <w:tcBorders>
              <w:top w:val="nil"/>
              <w:left w:val="nil"/>
              <w:bottom w:val="single" w:sz="4" w:space="0" w:color="auto"/>
              <w:right w:val="single" w:sz="4" w:space="0" w:color="auto"/>
            </w:tcBorders>
            <w:shd w:val="clear" w:color="auto" w:fill="FFC000"/>
            <w:noWrap/>
            <w:vAlign w:val="bottom"/>
          </w:tcPr>
          <w:p w14:paraId="53C14A6F"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0.37</w:t>
            </w:r>
          </w:p>
        </w:tc>
        <w:tc>
          <w:tcPr>
            <w:tcW w:w="1134" w:type="dxa"/>
            <w:tcBorders>
              <w:top w:val="nil"/>
              <w:left w:val="nil"/>
              <w:bottom w:val="single" w:sz="4" w:space="0" w:color="auto"/>
              <w:right w:val="single" w:sz="4" w:space="0" w:color="auto"/>
            </w:tcBorders>
            <w:shd w:val="clear" w:color="auto" w:fill="FFC000"/>
            <w:noWrap/>
            <w:tcMar>
              <w:left w:w="0" w:type="dxa"/>
              <w:right w:w="0" w:type="dxa"/>
            </w:tcMar>
            <w:vAlign w:val="bottom"/>
          </w:tcPr>
          <w:p w14:paraId="53C14A70"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0.33</w:t>
            </w:r>
          </w:p>
        </w:tc>
        <w:tc>
          <w:tcPr>
            <w:tcW w:w="1134" w:type="dxa"/>
            <w:tcBorders>
              <w:top w:val="nil"/>
              <w:left w:val="nil"/>
              <w:bottom w:val="single" w:sz="4" w:space="0" w:color="auto"/>
              <w:right w:val="single" w:sz="4" w:space="0" w:color="auto"/>
            </w:tcBorders>
            <w:shd w:val="clear" w:color="000000" w:fill="FF0000"/>
            <w:noWrap/>
            <w:vAlign w:val="bottom"/>
          </w:tcPr>
          <w:p w14:paraId="53C14A71"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0.14</w:t>
            </w:r>
          </w:p>
        </w:tc>
        <w:tc>
          <w:tcPr>
            <w:tcW w:w="1047" w:type="dxa"/>
            <w:tcBorders>
              <w:top w:val="nil"/>
              <w:left w:val="nil"/>
              <w:bottom w:val="single" w:sz="4" w:space="0" w:color="auto"/>
              <w:right w:val="single" w:sz="4" w:space="0" w:color="auto"/>
            </w:tcBorders>
            <w:shd w:val="clear" w:color="auto" w:fill="FFFF00"/>
            <w:noWrap/>
            <w:vAlign w:val="bottom"/>
          </w:tcPr>
          <w:p w14:paraId="53C14A72"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0.47</w:t>
            </w:r>
          </w:p>
        </w:tc>
        <w:tc>
          <w:tcPr>
            <w:tcW w:w="1221" w:type="dxa"/>
            <w:tcBorders>
              <w:top w:val="nil"/>
              <w:left w:val="nil"/>
              <w:bottom w:val="single" w:sz="4" w:space="0" w:color="auto"/>
              <w:right w:val="single" w:sz="4" w:space="0" w:color="auto"/>
            </w:tcBorders>
            <w:shd w:val="clear" w:color="auto" w:fill="FFC000"/>
            <w:noWrap/>
            <w:vAlign w:val="bottom"/>
          </w:tcPr>
          <w:p w14:paraId="53C14A73"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0.38</w:t>
            </w:r>
          </w:p>
        </w:tc>
        <w:tc>
          <w:tcPr>
            <w:tcW w:w="1117" w:type="dxa"/>
            <w:tcBorders>
              <w:top w:val="nil"/>
              <w:left w:val="nil"/>
              <w:bottom w:val="single" w:sz="4" w:space="0" w:color="auto"/>
              <w:right w:val="single" w:sz="4" w:space="0" w:color="auto"/>
            </w:tcBorders>
            <w:shd w:val="clear" w:color="auto" w:fill="FFC000"/>
            <w:noWrap/>
            <w:vAlign w:val="bottom"/>
          </w:tcPr>
          <w:p w14:paraId="53C14A74" w14:textId="77777777" w:rsidR="00830E32" w:rsidRPr="002445C4" w:rsidRDefault="00830E32" w:rsidP="00830E32">
            <w:pPr>
              <w:jc w:val="center"/>
              <w:rPr>
                <w:rFonts w:ascii="Arial Narrow" w:hAnsi="Arial Narrow"/>
                <w:sz w:val="20"/>
                <w:szCs w:val="20"/>
              </w:rPr>
            </w:pPr>
            <w:r w:rsidRPr="002445C4">
              <w:rPr>
                <w:rFonts w:ascii="Arial Narrow" w:hAnsi="Arial Narrow"/>
                <w:sz w:val="20"/>
                <w:szCs w:val="20"/>
              </w:rPr>
              <w:t>0.34</w:t>
            </w:r>
          </w:p>
        </w:tc>
      </w:tr>
      <w:bookmarkEnd w:id="615"/>
    </w:tbl>
    <w:p w14:paraId="53C14A76" w14:textId="77777777" w:rsidR="00A84742" w:rsidRPr="002445C4" w:rsidRDefault="00A84742" w:rsidP="00A84742">
      <w:pPr>
        <w:jc w:val="left"/>
      </w:pPr>
    </w:p>
    <w:p w14:paraId="53C14A77" w14:textId="77777777" w:rsidR="00A84742" w:rsidRPr="00CE4E0F" w:rsidRDefault="00A84742" w:rsidP="00A84742">
      <w:pPr>
        <w:jc w:val="left"/>
        <w:rPr>
          <w:color w:val="548DD4" w:themeColor="text2" w:themeTint="99"/>
        </w:rPr>
      </w:pPr>
      <w:r w:rsidRPr="00CE4E0F">
        <w:rPr>
          <w:color w:val="548DD4" w:themeColor="text2" w:themeTint="99"/>
        </w:rPr>
        <w:br w:type="page"/>
      </w:r>
    </w:p>
    <w:p w14:paraId="53C14A78" w14:textId="63F235C1" w:rsidR="006902D1" w:rsidRPr="00226E3C" w:rsidRDefault="003D3C1E" w:rsidP="002B5296">
      <w:pPr>
        <w:pStyle w:val="Caption"/>
        <w:rPr>
          <w:rFonts w:ascii="Arial" w:hAnsi="Arial" w:cs="Arial"/>
          <w:i/>
          <w:vanish/>
          <w:specVanish/>
        </w:rPr>
      </w:pPr>
      <w:bookmarkStart w:id="616" w:name="_Ref30754952"/>
      <w:bookmarkStart w:id="617" w:name="_Toc35519357"/>
      <w:bookmarkStart w:id="618" w:name="_Toc527701052"/>
      <w:bookmarkStart w:id="619" w:name="_Ref528590712"/>
      <w:bookmarkStart w:id="620" w:name="_Toc530654883"/>
      <w:r>
        <w:lastRenderedPageBreak/>
        <w:t xml:space="preserve">Table A </w:t>
      </w:r>
      <w:r>
        <w:fldChar w:fldCharType="begin"/>
      </w:r>
      <w:r>
        <w:instrText xml:space="preserve"> SEQ Table_A \* ARABIC </w:instrText>
      </w:r>
      <w:r>
        <w:fldChar w:fldCharType="separate"/>
      </w:r>
      <w:r w:rsidR="003053D1">
        <w:rPr>
          <w:noProof/>
        </w:rPr>
        <w:t>9</w:t>
      </w:r>
      <w:r>
        <w:fldChar w:fldCharType="end"/>
      </w:r>
      <w:bookmarkEnd w:id="616"/>
      <w:r>
        <w:t xml:space="preserve"> </w:t>
      </w:r>
      <w:r w:rsidR="00A84742" w:rsidRPr="00226E3C">
        <w:t>Environmental covariates for coral locations</w:t>
      </w:r>
      <w:bookmarkEnd w:id="617"/>
    </w:p>
    <w:p w14:paraId="53C14A79" w14:textId="77777777" w:rsidR="00A84742" w:rsidRPr="00EF1D64" w:rsidRDefault="006902D1">
      <w:pPr>
        <w:pStyle w:val="Caption"/>
        <w:rPr>
          <w:color w:val="000000" w:themeColor="text1"/>
        </w:rPr>
      </w:pPr>
      <w:r w:rsidRPr="00226E3C">
        <w:t>.</w:t>
      </w:r>
      <w:r w:rsidR="00A84742" w:rsidRPr="00226E3C">
        <w:t xml:space="preserve"> </w:t>
      </w:r>
      <w:r w:rsidR="00A84742" w:rsidRPr="008E703E">
        <w:rPr>
          <w:rStyle w:val="IntenseReference"/>
        </w:rPr>
        <w:t xml:space="preserve">For chlorophyll a (Chl </w:t>
      </w:r>
      <w:r w:rsidR="00A84742" w:rsidRPr="008E703E">
        <w:rPr>
          <w:rStyle w:val="IntenseReference"/>
          <w:i/>
        </w:rPr>
        <w:t>a</w:t>
      </w:r>
      <w:r w:rsidR="00A84742" w:rsidRPr="008E703E">
        <w:rPr>
          <w:rStyle w:val="IntenseReference"/>
        </w:rPr>
        <w:t>) and Non algal particulates (N</w:t>
      </w:r>
      <w:r w:rsidR="00593AEA" w:rsidRPr="008E703E">
        <w:rPr>
          <w:rStyle w:val="IntenseReference"/>
        </w:rPr>
        <w:t>AP</w:t>
      </w:r>
      <w:r w:rsidR="00A84742" w:rsidRPr="008E703E">
        <w:rPr>
          <w:rStyle w:val="IntenseReference"/>
        </w:rPr>
        <w:t>) a square of nine 1km square pixels was selected adjacent to each reef location. From these pixels the mean concentrations f</w:t>
      </w:r>
      <w:r w:rsidR="00C96FCC" w:rsidRPr="008E703E">
        <w:rPr>
          <w:rStyle w:val="IntenseReference"/>
        </w:rPr>
        <w:t>or over the period 20</w:t>
      </w:r>
      <w:r w:rsidR="0040077D">
        <w:rPr>
          <w:rStyle w:val="IntenseReference"/>
        </w:rPr>
        <w:t>15</w:t>
      </w:r>
      <w:r w:rsidR="00C96FCC" w:rsidRPr="008E703E">
        <w:rPr>
          <w:rStyle w:val="IntenseReference"/>
        </w:rPr>
        <w:t>-2019</w:t>
      </w:r>
      <w:r w:rsidR="00A84742" w:rsidRPr="008E703E">
        <w:rPr>
          <w:rStyle w:val="IntenseReference"/>
        </w:rPr>
        <w:t xml:space="preserve"> were downloaded from the Bureau of Meteorology, Marine Water Quality Dashboard</w:t>
      </w:r>
      <w:r w:rsidR="008E41B2" w:rsidRPr="008E703E">
        <w:rPr>
          <w:rStyle w:val="IntenseReference"/>
        </w:rPr>
        <w:t xml:space="preserve">. And average to </w:t>
      </w:r>
      <w:r w:rsidR="00EF1D64" w:rsidRPr="008E703E">
        <w:rPr>
          <w:rStyle w:val="IntenseReference"/>
        </w:rPr>
        <w:t>month of the year and then reef</w:t>
      </w:r>
      <w:r w:rsidR="00A84742" w:rsidRPr="008E703E">
        <w:rPr>
          <w:rStyle w:val="IntenseReference"/>
        </w:rPr>
        <w:t>. Clay and silt is the mean proportion of sediments from reef sites with grainsize &lt; 63um. Within (sub</w:t>
      </w:r>
      <w:r w:rsidR="00A84742" w:rsidRPr="008E703E">
        <w:rPr>
          <w:rStyle w:val="IntenseReference"/>
        </w:rPr>
        <w:noBreakHyphen/>
        <w:t>)regions, reefs are ordered by Chl a concentration.</w:t>
      </w:r>
      <w:bookmarkEnd w:id="618"/>
      <w:bookmarkEnd w:id="619"/>
      <w:bookmarkEnd w:id="620"/>
      <w:r w:rsidR="002A79C7" w:rsidRPr="00EF1D64">
        <w:rPr>
          <w:color w:val="000000" w:themeColor="text1"/>
        </w:rPr>
        <w:t xml:space="preserve"> </w:t>
      </w:r>
    </w:p>
    <w:tbl>
      <w:tblPr>
        <w:tblW w:w="8332" w:type="dxa"/>
        <w:tblInd w:w="93" w:type="dxa"/>
        <w:tblLook w:val="04A0" w:firstRow="1" w:lastRow="0" w:firstColumn="1" w:lastColumn="0" w:noHBand="0" w:noVBand="1"/>
        <w:tblCaption w:val="Table A 6 Environmental covariates for coral locations"/>
        <w:tblDescription w:val="A table listing the mean concentrations of Chlorophyll a, Non-algal particulates from waters adjacent to each coral monitoring location"/>
      </w:tblPr>
      <w:tblGrid>
        <w:gridCol w:w="2709"/>
        <w:gridCol w:w="1583"/>
        <w:gridCol w:w="1630"/>
        <w:gridCol w:w="1134"/>
        <w:gridCol w:w="1276"/>
      </w:tblGrid>
      <w:tr w:rsidR="00886F71" w:rsidRPr="00CE4E0F" w14:paraId="53C14A81" w14:textId="77777777" w:rsidTr="00D2385F">
        <w:trPr>
          <w:trHeight w:val="843"/>
        </w:trPr>
        <w:tc>
          <w:tcPr>
            <w:tcW w:w="2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3C14A7A" w14:textId="77777777" w:rsidR="00886F71" w:rsidRPr="001C0943" w:rsidRDefault="00886F71" w:rsidP="00A84742">
            <w:pPr>
              <w:spacing w:after="0"/>
              <w:jc w:val="center"/>
              <w:rPr>
                <w:rFonts w:ascii="Arial Narrow" w:hAnsi="Arial Narrow"/>
                <w:b/>
                <w:color w:val="000000" w:themeColor="text1"/>
                <w:sz w:val="20"/>
                <w:lang w:eastAsia="en-AU"/>
              </w:rPr>
            </w:pPr>
            <w:r w:rsidRPr="001C0943">
              <w:rPr>
                <w:rFonts w:ascii="Arial Narrow" w:hAnsi="Arial Narrow"/>
                <w:b/>
                <w:color w:val="000000" w:themeColor="text1"/>
                <w:sz w:val="20"/>
                <w:lang w:eastAsia="en-AU"/>
              </w:rPr>
              <w:t>(sub) Region</w:t>
            </w:r>
          </w:p>
        </w:tc>
        <w:tc>
          <w:tcPr>
            <w:tcW w:w="158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3C14A7B" w14:textId="77777777" w:rsidR="00886F71" w:rsidRPr="001C0943" w:rsidRDefault="00886F71" w:rsidP="00A84742">
            <w:pPr>
              <w:spacing w:after="0"/>
              <w:jc w:val="center"/>
              <w:rPr>
                <w:rFonts w:ascii="Arial Narrow" w:hAnsi="Arial Narrow"/>
                <w:b/>
                <w:color w:val="000000" w:themeColor="text1"/>
                <w:sz w:val="20"/>
                <w:lang w:eastAsia="en-AU"/>
              </w:rPr>
            </w:pPr>
            <w:r w:rsidRPr="001C0943">
              <w:rPr>
                <w:rFonts w:ascii="Arial Narrow" w:hAnsi="Arial Narrow"/>
                <w:b/>
                <w:color w:val="000000" w:themeColor="text1"/>
                <w:sz w:val="20"/>
                <w:lang w:eastAsia="en-AU"/>
              </w:rPr>
              <w:t>Reef</w:t>
            </w:r>
          </w:p>
        </w:tc>
        <w:tc>
          <w:tcPr>
            <w:tcW w:w="1630" w:type="dxa"/>
            <w:tcBorders>
              <w:top w:val="single" w:sz="8" w:space="0" w:color="auto"/>
              <w:left w:val="nil"/>
              <w:bottom w:val="single" w:sz="8" w:space="0" w:color="auto"/>
              <w:right w:val="single" w:sz="8" w:space="0" w:color="auto"/>
            </w:tcBorders>
            <w:shd w:val="clear" w:color="auto" w:fill="auto"/>
            <w:noWrap/>
            <w:vAlign w:val="center"/>
            <w:hideMark/>
          </w:tcPr>
          <w:p w14:paraId="53C14A7C" w14:textId="77777777" w:rsidR="00886F71" w:rsidRPr="00EE76B9" w:rsidRDefault="00886F71" w:rsidP="00A84742">
            <w:pPr>
              <w:spacing w:after="0"/>
              <w:jc w:val="center"/>
              <w:rPr>
                <w:rStyle w:val="IntenseReference"/>
              </w:rPr>
            </w:pPr>
            <w:r w:rsidRPr="00EE76B9">
              <w:rPr>
                <w:rStyle w:val="IntenseReference"/>
              </w:rPr>
              <w:t>Chl a</w:t>
            </w:r>
          </w:p>
          <w:p w14:paraId="53C14A7D" w14:textId="77777777" w:rsidR="00886F71" w:rsidRPr="00EE76B9" w:rsidRDefault="0040077D" w:rsidP="00A84742">
            <w:pPr>
              <w:spacing w:after="0"/>
              <w:jc w:val="center"/>
              <w:rPr>
                <w:rStyle w:val="IntenseReference"/>
              </w:rPr>
            </w:pPr>
            <w:r w:rsidRPr="00EE76B9">
              <w:rPr>
                <w:rStyle w:val="IntenseReference"/>
              </w:rPr>
              <w:t xml:space="preserve"> </w:t>
            </w:r>
            <w:r w:rsidR="00886F71" w:rsidRPr="00EE76B9">
              <w:rPr>
                <w:rStyle w:val="IntenseReference"/>
              </w:rPr>
              <w:t>(µgL-1)</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14:paraId="53C14A7E" w14:textId="77777777" w:rsidR="00886F71" w:rsidRPr="00EE76B9" w:rsidRDefault="00886F71" w:rsidP="00A84742">
            <w:pPr>
              <w:spacing w:after="0"/>
              <w:jc w:val="center"/>
              <w:rPr>
                <w:rStyle w:val="IntenseReference"/>
              </w:rPr>
            </w:pPr>
            <w:r w:rsidRPr="00EE76B9">
              <w:rPr>
                <w:rStyle w:val="IntenseReference"/>
              </w:rPr>
              <w:t>Nap</w:t>
            </w:r>
          </w:p>
          <w:p w14:paraId="53C14A7F" w14:textId="77777777" w:rsidR="00886F71" w:rsidRPr="00EE76B9" w:rsidRDefault="00886F71" w:rsidP="00A84742">
            <w:pPr>
              <w:spacing w:after="0"/>
              <w:jc w:val="center"/>
              <w:rPr>
                <w:rStyle w:val="IntenseReference"/>
              </w:rPr>
            </w:pPr>
            <w:r w:rsidRPr="00EE76B9">
              <w:rPr>
                <w:rStyle w:val="IntenseReference"/>
              </w:rPr>
              <w:t>(mgL-1)</w:t>
            </w: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3C14A80" w14:textId="77777777" w:rsidR="00886F71" w:rsidRPr="00EE76B9" w:rsidRDefault="00886F71" w:rsidP="00A84742">
            <w:pPr>
              <w:spacing w:after="0"/>
              <w:jc w:val="center"/>
              <w:rPr>
                <w:rStyle w:val="IntenseReference"/>
              </w:rPr>
            </w:pPr>
            <w:r w:rsidRPr="00EE76B9">
              <w:rPr>
                <w:rStyle w:val="IntenseReference"/>
              </w:rPr>
              <w:t>Clay and silt (%)</w:t>
            </w:r>
          </w:p>
        </w:tc>
      </w:tr>
      <w:tr w:rsidR="0040077D" w:rsidRPr="00CE4E0F" w14:paraId="53C14A87" w14:textId="77777777" w:rsidTr="00D2385F">
        <w:trPr>
          <w:trHeight w:hRule="exact" w:val="255"/>
        </w:trPr>
        <w:tc>
          <w:tcPr>
            <w:tcW w:w="2709"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53C14A82" w14:textId="77777777" w:rsidR="0040077D" w:rsidRPr="001C0943" w:rsidRDefault="0040077D" w:rsidP="0040077D">
            <w:pPr>
              <w:spacing w:after="0"/>
              <w:jc w:val="left"/>
              <w:rPr>
                <w:rFonts w:ascii="Arial Narrow" w:hAnsi="Arial Narrow"/>
                <w:color w:val="000000" w:themeColor="text1"/>
                <w:sz w:val="20"/>
                <w:lang w:eastAsia="en-AU"/>
              </w:rPr>
            </w:pPr>
            <w:r w:rsidRPr="001C0943">
              <w:rPr>
                <w:rFonts w:ascii="Arial Narrow" w:hAnsi="Arial Narrow"/>
                <w:color w:val="000000" w:themeColor="text1"/>
                <w:sz w:val="20"/>
                <w:lang w:eastAsia="en-AU"/>
              </w:rPr>
              <w:t>Barron Daintree</w:t>
            </w:r>
          </w:p>
        </w:tc>
        <w:tc>
          <w:tcPr>
            <w:tcW w:w="1583" w:type="dxa"/>
            <w:tcBorders>
              <w:top w:val="nil"/>
              <w:left w:val="nil"/>
              <w:bottom w:val="single" w:sz="8" w:space="0" w:color="auto"/>
              <w:right w:val="single" w:sz="8" w:space="0" w:color="auto"/>
            </w:tcBorders>
            <w:shd w:val="clear" w:color="auto" w:fill="auto"/>
            <w:noWrap/>
            <w:vAlign w:val="bottom"/>
            <w:hideMark/>
          </w:tcPr>
          <w:p w14:paraId="53C14A83" w14:textId="77777777" w:rsidR="0040077D" w:rsidRPr="001C0943" w:rsidRDefault="0040077D" w:rsidP="0040077D">
            <w:pPr>
              <w:spacing w:after="0"/>
              <w:jc w:val="left"/>
              <w:rPr>
                <w:rFonts w:ascii="Arial Narrow" w:hAnsi="Arial Narrow"/>
                <w:color w:val="000000" w:themeColor="text1"/>
                <w:sz w:val="20"/>
                <w:lang w:eastAsia="en-AU"/>
              </w:rPr>
            </w:pPr>
            <w:r w:rsidRPr="001C0943">
              <w:rPr>
                <w:rFonts w:ascii="Arial Narrow" w:hAnsi="Arial Narrow"/>
                <w:color w:val="000000" w:themeColor="text1"/>
                <w:sz w:val="20"/>
                <w:lang w:eastAsia="en-AU"/>
              </w:rPr>
              <w:t>Low Isles</w:t>
            </w:r>
          </w:p>
        </w:tc>
        <w:tc>
          <w:tcPr>
            <w:tcW w:w="1630" w:type="dxa"/>
            <w:tcBorders>
              <w:top w:val="single" w:sz="8" w:space="0" w:color="auto"/>
              <w:left w:val="nil"/>
              <w:bottom w:val="single" w:sz="8" w:space="0" w:color="auto"/>
              <w:right w:val="single" w:sz="8" w:space="0" w:color="auto"/>
            </w:tcBorders>
            <w:shd w:val="clear" w:color="auto" w:fill="auto"/>
            <w:noWrap/>
            <w:vAlign w:val="bottom"/>
            <w:hideMark/>
          </w:tcPr>
          <w:p w14:paraId="53C14A84" w14:textId="77777777" w:rsidR="0040077D" w:rsidRPr="00EE76B9" w:rsidRDefault="0040077D" w:rsidP="0040077D">
            <w:pPr>
              <w:jc w:val="center"/>
              <w:rPr>
                <w:rStyle w:val="IntenseReference"/>
              </w:rPr>
            </w:pPr>
            <w:r w:rsidRPr="00EE76B9">
              <w:rPr>
                <w:rStyle w:val="IntenseReference"/>
              </w:rPr>
              <w:t>0.32</w:t>
            </w:r>
          </w:p>
        </w:tc>
        <w:tc>
          <w:tcPr>
            <w:tcW w:w="1134" w:type="dxa"/>
            <w:tcBorders>
              <w:top w:val="single" w:sz="8" w:space="0" w:color="auto"/>
              <w:left w:val="nil"/>
              <w:bottom w:val="single" w:sz="8" w:space="0" w:color="auto"/>
              <w:right w:val="single" w:sz="8" w:space="0" w:color="auto"/>
            </w:tcBorders>
            <w:shd w:val="clear" w:color="auto" w:fill="auto"/>
            <w:noWrap/>
            <w:vAlign w:val="bottom"/>
            <w:hideMark/>
          </w:tcPr>
          <w:p w14:paraId="53C14A85" w14:textId="77777777" w:rsidR="0040077D" w:rsidRPr="00EE76B9" w:rsidRDefault="0040077D" w:rsidP="0040077D">
            <w:pPr>
              <w:jc w:val="center"/>
              <w:rPr>
                <w:rStyle w:val="IntenseReference"/>
              </w:rPr>
            </w:pPr>
            <w:r w:rsidRPr="00EE76B9">
              <w:rPr>
                <w:rStyle w:val="IntenseReference"/>
              </w:rPr>
              <w:t>0.90</w:t>
            </w:r>
          </w:p>
        </w:tc>
        <w:tc>
          <w:tcPr>
            <w:tcW w:w="1276" w:type="dxa"/>
            <w:tcBorders>
              <w:top w:val="nil"/>
              <w:left w:val="nil"/>
              <w:bottom w:val="single" w:sz="8" w:space="0" w:color="auto"/>
              <w:right w:val="single" w:sz="8" w:space="0" w:color="auto"/>
            </w:tcBorders>
            <w:shd w:val="clear" w:color="auto" w:fill="auto"/>
            <w:noWrap/>
            <w:vAlign w:val="bottom"/>
            <w:hideMark/>
          </w:tcPr>
          <w:p w14:paraId="53C14A86" w14:textId="77777777" w:rsidR="0040077D" w:rsidRPr="00EE76B9" w:rsidRDefault="0040077D" w:rsidP="0040077D">
            <w:pPr>
              <w:spacing w:after="0"/>
              <w:jc w:val="center"/>
              <w:rPr>
                <w:rStyle w:val="IntenseReference"/>
              </w:rPr>
            </w:pPr>
            <w:r w:rsidRPr="00EE76B9">
              <w:rPr>
                <w:rStyle w:val="IntenseReference"/>
              </w:rPr>
              <w:t>7.5</w:t>
            </w:r>
          </w:p>
        </w:tc>
      </w:tr>
      <w:tr w:rsidR="0040077D" w:rsidRPr="00CE4E0F" w14:paraId="53C14A8D" w14:textId="77777777" w:rsidTr="00D2385F">
        <w:trPr>
          <w:trHeight w:hRule="exact" w:val="255"/>
        </w:trPr>
        <w:tc>
          <w:tcPr>
            <w:tcW w:w="2709" w:type="dxa"/>
            <w:vMerge/>
            <w:tcBorders>
              <w:top w:val="nil"/>
              <w:left w:val="single" w:sz="8" w:space="0" w:color="auto"/>
              <w:bottom w:val="single" w:sz="8" w:space="0" w:color="auto"/>
              <w:right w:val="single" w:sz="8" w:space="0" w:color="auto"/>
            </w:tcBorders>
            <w:vAlign w:val="center"/>
            <w:hideMark/>
          </w:tcPr>
          <w:p w14:paraId="53C14A88" w14:textId="77777777" w:rsidR="0040077D" w:rsidRPr="001C0943" w:rsidRDefault="0040077D" w:rsidP="0040077D">
            <w:pPr>
              <w:spacing w:after="0"/>
              <w:jc w:val="left"/>
              <w:rPr>
                <w:rFonts w:ascii="Arial Narrow" w:hAnsi="Arial Narrow"/>
                <w:color w:val="000000" w:themeColor="text1"/>
                <w:sz w:val="20"/>
                <w:lang w:eastAsia="en-AU"/>
              </w:rPr>
            </w:pPr>
          </w:p>
        </w:tc>
        <w:tc>
          <w:tcPr>
            <w:tcW w:w="1583" w:type="dxa"/>
            <w:tcBorders>
              <w:top w:val="nil"/>
              <w:left w:val="nil"/>
              <w:bottom w:val="single" w:sz="8" w:space="0" w:color="auto"/>
              <w:right w:val="single" w:sz="8" w:space="0" w:color="auto"/>
            </w:tcBorders>
            <w:shd w:val="clear" w:color="auto" w:fill="auto"/>
            <w:noWrap/>
            <w:vAlign w:val="bottom"/>
            <w:hideMark/>
          </w:tcPr>
          <w:p w14:paraId="53C14A89" w14:textId="77777777" w:rsidR="0040077D" w:rsidRPr="001C0943" w:rsidRDefault="0040077D" w:rsidP="0040077D">
            <w:pPr>
              <w:spacing w:after="0"/>
              <w:jc w:val="left"/>
              <w:rPr>
                <w:rFonts w:ascii="Arial Narrow" w:hAnsi="Arial Narrow"/>
                <w:color w:val="000000" w:themeColor="text1"/>
                <w:sz w:val="20"/>
                <w:lang w:eastAsia="en-AU"/>
              </w:rPr>
            </w:pPr>
            <w:r w:rsidRPr="001C0943">
              <w:rPr>
                <w:rFonts w:ascii="Arial Narrow" w:hAnsi="Arial Narrow"/>
                <w:color w:val="000000" w:themeColor="text1"/>
                <w:sz w:val="20"/>
                <w:lang w:eastAsia="en-AU"/>
              </w:rPr>
              <w:t>Snapper North</w:t>
            </w:r>
          </w:p>
        </w:tc>
        <w:tc>
          <w:tcPr>
            <w:tcW w:w="1630" w:type="dxa"/>
            <w:tcBorders>
              <w:top w:val="nil"/>
              <w:left w:val="nil"/>
              <w:bottom w:val="single" w:sz="8" w:space="0" w:color="auto"/>
              <w:right w:val="single" w:sz="8" w:space="0" w:color="auto"/>
            </w:tcBorders>
            <w:shd w:val="clear" w:color="auto" w:fill="auto"/>
            <w:noWrap/>
            <w:vAlign w:val="bottom"/>
            <w:hideMark/>
          </w:tcPr>
          <w:p w14:paraId="53C14A8A" w14:textId="77777777" w:rsidR="0040077D" w:rsidRPr="00EE76B9" w:rsidRDefault="0040077D" w:rsidP="0040077D">
            <w:pPr>
              <w:jc w:val="center"/>
              <w:rPr>
                <w:rStyle w:val="IntenseReference"/>
              </w:rPr>
            </w:pPr>
            <w:r w:rsidRPr="00EE76B9">
              <w:rPr>
                <w:rStyle w:val="IntenseReference"/>
              </w:rPr>
              <w:t>0.49</w:t>
            </w:r>
          </w:p>
        </w:tc>
        <w:tc>
          <w:tcPr>
            <w:tcW w:w="1134" w:type="dxa"/>
            <w:tcBorders>
              <w:top w:val="nil"/>
              <w:left w:val="nil"/>
              <w:bottom w:val="single" w:sz="8" w:space="0" w:color="auto"/>
              <w:right w:val="single" w:sz="8" w:space="0" w:color="auto"/>
            </w:tcBorders>
            <w:shd w:val="clear" w:color="auto" w:fill="auto"/>
            <w:noWrap/>
            <w:vAlign w:val="bottom"/>
            <w:hideMark/>
          </w:tcPr>
          <w:p w14:paraId="53C14A8B" w14:textId="77777777" w:rsidR="0040077D" w:rsidRPr="00EE76B9" w:rsidRDefault="0040077D" w:rsidP="0040077D">
            <w:pPr>
              <w:jc w:val="center"/>
              <w:rPr>
                <w:rStyle w:val="IntenseReference"/>
              </w:rPr>
            </w:pPr>
            <w:r w:rsidRPr="00EE76B9">
              <w:rPr>
                <w:rStyle w:val="IntenseReference"/>
              </w:rPr>
              <w:t>1.00</w:t>
            </w:r>
          </w:p>
        </w:tc>
        <w:tc>
          <w:tcPr>
            <w:tcW w:w="1276" w:type="dxa"/>
            <w:tcBorders>
              <w:top w:val="nil"/>
              <w:left w:val="nil"/>
              <w:bottom w:val="single" w:sz="8" w:space="0" w:color="auto"/>
              <w:right w:val="single" w:sz="8" w:space="0" w:color="auto"/>
            </w:tcBorders>
            <w:shd w:val="clear" w:color="auto" w:fill="auto"/>
            <w:noWrap/>
            <w:vAlign w:val="bottom"/>
            <w:hideMark/>
          </w:tcPr>
          <w:p w14:paraId="53C14A8C" w14:textId="77777777" w:rsidR="0040077D" w:rsidRPr="00EE76B9" w:rsidRDefault="0040077D" w:rsidP="0040077D">
            <w:pPr>
              <w:spacing w:after="0"/>
              <w:jc w:val="center"/>
              <w:rPr>
                <w:rStyle w:val="IntenseReference"/>
              </w:rPr>
            </w:pPr>
            <w:r w:rsidRPr="00EE76B9">
              <w:rPr>
                <w:rStyle w:val="IntenseReference"/>
              </w:rPr>
              <w:t>40.5</w:t>
            </w:r>
          </w:p>
        </w:tc>
      </w:tr>
      <w:tr w:rsidR="0040077D" w:rsidRPr="00CE4E0F" w14:paraId="53C14A93" w14:textId="77777777" w:rsidTr="00D2385F">
        <w:trPr>
          <w:trHeight w:hRule="exact" w:val="255"/>
        </w:trPr>
        <w:tc>
          <w:tcPr>
            <w:tcW w:w="2709" w:type="dxa"/>
            <w:vMerge/>
            <w:tcBorders>
              <w:top w:val="nil"/>
              <w:left w:val="single" w:sz="8" w:space="0" w:color="auto"/>
              <w:bottom w:val="single" w:sz="8" w:space="0" w:color="auto"/>
              <w:right w:val="single" w:sz="8" w:space="0" w:color="auto"/>
            </w:tcBorders>
            <w:vAlign w:val="center"/>
            <w:hideMark/>
          </w:tcPr>
          <w:p w14:paraId="53C14A8E" w14:textId="77777777" w:rsidR="0040077D" w:rsidRPr="001C0943" w:rsidRDefault="0040077D" w:rsidP="0040077D">
            <w:pPr>
              <w:spacing w:after="0"/>
              <w:jc w:val="left"/>
              <w:rPr>
                <w:rFonts w:ascii="Arial Narrow" w:hAnsi="Arial Narrow"/>
                <w:color w:val="000000" w:themeColor="text1"/>
                <w:sz w:val="20"/>
                <w:lang w:eastAsia="en-AU"/>
              </w:rPr>
            </w:pPr>
          </w:p>
        </w:tc>
        <w:tc>
          <w:tcPr>
            <w:tcW w:w="1583" w:type="dxa"/>
            <w:tcBorders>
              <w:top w:val="nil"/>
              <w:left w:val="nil"/>
              <w:bottom w:val="single" w:sz="8" w:space="0" w:color="auto"/>
              <w:right w:val="single" w:sz="8" w:space="0" w:color="auto"/>
            </w:tcBorders>
            <w:shd w:val="clear" w:color="auto" w:fill="auto"/>
            <w:noWrap/>
            <w:vAlign w:val="bottom"/>
            <w:hideMark/>
          </w:tcPr>
          <w:p w14:paraId="53C14A8F" w14:textId="77777777" w:rsidR="0040077D" w:rsidRPr="001C0943" w:rsidRDefault="0040077D" w:rsidP="0040077D">
            <w:pPr>
              <w:spacing w:after="0"/>
              <w:jc w:val="left"/>
              <w:rPr>
                <w:rFonts w:ascii="Arial Narrow" w:hAnsi="Arial Narrow"/>
                <w:color w:val="000000" w:themeColor="text1"/>
                <w:sz w:val="20"/>
                <w:lang w:eastAsia="en-AU"/>
              </w:rPr>
            </w:pPr>
            <w:r w:rsidRPr="001C0943">
              <w:rPr>
                <w:rFonts w:ascii="Arial Narrow" w:hAnsi="Arial Narrow"/>
                <w:color w:val="000000" w:themeColor="text1"/>
                <w:sz w:val="20"/>
                <w:lang w:eastAsia="en-AU"/>
              </w:rPr>
              <w:t>Snapper South</w:t>
            </w:r>
          </w:p>
        </w:tc>
        <w:tc>
          <w:tcPr>
            <w:tcW w:w="1630" w:type="dxa"/>
            <w:tcBorders>
              <w:top w:val="nil"/>
              <w:left w:val="nil"/>
              <w:bottom w:val="single" w:sz="8" w:space="0" w:color="auto"/>
              <w:right w:val="single" w:sz="8" w:space="0" w:color="auto"/>
            </w:tcBorders>
            <w:shd w:val="clear" w:color="auto" w:fill="auto"/>
            <w:noWrap/>
            <w:vAlign w:val="bottom"/>
            <w:hideMark/>
          </w:tcPr>
          <w:p w14:paraId="53C14A90" w14:textId="77777777" w:rsidR="0040077D" w:rsidRPr="00EE76B9" w:rsidRDefault="0040077D" w:rsidP="0040077D">
            <w:pPr>
              <w:jc w:val="center"/>
              <w:rPr>
                <w:rStyle w:val="IntenseReference"/>
              </w:rPr>
            </w:pPr>
            <w:r w:rsidRPr="00EE76B9">
              <w:rPr>
                <w:rStyle w:val="IntenseReference"/>
              </w:rPr>
              <w:t>0.50</w:t>
            </w:r>
          </w:p>
        </w:tc>
        <w:tc>
          <w:tcPr>
            <w:tcW w:w="1134" w:type="dxa"/>
            <w:tcBorders>
              <w:top w:val="nil"/>
              <w:left w:val="nil"/>
              <w:bottom w:val="single" w:sz="8" w:space="0" w:color="auto"/>
              <w:right w:val="single" w:sz="8" w:space="0" w:color="auto"/>
            </w:tcBorders>
            <w:shd w:val="clear" w:color="auto" w:fill="auto"/>
            <w:noWrap/>
            <w:vAlign w:val="bottom"/>
            <w:hideMark/>
          </w:tcPr>
          <w:p w14:paraId="53C14A91" w14:textId="77777777" w:rsidR="0040077D" w:rsidRPr="00EE76B9" w:rsidRDefault="0040077D" w:rsidP="0040077D">
            <w:pPr>
              <w:jc w:val="center"/>
              <w:rPr>
                <w:rStyle w:val="IntenseReference"/>
              </w:rPr>
            </w:pPr>
            <w:r w:rsidRPr="00EE76B9">
              <w:rPr>
                <w:rStyle w:val="IntenseReference"/>
              </w:rPr>
              <w:t>1.08</w:t>
            </w:r>
          </w:p>
        </w:tc>
        <w:tc>
          <w:tcPr>
            <w:tcW w:w="1276" w:type="dxa"/>
            <w:tcBorders>
              <w:top w:val="nil"/>
              <w:left w:val="nil"/>
              <w:bottom w:val="single" w:sz="8" w:space="0" w:color="auto"/>
              <w:right w:val="single" w:sz="8" w:space="0" w:color="auto"/>
            </w:tcBorders>
            <w:shd w:val="clear" w:color="auto" w:fill="auto"/>
            <w:noWrap/>
            <w:vAlign w:val="bottom"/>
            <w:hideMark/>
          </w:tcPr>
          <w:p w14:paraId="53C14A92" w14:textId="77777777" w:rsidR="0040077D" w:rsidRPr="00EE76B9" w:rsidRDefault="0040077D" w:rsidP="0040077D">
            <w:pPr>
              <w:spacing w:after="0"/>
              <w:jc w:val="center"/>
              <w:rPr>
                <w:rStyle w:val="IntenseReference"/>
              </w:rPr>
            </w:pPr>
            <w:r w:rsidRPr="00EE76B9">
              <w:rPr>
                <w:rStyle w:val="IntenseReference"/>
              </w:rPr>
              <w:t>11.2</w:t>
            </w:r>
          </w:p>
        </w:tc>
      </w:tr>
      <w:tr w:rsidR="00EE76B9" w:rsidRPr="00CE4E0F" w14:paraId="53C14A99" w14:textId="77777777" w:rsidTr="00D2385F">
        <w:trPr>
          <w:trHeight w:hRule="exact" w:val="255"/>
        </w:trPr>
        <w:tc>
          <w:tcPr>
            <w:tcW w:w="2709"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53C14A94" w14:textId="77777777" w:rsidR="00EE76B9" w:rsidRPr="001C0943" w:rsidRDefault="00EE76B9" w:rsidP="00EE76B9">
            <w:pPr>
              <w:spacing w:after="0"/>
              <w:jc w:val="left"/>
              <w:rPr>
                <w:rFonts w:ascii="Arial Narrow" w:hAnsi="Arial Narrow"/>
                <w:color w:val="000000" w:themeColor="text1"/>
                <w:sz w:val="20"/>
                <w:lang w:eastAsia="en-AU"/>
              </w:rPr>
            </w:pPr>
            <w:r w:rsidRPr="001C0943">
              <w:rPr>
                <w:rFonts w:ascii="Arial Narrow" w:hAnsi="Arial Narrow"/>
                <w:color w:val="000000" w:themeColor="text1"/>
                <w:sz w:val="20"/>
                <w:lang w:eastAsia="en-AU"/>
              </w:rPr>
              <w:t>Johnstone Russell-Mulgrave</w:t>
            </w:r>
          </w:p>
        </w:tc>
        <w:tc>
          <w:tcPr>
            <w:tcW w:w="1583" w:type="dxa"/>
            <w:tcBorders>
              <w:top w:val="nil"/>
              <w:left w:val="nil"/>
              <w:bottom w:val="single" w:sz="8" w:space="0" w:color="auto"/>
              <w:right w:val="single" w:sz="8" w:space="0" w:color="auto"/>
            </w:tcBorders>
            <w:shd w:val="clear" w:color="auto" w:fill="auto"/>
            <w:noWrap/>
            <w:vAlign w:val="bottom"/>
            <w:hideMark/>
          </w:tcPr>
          <w:p w14:paraId="53C14A95" w14:textId="77777777" w:rsidR="00EE76B9" w:rsidRPr="001C0943" w:rsidRDefault="00EE76B9" w:rsidP="00EE76B9">
            <w:pPr>
              <w:spacing w:after="0"/>
              <w:jc w:val="left"/>
              <w:rPr>
                <w:rFonts w:ascii="Arial Narrow" w:hAnsi="Arial Narrow"/>
                <w:color w:val="000000" w:themeColor="text1"/>
                <w:sz w:val="20"/>
                <w:lang w:eastAsia="en-AU"/>
              </w:rPr>
            </w:pPr>
            <w:r w:rsidRPr="001C0943">
              <w:rPr>
                <w:rFonts w:ascii="Arial Narrow" w:hAnsi="Arial Narrow"/>
                <w:color w:val="000000" w:themeColor="text1"/>
                <w:sz w:val="20"/>
                <w:lang w:eastAsia="en-AU"/>
              </w:rPr>
              <w:t>Fitzroy East</w:t>
            </w:r>
          </w:p>
        </w:tc>
        <w:tc>
          <w:tcPr>
            <w:tcW w:w="1630" w:type="dxa"/>
            <w:tcBorders>
              <w:top w:val="nil"/>
              <w:left w:val="nil"/>
              <w:bottom w:val="single" w:sz="8" w:space="0" w:color="auto"/>
              <w:right w:val="single" w:sz="8" w:space="0" w:color="auto"/>
            </w:tcBorders>
            <w:shd w:val="clear" w:color="auto" w:fill="auto"/>
            <w:noWrap/>
            <w:vAlign w:val="bottom"/>
            <w:hideMark/>
          </w:tcPr>
          <w:p w14:paraId="53C14A96" w14:textId="77777777" w:rsidR="00EE76B9" w:rsidRPr="00EE76B9" w:rsidRDefault="00EE76B9" w:rsidP="00EE76B9">
            <w:pPr>
              <w:jc w:val="center"/>
              <w:rPr>
                <w:rStyle w:val="IntenseReference"/>
              </w:rPr>
            </w:pPr>
            <w:r w:rsidRPr="00EE76B9">
              <w:rPr>
                <w:rStyle w:val="IntenseReference"/>
              </w:rPr>
              <w:t>0.26</w:t>
            </w:r>
          </w:p>
        </w:tc>
        <w:tc>
          <w:tcPr>
            <w:tcW w:w="1134" w:type="dxa"/>
            <w:tcBorders>
              <w:top w:val="nil"/>
              <w:left w:val="nil"/>
              <w:bottom w:val="single" w:sz="8" w:space="0" w:color="auto"/>
              <w:right w:val="single" w:sz="8" w:space="0" w:color="auto"/>
            </w:tcBorders>
            <w:shd w:val="clear" w:color="auto" w:fill="auto"/>
            <w:noWrap/>
            <w:vAlign w:val="bottom"/>
            <w:hideMark/>
          </w:tcPr>
          <w:p w14:paraId="53C14A97" w14:textId="77777777" w:rsidR="00EE76B9" w:rsidRPr="00EE76B9" w:rsidRDefault="00EE76B9" w:rsidP="00EE76B9">
            <w:pPr>
              <w:jc w:val="center"/>
              <w:rPr>
                <w:rStyle w:val="IntenseReference"/>
              </w:rPr>
            </w:pPr>
            <w:r w:rsidRPr="00EE76B9">
              <w:rPr>
                <w:rStyle w:val="IntenseReference"/>
              </w:rPr>
              <w:t>0.66</w:t>
            </w:r>
          </w:p>
        </w:tc>
        <w:tc>
          <w:tcPr>
            <w:tcW w:w="1276" w:type="dxa"/>
            <w:tcBorders>
              <w:top w:val="nil"/>
              <w:left w:val="nil"/>
              <w:bottom w:val="single" w:sz="8" w:space="0" w:color="auto"/>
              <w:right w:val="single" w:sz="8" w:space="0" w:color="auto"/>
            </w:tcBorders>
            <w:shd w:val="clear" w:color="auto" w:fill="auto"/>
            <w:noWrap/>
            <w:vAlign w:val="bottom"/>
            <w:hideMark/>
          </w:tcPr>
          <w:p w14:paraId="53C14A98" w14:textId="77777777" w:rsidR="00EE76B9" w:rsidRPr="00EE76B9" w:rsidRDefault="00EE76B9" w:rsidP="00EE76B9">
            <w:pPr>
              <w:spacing w:after="0"/>
              <w:jc w:val="center"/>
              <w:rPr>
                <w:rStyle w:val="IntenseReference"/>
              </w:rPr>
            </w:pPr>
            <w:r w:rsidRPr="00EE76B9">
              <w:rPr>
                <w:rStyle w:val="IntenseReference"/>
              </w:rPr>
              <w:t>1.7</w:t>
            </w:r>
          </w:p>
        </w:tc>
      </w:tr>
      <w:tr w:rsidR="00EE76B9" w:rsidRPr="00CE4E0F" w14:paraId="53C14A9F" w14:textId="77777777" w:rsidTr="00D2385F">
        <w:trPr>
          <w:trHeight w:hRule="exact" w:val="255"/>
        </w:trPr>
        <w:tc>
          <w:tcPr>
            <w:tcW w:w="2709" w:type="dxa"/>
            <w:vMerge/>
            <w:tcBorders>
              <w:top w:val="nil"/>
              <w:left w:val="single" w:sz="8" w:space="0" w:color="auto"/>
              <w:bottom w:val="single" w:sz="8" w:space="0" w:color="auto"/>
              <w:right w:val="single" w:sz="8" w:space="0" w:color="auto"/>
            </w:tcBorders>
            <w:vAlign w:val="center"/>
            <w:hideMark/>
          </w:tcPr>
          <w:p w14:paraId="53C14A9A" w14:textId="77777777" w:rsidR="00EE76B9" w:rsidRPr="001C0943" w:rsidRDefault="00EE76B9" w:rsidP="00EE76B9">
            <w:pPr>
              <w:spacing w:after="0"/>
              <w:jc w:val="left"/>
              <w:rPr>
                <w:rFonts w:ascii="Arial Narrow" w:hAnsi="Arial Narrow"/>
                <w:color w:val="000000" w:themeColor="text1"/>
                <w:sz w:val="20"/>
                <w:lang w:eastAsia="en-AU"/>
              </w:rPr>
            </w:pPr>
          </w:p>
        </w:tc>
        <w:tc>
          <w:tcPr>
            <w:tcW w:w="1583" w:type="dxa"/>
            <w:tcBorders>
              <w:top w:val="nil"/>
              <w:left w:val="nil"/>
              <w:bottom w:val="single" w:sz="8" w:space="0" w:color="auto"/>
              <w:right w:val="single" w:sz="8" w:space="0" w:color="auto"/>
            </w:tcBorders>
            <w:shd w:val="clear" w:color="auto" w:fill="auto"/>
            <w:noWrap/>
            <w:vAlign w:val="bottom"/>
            <w:hideMark/>
          </w:tcPr>
          <w:p w14:paraId="53C14A9B" w14:textId="77777777" w:rsidR="00EE76B9" w:rsidRPr="001C0943" w:rsidRDefault="00EE76B9" w:rsidP="00EE76B9">
            <w:pPr>
              <w:spacing w:after="0"/>
              <w:jc w:val="left"/>
              <w:rPr>
                <w:rFonts w:ascii="Arial Narrow" w:hAnsi="Arial Narrow"/>
                <w:color w:val="000000" w:themeColor="text1"/>
                <w:sz w:val="20"/>
                <w:lang w:eastAsia="en-AU"/>
              </w:rPr>
            </w:pPr>
            <w:r w:rsidRPr="001C0943">
              <w:rPr>
                <w:rFonts w:ascii="Arial Narrow" w:hAnsi="Arial Narrow"/>
                <w:color w:val="000000" w:themeColor="text1"/>
                <w:sz w:val="20"/>
                <w:lang w:eastAsia="en-AU"/>
              </w:rPr>
              <w:t>Franklands East</w:t>
            </w:r>
          </w:p>
        </w:tc>
        <w:tc>
          <w:tcPr>
            <w:tcW w:w="1630" w:type="dxa"/>
            <w:tcBorders>
              <w:top w:val="nil"/>
              <w:left w:val="nil"/>
              <w:bottom w:val="single" w:sz="8" w:space="0" w:color="auto"/>
              <w:right w:val="single" w:sz="8" w:space="0" w:color="auto"/>
            </w:tcBorders>
            <w:shd w:val="clear" w:color="auto" w:fill="auto"/>
            <w:noWrap/>
            <w:vAlign w:val="bottom"/>
            <w:hideMark/>
          </w:tcPr>
          <w:p w14:paraId="53C14A9C" w14:textId="77777777" w:rsidR="00EE76B9" w:rsidRPr="00EE76B9" w:rsidRDefault="00EE76B9" w:rsidP="00EE76B9">
            <w:pPr>
              <w:jc w:val="center"/>
              <w:rPr>
                <w:rStyle w:val="IntenseReference"/>
              </w:rPr>
            </w:pPr>
            <w:r w:rsidRPr="00EE76B9">
              <w:rPr>
                <w:rStyle w:val="IntenseReference"/>
              </w:rPr>
              <w:t>0.28</w:t>
            </w:r>
          </w:p>
        </w:tc>
        <w:tc>
          <w:tcPr>
            <w:tcW w:w="1134" w:type="dxa"/>
            <w:tcBorders>
              <w:top w:val="nil"/>
              <w:left w:val="nil"/>
              <w:bottom w:val="single" w:sz="8" w:space="0" w:color="auto"/>
              <w:right w:val="single" w:sz="8" w:space="0" w:color="auto"/>
            </w:tcBorders>
            <w:shd w:val="clear" w:color="auto" w:fill="auto"/>
            <w:noWrap/>
            <w:vAlign w:val="bottom"/>
            <w:hideMark/>
          </w:tcPr>
          <w:p w14:paraId="53C14A9D" w14:textId="77777777" w:rsidR="00EE76B9" w:rsidRPr="00EE76B9" w:rsidRDefault="00EE76B9" w:rsidP="00EE76B9">
            <w:pPr>
              <w:jc w:val="center"/>
              <w:rPr>
                <w:rStyle w:val="IntenseReference"/>
              </w:rPr>
            </w:pPr>
            <w:r w:rsidRPr="00EE76B9">
              <w:rPr>
                <w:rStyle w:val="IntenseReference"/>
              </w:rPr>
              <w:t>0.72</w:t>
            </w:r>
          </w:p>
        </w:tc>
        <w:tc>
          <w:tcPr>
            <w:tcW w:w="1276" w:type="dxa"/>
            <w:tcBorders>
              <w:top w:val="nil"/>
              <w:left w:val="nil"/>
              <w:bottom w:val="single" w:sz="8" w:space="0" w:color="auto"/>
              <w:right w:val="single" w:sz="8" w:space="0" w:color="auto"/>
            </w:tcBorders>
            <w:shd w:val="clear" w:color="auto" w:fill="auto"/>
            <w:noWrap/>
            <w:vAlign w:val="bottom"/>
            <w:hideMark/>
          </w:tcPr>
          <w:p w14:paraId="53C14A9E" w14:textId="77777777" w:rsidR="00EE76B9" w:rsidRPr="00EE76B9" w:rsidRDefault="00EE76B9" w:rsidP="00EE76B9">
            <w:pPr>
              <w:spacing w:after="0"/>
              <w:jc w:val="center"/>
              <w:rPr>
                <w:rStyle w:val="IntenseReference"/>
              </w:rPr>
            </w:pPr>
            <w:r w:rsidRPr="00EE76B9">
              <w:rPr>
                <w:rStyle w:val="IntenseReference"/>
              </w:rPr>
              <w:t>3.2</w:t>
            </w:r>
          </w:p>
        </w:tc>
      </w:tr>
      <w:tr w:rsidR="00EE76B9" w:rsidRPr="00CE4E0F" w14:paraId="53C14AA5" w14:textId="77777777" w:rsidTr="00D2385F">
        <w:trPr>
          <w:trHeight w:hRule="exact" w:val="255"/>
        </w:trPr>
        <w:tc>
          <w:tcPr>
            <w:tcW w:w="2709" w:type="dxa"/>
            <w:vMerge/>
            <w:tcBorders>
              <w:top w:val="nil"/>
              <w:left w:val="single" w:sz="8" w:space="0" w:color="auto"/>
              <w:bottom w:val="single" w:sz="8" w:space="0" w:color="auto"/>
              <w:right w:val="single" w:sz="8" w:space="0" w:color="auto"/>
            </w:tcBorders>
            <w:vAlign w:val="center"/>
            <w:hideMark/>
          </w:tcPr>
          <w:p w14:paraId="53C14AA0" w14:textId="77777777" w:rsidR="00EE76B9" w:rsidRPr="001C0943" w:rsidRDefault="00EE76B9" w:rsidP="00EE76B9">
            <w:pPr>
              <w:spacing w:after="0"/>
              <w:jc w:val="left"/>
              <w:rPr>
                <w:rFonts w:ascii="Arial Narrow" w:hAnsi="Arial Narrow"/>
                <w:color w:val="000000" w:themeColor="text1"/>
                <w:sz w:val="20"/>
                <w:lang w:eastAsia="en-AU"/>
              </w:rPr>
            </w:pPr>
          </w:p>
        </w:tc>
        <w:tc>
          <w:tcPr>
            <w:tcW w:w="1583" w:type="dxa"/>
            <w:tcBorders>
              <w:top w:val="nil"/>
              <w:left w:val="nil"/>
              <w:bottom w:val="single" w:sz="8" w:space="0" w:color="auto"/>
              <w:right w:val="single" w:sz="8" w:space="0" w:color="auto"/>
            </w:tcBorders>
            <w:shd w:val="clear" w:color="auto" w:fill="auto"/>
            <w:noWrap/>
            <w:vAlign w:val="bottom"/>
            <w:hideMark/>
          </w:tcPr>
          <w:p w14:paraId="53C14AA1" w14:textId="77777777" w:rsidR="00EE76B9" w:rsidRPr="001C0943" w:rsidRDefault="00EE76B9" w:rsidP="00EE76B9">
            <w:pPr>
              <w:spacing w:after="0"/>
              <w:jc w:val="left"/>
              <w:rPr>
                <w:rFonts w:ascii="Arial Narrow" w:hAnsi="Arial Narrow"/>
                <w:color w:val="000000" w:themeColor="text1"/>
                <w:sz w:val="20"/>
                <w:lang w:eastAsia="en-AU"/>
              </w:rPr>
            </w:pPr>
            <w:r w:rsidRPr="001C0943">
              <w:rPr>
                <w:rFonts w:ascii="Arial Narrow" w:hAnsi="Arial Narrow"/>
                <w:color w:val="000000" w:themeColor="text1"/>
                <w:sz w:val="20"/>
                <w:lang w:eastAsia="en-AU"/>
              </w:rPr>
              <w:t>Green</w:t>
            </w:r>
          </w:p>
        </w:tc>
        <w:tc>
          <w:tcPr>
            <w:tcW w:w="1630" w:type="dxa"/>
            <w:tcBorders>
              <w:top w:val="nil"/>
              <w:left w:val="nil"/>
              <w:bottom w:val="single" w:sz="8" w:space="0" w:color="auto"/>
              <w:right w:val="single" w:sz="8" w:space="0" w:color="auto"/>
            </w:tcBorders>
            <w:shd w:val="clear" w:color="auto" w:fill="auto"/>
            <w:noWrap/>
            <w:vAlign w:val="bottom"/>
            <w:hideMark/>
          </w:tcPr>
          <w:p w14:paraId="53C14AA2" w14:textId="77777777" w:rsidR="00EE76B9" w:rsidRPr="00EE76B9" w:rsidRDefault="00EE76B9" w:rsidP="00EE76B9">
            <w:pPr>
              <w:jc w:val="center"/>
              <w:rPr>
                <w:rStyle w:val="IntenseReference"/>
              </w:rPr>
            </w:pPr>
            <w:r w:rsidRPr="00EE76B9">
              <w:rPr>
                <w:rStyle w:val="IntenseReference"/>
              </w:rPr>
              <w:t>0.28</w:t>
            </w:r>
          </w:p>
        </w:tc>
        <w:tc>
          <w:tcPr>
            <w:tcW w:w="1134" w:type="dxa"/>
            <w:tcBorders>
              <w:top w:val="nil"/>
              <w:left w:val="nil"/>
              <w:bottom w:val="single" w:sz="8" w:space="0" w:color="auto"/>
              <w:right w:val="single" w:sz="8" w:space="0" w:color="auto"/>
            </w:tcBorders>
            <w:shd w:val="clear" w:color="auto" w:fill="auto"/>
            <w:noWrap/>
            <w:vAlign w:val="bottom"/>
            <w:hideMark/>
          </w:tcPr>
          <w:p w14:paraId="53C14AA3" w14:textId="77777777" w:rsidR="00EE76B9" w:rsidRPr="00EE76B9" w:rsidRDefault="00EE76B9" w:rsidP="00EE76B9">
            <w:pPr>
              <w:jc w:val="center"/>
              <w:rPr>
                <w:rStyle w:val="IntenseReference"/>
              </w:rPr>
            </w:pPr>
            <w:r w:rsidRPr="00EE76B9">
              <w:rPr>
                <w:rStyle w:val="IntenseReference"/>
              </w:rPr>
              <w:t>0.56</w:t>
            </w:r>
          </w:p>
        </w:tc>
        <w:tc>
          <w:tcPr>
            <w:tcW w:w="1276" w:type="dxa"/>
            <w:tcBorders>
              <w:top w:val="nil"/>
              <w:left w:val="nil"/>
              <w:bottom w:val="single" w:sz="8" w:space="0" w:color="auto"/>
              <w:right w:val="single" w:sz="8" w:space="0" w:color="auto"/>
            </w:tcBorders>
            <w:shd w:val="clear" w:color="auto" w:fill="auto"/>
            <w:noWrap/>
            <w:vAlign w:val="bottom"/>
            <w:hideMark/>
          </w:tcPr>
          <w:p w14:paraId="53C14AA4" w14:textId="77777777" w:rsidR="00EE76B9" w:rsidRPr="00EE76B9" w:rsidRDefault="00EE76B9" w:rsidP="00EE76B9">
            <w:pPr>
              <w:spacing w:after="0"/>
              <w:jc w:val="center"/>
              <w:rPr>
                <w:rStyle w:val="IntenseReference"/>
              </w:rPr>
            </w:pPr>
            <w:r w:rsidRPr="00EE76B9">
              <w:rPr>
                <w:rStyle w:val="IntenseReference"/>
              </w:rPr>
              <w:t>6.5</w:t>
            </w:r>
          </w:p>
        </w:tc>
      </w:tr>
      <w:tr w:rsidR="00EE76B9" w:rsidRPr="00CE4E0F" w14:paraId="53C14AAB" w14:textId="77777777" w:rsidTr="00D2385F">
        <w:trPr>
          <w:trHeight w:hRule="exact" w:val="255"/>
        </w:trPr>
        <w:tc>
          <w:tcPr>
            <w:tcW w:w="2709" w:type="dxa"/>
            <w:vMerge/>
            <w:tcBorders>
              <w:top w:val="nil"/>
              <w:left w:val="single" w:sz="8" w:space="0" w:color="auto"/>
              <w:bottom w:val="single" w:sz="8" w:space="0" w:color="auto"/>
              <w:right w:val="single" w:sz="8" w:space="0" w:color="auto"/>
            </w:tcBorders>
            <w:vAlign w:val="center"/>
            <w:hideMark/>
          </w:tcPr>
          <w:p w14:paraId="53C14AA6" w14:textId="77777777" w:rsidR="00EE76B9" w:rsidRPr="001C0943" w:rsidRDefault="00EE76B9" w:rsidP="00EE76B9">
            <w:pPr>
              <w:spacing w:after="0"/>
              <w:jc w:val="left"/>
              <w:rPr>
                <w:rFonts w:ascii="Arial Narrow" w:hAnsi="Arial Narrow"/>
                <w:color w:val="000000" w:themeColor="text1"/>
                <w:sz w:val="20"/>
                <w:lang w:eastAsia="en-AU"/>
              </w:rPr>
            </w:pPr>
          </w:p>
        </w:tc>
        <w:tc>
          <w:tcPr>
            <w:tcW w:w="1583" w:type="dxa"/>
            <w:tcBorders>
              <w:top w:val="nil"/>
              <w:left w:val="nil"/>
              <w:bottom w:val="single" w:sz="8" w:space="0" w:color="auto"/>
              <w:right w:val="single" w:sz="8" w:space="0" w:color="auto"/>
            </w:tcBorders>
            <w:shd w:val="clear" w:color="auto" w:fill="auto"/>
            <w:noWrap/>
            <w:vAlign w:val="bottom"/>
            <w:hideMark/>
          </w:tcPr>
          <w:p w14:paraId="53C14AA7" w14:textId="77777777" w:rsidR="00EE76B9" w:rsidRPr="001C0943" w:rsidRDefault="00EE76B9" w:rsidP="00EE76B9">
            <w:pPr>
              <w:spacing w:after="0"/>
              <w:jc w:val="left"/>
              <w:rPr>
                <w:rFonts w:ascii="Arial Narrow" w:hAnsi="Arial Narrow"/>
                <w:color w:val="000000" w:themeColor="text1"/>
                <w:sz w:val="20"/>
                <w:lang w:eastAsia="en-AU"/>
              </w:rPr>
            </w:pPr>
            <w:r w:rsidRPr="001C0943">
              <w:rPr>
                <w:rFonts w:ascii="Arial Narrow" w:hAnsi="Arial Narrow"/>
                <w:color w:val="000000" w:themeColor="text1"/>
                <w:sz w:val="20"/>
                <w:lang w:eastAsia="en-AU"/>
              </w:rPr>
              <w:t>Franklands West</w:t>
            </w:r>
          </w:p>
        </w:tc>
        <w:tc>
          <w:tcPr>
            <w:tcW w:w="1630" w:type="dxa"/>
            <w:tcBorders>
              <w:top w:val="nil"/>
              <w:left w:val="nil"/>
              <w:bottom w:val="single" w:sz="8" w:space="0" w:color="auto"/>
              <w:right w:val="single" w:sz="8" w:space="0" w:color="auto"/>
            </w:tcBorders>
            <w:shd w:val="clear" w:color="auto" w:fill="auto"/>
            <w:noWrap/>
            <w:vAlign w:val="bottom"/>
            <w:hideMark/>
          </w:tcPr>
          <w:p w14:paraId="53C14AA8" w14:textId="77777777" w:rsidR="00EE76B9" w:rsidRPr="00EE76B9" w:rsidRDefault="00EE76B9" w:rsidP="00EE76B9">
            <w:pPr>
              <w:jc w:val="center"/>
              <w:rPr>
                <w:rStyle w:val="IntenseReference"/>
              </w:rPr>
            </w:pPr>
            <w:r w:rsidRPr="00EE76B9">
              <w:rPr>
                <w:rStyle w:val="IntenseReference"/>
              </w:rPr>
              <w:t>0.33</w:t>
            </w:r>
          </w:p>
        </w:tc>
        <w:tc>
          <w:tcPr>
            <w:tcW w:w="1134" w:type="dxa"/>
            <w:tcBorders>
              <w:top w:val="nil"/>
              <w:left w:val="nil"/>
              <w:bottom w:val="single" w:sz="8" w:space="0" w:color="auto"/>
              <w:right w:val="single" w:sz="8" w:space="0" w:color="auto"/>
            </w:tcBorders>
            <w:shd w:val="clear" w:color="auto" w:fill="auto"/>
            <w:noWrap/>
            <w:vAlign w:val="bottom"/>
            <w:hideMark/>
          </w:tcPr>
          <w:p w14:paraId="53C14AA9" w14:textId="77777777" w:rsidR="00EE76B9" w:rsidRPr="00EE76B9" w:rsidRDefault="00EE76B9" w:rsidP="00EE76B9">
            <w:pPr>
              <w:jc w:val="center"/>
              <w:rPr>
                <w:rStyle w:val="IntenseReference"/>
              </w:rPr>
            </w:pPr>
            <w:r w:rsidRPr="00EE76B9">
              <w:rPr>
                <w:rStyle w:val="IntenseReference"/>
              </w:rPr>
              <w:t>0.73</w:t>
            </w:r>
          </w:p>
        </w:tc>
        <w:tc>
          <w:tcPr>
            <w:tcW w:w="1276" w:type="dxa"/>
            <w:tcBorders>
              <w:top w:val="nil"/>
              <w:left w:val="nil"/>
              <w:bottom w:val="single" w:sz="8" w:space="0" w:color="auto"/>
              <w:right w:val="single" w:sz="8" w:space="0" w:color="auto"/>
            </w:tcBorders>
            <w:shd w:val="clear" w:color="auto" w:fill="auto"/>
            <w:noWrap/>
            <w:vAlign w:val="bottom"/>
            <w:hideMark/>
          </w:tcPr>
          <w:p w14:paraId="53C14AAA" w14:textId="77777777" w:rsidR="00EE76B9" w:rsidRPr="00EE76B9" w:rsidRDefault="00EE76B9" w:rsidP="00EE76B9">
            <w:pPr>
              <w:spacing w:after="0"/>
              <w:jc w:val="center"/>
              <w:rPr>
                <w:rStyle w:val="IntenseReference"/>
              </w:rPr>
            </w:pPr>
            <w:r w:rsidRPr="00EE76B9">
              <w:rPr>
                <w:rStyle w:val="IntenseReference"/>
              </w:rPr>
              <w:t>31.3</w:t>
            </w:r>
          </w:p>
        </w:tc>
      </w:tr>
      <w:tr w:rsidR="00EE76B9" w:rsidRPr="00CE4E0F" w14:paraId="53C14AB1" w14:textId="77777777" w:rsidTr="001C0943">
        <w:trPr>
          <w:trHeight w:hRule="exact" w:val="255"/>
        </w:trPr>
        <w:tc>
          <w:tcPr>
            <w:tcW w:w="2709" w:type="dxa"/>
            <w:vMerge/>
            <w:tcBorders>
              <w:top w:val="nil"/>
              <w:left w:val="single" w:sz="8" w:space="0" w:color="auto"/>
              <w:bottom w:val="single" w:sz="8" w:space="0" w:color="auto"/>
              <w:right w:val="single" w:sz="8" w:space="0" w:color="auto"/>
            </w:tcBorders>
            <w:vAlign w:val="center"/>
            <w:hideMark/>
          </w:tcPr>
          <w:p w14:paraId="53C14AAC" w14:textId="77777777" w:rsidR="00EE76B9" w:rsidRPr="001C0943" w:rsidRDefault="00EE76B9" w:rsidP="00EE76B9">
            <w:pPr>
              <w:spacing w:after="0"/>
              <w:jc w:val="left"/>
              <w:rPr>
                <w:rFonts w:ascii="Arial Narrow" w:hAnsi="Arial Narrow"/>
                <w:color w:val="000000" w:themeColor="text1"/>
                <w:sz w:val="20"/>
                <w:lang w:eastAsia="en-AU"/>
              </w:rPr>
            </w:pPr>
          </w:p>
        </w:tc>
        <w:tc>
          <w:tcPr>
            <w:tcW w:w="1583" w:type="dxa"/>
            <w:tcBorders>
              <w:top w:val="nil"/>
              <w:left w:val="nil"/>
              <w:bottom w:val="single" w:sz="8" w:space="0" w:color="auto"/>
              <w:right w:val="single" w:sz="8" w:space="0" w:color="auto"/>
            </w:tcBorders>
            <w:shd w:val="clear" w:color="auto" w:fill="auto"/>
            <w:noWrap/>
            <w:vAlign w:val="bottom"/>
          </w:tcPr>
          <w:p w14:paraId="53C14AAD" w14:textId="77777777" w:rsidR="00EE76B9" w:rsidRPr="001C0943" w:rsidRDefault="00EE76B9" w:rsidP="00EE76B9">
            <w:pPr>
              <w:spacing w:after="0"/>
              <w:jc w:val="left"/>
              <w:rPr>
                <w:rFonts w:ascii="Arial Narrow" w:hAnsi="Arial Narrow"/>
                <w:color w:val="000000" w:themeColor="text1"/>
                <w:sz w:val="20"/>
                <w:lang w:eastAsia="en-AU"/>
              </w:rPr>
            </w:pPr>
            <w:r w:rsidRPr="001C0943">
              <w:rPr>
                <w:rFonts w:ascii="Arial Narrow" w:hAnsi="Arial Narrow"/>
                <w:color w:val="000000" w:themeColor="text1"/>
                <w:sz w:val="20"/>
                <w:lang w:eastAsia="en-AU"/>
              </w:rPr>
              <w:t>Fitzroy West</w:t>
            </w:r>
          </w:p>
        </w:tc>
        <w:tc>
          <w:tcPr>
            <w:tcW w:w="1630" w:type="dxa"/>
            <w:tcBorders>
              <w:top w:val="nil"/>
              <w:left w:val="nil"/>
              <w:bottom w:val="single" w:sz="8" w:space="0" w:color="auto"/>
              <w:right w:val="single" w:sz="8" w:space="0" w:color="auto"/>
            </w:tcBorders>
            <w:shd w:val="clear" w:color="auto" w:fill="auto"/>
            <w:noWrap/>
            <w:vAlign w:val="bottom"/>
          </w:tcPr>
          <w:p w14:paraId="53C14AAE" w14:textId="77777777" w:rsidR="00EE76B9" w:rsidRPr="00EE76B9" w:rsidRDefault="00EE76B9" w:rsidP="00EE76B9">
            <w:pPr>
              <w:jc w:val="center"/>
              <w:rPr>
                <w:rStyle w:val="IntenseReference"/>
              </w:rPr>
            </w:pPr>
            <w:r w:rsidRPr="00EE76B9">
              <w:rPr>
                <w:rStyle w:val="IntenseReference"/>
              </w:rPr>
              <w:t>0.36</w:t>
            </w:r>
          </w:p>
        </w:tc>
        <w:tc>
          <w:tcPr>
            <w:tcW w:w="1134" w:type="dxa"/>
            <w:tcBorders>
              <w:top w:val="nil"/>
              <w:left w:val="nil"/>
              <w:bottom w:val="single" w:sz="8" w:space="0" w:color="auto"/>
              <w:right w:val="single" w:sz="8" w:space="0" w:color="auto"/>
            </w:tcBorders>
            <w:shd w:val="clear" w:color="auto" w:fill="auto"/>
            <w:noWrap/>
            <w:vAlign w:val="bottom"/>
          </w:tcPr>
          <w:p w14:paraId="53C14AAF" w14:textId="77777777" w:rsidR="00EE76B9" w:rsidRPr="00EE76B9" w:rsidRDefault="00EE76B9" w:rsidP="00EE76B9">
            <w:pPr>
              <w:jc w:val="center"/>
              <w:rPr>
                <w:rStyle w:val="IntenseReference"/>
              </w:rPr>
            </w:pPr>
            <w:r w:rsidRPr="00EE76B9">
              <w:rPr>
                <w:rStyle w:val="IntenseReference"/>
              </w:rPr>
              <w:t>0.76</w:t>
            </w:r>
          </w:p>
        </w:tc>
        <w:tc>
          <w:tcPr>
            <w:tcW w:w="1276" w:type="dxa"/>
            <w:tcBorders>
              <w:top w:val="nil"/>
              <w:left w:val="nil"/>
              <w:bottom w:val="single" w:sz="8" w:space="0" w:color="auto"/>
              <w:right w:val="single" w:sz="8" w:space="0" w:color="auto"/>
            </w:tcBorders>
            <w:shd w:val="clear" w:color="auto" w:fill="auto"/>
            <w:noWrap/>
            <w:vAlign w:val="bottom"/>
          </w:tcPr>
          <w:p w14:paraId="53C14AB0" w14:textId="77777777" w:rsidR="00EE76B9" w:rsidRPr="00EE76B9" w:rsidRDefault="00EE76B9" w:rsidP="00EE76B9">
            <w:pPr>
              <w:spacing w:after="0"/>
              <w:jc w:val="center"/>
              <w:rPr>
                <w:rStyle w:val="IntenseReference"/>
              </w:rPr>
            </w:pPr>
            <w:r w:rsidRPr="00EE76B9">
              <w:rPr>
                <w:rStyle w:val="IntenseReference"/>
              </w:rPr>
              <w:t>9.3</w:t>
            </w:r>
          </w:p>
        </w:tc>
      </w:tr>
      <w:tr w:rsidR="00EE76B9" w:rsidRPr="00CE4E0F" w14:paraId="53C14AB7" w14:textId="77777777" w:rsidTr="001C0943">
        <w:trPr>
          <w:trHeight w:hRule="exact" w:val="255"/>
        </w:trPr>
        <w:tc>
          <w:tcPr>
            <w:tcW w:w="2709" w:type="dxa"/>
            <w:vMerge/>
            <w:tcBorders>
              <w:top w:val="nil"/>
              <w:left w:val="single" w:sz="8" w:space="0" w:color="auto"/>
              <w:bottom w:val="single" w:sz="8" w:space="0" w:color="auto"/>
              <w:right w:val="single" w:sz="8" w:space="0" w:color="auto"/>
            </w:tcBorders>
            <w:vAlign w:val="center"/>
          </w:tcPr>
          <w:p w14:paraId="53C14AB2" w14:textId="77777777" w:rsidR="00EE76B9" w:rsidRPr="001C0943" w:rsidRDefault="00EE76B9" w:rsidP="00EE76B9">
            <w:pPr>
              <w:spacing w:after="0"/>
              <w:jc w:val="left"/>
              <w:rPr>
                <w:rFonts w:ascii="Arial Narrow" w:hAnsi="Arial Narrow"/>
                <w:color w:val="000000" w:themeColor="text1"/>
                <w:sz w:val="20"/>
                <w:lang w:eastAsia="en-AU"/>
              </w:rPr>
            </w:pPr>
          </w:p>
        </w:tc>
        <w:tc>
          <w:tcPr>
            <w:tcW w:w="1583" w:type="dxa"/>
            <w:tcBorders>
              <w:top w:val="nil"/>
              <w:left w:val="nil"/>
              <w:bottom w:val="single" w:sz="8" w:space="0" w:color="auto"/>
              <w:right w:val="single" w:sz="8" w:space="0" w:color="auto"/>
            </w:tcBorders>
            <w:shd w:val="clear" w:color="auto" w:fill="auto"/>
            <w:noWrap/>
            <w:vAlign w:val="bottom"/>
          </w:tcPr>
          <w:p w14:paraId="53C14AB3" w14:textId="77777777" w:rsidR="00EE76B9" w:rsidRPr="001C0943" w:rsidRDefault="00EE76B9" w:rsidP="00EE76B9">
            <w:pPr>
              <w:spacing w:after="0"/>
              <w:jc w:val="left"/>
              <w:rPr>
                <w:rFonts w:ascii="Arial Narrow" w:hAnsi="Arial Narrow"/>
                <w:color w:val="000000" w:themeColor="text1"/>
                <w:sz w:val="20"/>
                <w:lang w:eastAsia="en-AU"/>
              </w:rPr>
            </w:pPr>
            <w:r w:rsidRPr="001C0943">
              <w:rPr>
                <w:rFonts w:ascii="Arial Narrow" w:hAnsi="Arial Narrow"/>
                <w:color w:val="000000" w:themeColor="text1"/>
                <w:sz w:val="20"/>
                <w:lang w:eastAsia="en-AU"/>
              </w:rPr>
              <w:t>High East</w:t>
            </w:r>
          </w:p>
        </w:tc>
        <w:tc>
          <w:tcPr>
            <w:tcW w:w="1630" w:type="dxa"/>
            <w:tcBorders>
              <w:top w:val="nil"/>
              <w:left w:val="nil"/>
              <w:bottom w:val="single" w:sz="8" w:space="0" w:color="auto"/>
              <w:right w:val="single" w:sz="8" w:space="0" w:color="auto"/>
            </w:tcBorders>
            <w:shd w:val="clear" w:color="auto" w:fill="auto"/>
            <w:noWrap/>
            <w:vAlign w:val="bottom"/>
          </w:tcPr>
          <w:p w14:paraId="53C14AB4" w14:textId="77777777" w:rsidR="00EE76B9" w:rsidRPr="00EE76B9" w:rsidRDefault="00EE76B9" w:rsidP="00EE76B9">
            <w:pPr>
              <w:jc w:val="center"/>
              <w:rPr>
                <w:rStyle w:val="IntenseReference"/>
              </w:rPr>
            </w:pPr>
            <w:r w:rsidRPr="00EE76B9">
              <w:rPr>
                <w:rStyle w:val="IntenseReference"/>
              </w:rPr>
              <w:t>0.37</w:t>
            </w:r>
          </w:p>
        </w:tc>
        <w:tc>
          <w:tcPr>
            <w:tcW w:w="1134" w:type="dxa"/>
            <w:tcBorders>
              <w:top w:val="nil"/>
              <w:left w:val="nil"/>
              <w:bottom w:val="single" w:sz="8" w:space="0" w:color="auto"/>
              <w:right w:val="single" w:sz="8" w:space="0" w:color="auto"/>
            </w:tcBorders>
            <w:shd w:val="clear" w:color="auto" w:fill="auto"/>
            <w:noWrap/>
            <w:vAlign w:val="bottom"/>
          </w:tcPr>
          <w:p w14:paraId="53C14AB5" w14:textId="77777777" w:rsidR="00EE76B9" w:rsidRPr="00EE76B9" w:rsidRDefault="00EE76B9" w:rsidP="00EE76B9">
            <w:pPr>
              <w:jc w:val="center"/>
              <w:rPr>
                <w:rStyle w:val="IntenseReference"/>
              </w:rPr>
            </w:pPr>
            <w:r w:rsidRPr="00EE76B9">
              <w:rPr>
                <w:rStyle w:val="IntenseReference"/>
              </w:rPr>
              <w:t>0.76</w:t>
            </w:r>
          </w:p>
        </w:tc>
        <w:tc>
          <w:tcPr>
            <w:tcW w:w="1276" w:type="dxa"/>
            <w:tcBorders>
              <w:top w:val="nil"/>
              <w:left w:val="nil"/>
              <w:bottom w:val="single" w:sz="8" w:space="0" w:color="auto"/>
              <w:right w:val="single" w:sz="8" w:space="0" w:color="auto"/>
            </w:tcBorders>
            <w:shd w:val="clear" w:color="auto" w:fill="auto"/>
            <w:noWrap/>
            <w:vAlign w:val="bottom"/>
          </w:tcPr>
          <w:p w14:paraId="53C14AB6" w14:textId="77777777" w:rsidR="00EE76B9" w:rsidRPr="00EE76B9" w:rsidRDefault="00EE76B9" w:rsidP="00EE76B9">
            <w:pPr>
              <w:spacing w:after="0"/>
              <w:jc w:val="center"/>
              <w:rPr>
                <w:rStyle w:val="IntenseReference"/>
              </w:rPr>
            </w:pPr>
            <w:r w:rsidRPr="00EE76B9">
              <w:rPr>
                <w:rStyle w:val="IntenseReference"/>
              </w:rPr>
              <w:t>1.3</w:t>
            </w:r>
          </w:p>
        </w:tc>
      </w:tr>
      <w:tr w:rsidR="00EE76B9" w:rsidRPr="00CE4E0F" w14:paraId="53C14ABD" w14:textId="77777777" w:rsidTr="001C0943">
        <w:trPr>
          <w:trHeight w:hRule="exact" w:val="255"/>
        </w:trPr>
        <w:tc>
          <w:tcPr>
            <w:tcW w:w="2709" w:type="dxa"/>
            <w:vMerge/>
            <w:tcBorders>
              <w:top w:val="nil"/>
              <w:left w:val="single" w:sz="8" w:space="0" w:color="auto"/>
              <w:bottom w:val="single" w:sz="8" w:space="0" w:color="auto"/>
              <w:right w:val="single" w:sz="8" w:space="0" w:color="auto"/>
            </w:tcBorders>
            <w:vAlign w:val="center"/>
            <w:hideMark/>
          </w:tcPr>
          <w:p w14:paraId="53C14AB8" w14:textId="77777777" w:rsidR="00EE76B9" w:rsidRPr="001C0943" w:rsidRDefault="00EE76B9" w:rsidP="00EE76B9">
            <w:pPr>
              <w:spacing w:after="0"/>
              <w:jc w:val="left"/>
              <w:rPr>
                <w:rFonts w:ascii="Arial Narrow" w:hAnsi="Arial Narrow"/>
                <w:color w:val="000000" w:themeColor="text1"/>
                <w:sz w:val="20"/>
                <w:lang w:eastAsia="en-AU"/>
              </w:rPr>
            </w:pPr>
          </w:p>
        </w:tc>
        <w:tc>
          <w:tcPr>
            <w:tcW w:w="1583" w:type="dxa"/>
            <w:tcBorders>
              <w:top w:val="nil"/>
              <w:left w:val="nil"/>
              <w:bottom w:val="single" w:sz="8" w:space="0" w:color="auto"/>
              <w:right w:val="single" w:sz="8" w:space="0" w:color="auto"/>
            </w:tcBorders>
            <w:shd w:val="clear" w:color="auto" w:fill="auto"/>
            <w:noWrap/>
            <w:vAlign w:val="bottom"/>
            <w:hideMark/>
          </w:tcPr>
          <w:p w14:paraId="53C14AB9" w14:textId="77777777" w:rsidR="00EE76B9" w:rsidRPr="001C0943" w:rsidRDefault="00EE76B9" w:rsidP="00EE76B9">
            <w:pPr>
              <w:spacing w:after="0"/>
              <w:jc w:val="left"/>
              <w:rPr>
                <w:rFonts w:ascii="Arial Narrow" w:hAnsi="Arial Narrow"/>
                <w:color w:val="000000" w:themeColor="text1"/>
                <w:sz w:val="20"/>
                <w:lang w:eastAsia="en-AU"/>
              </w:rPr>
            </w:pPr>
            <w:r w:rsidRPr="001C0943">
              <w:rPr>
                <w:rFonts w:ascii="Arial Narrow" w:hAnsi="Arial Narrow"/>
                <w:color w:val="000000" w:themeColor="text1"/>
                <w:sz w:val="20"/>
                <w:lang w:eastAsia="en-AU"/>
              </w:rPr>
              <w:t>High West</w:t>
            </w:r>
          </w:p>
        </w:tc>
        <w:tc>
          <w:tcPr>
            <w:tcW w:w="1630" w:type="dxa"/>
            <w:tcBorders>
              <w:top w:val="nil"/>
              <w:left w:val="nil"/>
              <w:bottom w:val="single" w:sz="8" w:space="0" w:color="auto"/>
              <w:right w:val="single" w:sz="8" w:space="0" w:color="auto"/>
            </w:tcBorders>
            <w:shd w:val="clear" w:color="auto" w:fill="auto"/>
            <w:noWrap/>
            <w:vAlign w:val="bottom"/>
            <w:hideMark/>
          </w:tcPr>
          <w:p w14:paraId="53C14ABA" w14:textId="77777777" w:rsidR="00EE76B9" w:rsidRPr="00EE76B9" w:rsidRDefault="00EE76B9" w:rsidP="00EE76B9">
            <w:pPr>
              <w:jc w:val="center"/>
              <w:rPr>
                <w:rStyle w:val="IntenseReference"/>
              </w:rPr>
            </w:pPr>
            <w:r w:rsidRPr="00EE76B9">
              <w:rPr>
                <w:rStyle w:val="IntenseReference"/>
              </w:rPr>
              <w:t>0.52</w:t>
            </w:r>
          </w:p>
        </w:tc>
        <w:tc>
          <w:tcPr>
            <w:tcW w:w="1134" w:type="dxa"/>
            <w:tcBorders>
              <w:top w:val="nil"/>
              <w:left w:val="nil"/>
              <w:bottom w:val="single" w:sz="8" w:space="0" w:color="auto"/>
              <w:right w:val="single" w:sz="8" w:space="0" w:color="auto"/>
            </w:tcBorders>
            <w:shd w:val="clear" w:color="auto" w:fill="auto"/>
            <w:noWrap/>
            <w:vAlign w:val="bottom"/>
            <w:hideMark/>
          </w:tcPr>
          <w:p w14:paraId="53C14ABB" w14:textId="77777777" w:rsidR="00EE76B9" w:rsidRPr="00EE76B9" w:rsidRDefault="00EE76B9" w:rsidP="00EE76B9">
            <w:pPr>
              <w:jc w:val="center"/>
              <w:rPr>
                <w:rStyle w:val="IntenseReference"/>
              </w:rPr>
            </w:pPr>
            <w:r w:rsidRPr="00EE76B9">
              <w:rPr>
                <w:rStyle w:val="IntenseReference"/>
              </w:rPr>
              <w:t>0.92</w:t>
            </w:r>
          </w:p>
        </w:tc>
        <w:tc>
          <w:tcPr>
            <w:tcW w:w="1276" w:type="dxa"/>
            <w:tcBorders>
              <w:top w:val="nil"/>
              <w:left w:val="nil"/>
              <w:bottom w:val="single" w:sz="8" w:space="0" w:color="auto"/>
              <w:right w:val="single" w:sz="8" w:space="0" w:color="auto"/>
            </w:tcBorders>
            <w:shd w:val="clear" w:color="auto" w:fill="auto"/>
            <w:noWrap/>
            <w:vAlign w:val="bottom"/>
            <w:hideMark/>
          </w:tcPr>
          <w:p w14:paraId="53C14ABC" w14:textId="77777777" w:rsidR="00EE76B9" w:rsidRPr="00EE76B9" w:rsidRDefault="00EE76B9" w:rsidP="00EE76B9">
            <w:pPr>
              <w:spacing w:after="0"/>
              <w:jc w:val="center"/>
              <w:rPr>
                <w:rStyle w:val="IntenseReference"/>
              </w:rPr>
            </w:pPr>
            <w:r w:rsidRPr="00EE76B9">
              <w:rPr>
                <w:rStyle w:val="IntenseReference"/>
              </w:rPr>
              <w:t>12.8</w:t>
            </w:r>
          </w:p>
        </w:tc>
      </w:tr>
      <w:tr w:rsidR="00EE76B9" w:rsidRPr="00CE4E0F" w14:paraId="53C14AC3" w14:textId="77777777" w:rsidTr="00D2385F">
        <w:trPr>
          <w:trHeight w:hRule="exact" w:val="255"/>
        </w:trPr>
        <w:tc>
          <w:tcPr>
            <w:tcW w:w="2709"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53C14ABE" w14:textId="77777777" w:rsidR="00EE76B9" w:rsidRPr="001C0943" w:rsidRDefault="00EE76B9" w:rsidP="00EE76B9">
            <w:pPr>
              <w:spacing w:after="0"/>
              <w:jc w:val="left"/>
              <w:rPr>
                <w:rFonts w:ascii="Arial Narrow" w:hAnsi="Arial Narrow"/>
                <w:color w:val="000000" w:themeColor="text1"/>
                <w:sz w:val="20"/>
                <w:lang w:eastAsia="en-AU"/>
              </w:rPr>
            </w:pPr>
            <w:r w:rsidRPr="001C0943">
              <w:rPr>
                <w:rFonts w:ascii="Arial Narrow" w:hAnsi="Arial Narrow"/>
                <w:color w:val="000000" w:themeColor="text1"/>
                <w:sz w:val="20"/>
                <w:lang w:eastAsia="en-AU"/>
              </w:rPr>
              <w:t>Herbert Tully</w:t>
            </w:r>
          </w:p>
        </w:tc>
        <w:tc>
          <w:tcPr>
            <w:tcW w:w="1583" w:type="dxa"/>
            <w:tcBorders>
              <w:top w:val="nil"/>
              <w:left w:val="nil"/>
              <w:bottom w:val="single" w:sz="8" w:space="0" w:color="auto"/>
              <w:right w:val="single" w:sz="8" w:space="0" w:color="auto"/>
            </w:tcBorders>
            <w:shd w:val="clear" w:color="auto" w:fill="auto"/>
            <w:noWrap/>
            <w:vAlign w:val="bottom"/>
            <w:hideMark/>
          </w:tcPr>
          <w:p w14:paraId="53C14ABF" w14:textId="77777777" w:rsidR="00EE76B9" w:rsidRPr="001C0943" w:rsidRDefault="00EE76B9" w:rsidP="00EE76B9">
            <w:pPr>
              <w:spacing w:after="0"/>
              <w:jc w:val="left"/>
              <w:rPr>
                <w:rFonts w:ascii="Arial Narrow" w:hAnsi="Arial Narrow"/>
                <w:color w:val="000000" w:themeColor="text1"/>
                <w:sz w:val="20"/>
                <w:lang w:eastAsia="en-AU"/>
              </w:rPr>
            </w:pPr>
            <w:r w:rsidRPr="001C0943">
              <w:rPr>
                <w:rFonts w:ascii="Arial Narrow" w:hAnsi="Arial Narrow"/>
                <w:color w:val="000000" w:themeColor="text1"/>
                <w:sz w:val="20"/>
                <w:lang w:eastAsia="en-AU"/>
              </w:rPr>
              <w:t>Barnards</w:t>
            </w:r>
          </w:p>
        </w:tc>
        <w:tc>
          <w:tcPr>
            <w:tcW w:w="1630" w:type="dxa"/>
            <w:tcBorders>
              <w:top w:val="nil"/>
              <w:left w:val="nil"/>
              <w:bottom w:val="single" w:sz="8" w:space="0" w:color="auto"/>
              <w:right w:val="single" w:sz="8" w:space="0" w:color="auto"/>
            </w:tcBorders>
            <w:shd w:val="clear" w:color="auto" w:fill="auto"/>
            <w:noWrap/>
            <w:vAlign w:val="bottom"/>
            <w:hideMark/>
          </w:tcPr>
          <w:p w14:paraId="53C14AC0" w14:textId="77777777" w:rsidR="00EE76B9" w:rsidRPr="00EE76B9" w:rsidRDefault="00EE76B9" w:rsidP="00EE76B9">
            <w:pPr>
              <w:jc w:val="center"/>
              <w:rPr>
                <w:rStyle w:val="IntenseReference"/>
              </w:rPr>
            </w:pPr>
            <w:r w:rsidRPr="00EE76B9">
              <w:rPr>
                <w:rStyle w:val="IntenseReference"/>
              </w:rPr>
              <w:t>0.45</w:t>
            </w:r>
          </w:p>
        </w:tc>
        <w:tc>
          <w:tcPr>
            <w:tcW w:w="1134" w:type="dxa"/>
            <w:tcBorders>
              <w:top w:val="nil"/>
              <w:left w:val="nil"/>
              <w:bottom w:val="single" w:sz="8" w:space="0" w:color="auto"/>
              <w:right w:val="single" w:sz="8" w:space="0" w:color="auto"/>
            </w:tcBorders>
            <w:shd w:val="clear" w:color="auto" w:fill="auto"/>
            <w:noWrap/>
            <w:vAlign w:val="bottom"/>
            <w:hideMark/>
          </w:tcPr>
          <w:p w14:paraId="53C14AC1" w14:textId="77777777" w:rsidR="00EE76B9" w:rsidRPr="00EE76B9" w:rsidRDefault="00EE76B9" w:rsidP="00EE76B9">
            <w:pPr>
              <w:jc w:val="center"/>
              <w:rPr>
                <w:rStyle w:val="IntenseReference"/>
              </w:rPr>
            </w:pPr>
            <w:r w:rsidRPr="00EE76B9">
              <w:rPr>
                <w:rStyle w:val="IntenseReference"/>
              </w:rPr>
              <w:t>0.75</w:t>
            </w:r>
          </w:p>
        </w:tc>
        <w:tc>
          <w:tcPr>
            <w:tcW w:w="1276" w:type="dxa"/>
            <w:tcBorders>
              <w:top w:val="nil"/>
              <w:left w:val="nil"/>
              <w:bottom w:val="single" w:sz="8" w:space="0" w:color="auto"/>
              <w:right w:val="single" w:sz="8" w:space="0" w:color="auto"/>
            </w:tcBorders>
            <w:shd w:val="clear" w:color="auto" w:fill="auto"/>
            <w:noWrap/>
            <w:vAlign w:val="bottom"/>
            <w:hideMark/>
          </w:tcPr>
          <w:p w14:paraId="53C14AC2" w14:textId="77777777" w:rsidR="00EE76B9" w:rsidRPr="00EE76B9" w:rsidRDefault="00EE76B9" w:rsidP="00EE76B9">
            <w:pPr>
              <w:spacing w:after="0"/>
              <w:jc w:val="center"/>
              <w:rPr>
                <w:rStyle w:val="IntenseReference"/>
              </w:rPr>
            </w:pPr>
            <w:r w:rsidRPr="00EE76B9">
              <w:rPr>
                <w:rStyle w:val="IntenseReference"/>
              </w:rPr>
              <w:t>6.1</w:t>
            </w:r>
          </w:p>
        </w:tc>
      </w:tr>
      <w:tr w:rsidR="00EE76B9" w:rsidRPr="00CE4E0F" w14:paraId="53C14AC9" w14:textId="77777777" w:rsidTr="00D2385F">
        <w:trPr>
          <w:trHeight w:hRule="exact" w:val="255"/>
        </w:trPr>
        <w:tc>
          <w:tcPr>
            <w:tcW w:w="2709" w:type="dxa"/>
            <w:vMerge/>
            <w:tcBorders>
              <w:top w:val="nil"/>
              <w:left w:val="single" w:sz="8" w:space="0" w:color="auto"/>
              <w:bottom w:val="single" w:sz="8" w:space="0" w:color="auto"/>
              <w:right w:val="single" w:sz="8" w:space="0" w:color="auto"/>
            </w:tcBorders>
            <w:vAlign w:val="center"/>
            <w:hideMark/>
          </w:tcPr>
          <w:p w14:paraId="53C14AC4" w14:textId="77777777" w:rsidR="00EE76B9" w:rsidRPr="001C0943" w:rsidRDefault="00EE76B9" w:rsidP="00EE76B9">
            <w:pPr>
              <w:spacing w:after="0"/>
              <w:jc w:val="left"/>
              <w:rPr>
                <w:rFonts w:ascii="Arial Narrow" w:hAnsi="Arial Narrow"/>
                <w:color w:val="000000" w:themeColor="text1"/>
                <w:sz w:val="20"/>
                <w:lang w:eastAsia="en-AU"/>
              </w:rPr>
            </w:pPr>
          </w:p>
        </w:tc>
        <w:tc>
          <w:tcPr>
            <w:tcW w:w="1583" w:type="dxa"/>
            <w:tcBorders>
              <w:top w:val="nil"/>
              <w:left w:val="nil"/>
              <w:bottom w:val="single" w:sz="8" w:space="0" w:color="auto"/>
              <w:right w:val="single" w:sz="8" w:space="0" w:color="auto"/>
            </w:tcBorders>
            <w:shd w:val="clear" w:color="auto" w:fill="auto"/>
            <w:noWrap/>
            <w:vAlign w:val="bottom"/>
            <w:hideMark/>
          </w:tcPr>
          <w:p w14:paraId="53C14AC5" w14:textId="77777777" w:rsidR="00EE76B9" w:rsidRPr="001C0943" w:rsidRDefault="00EE76B9" w:rsidP="00EE76B9">
            <w:pPr>
              <w:spacing w:after="0"/>
              <w:jc w:val="left"/>
              <w:rPr>
                <w:rFonts w:ascii="Arial Narrow" w:hAnsi="Arial Narrow"/>
                <w:color w:val="000000" w:themeColor="text1"/>
                <w:sz w:val="20"/>
                <w:lang w:eastAsia="en-AU"/>
              </w:rPr>
            </w:pPr>
            <w:r w:rsidRPr="001C0943">
              <w:rPr>
                <w:rFonts w:ascii="Arial Narrow" w:hAnsi="Arial Narrow"/>
                <w:color w:val="000000" w:themeColor="text1"/>
                <w:sz w:val="20"/>
                <w:lang w:eastAsia="en-AU"/>
              </w:rPr>
              <w:t>Dunk North</w:t>
            </w:r>
          </w:p>
        </w:tc>
        <w:tc>
          <w:tcPr>
            <w:tcW w:w="1630" w:type="dxa"/>
            <w:tcBorders>
              <w:top w:val="nil"/>
              <w:left w:val="nil"/>
              <w:bottom w:val="single" w:sz="8" w:space="0" w:color="auto"/>
              <w:right w:val="single" w:sz="8" w:space="0" w:color="auto"/>
            </w:tcBorders>
            <w:shd w:val="clear" w:color="auto" w:fill="auto"/>
            <w:noWrap/>
            <w:vAlign w:val="bottom"/>
            <w:hideMark/>
          </w:tcPr>
          <w:p w14:paraId="53C14AC6" w14:textId="77777777" w:rsidR="00EE76B9" w:rsidRPr="00EE76B9" w:rsidRDefault="00EE76B9" w:rsidP="00EE76B9">
            <w:pPr>
              <w:jc w:val="center"/>
              <w:rPr>
                <w:rStyle w:val="IntenseReference"/>
              </w:rPr>
            </w:pPr>
            <w:r w:rsidRPr="00EE76B9">
              <w:rPr>
                <w:rStyle w:val="IntenseReference"/>
              </w:rPr>
              <w:t>0.54</w:t>
            </w:r>
          </w:p>
        </w:tc>
        <w:tc>
          <w:tcPr>
            <w:tcW w:w="1134" w:type="dxa"/>
            <w:tcBorders>
              <w:top w:val="nil"/>
              <w:left w:val="nil"/>
              <w:bottom w:val="single" w:sz="8" w:space="0" w:color="auto"/>
              <w:right w:val="single" w:sz="8" w:space="0" w:color="auto"/>
            </w:tcBorders>
            <w:shd w:val="clear" w:color="auto" w:fill="auto"/>
            <w:noWrap/>
            <w:vAlign w:val="bottom"/>
            <w:hideMark/>
          </w:tcPr>
          <w:p w14:paraId="53C14AC7" w14:textId="77777777" w:rsidR="00EE76B9" w:rsidRPr="00EE76B9" w:rsidRDefault="00EE76B9" w:rsidP="00EE76B9">
            <w:pPr>
              <w:jc w:val="center"/>
              <w:rPr>
                <w:rStyle w:val="IntenseReference"/>
              </w:rPr>
            </w:pPr>
            <w:r w:rsidRPr="00EE76B9">
              <w:rPr>
                <w:rStyle w:val="IntenseReference"/>
              </w:rPr>
              <w:t>0.94</w:t>
            </w:r>
          </w:p>
        </w:tc>
        <w:tc>
          <w:tcPr>
            <w:tcW w:w="1276" w:type="dxa"/>
            <w:tcBorders>
              <w:top w:val="nil"/>
              <w:left w:val="nil"/>
              <w:bottom w:val="single" w:sz="8" w:space="0" w:color="auto"/>
              <w:right w:val="single" w:sz="8" w:space="0" w:color="auto"/>
            </w:tcBorders>
            <w:shd w:val="clear" w:color="auto" w:fill="auto"/>
            <w:noWrap/>
            <w:vAlign w:val="bottom"/>
            <w:hideMark/>
          </w:tcPr>
          <w:p w14:paraId="53C14AC8" w14:textId="77777777" w:rsidR="00EE76B9" w:rsidRPr="00EE76B9" w:rsidRDefault="00EE76B9" w:rsidP="00EE76B9">
            <w:pPr>
              <w:spacing w:after="0"/>
              <w:jc w:val="center"/>
              <w:rPr>
                <w:rStyle w:val="IntenseReference"/>
              </w:rPr>
            </w:pPr>
            <w:r w:rsidRPr="00EE76B9">
              <w:rPr>
                <w:rStyle w:val="IntenseReference"/>
              </w:rPr>
              <w:t>12.3</w:t>
            </w:r>
          </w:p>
        </w:tc>
      </w:tr>
      <w:tr w:rsidR="00EE76B9" w:rsidRPr="00CE4E0F" w14:paraId="53C14ACF" w14:textId="77777777" w:rsidTr="00D2385F">
        <w:trPr>
          <w:trHeight w:hRule="exact" w:val="255"/>
        </w:trPr>
        <w:tc>
          <w:tcPr>
            <w:tcW w:w="2709" w:type="dxa"/>
            <w:vMerge/>
            <w:tcBorders>
              <w:top w:val="nil"/>
              <w:left w:val="single" w:sz="8" w:space="0" w:color="auto"/>
              <w:bottom w:val="single" w:sz="8" w:space="0" w:color="auto"/>
              <w:right w:val="single" w:sz="8" w:space="0" w:color="auto"/>
            </w:tcBorders>
            <w:vAlign w:val="center"/>
            <w:hideMark/>
          </w:tcPr>
          <w:p w14:paraId="53C14ACA" w14:textId="77777777" w:rsidR="00EE76B9" w:rsidRPr="001C0943" w:rsidRDefault="00EE76B9" w:rsidP="00EE76B9">
            <w:pPr>
              <w:spacing w:after="0"/>
              <w:jc w:val="left"/>
              <w:rPr>
                <w:rFonts w:ascii="Arial Narrow" w:hAnsi="Arial Narrow"/>
                <w:color w:val="000000" w:themeColor="text1"/>
                <w:sz w:val="20"/>
                <w:lang w:eastAsia="en-AU"/>
              </w:rPr>
            </w:pPr>
          </w:p>
        </w:tc>
        <w:tc>
          <w:tcPr>
            <w:tcW w:w="1583" w:type="dxa"/>
            <w:tcBorders>
              <w:top w:val="nil"/>
              <w:left w:val="nil"/>
              <w:bottom w:val="single" w:sz="8" w:space="0" w:color="auto"/>
              <w:right w:val="single" w:sz="8" w:space="0" w:color="auto"/>
            </w:tcBorders>
            <w:shd w:val="clear" w:color="auto" w:fill="auto"/>
            <w:noWrap/>
            <w:vAlign w:val="bottom"/>
            <w:hideMark/>
          </w:tcPr>
          <w:p w14:paraId="53C14ACB" w14:textId="77777777" w:rsidR="00EE76B9" w:rsidRPr="001C0943" w:rsidRDefault="00EE76B9" w:rsidP="00EE76B9">
            <w:pPr>
              <w:spacing w:after="0"/>
              <w:jc w:val="left"/>
              <w:rPr>
                <w:rFonts w:ascii="Arial Narrow" w:hAnsi="Arial Narrow"/>
                <w:color w:val="000000" w:themeColor="text1"/>
                <w:sz w:val="20"/>
                <w:lang w:eastAsia="en-AU"/>
              </w:rPr>
            </w:pPr>
            <w:r w:rsidRPr="001C0943">
              <w:rPr>
                <w:rFonts w:ascii="Arial Narrow" w:hAnsi="Arial Narrow"/>
                <w:color w:val="000000" w:themeColor="text1"/>
                <w:sz w:val="20"/>
                <w:lang w:eastAsia="en-AU"/>
              </w:rPr>
              <w:t>Dunk South</w:t>
            </w:r>
          </w:p>
        </w:tc>
        <w:tc>
          <w:tcPr>
            <w:tcW w:w="1630" w:type="dxa"/>
            <w:tcBorders>
              <w:top w:val="nil"/>
              <w:left w:val="nil"/>
              <w:bottom w:val="single" w:sz="8" w:space="0" w:color="auto"/>
              <w:right w:val="single" w:sz="8" w:space="0" w:color="auto"/>
            </w:tcBorders>
            <w:shd w:val="clear" w:color="auto" w:fill="auto"/>
            <w:noWrap/>
            <w:vAlign w:val="bottom"/>
            <w:hideMark/>
          </w:tcPr>
          <w:p w14:paraId="53C14ACC" w14:textId="77777777" w:rsidR="00EE76B9" w:rsidRPr="00EE76B9" w:rsidRDefault="00EE76B9" w:rsidP="00EE76B9">
            <w:pPr>
              <w:jc w:val="center"/>
              <w:rPr>
                <w:rStyle w:val="IntenseReference"/>
              </w:rPr>
            </w:pPr>
            <w:r w:rsidRPr="00EE76B9">
              <w:rPr>
                <w:rStyle w:val="IntenseReference"/>
              </w:rPr>
              <w:t>0.61</w:t>
            </w:r>
          </w:p>
        </w:tc>
        <w:tc>
          <w:tcPr>
            <w:tcW w:w="1134" w:type="dxa"/>
            <w:tcBorders>
              <w:top w:val="nil"/>
              <w:left w:val="nil"/>
              <w:bottom w:val="single" w:sz="8" w:space="0" w:color="auto"/>
              <w:right w:val="single" w:sz="8" w:space="0" w:color="auto"/>
            </w:tcBorders>
            <w:shd w:val="clear" w:color="auto" w:fill="auto"/>
            <w:noWrap/>
            <w:vAlign w:val="bottom"/>
            <w:hideMark/>
          </w:tcPr>
          <w:p w14:paraId="53C14ACD" w14:textId="77777777" w:rsidR="00EE76B9" w:rsidRPr="00EE76B9" w:rsidRDefault="00EE76B9" w:rsidP="00EE76B9">
            <w:pPr>
              <w:jc w:val="center"/>
              <w:rPr>
                <w:rStyle w:val="IntenseReference"/>
              </w:rPr>
            </w:pPr>
            <w:r w:rsidRPr="00EE76B9">
              <w:rPr>
                <w:rStyle w:val="IntenseReference"/>
              </w:rPr>
              <w:t>1.00</w:t>
            </w:r>
          </w:p>
        </w:tc>
        <w:tc>
          <w:tcPr>
            <w:tcW w:w="1276" w:type="dxa"/>
            <w:tcBorders>
              <w:top w:val="nil"/>
              <w:left w:val="nil"/>
              <w:bottom w:val="single" w:sz="8" w:space="0" w:color="auto"/>
              <w:right w:val="single" w:sz="8" w:space="0" w:color="auto"/>
            </w:tcBorders>
            <w:shd w:val="clear" w:color="auto" w:fill="auto"/>
            <w:noWrap/>
            <w:vAlign w:val="bottom"/>
            <w:hideMark/>
          </w:tcPr>
          <w:p w14:paraId="53C14ACE" w14:textId="77777777" w:rsidR="00EE76B9" w:rsidRPr="00EE76B9" w:rsidRDefault="00EE76B9" w:rsidP="00EE76B9">
            <w:pPr>
              <w:spacing w:after="0"/>
              <w:jc w:val="center"/>
              <w:rPr>
                <w:rStyle w:val="IntenseReference"/>
              </w:rPr>
            </w:pPr>
            <w:r w:rsidRPr="00EE76B9">
              <w:rPr>
                <w:rStyle w:val="IntenseReference"/>
              </w:rPr>
              <w:t>12.1</w:t>
            </w:r>
          </w:p>
        </w:tc>
      </w:tr>
      <w:tr w:rsidR="00EE76B9" w:rsidRPr="00CE4E0F" w14:paraId="53C14AD5" w14:textId="77777777" w:rsidTr="00D2385F">
        <w:trPr>
          <w:trHeight w:hRule="exact" w:val="255"/>
        </w:trPr>
        <w:tc>
          <w:tcPr>
            <w:tcW w:w="2709" w:type="dxa"/>
            <w:vMerge/>
            <w:tcBorders>
              <w:top w:val="nil"/>
              <w:left w:val="single" w:sz="8" w:space="0" w:color="auto"/>
              <w:bottom w:val="single" w:sz="8" w:space="0" w:color="auto"/>
              <w:right w:val="single" w:sz="8" w:space="0" w:color="auto"/>
            </w:tcBorders>
            <w:vAlign w:val="center"/>
            <w:hideMark/>
          </w:tcPr>
          <w:p w14:paraId="53C14AD0" w14:textId="77777777" w:rsidR="00EE76B9" w:rsidRPr="001C0943" w:rsidRDefault="00EE76B9" w:rsidP="00EE76B9">
            <w:pPr>
              <w:spacing w:after="0"/>
              <w:jc w:val="left"/>
              <w:rPr>
                <w:rFonts w:ascii="Arial Narrow" w:hAnsi="Arial Narrow"/>
                <w:color w:val="000000" w:themeColor="text1"/>
                <w:sz w:val="20"/>
                <w:lang w:eastAsia="en-AU"/>
              </w:rPr>
            </w:pPr>
          </w:p>
        </w:tc>
        <w:tc>
          <w:tcPr>
            <w:tcW w:w="1583" w:type="dxa"/>
            <w:tcBorders>
              <w:top w:val="nil"/>
              <w:left w:val="nil"/>
              <w:bottom w:val="single" w:sz="8" w:space="0" w:color="auto"/>
              <w:right w:val="single" w:sz="8" w:space="0" w:color="auto"/>
            </w:tcBorders>
            <w:shd w:val="clear" w:color="auto" w:fill="auto"/>
            <w:noWrap/>
            <w:vAlign w:val="bottom"/>
            <w:hideMark/>
          </w:tcPr>
          <w:p w14:paraId="53C14AD1" w14:textId="77777777" w:rsidR="00EE76B9" w:rsidRPr="001C0943" w:rsidRDefault="00EE76B9" w:rsidP="00EE76B9">
            <w:pPr>
              <w:spacing w:after="0"/>
              <w:jc w:val="left"/>
              <w:rPr>
                <w:rFonts w:ascii="Arial Narrow" w:hAnsi="Arial Narrow"/>
                <w:color w:val="000000" w:themeColor="text1"/>
                <w:sz w:val="20"/>
                <w:lang w:eastAsia="en-AU"/>
              </w:rPr>
            </w:pPr>
            <w:r w:rsidRPr="001C0943">
              <w:rPr>
                <w:rFonts w:ascii="Arial Narrow" w:hAnsi="Arial Narrow"/>
                <w:color w:val="000000" w:themeColor="text1"/>
                <w:sz w:val="20"/>
                <w:lang w:eastAsia="en-AU"/>
              </w:rPr>
              <w:t>Bedarra</w:t>
            </w:r>
          </w:p>
        </w:tc>
        <w:tc>
          <w:tcPr>
            <w:tcW w:w="1630" w:type="dxa"/>
            <w:tcBorders>
              <w:top w:val="nil"/>
              <w:left w:val="nil"/>
              <w:bottom w:val="single" w:sz="8" w:space="0" w:color="auto"/>
              <w:right w:val="single" w:sz="8" w:space="0" w:color="auto"/>
            </w:tcBorders>
            <w:shd w:val="clear" w:color="auto" w:fill="auto"/>
            <w:noWrap/>
            <w:vAlign w:val="bottom"/>
            <w:hideMark/>
          </w:tcPr>
          <w:p w14:paraId="53C14AD2" w14:textId="77777777" w:rsidR="00EE76B9" w:rsidRPr="00EE76B9" w:rsidRDefault="00EE76B9" w:rsidP="00EE76B9">
            <w:pPr>
              <w:jc w:val="center"/>
              <w:rPr>
                <w:rStyle w:val="IntenseReference"/>
              </w:rPr>
            </w:pPr>
            <w:r w:rsidRPr="00EE76B9">
              <w:rPr>
                <w:rStyle w:val="IntenseReference"/>
              </w:rPr>
              <w:t>0.64</w:t>
            </w:r>
          </w:p>
        </w:tc>
        <w:tc>
          <w:tcPr>
            <w:tcW w:w="1134" w:type="dxa"/>
            <w:tcBorders>
              <w:top w:val="nil"/>
              <w:left w:val="nil"/>
              <w:bottom w:val="single" w:sz="8" w:space="0" w:color="auto"/>
              <w:right w:val="single" w:sz="8" w:space="0" w:color="auto"/>
            </w:tcBorders>
            <w:shd w:val="clear" w:color="auto" w:fill="auto"/>
            <w:noWrap/>
            <w:vAlign w:val="bottom"/>
            <w:hideMark/>
          </w:tcPr>
          <w:p w14:paraId="53C14AD3" w14:textId="77777777" w:rsidR="00EE76B9" w:rsidRPr="00EE76B9" w:rsidRDefault="00EE76B9" w:rsidP="00EE76B9">
            <w:pPr>
              <w:jc w:val="center"/>
              <w:rPr>
                <w:rStyle w:val="IntenseReference"/>
              </w:rPr>
            </w:pPr>
            <w:r w:rsidRPr="00EE76B9">
              <w:rPr>
                <w:rStyle w:val="IntenseReference"/>
              </w:rPr>
              <w:t>1.06</w:t>
            </w:r>
          </w:p>
        </w:tc>
        <w:tc>
          <w:tcPr>
            <w:tcW w:w="1276" w:type="dxa"/>
            <w:tcBorders>
              <w:top w:val="nil"/>
              <w:left w:val="nil"/>
              <w:bottom w:val="single" w:sz="8" w:space="0" w:color="auto"/>
              <w:right w:val="single" w:sz="8" w:space="0" w:color="auto"/>
            </w:tcBorders>
            <w:shd w:val="clear" w:color="auto" w:fill="auto"/>
            <w:noWrap/>
            <w:vAlign w:val="bottom"/>
            <w:hideMark/>
          </w:tcPr>
          <w:p w14:paraId="53C14AD4" w14:textId="77777777" w:rsidR="00EE76B9" w:rsidRPr="00EE76B9" w:rsidRDefault="00EE76B9" w:rsidP="00EE76B9">
            <w:pPr>
              <w:spacing w:after="0"/>
              <w:jc w:val="center"/>
              <w:rPr>
                <w:rStyle w:val="IntenseReference"/>
              </w:rPr>
            </w:pPr>
            <w:r w:rsidRPr="00EE76B9">
              <w:rPr>
                <w:rStyle w:val="IntenseReference"/>
              </w:rPr>
              <w:t>42.3</w:t>
            </w:r>
          </w:p>
        </w:tc>
      </w:tr>
      <w:tr w:rsidR="00EE76B9" w:rsidRPr="00CE4E0F" w14:paraId="53C14ADB" w14:textId="77777777" w:rsidTr="00D2385F">
        <w:trPr>
          <w:trHeight w:hRule="exact" w:val="255"/>
        </w:trPr>
        <w:tc>
          <w:tcPr>
            <w:tcW w:w="2709"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53C14AD6" w14:textId="77777777" w:rsidR="00EE76B9" w:rsidRPr="001C0943" w:rsidRDefault="00EE76B9" w:rsidP="00EE76B9">
            <w:pPr>
              <w:spacing w:after="0"/>
              <w:jc w:val="left"/>
              <w:rPr>
                <w:rFonts w:ascii="Arial Narrow" w:hAnsi="Arial Narrow"/>
                <w:color w:val="000000" w:themeColor="text1"/>
                <w:sz w:val="20"/>
                <w:lang w:eastAsia="en-AU"/>
              </w:rPr>
            </w:pPr>
            <w:r w:rsidRPr="001C0943">
              <w:rPr>
                <w:rFonts w:ascii="Arial Narrow" w:hAnsi="Arial Narrow"/>
                <w:color w:val="000000" w:themeColor="text1"/>
                <w:sz w:val="20"/>
                <w:lang w:eastAsia="en-AU"/>
              </w:rPr>
              <w:t>Burdekin</w:t>
            </w:r>
          </w:p>
        </w:tc>
        <w:tc>
          <w:tcPr>
            <w:tcW w:w="1583" w:type="dxa"/>
            <w:tcBorders>
              <w:top w:val="nil"/>
              <w:left w:val="nil"/>
              <w:bottom w:val="single" w:sz="8" w:space="0" w:color="auto"/>
              <w:right w:val="single" w:sz="8" w:space="0" w:color="auto"/>
            </w:tcBorders>
            <w:shd w:val="clear" w:color="auto" w:fill="auto"/>
            <w:noWrap/>
            <w:vAlign w:val="bottom"/>
            <w:hideMark/>
          </w:tcPr>
          <w:p w14:paraId="53C14AD7" w14:textId="77777777" w:rsidR="00EE76B9" w:rsidRPr="001C0943" w:rsidRDefault="00EE76B9" w:rsidP="00EE76B9">
            <w:pPr>
              <w:spacing w:after="0"/>
              <w:jc w:val="left"/>
              <w:rPr>
                <w:rFonts w:ascii="Arial Narrow" w:hAnsi="Arial Narrow"/>
                <w:color w:val="000000" w:themeColor="text1"/>
                <w:sz w:val="20"/>
                <w:lang w:eastAsia="en-AU"/>
              </w:rPr>
            </w:pPr>
            <w:r w:rsidRPr="001C0943">
              <w:rPr>
                <w:rFonts w:ascii="Arial Narrow" w:hAnsi="Arial Narrow"/>
                <w:color w:val="000000" w:themeColor="text1"/>
                <w:sz w:val="20"/>
                <w:lang w:eastAsia="en-AU"/>
              </w:rPr>
              <w:t>Palms East</w:t>
            </w:r>
          </w:p>
        </w:tc>
        <w:tc>
          <w:tcPr>
            <w:tcW w:w="1630" w:type="dxa"/>
            <w:tcBorders>
              <w:top w:val="nil"/>
              <w:left w:val="nil"/>
              <w:bottom w:val="single" w:sz="8" w:space="0" w:color="auto"/>
              <w:right w:val="single" w:sz="8" w:space="0" w:color="auto"/>
            </w:tcBorders>
            <w:shd w:val="clear" w:color="auto" w:fill="auto"/>
            <w:noWrap/>
            <w:vAlign w:val="bottom"/>
            <w:hideMark/>
          </w:tcPr>
          <w:p w14:paraId="53C14AD8" w14:textId="77777777" w:rsidR="00EE76B9" w:rsidRPr="00EE76B9" w:rsidRDefault="00EE76B9" w:rsidP="00EE76B9">
            <w:pPr>
              <w:jc w:val="center"/>
              <w:rPr>
                <w:rStyle w:val="IntenseReference"/>
              </w:rPr>
            </w:pPr>
            <w:r w:rsidRPr="00EE76B9">
              <w:rPr>
                <w:rStyle w:val="IntenseReference"/>
              </w:rPr>
              <w:t>0.25</w:t>
            </w:r>
          </w:p>
        </w:tc>
        <w:tc>
          <w:tcPr>
            <w:tcW w:w="1134" w:type="dxa"/>
            <w:tcBorders>
              <w:top w:val="nil"/>
              <w:left w:val="nil"/>
              <w:bottom w:val="single" w:sz="8" w:space="0" w:color="auto"/>
              <w:right w:val="single" w:sz="8" w:space="0" w:color="auto"/>
            </w:tcBorders>
            <w:shd w:val="clear" w:color="auto" w:fill="auto"/>
            <w:noWrap/>
            <w:vAlign w:val="bottom"/>
            <w:hideMark/>
          </w:tcPr>
          <w:p w14:paraId="53C14AD9" w14:textId="77777777" w:rsidR="00EE76B9" w:rsidRPr="00EE76B9" w:rsidRDefault="00EE76B9" w:rsidP="00EE76B9">
            <w:pPr>
              <w:jc w:val="center"/>
              <w:rPr>
                <w:rStyle w:val="IntenseReference"/>
              </w:rPr>
            </w:pPr>
            <w:r w:rsidRPr="00EE76B9">
              <w:rPr>
                <w:rStyle w:val="IntenseReference"/>
              </w:rPr>
              <w:t>0.69</w:t>
            </w:r>
          </w:p>
        </w:tc>
        <w:tc>
          <w:tcPr>
            <w:tcW w:w="1276" w:type="dxa"/>
            <w:tcBorders>
              <w:top w:val="nil"/>
              <w:left w:val="nil"/>
              <w:bottom w:val="single" w:sz="8" w:space="0" w:color="auto"/>
              <w:right w:val="single" w:sz="8" w:space="0" w:color="auto"/>
            </w:tcBorders>
            <w:shd w:val="clear" w:color="auto" w:fill="auto"/>
            <w:noWrap/>
            <w:vAlign w:val="bottom"/>
            <w:hideMark/>
          </w:tcPr>
          <w:p w14:paraId="53C14ADA" w14:textId="77777777" w:rsidR="00EE76B9" w:rsidRPr="00EE76B9" w:rsidRDefault="00EE76B9" w:rsidP="00EE76B9">
            <w:pPr>
              <w:spacing w:after="0"/>
              <w:jc w:val="center"/>
              <w:rPr>
                <w:rStyle w:val="IntenseReference"/>
              </w:rPr>
            </w:pPr>
            <w:r w:rsidRPr="00EE76B9">
              <w:rPr>
                <w:rStyle w:val="IntenseReference"/>
              </w:rPr>
              <w:t>0.5</w:t>
            </w:r>
          </w:p>
        </w:tc>
      </w:tr>
      <w:tr w:rsidR="00EE76B9" w:rsidRPr="00CE4E0F" w14:paraId="53C14AE1" w14:textId="77777777" w:rsidTr="00D2385F">
        <w:trPr>
          <w:trHeight w:hRule="exact" w:val="255"/>
        </w:trPr>
        <w:tc>
          <w:tcPr>
            <w:tcW w:w="2709" w:type="dxa"/>
            <w:vMerge/>
            <w:tcBorders>
              <w:top w:val="nil"/>
              <w:left w:val="single" w:sz="8" w:space="0" w:color="auto"/>
              <w:bottom w:val="single" w:sz="8" w:space="0" w:color="auto"/>
              <w:right w:val="single" w:sz="8" w:space="0" w:color="auto"/>
            </w:tcBorders>
            <w:vAlign w:val="center"/>
            <w:hideMark/>
          </w:tcPr>
          <w:p w14:paraId="53C14ADC" w14:textId="77777777" w:rsidR="00EE76B9" w:rsidRPr="001C0943" w:rsidRDefault="00EE76B9" w:rsidP="00EE76B9">
            <w:pPr>
              <w:spacing w:after="0"/>
              <w:jc w:val="left"/>
              <w:rPr>
                <w:rFonts w:ascii="Arial Narrow" w:hAnsi="Arial Narrow"/>
                <w:color w:val="000000" w:themeColor="text1"/>
                <w:sz w:val="20"/>
                <w:lang w:eastAsia="en-AU"/>
              </w:rPr>
            </w:pPr>
          </w:p>
        </w:tc>
        <w:tc>
          <w:tcPr>
            <w:tcW w:w="1583" w:type="dxa"/>
            <w:tcBorders>
              <w:top w:val="nil"/>
              <w:left w:val="nil"/>
              <w:bottom w:val="single" w:sz="8" w:space="0" w:color="auto"/>
              <w:right w:val="single" w:sz="8" w:space="0" w:color="auto"/>
            </w:tcBorders>
            <w:shd w:val="clear" w:color="auto" w:fill="auto"/>
            <w:noWrap/>
            <w:vAlign w:val="bottom"/>
            <w:hideMark/>
          </w:tcPr>
          <w:p w14:paraId="53C14ADD" w14:textId="77777777" w:rsidR="00EE76B9" w:rsidRPr="001C0943" w:rsidRDefault="00EE76B9" w:rsidP="00EE76B9">
            <w:pPr>
              <w:spacing w:after="0"/>
              <w:jc w:val="left"/>
              <w:rPr>
                <w:rFonts w:ascii="Arial Narrow" w:hAnsi="Arial Narrow"/>
                <w:color w:val="000000" w:themeColor="text1"/>
                <w:sz w:val="20"/>
                <w:lang w:eastAsia="en-AU"/>
              </w:rPr>
            </w:pPr>
            <w:r w:rsidRPr="001C0943">
              <w:rPr>
                <w:rFonts w:ascii="Arial Narrow" w:hAnsi="Arial Narrow"/>
                <w:color w:val="000000" w:themeColor="text1"/>
                <w:sz w:val="20"/>
                <w:lang w:eastAsia="en-AU"/>
              </w:rPr>
              <w:t>Havannah North</w:t>
            </w:r>
          </w:p>
        </w:tc>
        <w:tc>
          <w:tcPr>
            <w:tcW w:w="1630" w:type="dxa"/>
            <w:tcBorders>
              <w:top w:val="nil"/>
              <w:left w:val="nil"/>
              <w:bottom w:val="single" w:sz="8" w:space="0" w:color="auto"/>
              <w:right w:val="single" w:sz="8" w:space="0" w:color="auto"/>
            </w:tcBorders>
            <w:shd w:val="clear" w:color="auto" w:fill="auto"/>
            <w:noWrap/>
            <w:vAlign w:val="bottom"/>
            <w:hideMark/>
          </w:tcPr>
          <w:p w14:paraId="53C14ADE" w14:textId="77777777" w:rsidR="00EE76B9" w:rsidRPr="00EE76B9" w:rsidRDefault="00EE76B9" w:rsidP="00EE76B9">
            <w:pPr>
              <w:jc w:val="center"/>
              <w:rPr>
                <w:rStyle w:val="IntenseReference"/>
              </w:rPr>
            </w:pPr>
            <w:r w:rsidRPr="00EE76B9">
              <w:rPr>
                <w:rStyle w:val="IntenseReference"/>
              </w:rPr>
              <w:t>0.34</w:t>
            </w:r>
          </w:p>
        </w:tc>
        <w:tc>
          <w:tcPr>
            <w:tcW w:w="1134" w:type="dxa"/>
            <w:tcBorders>
              <w:top w:val="nil"/>
              <w:left w:val="nil"/>
              <w:bottom w:val="single" w:sz="8" w:space="0" w:color="auto"/>
              <w:right w:val="single" w:sz="8" w:space="0" w:color="auto"/>
            </w:tcBorders>
            <w:shd w:val="clear" w:color="auto" w:fill="auto"/>
            <w:noWrap/>
            <w:vAlign w:val="bottom"/>
            <w:hideMark/>
          </w:tcPr>
          <w:p w14:paraId="53C14ADF" w14:textId="77777777" w:rsidR="00EE76B9" w:rsidRPr="00EE76B9" w:rsidRDefault="00EE76B9" w:rsidP="00EE76B9">
            <w:pPr>
              <w:jc w:val="center"/>
              <w:rPr>
                <w:rStyle w:val="IntenseReference"/>
              </w:rPr>
            </w:pPr>
            <w:r w:rsidRPr="00EE76B9">
              <w:rPr>
                <w:rStyle w:val="IntenseReference"/>
              </w:rPr>
              <w:t>0.79</w:t>
            </w:r>
          </w:p>
        </w:tc>
        <w:tc>
          <w:tcPr>
            <w:tcW w:w="1276" w:type="dxa"/>
            <w:tcBorders>
              <w:top w:val="nil"/>
              <w:left w:val="nil"/>
              <w:bottom w:val="single" w:sz="8" w:space="0" w:color="auto"/>
              <w:right w:val="single" w:sz="8" w:space="0" w:color="auto"/>
            </w:tcBorders>
            <w:shd w:val="clear" w:color="auto" w:fill="auto"/>
            <w:noWrap/>
            <w:vAlign w:val="bottom"/>
            <w:hideMark/>
          </w:tcPr>
          <w:p w14:paraId="53C14AE0" w14:textId="77777777" w:rsidR="00EE76B9" w:rsidRPr="00EE76B9" w:rsidRDefault="00EE76B9" w:rsidP="00EE76B9">
            <w:pPr>
              <w:spacing w:after="0"/>
              <w:jc w:val="center"/>
              <w:rPr>
                <w:rStyle w:val="IntenseReference"/>
              </w:rPr>
            </w:pPr>
            <w:r w:rsidRPr="00EE76B9">
              <w:rPr>
                <w:rStyle w:val="IntenseReference"/>
              </w:rPr>
              <w:t>7.1</w:t>
            </w:r>
          </w:p>
        </w:tc>
      </w:tr>
      <w:tr w:rsidR="00EE76B9" w:rsidRPr="00CE4E0F" w14:paraId="53C14AE7" w14:textId="77777777" w:rsidTr="00D2385F">
        <w:trPr>
          <w:trHeight w:hRule="exact" w:val="255"/>
        </w:trPr>
        <w:tc>
          <w:tcPr>
            <w:tcW w:w="2709" w:type="dxa"/>
            <w:vMerge/>
            <w:tcBorders>
              <w:top w:val="nil"/>
              <w:left w:val="single" w:sz="8" w:space="0" w:color="auto"/>
              <w:bottom w:val="single" w:sz="8" w:space="0" w:color="auto"/>
              <w:right w:val="single" w:sz="8" w:space="0" w:color="auto"/>
            </w:tcBorders>
            <w:vAlign w:val="center"/>
            <w:hideMark/>
          </w:tcPr>
          <w:p w14:paraId="53C14AE2" w14:textId="77777777" w:rsidR="00EE76B9" w:rsidRPr="001C0943" w:rsidRDefault="00EE76B9" w:rsidP="00EE76B9">
            <w:pPr>
              <w:spacing w:after="0"/>
              <w:jc w:val="left"/>
              <w:rPr>
                <w:rFonts w:ascii="Arial Narrow" w:hAnsi="Arial Narrow"/>
                <w:color w:val="000000" w:themeColor="text1"/>
                <w:sz w:val="20"/>
                <w:lang w:eastAsia="en-AU"/>
              </w:rPr>
            </w:pPr>
          </w:p>
        </w:tc>
        <w:tc>
          <w:tcPr>
            <w:tcW w:w="1583" w:type="dxa"/>
            <w:tcBorders>
              <w:top w:val="nil"/>
              <w:left w:val="nil"/>
              <w:bottom w:val="single" w:sz="8" w:space="0" w:color="auto"/>
              <w:right w:val="single" w:sz="8" w:space="0" w:color="auto"/>
            </w:tcBorders>
            <w:shd w:val="clear" w:color="auto" w:fill="auto"/>
            <w:noWrap/>
            <w:vAlign w:val="bottom"/>
            <w:hideMark/>
          </w:tcPr>
          <w:p w14:paraId="53C14AE3" w14:textId="77777777" w:rsidR="00EE76B9" w:rsidRPr="001C0943" w:rsidRDefault="00EE76B9" w:rsidP="00EE76B9">
            <w:pPr>
              <w:spacing w:after="0"/>
              <w:jc w:val="left"/>
              <w:rPr>
                <w:rFonts w:ascii="Arial Narrow" w:hAnsi="Arial Narrow"/>
                <w:color w:val="000000" w:themeColor="text1"/>
                <w:sz w:val="20"/>
                <w:lang w:eastAsia="en-AU"/>
              </w:rPr>
            </w:pPr>
            <w:r w:rsidRPr="001C0943">
              <w:rPr>
                <w:rFonts w:ascii="Arial Narrow" w:hAnsi="Arial Narrow"/>
                <w:color w:val="000000" w:themeColor="text1"/>
                <w:sz w:val="20"/>
                <w:lang w:eastAsia="en-AU"/>
              </w:rPr>
              <w:t>Palms West</w:t>
            </w:r>
          </w:p>
        </w:tc>
        <w:tc>
          <w:tcPr>
            <w:tcW w:w="1630" w:type="dxa"/>
            <w:tcBorders>
              <w:top w:val="nil"/>
              <w:left w:val="nil"/>
              <w:bottom w:val="single" w:sz="8" w:space="0" w:color="auto"/>
              <w:right w:val="single" w:sz="8" w:space="0" w:color="auto"/>
            </w:tcBorders>
            <w:shd w:val="clear" w:color="auto" w:fill="auto"/>
            <w:noWrap/>
            <w:vAlign w:val="bottom"/>
            <w:hideMark/>
          </w:tcPr>
          <w:p w14:paraId="53C14AE4" w14:textId="77777777" w:rsidR="00EE76B9" w:rsidRPr="00EE76B9" w:rsidRDefault="00EE76B9" w:rsidP="00EE76B9">
            <w:pPr>
              <w:jc w:val="center"/>
              <w:rPr>
                <w:rStyle w:val="IntenseReference"/>
              </w:rPr>
            </w:pPr>
            <w:r w:rsidRPr="00EE76B9">
              <w:rPr>
                <w:rStyle w:val="IntenseReference"/>
              </w:rPr>
              <w:t>0.35</w:t>
            </w:r>
          </w:p>
        </w:tc>
        <w:tc>
          <w:tcPr>
            <w:tcW w:w="1134" w:type="dxa"/>
            <w:tcBorders>
              <w:top w:val="nil"/>
              <w:left w:val="nil"/>
              <w:bottom w:val="single" w:sz="8" w:space="0" w:color="auto"/>
              <w:right w:val="single" w:sz="8" w:space="0" w:color="auto"/>
            </w:tcBorders>
            <w:shd w:val="clear" w:color="auto" w:fill="auto"/>
            <w:noWrap/>
            <w:vAlign w:val="bottom"/>
            <w:hideMark/>
          </w:tcPr>
          <w:p w14:paraId="53C14AE5" w14:textId="77777777" w:rsidR="00EE76B9" w:rsidRPr="00EE76B9" w:rsidRDefault="00EE76B9" w:rsidP="00EE76B9">
            <w:pPr>
              <w:jc w:val="center"/>
              <w:rPr>
                <w:rStyle w:val="IntenseReference"/>
              </w:rPr>
            </w:pPr>
            <w:r w:rsidRPr="00EE76B9">
              <w:rPr>
                <w:rStyle w:val="IntenseReference"/>
              </w:rPr>
              <w:t>0.74</w:t>
            </w:r>
          </w:p>
        </w:tc>
        <w:tc>
          <w:tcPr>
            <w:tcW w:w="1276" w:type="dxa"/>
            <w:tcBorders>
              <w:top w:val="nil"/>
              <w:left w:val="nil"/>
              <w:bottom w:val="single" w:sz="8" w:space="0" w:color="auto"/>
              <w:right w:val="single" w:sz="8" w:space="0" w:color="auto"/>
            </w:tcBorders>
            <w:shd w:val="clear" w:color="auto" w:fill="auto"/>
            <w:noWrap/>
            <w:vAlign w:val="bottom"/>
            <w:hideMark/>
          </w:tcPr>
          <w:p w14:paraId="53C14AE6" w14:textId="77777777" w:rsidR="00EE76B9" w:rsidRPr="00EE76B9" w:rsidRDefault="00EE76B9" w:rsidP="00EE76B9">
            <w:pPr>
              <w:spacing w:after="0"/>
              <w:jc w:val="center"/>
              <w:rPr>
                <w:rStyle w:val="IntenseReference"/>
              </w:rPr>
            </w:pPr>
            <w:r w:rsidRPr="00EE76B9">
              <w:rPr>
                <w:rStyle w:val="IntenseReference"/>
              </w:rPr>
              <w:t>5.6</w:t>
            </w:r>
          </w:p>
        </w:tc>
      </w:tr>
      <w:tr w:rsidR="00EE76B9" w:rsidRPr="00CE4E0F" w14:paraId="53C14AED" w14:textId="77777777" w:rsidTr="00D2385F">
        <w:trPr>
          <w:trHeight w:hRule="exact" w:val="255"/>
        </w:trPr>
        <w:tc>
          <w:tcPr>
            <w:tcW w:w="2709" w:type="dxa"/>
            <w:vMerge/>
            <w:tcBorders>
              <w:top w:val="nil"/>
              <w:left w:val="single" w:sz="8" w:space="0" w:color="auto"/>
              <w:bottom w:val="single" w:sz="8" w:space="0" w:color="auto"/>
              <w:right w:val="single" w:sz="8" w:space="0" w:color="auto"/>
            </w:tcBorders>
            <w:vAlign w:val="center"/>
            <w:hideMark/>
          </w:tcPr>
          <w:p w14:paraId="53C14AE8" w14:textId="77777777" w:rsidR="00EE76B9" w:rsidRPr="001C0943" w:rsidRDefault="00EE76B9" w:rsidP="00EE76B9">
            <w:pPr>
              <w:spacing w:after="0"/>
              <w:jc w:val="left"/>
              <w:rPr>
                <w:rFonts w:ascii="Arial Narrow" w:hAnsi="Arial Narrow"/>
                <w:color w:val="000000" w:themeColor="text1"/>
                <w:sz w:val="20"/>
                <w:lang w:eastAsia="en-AU"/>
              </w:rPr>
            </w:pPr>
          </w:p>
        </w:tc>
        <w:tc>
          <w:tcPr>
            <w:tcW w:w="1583" w:type="dxa"/>
            <w:tcBorders>
              <w:top w:val="nil"/>
              <w:left w:val="nil"/>
              <w:bottom w:val="single" w:sz="8" w:space="0" w:color="auto"/>
              <w:right w:val="single" w:sz="8" w:space="0" w:color="auto"/>
            </w:tcBorders>
            <w:shd w:val="clear" w:color="auto" w:fill="auto"/>
            <w:noWrap/>
            <w:vAlign w:val="bottom"/>
            <w:hideMark/>
          </w:tcPr>
          <w:p w14:paraId="53C14AE9" w14:textId="77777777" w:rsidR="00EE76B9" w:rsidRPr="001C0943" w:rsidRDefault="00EE76B9" w:rsidP="00EE76B9">
            <w:pPr>
              <w:spacing w:after="0"/>
              <w:jc w:val="left"/>
              <w:rPr>
                <w:rFonts w:ascii="Arial Narrow" w:hAnsi="Arial Narrow"/>
                <w:color w:val="000000" w:themeColor="text1"/>
                <w:sz w:val="20"/>
                <w:lang w:eastAsia="en-AU"/>
              </w:rPr>
            </w:pPr>
            <w:r w:rsidRPr="001C0943">
              <w:rPr>
                <w:rFonts w:ascii="Arial Narrow" w:hAnsi="Arial Narrow"/>
                <w:color w:val="000000" w:themeColor="text1"/>
                <w:sz w:val="20"/>
                <w:lang w:eastAsia="en-AU"/>
              </w:rPr>
              <w:t>Havannah</w:t>
            </w:r>
          </w:p>
        </w:tc>
        <w:tc>
          <w:tcPr>
            <w:tcW w:w="1630" w:type="dxa"/>
            <w:tcBorders>
              <w:top w:val="nil"/>
              <w:left w:val="nil"/>
              <w:bottom w:val="single" w:sz="8" w:space="0" w:color="auto"/>
              <w:right w:val="single" w:sz="8" w:space="0" w:color="auto"/>
            </w:tcBorders>
            <w:shd w:val="clear" w:color="auto" w:fill="auto"/>
            <w:noWrap/>
            <w:vAlign w:val="bottom"/>
            <w:hideMark/>
          </w:tcPr>
          <w:p w14:paraId="53C14AEA" w14:textId="77777777" w:rsidR="00EE76B9" w:rsidRPr="00EE76B9" w:rsidRDefault="00EE76B9" w:rsidP="00EE76B9">
            <w:pPr>
              <w:jc w:val="center"/>
              <w:rPr>
                <w:rStyle w:val="IntenseReference"/>
              </w:rPr>
            </w:pPr>
            <w:r w:rsidRPr="00EE76B9">
              <w:rPr>
                <w:rStyle w:val="IntenseReference"/>
              </w:rPr>
              <w:t>0.37</w:t>
            </w:r>
          </w:p>
        </w:tc>
        <w:tc>
          <w:tcPr>
            <w:tcW w:w="1134" w:type="dxa"/>
            <w:tcBorders>
              <w:top w:val="nil"/>
              <w:left w:val="nil"/>
              <w:bottom w:val="single" w:sz="8" w:space="0" w:color="auto"/>
              <w:right w:val="single" w:sz="8" w:space="0" w:color="auto"/>
            </w:tcBorders>
            <w:shd w:val="clear" w:color="auto" w:fill="auto"/>
            <w:noWrap/>
            <w:vAlign w:val="bottom"/>
            <w:hideMark/>
          </w:tcPr>
          <w:p w14:paraId="53C14AEB" w14:textId="77777777" w:rsidR="00EE76B9" w:rsidRPr="00EE76B9" w:rsidRDefault="00EE76B9" w:rsidP="00EE76B9">
            <w:pPr>
              <w:jc w:val="center"/>
              <w:rPr>
                <w:rStyle w:val="IntenseReference"/>
              </w:rPr>
            </w:pPr>
            <w:r w:rsidRPr="00EE76B9">
              <w:rPr>
                <w:rStyle w:val="IntenseReference"/>
              </w:rPr>
              <w:t>0.79</w:t>
            </w:r>
          </w:p>
        </w:tc>
        <w:tc>
          <w:tcPr>
            <w:tcW w:w="1276" w:type="dxa"/>
            <w:tcBorders>
              <w:top w:val="nil"/>
              <w:left w:val="nil"/>
              <w:bottom w:val="single" w:sz="8" w:space="0" w:color="auto"/>
              <w:right w:val="single" w:sz="8" w:space="0" w:color="auto"/>
            </w:tcBorders>
            <w:shd w:val="clear" w:color="auto" w:fill="auto"/>
            <w:noWrap/>
            <w:vAlign w:val="bottom"/>
            <w:hideMark/>
          </w:tcPr>
          <w:p w14:paraId="53C14AEC" w14:textId="77777777" w:rsidR="00EE76B9" w:rsidRPr="00EE76B9" w:rsidRDefault="00EE76B9" w:rsidP="00EE76B9">
            <w:pPr>
              <w:spacing w:after="0"/>
              <w:jc w:val="center"/>
              <w:rPr>
                <w:rStyle w:val="IntenseReference"/>
              </w:rPr>
            </w:pPr>
            <w:r w:rsidRPr="00EE76B9">
              <w:rPr>
                <w:rStyle w:val="IntenseReference"/>
              </w:rPr>
              <w:t>7.0</w:t>
            </w:r>
          </w:p>
        </w:tc>
      </w:tr>
      <w:tr w:rsidR="00EE76B9" w:rsidRPr="00CE4E0F" w14:paraId="53C14AF3" w14:textId="77777777" w:rsidTr="00D2385F">
        <w:trPr>
          <w:trHeight w:hRule="exact" w:val="255"/>
        </w:trPr>
        <w:tc>
          <w:tcPr>
            <w:tcW w:w="2709" w:type="dxa"/>
            <w:vMerge/>
            <w:tcBorders>
              <w:top w:val="nil"/>
              <w:left w:val="single" w:sz="8" w:space="0" w:color="auto"/>
              <w:bottom w:val="single" w:sz="8" w:space="0" w:color="auto"/>
              <w:right w:val="single" w:sz="8" w:space="0" w:color="auto"/>
            </w:tcBorders>
            <w:vAlign w:val="center"/>
          </w:tcPr>
          <w:p w14:paraId="53C14AEE" w14:textId="77777777" w:rsidR="00EE76B9" w:rsidRPr="001C0943" w:rsidRDefault="00EE76B9" w:rsidP="00EE76B9">
            <w:pPr>
              <w:spacing w:after="0"/>
              <w:jc w:val="left"/>
              <w:rPr>
                <w:rFonts w:ascii="Arial Narrow" w:hAnsi="Arial Narrow"/>
                <w:color w:val="000000" w:themeColor="text1"/>
                <w:sz w:val="20"/>
                <w:lang w:eastAsia="en-AU"/>
              </w:rPr>
            </w:pPr>
          </w:p>
        </w:tc>
        <w:tc>
          <w:tcPr>
            <w:tcW w:w="1583" w:type="dxa"/>
            <w:tcBorders>
              <w:top w:val="nil"/>
              <w:left w:val="nil"/>
              <w:bottom w:val="single" w:sz="8" w:space="0" w:color="auto"/>
              <w:right w:val="single" w:sz="8" w:space="0" w:color="auto"/>
            </w:tcBorders>
            <w:shd w:val="clear" w:color="auto" w:fill="auto"/>
            <w:noWrap/>
            <w:vAlign w:val="bottom"/>
          </w:tcPr>
          <w:p w14:paraId="53C14AEF" w14:textId="77777777" w:rsidR="00EE76B9" w:rsidRPr="001C0943" w:rsidRDefault="00EE76B9" w:rsidP="00EE76B9">
            <w:pPr>
              <w:spacing w:after="0"/>
              <w:jc w:val="left"/>
              <w:rPr>
                <w:rFonts w:ascii="Arial Narrow" w:hAnsi="Arial Narrow"/>
                <w:color w:val="000000" w:themeColor="text1"/>
                <w:sz w:val="20"/>
                <w:lang w:eastAsia="en-AU"/>
              </w:rPr>
            </w:pPr>
            <w:r w:rsidRPr="001C0943">
              <w:rPr>
                <w:rFonts w:ascii="Arial Narrow" w:hAnsi="Arial Narrow"/>
                <w:color w:val="000000" w:themeColor="text1"/>
                <w:sz w:val="20"/>
                <w:lang w:eastAsia="en-AU"/>
              </w:rPr>
              <w:t>Pandora North</w:t>
            </w:r>
          </w:p>
        </w:tc>
        <w:tc>
          <w:tcPr>
            <w:tcW w:w="1630" w:type="dxa"/>
            <w:tcBorders>
              <w:top w:val="nil"/>
              <w:left w:val="nil"/>
              <w:bottom w:val="single" w:sz="8" w:space="0" w:color="auto"/>
              <w:right w:val="single" w:sz="8" w:space="0" w:color="auto"/>
            </w:tcBorders>
            <w:shd w:val="clear" w:color="auto" w:fill="auto"/>
            <w:noWrap/>
            <w:vAlign w:val="bottom"/>
          </w:tcPr>
          <w:p w14:paraId="53C14AF0" w14:textId="77777777" w:rsidR="00EE76B9" w:rsidRPr="00EE76B9" w:rsidRDefault="00EE76B9" w:rsidP="00EE76B9">
            <w:pPr>
              <w:jc w:val="center"/>
              <w:rPr>
                <w:rStyle w:val="IntenseReference"/>
              </w:rPr>
            </w:pPr>
            <w:r w:rsidRPr="00EE76B9">
              <w:rPr>
                <w:rStyle w:val="IntenseReference"/>
              </w:rPr>
              <w:t>0.44</w:t>
            </w:r>
          </w:p>
        </w:tc>
        <w:tc>
          <w:tcPr>
            <w:tcW w:w="1134" w:type="dxa"/>
            <w:tcBorders>
              <w:top w:val="nil"/>
              <w:left w:val="nil"/>
              <w:bottom w:val="single" w:sz="8" w:space="0" w:color="auto"/>
              <w:right w:val="single" w:sz="8" w:space="0" w:color="auto"/>
            </w:tcBorders>
            <w:shd w:val="clear" w:color="auto" w:fill="auto"/>
            <w:noWrap/>
            <w:vAlign w:val="bottom"/>
          </w:tcPr>
          <w:p w14:paraId="53C14AF1" w14:textId="77777777" w:rsidR="00EE76B9" w:rsidRPr="00EE76B9" w:rsidRDefault="00EE76B9" w:rsidP="00EE76B9">
            <w:pPr>
              <w:jc w:val="center"/>
              <w:rPr>
                <w:rStyle w:val="IntenseReference"/>
              </w:rPr>
            </w:pPr>
            <w:r w:rsidRPr="00EE76B9">
              <w:rPr>
                <w:rStyle w:val="IntenseReference"/>
              </w:rPr>
              <w:t>0.85</w:t>
            </w:r>
          </w:p>
        </w:tc>
        <w:tc>
          <w:tcPr>
            <w:tcW w:w="1276" w:type="dxa"/>
            <w:tcBorders>
              <w:top w:val="nil"/>
              <w:left w:val="nil"/>
              <w:bottom w:val="single" w:sz="8" w:space="0" w:color="auto"/>
              <w:right w:val="single" w:sz="8" w:space="0" w:color="auto"/>
            </w:tcBorders>
            <w:shd w:val="clear" w:color="auto" w:fill="auto"/>
            <w:noWrap/>
            <w:vAlign w:val="bottom"/>
          </w:tcPr>
          <w:p w14:paraId="53C14AF2" w14:textId="77777777" w:rsidR="00EE76B9" w:rsidRPr="00EE76B9" w:rsidRDefault="00EE76B9" w:rsidP="00EE76B9">
            <w:pPr>
              <w:spacing w:after="0"/>
              <w:jc w:val="center"/>
              <w:rPr>
                <w:rStyle w:val="IntenseReference"/>
              </w:rPr>
            </w:pPr>
            <w:r w:rsidRPr="00EE76B9">
              <w:rPr>
                <w:rStyle w:val="IntenseReference"/>
              </w:rPr>
              <w:t>46.0</w:t>
            </w:r>
          </w:p>
        </w:tc>
      </w:tr>
      <w:tr w:rsidR="00EE76B9" w:rsidRPr="00CE4E0F" w14:paraId="53C14AF9" w14:textId="77777777" w:rsidTr="00D2385F">
        <w:trPr>
          <w:trHeight w:hRule="exact" w:val="255"/>
        </w:trPr>
        <w:tc>
          <w:tcPr>
            <w:tcW w:w="2709" w:type="dxa"/>
            <w:vMerge/>
            <w:tcBorders>
              <w:top w:val="nil"/>
              <w:left w:val="single" w:sz="8" w:space="0" w:color="auto"/>
              <w:bottom w:val="single" w:sz="8" w:space="0" w:color="auto"/>
              <w:right w:val="single" w:sz="8" w:space="0" w:color="auto"/>
            </w:tcBorders>
            <w:vAlign w:val="center"/>
            <w:hideMark/>
          </w:tcPr>
          <w:p w14:paraId="53C14AF4" w14:textId="77777777" w:rsidR="00EE76B9" w:rsidRPr="001C0943" w:rsidRDefault="00EE76B9" w:rsidP="00EE76B9">
            <w:pPr>
              <w:spacing w:after="0"/>
              <w:jc w:val="left"/>
              <w:rPr>
                <w:rFonts w:ascii="Arial Narrow" w:hAnsi="Arial Narrow"/>
                <w:color w:val="000000" w:themeColor="text1"/>
                <w:sz w:val="20"/>
                <w:lang w:eastAsia="en-AU"/>
              </w:rPr>
            </w:pPr>
          </w:p>
        </w:tc>
        <w:tc>
          <w:tcPr>
            <w:tcW w:w="1583" w:type="dxa"/>
            <w:tcBorders>
              <w:top w:val="nil"/>
              <w:left w:val="nil"/>
              <w:bottom w:val="single" w:sz="8" w:space="0" w:color="auto"/>
              <w:right w:val="single" w:sz="8" w:space="0" w:color="auto"/>
            </w:tcBorders>
            <w:shd w:val="clear" w:color="auto" w:fill="auto"/>
            <w:noWrap/>
            <w:vAlign w:val="bottom"/>
            <w:hideMark/>
          </w:tcPr>
          <w:p w14:paraId="53C14AF5" w14:textId="77777777" w:rsidR="00EE76B9" w:rsidRPr="001C0943" w:rsidRDefault="00EE76B9" w:rsidP="00EE76B9">
            <w:pPr>
              <w:spacing w:after="0"/>
              <w:jc w:val="left"/>
              <w:rPr>
                <w:rFonts w:ascii="Arial Narrow" w:hAnsi="Arial Narrow"/>
                <w:color w:val="000000" w:themeColor="text1"/>
                <w:sz w:val="20"/>
                <w:lang w:eastAsia="en-AU"/>
              </w:rPr>
            </w:pPr>
            <w:r w:rsidRPr="001C0943">
              <w:rPr>
                <w:rFonts w:ascii="Arial Narrow" w:hAnsi="Arial Narrow"/>
                <w:color w:val="000000" w:themeColor="text1"/>
                <w:sz w:val="20"/>
                <w:lang w:eastAsia="en-AU"/>
              </w:rPr>
              <w:t>Pandora</w:t>
            </w:r>
          </w:p>
        </w:tc>
        <w:tc>
          <w:tcPr>
            <w:tcW w:w="1630" w:type="dxa"/>
            <w:tcBorders>
              <w:top w:val="nil"/>
              <w:left w:val="nil"/>
              <w:bottom w:val="single" w:sz="8" w:space="0" w:color="auto"/>
              <w:right w:val="single" w:sz="8" w:space="0" w:color="auto"/>
            </w:tcBorders>
            <w:shd w:val="clear" w:color="auto" w:fill="auto"/>
            <w:noWrap/>
            <w:vAlign w:val="bottom"/>
            <w:hideMark/>
          </w:tcPr>
          <w:p w14:paraId="53C14AF6" w14:textId="77777777" w:rsidR="00EE76B9" w:rsidRPr="00EE76B9" w:rsidRDefault="00EE76B9" w:rsidP="00EE76B9">
            <w:pPr>
              <w:jc w:val="center"/>
              <w:rPr>
                <w:rStyle w:val="IntenseReference"/>
              </w:rPr>
            </w:pPr>
            <w:r w:rsidRPr="00EE76B9">
              <w:rPr>
                <w:rStyle w:val="IntenseReference"/>
              </w:rPr>
              <w:t>0.46</w:t>
            </w:r>
          </w:p>
        </w:tc>
        <w:tc>
          <w:tcPr>
            <w:tcW w:w="1134" w:type="dxa"/>
            <w:tcBorders>
              <w:top w:val="nil"/>
              <w:left w:val="nil"/>
              <w:bottom w:val="single" w:sz="8" w:space="0" w:color="auto"/>
              <w:right w:val="single" w:sz="8" w:space="0" w:color="auto"/>
            </w:tcBorders>
            <w:shd w:val="clear" w:color="auto" w:fill="auto"/>
            <w:noWrap/>
            <w:vAlign w:val="bottom"/>
            <w:hideMark/>
          </w:tcPr>
          <w:p w14:paraId="53C14AF7" w14:textId="77777777" w:rsidR="00EE76B9" w:rsidRPr="00EE76B9" w:rsidRDefault="00EE76B9" w:rsidP="00EE76B9">
            <w:pPr>
              <w:jc w:val="center"/>
              <w:rPr>
                <w:rStyle w:val="IntenseReference"/>
              </w:rPr>
            </w:pPr>
            <w:r w:rsidRPr="00EE76B9">
              <w:rPr>
                <w:rStyle w:val="IntenseReference"/>
              </w:rPr>
              <w:t>0.84</w:t>
            </w:r>
          </w:p>
        </w:tc>
        <w:tc>
          <w:tcPr>
            <w:tcW w:w="1276" w:type="dxa"/>
            <w:tcBorders>
              <w:top w:val="nil"/>
              <w:left w:val="nil"/>
              <w:bottom w:val="single" w:sz="8" w:space="0" w:color="auto"/>
              <w:right w:val="single" w:sz="8" w:space="0" w:color="auto"/>
            </w:tcBorders>
            <w:shd w:val="clear" w:color="auto" w:fill="auto"/>
            <w:noWrap/>
            <w:vAlign w:val="bottom"/>
            <w:hideMark/>
          </w:tcPr>
          <w:p w14:paraId="53C14AF8" w14:textId="77777777" w:rsidR="00EE76B9" w:rsidRPr="00EE76B9" w:rsidRDefault="00EE76B9" w:rsidP="00EE76B9">
            <w:pPr>
              <w:spacing w:after="0"/>
              <w:jc w:val="center"/>
              <w:rPr>
                <w:rStyle w:val="IntenseReference"/>
              </w:rPr>
            </w:pPr>
            <w:r w:rsidRPr="00EE76B9">
              <w:rPr>
                <w:rStyle w:val="IntenseReference"/>
              </w:rPr>
              <w:t>4.1</w:t>
            </w:r>
          </w:p>
        </w:tc>
      </w:tr>
      <w:tr w:rsidR="00EE76B9" w:rsidRPr="00CE4E0F" w14:paraId="53C14AFF" w14:textId="77777777" w:rsidTr="001C0943">
        <w:trPr>
          <w:trHeight w:hRule="exact" w:val="255"/>
        </w:trPr>
        <w:tc>
          <w:tcPr>
            <w:tcW w:w="2709" w:type="dxa"/>
            <w:vMerge/>
            <w:tcBorders>
              <w:top w:val="nil"/>
              <w:left w:val="single" w:sz="8" w:space="0" w:color="auto"/>
              <w:bottom w:val="single" w:sz="8" w:space="0" w:color="auto"/>
              <w:right w:val="single" w:sz="8" w:space="0" w:color="auto"/>
            </w:tcBorders>
            <w:vAlign w:val="center"/>
            <w:hideMark/>
          </w:tcPr>
          <w:p w14:paraId="53C14AFA" w14:textId="77777777" w:rsidR="00EE76B9" w:rsidRPr="001C0943" w:rsidRDefault="00EE76B9" w:rsidP="00EE76B9">
            <w:pPr>
              <w:spacing w:after="0"/>
              <w:jc w:val="left"/>
              <w:rPr>
                <w:rFonts w:ascii="Arial Narrow" w:hAnsi="Arial Narrow"/>
                <w:color w:val="000000" w:themeColor="text1"/>
                <w:sz w:val="20"/>
                <w:lang w:eastAsia="en-AU"/>
              </w:rPr>
            </w:pPr>
          </w:p>
        </w:tc>
        <w:tc>
          <w:tcPr>
            <w:tcW w:w="1583" w:type="dxa"/>
            <w:tcBorders>
              <w:top w:val="nil"/>
              <w:left w:val="nil"/>
              <w:bottom w:val="single" w:sz="8" w:space="0" w:color="auto"/>
              <w:right w:val="single" w:sz="8" w:space="0" w:color="auto"/>
            </w:tcBorders>
            <w:shd w:val="clear" w:color="auto" w:fill="auto"/>
            <w:noWrap/>
            <w:vAlign w:val="bottom"/>
          </w:tcPr>
          <w:p w14:paraId="53C14AFB" w14:textId="77777777" w:rsidR="00EE76B9" w:rsidRPr="001C0943" w:rsidRDefault="00EE76B9" w:rsidP="00EE76B9">
            <w:pPr>
              <w:spacing w:after="0"/>
              <w:jc w:val="left"/>
              <w:rPr>
                <w:rFonts w:ascii="Arial Narrow" w:hAnsi="Arial Narrow"/>
                <w:color w:val="000000" w:themeColor="text1"/>
                <w:sz w:val="20"/>
                <w:lang w:eastAsia="en-AU"/>
              </w:rPr>
            </w:pPr>
            <w:r w:rsidRPr="001C0943">
              <w:rPr>
                <w:rFonts w:ascii="Arial Narrow" w:hAnsi="Arial Narrow"/>
                <w:color w:val="000000" w:themeColor="text1"/>
                <w:sz w:val="20"/>
                <w:lang w:eastAsia="en-AU"/>
              </w:rPr>
              <w:t>Lady Elliot</w:t>
            </w:r>
          </w:p>
        </w:tc>
        <w:tc>
          <w:tcPr>
            <w:tcW w:w="1630" w:type="dxa"/>
            <w:tcBorders>
              <w:top w:val="nil"/>
              <w:left w:val="nil"/>
              <w:bottom w:val="single" w:sz="8" w:space="0" w:color="auto"/>
              <w:right w:val="single" w:sz="8" w:space="0" w:color="auto"/>
            </w:tcBorders>
            <w:shd w:val="clear" w:color="auto" w:fill="auto"/>
            <w:noWrap/>
            <w:vAlign w:val="bottom"/>
          </w:tcPr>
          <w:p w14:paraId="53C14AFC" w14:textId="77777777" w:rsidR="00EE76B9" w:rsidRPr="00EE76B9" w:rsidRDefault="00EE76B9" w:rsidP="00EE76B9">
            <w:pPr>
              <w:jc w:val="center"/>
              <w:rPr>
                <w:rStyle w:val="IntenseReference"/>
              </w:rPr>
            </w:pPr>
            <w:r w:rsidRPr="00EE76B9">
              <w:rPr>
                <w:rStyle w:val="IntenseReference"/>
              </w:rPr>
              <w:t>0.63</w:t>
            </w:r>
          </w:p>
        </w:tc>
        <w:tc>
          <w:tcPr>
            <w:tcW w:w="1134" w:type="dxa"/>
            <w:tcBorders>
              <w:top w:val="nil"/>
              <w:left w:val="nil"/>
              <w:bottom w:val="single" w:sz="8" w:space="0" w:color="auto"/>
              <w:right w:val="single" w:sz="8" w:space="0" w:color="auto"/>
            </w:tcBorders>
            <w:shd w:val="clear" w:color="auto" w:fill="auto"/>
            <w:noWrap/>
            <w:vAlign w:val="bottom"/>
          </w:tcPr>
          <w:p w14:paraId="53C14AFD" w14:textId="77777777" w:rsidR="00EE76B9" w:rsidRPr="00EE76B9" w:rsidRDefault="00EE76B9" w:rsidP="00EE76B9">
            <w:pPr>
              <w:jc w:val="center"/>
              <w:rPr>
                <w:rStyle w:val="IntenseReference"/>
              </w:rPr>
            </w:pPr>
            <w:r w:rsidRPr="00EE76B9">
              <w:rPr>
                <w:rStyle w:val="IntenseReference"/>
              </w:rPr>
              <w:t>1.09</w:t>
            </w:r>
          </w:p>
        </w:tc>
        <w:tc>
          <w:tcPr>
            <w:tcW w:w="1276" w:type="dxa"/>
            <w:tcBorders>
              <w:top w:val="nil"/>
              <w:left w:val="nil"/>
              <w:bottom w:val="single" w:sz="8" w:space="0" w:color="auto"/>
              <w:right w:val="single" w:sz="8" w:space="0" w:color="auto"/>
            </w:tcBorders>
            <w:shd w:val="clear" w:color="auto" w:fill="auto"/>
            <w:noWrap/>
            <w:vAlign w:val="bottom"/>
          </w:tcPr>
          <w:p w14:paraId="53C14AFE" w14:textId="77777777" w:rsidR="00EE76B9" w:rsidRPr="00EE76B9" w:rsidRDefault="00EE76B9" w:rsidP="00EE76B9">
            <w:pPr>
              <w:spacing w:after="0"/>
              <w:jc w:val="center"/>
              <w:rPr>
                <w:rStyle w:val="IntenseReference"/>
              </w:rPr>
            </w:pPr>
            <w:r w:rsidRPr="00EE76B9">
              <w:rPr>
                <w:rStyle w:val="IntenseReference"/>
              </w:rPr>
              <w:t>14.5</w:t>
            </w:r>
          </w:p>
        </w:tc>
      </w:tr>
      <w:tr w:rsidR="00EE76B9" w:rsidRPr="00CE4E0F" w14:paraId="53C14B05" w14:textId="77777777" w:rsidTr="001C0943">
        <w:trPr>
          <w:trHeight w:hRule="exact" w:val="255"/>
        </w:trPr>
        <w:tc>
          <w:tcPr>
            <w:tcW w:w="2709" w:type="dxa"/>
            <w:vMerge/>
            <w:tcBorders>
              <w:top w:val="nil"/>
              <w:left w:val="single" w:sz="8" w:space="0" w:color="auto"/>
              <w:bottom w:val="single" w:sz="8" w:space="0" w:color="auto"/>
              <w:right w:val="single" w:sz="8" w:space="0" w:color="auto"/>
            </w:tcBorders>
            <w:vAlign w:val="center"/>
            <w:hideMark/>
          </w:tcPr>
          <w:p w14:paraId="53C14B00" w14:textId="77777777" w:rsidR="00EE76B9" w:rsidRPr="001C0943" w:rsidRDefault="00EE76B9" w:rsidP="00EE76B9">
            <w:pPr>
              <w:spacing w:after="0"/>
              <w:jc w:val="left"/>
              <w:rPr>
                <w:rFonts w:ascii="Arial Narrow" w:hAnsi="Arial Narrow"/>
                <w:color w:val="000000" w:themeColor="text1"/>
                <w:sz w:val="20"/>
                <w:lang w:eastAsia="en-AU"/>
              </w:rPr>
            </w:pPr>
          </w:p>
        </w:tc>
        <w:tc>
          <w:tcPr>
            <w:tcW w:w="1583" w:type="dxa"/>
            <w:tcBorders>
              <w:top w:val="nil"/>
              <w:left w:val="nil"/>
              <w:bottom w:val="single" w:sz="8" w:space="0" w:color="auto"/>
              <w:right w:val="single" w:sz="8" w:space="0" w:color="auto"/>
            </w:tcBorders>
            <w:shd w:val="clear" w:color="auto" w:fill="auto"/>
            <w:noWrap/>
            <w:vAlign w:val="bottom"/>
            <w:hideMark/>
          </w:tcPr>
          <w:p w14:paraId="53C14B01" w14:textId="77777777" w:rsidR="00EE76B9" w:rsidRPr="001C0943" w:rsidRDefault="00EE76B9" w:rsidP="00EE76B9">
            <w:pPr>
              <w:spacing w:after="0"/>
              <w:jc w:val="left"/>
              <w:rPr>
                <w:rFonts w:ascii="Arial Narrow" w:hAnsi="Arial Narrow"/>
                <w:color w:val="000000" w:themeColor="text1"/>
                <w:sz w:val="20"/>
                <w:lang w:eastAsia="en-AU"/>
              </w:rPr>
            </w:pPr>
            <w:r w:rsidRPr="001C0943">
              <w:rPr>
                <w:rFonts w:ascii="Arial Narrow" w:hAnsi="Arial Narrow"/>
                <w:color w:val="000000" w:themeColor="text1"/>
                <w:sz w:val="20"/>
                <w:lang w:eastAsia="en-AU"/>
              </w:rPr>
              <w:t>Magnetic</w:t>
            </w:r>
          </w:p>
        </w:tc>
        <w:tc>
          <w:tcPr>
            <w:tcW w:w="1630" w:type="dxa"/>
            <w:tcBorders>
              <w:top w:val="nil"/>
              <w:left w:val="nil"/>
              <w:bottom w:val="single" w:sz="8" w:space="0" w:color="auto"/>
              <w:right w:val="single" w:sz="8" w:space="0" w:color="auto"/>
            </w:tcBorders>
            <w:shd w:val="clear" w:color="auto" w:fill="auto"/>
            <w:noWrap/>
            <w:vAlign w:val="bottom"/>
            <w:hideMark/>
          </w:tcPr>
          <w:p w14:paraId="53C14B02" w14:textId="77777777" w:rsidR="00EE76B9" w:rsidRPr="00EE76B9" w:rsidRDefault="00EE76B9" w:rsidP="00EE76B9">
            <w:pPr>
              <w:jc w:val="center"/>
              <w:rPr>
                <w:rStyle w:val="IntenseReference"/>
              </w:rPr>
            </w:pPr>
            <w:r w:rsidRPr="00EE76B9">
              <w:rPr>
                <w:rStyle w:val="IntenseReference"/>
              </w:rPr>
              <w:t>0.67</w:t>
            </w:r>
          </w:p>
        </w:tc>
        <w:tc>
          <w:tcPr>
            <w:tcW w:w="1134" w:type="dxa"/>
            <w:tcBorders>
              <w:top w:val="nil"/>
              <w:left w:val="nil"/>
              <w:bottom w:val="single" w:sz="8" w:space="0" w:color="auto"/>
              <w:right w:val="single" w:sz="8" w:space="0" w:color="auto"/>
            </w:tcBorders>
            <w:shd w:val="clear" w:color="auto" w:fill="auto"/>
            <w:noWrap/>
            <w:vAlign w:val="bottom"/>
            <w:hideMark/>
          </w:tcPr>
          <w:p w14:paraId="53C14B03" w14:textId="77777777" w:rsidR="00EE76B9" w:rsidRPr="00EE76B9" w:rsidRDefault="00EE76B9" w:rsidP="00EE76B9">
            <w:pPr>
              <w:jc w:val="center"/>
              <w:rPr>
                <w:rStyle w:val="IntenseReference"/>
              </w:rPr>
            </w:pPr>
            <w:r w:rsidRPr="00EE76B9">
              <w:rPr>
                <w:rStyle w:val="IntenseReference"/>
              </w:rPr>
              <w:t>1.91</w:t>
            </w:r>
          </w:p>
        </w:tc>
        <w:tc>
          <w:tcPr>
            <w:tcW w:w="1276" w:type="dxa"/>
            <w:tcBorders>
              <w:top w:val="nil"/>
              <w:left w:val="nil"/>
              <w:bottom w:val="single" w:sz="8" w:space="0" w:color="auto"/>
              <w:right w:val="single" w:sz="8" w:space="0" w:color="auto"/>
            </w:tcBorders>
            <w:shd w:val="clear" w:color="auto" w:fill="auto"/>
            <w:noWrap/>
            <w:vAlign w:val="bottom"/>
            <w:hideMark/>
          </w:tcPr>
          <w:p w14:paraId="53C14B04" w14:textId="77777777" w:rsidR="00EE76B9" w:rsidRPr="00EE76B9" w:rsidRDefault="00EE76B9" w:rsidP="00EE76B9">
            <w:pPr>
              <w:spacing w:after="0"/>
              <w:jc w:val="center"/>
              <w:rPr>
                <w:rStyle w:val="IntenseReference"/>
              </w:rPr>
            </w:pPr>
            <w:r w:rsidRPr="00EE76B9">
              <w:rPr>
                <w:rStyle w:val="IntenseReference"/>
              </w:rPr>
              <w:t>10.0</w:t>
            </w:r>
          </w:p>
        </w:tc>
      </w:tr>
      <w:tr w:rsidR="00EE76B9" w:rsidRPr="00CE4E0F" w14:paraId="53C14B0B" w14:textId="77777777" w:rsidTr="001C0943">
        <w:trPr>
          <w:trHeight w:hRule="exact" w:val="255"/>
        </w:trPr>
        <w:tc>
          <w:tcPr>
            <w:tcW w:w="2709" w:type="dxa"/>
            <w:vMerge/>
            <w:tcBorders>
              <w:top w:val="nil"/>
              <w:left w:val="single" w:sz="8" w:space="0" w:color="auto"/>
              <w:bottom w:val="single" w:sz="8" w:space="0" w:color="auto"/>
              <w:right w:val="single" w:sz="8" w:space="0" w:color="auto"/>
            </w:tcBorders>
            <w:vAlign w:val="center"/>
            <w:hideMark/>
          </w:tcPr>
          <w:p w14:paraId="53C14B06" w14:textId="77777777" w:rsidR="00EE76B9" w:rsidRPr="001C0943" w:rsidRDefault="00EE76B9" w:rsidP="00EE76B9">
            <w:pPr>
              <w:spacing w:after="0"/>
              <w:jc w:val="left"/>
              <w:rPr>
                <w:rFonts w:ascii="Arial Narrow" w:hAnsi="Arial Narrow"/>
                <w:color w:val="000000" w:themeColor="text1"/>
                <w:sz w:val="20"/>
                <w:lang w:eastAsia="en-AU"/>
              </w:rPr>
            </w:pPr>
          </w:p>
        </w:tc>
        <w:tc>
          <w:tcPr>
            <w:tcW w:w="1583" w:type="dxa"/>
            <w:tcBorders>
              <w:top w:val="nil"/>
              <w:left w:val="nil"/>
              <w:bottom w:val="single" w:sz="8" w:space="0" w:color="auto"/>
              <w:right w:val="single" w:sz="8" w:space="0" w:color="auto"/>
            </w:tcBorders>
            <w:shd w:val="clear" w:color="auto" w:fill="auto"/>
            <w:noWrap/>
            <w:vAlign w:val="bottom"/>
            <w:hideMark/>
          </w:tcPr>
          <w:p w14:paraId="53C14B07" w14:textId="77777777" w:rsidR="00EE76B9" w:rsidRPr="001C0943" w:rsidRDefault="00EE76B9" w:rsidP="00EE76B9">
            <w:pPr>
              <w:spacing w:after="0"/>
              <w:jc w:val="left"/>
              <w:rPr>
                <w:rFonts w:ascii="Arial Narrow" w:hAnsi="Arial Narrow"/>
                <w:color w:val="000000" w:themeColor="text1"/>
                <w:sz w:val="20"/>
                <w:lang w:eastAsia="en-AU"/>
              </w:rPr>
            </w:pPr>
            <w:r w:rsidRPr="001C0943">
              <w:rPr>
                <w:rFonts w:ascii="Arial Narrow" w:hAnsi="Arial Narrow"/>
                <w:color w:val="000000" w:themeColor="text1"/>
                <w:sz w:val="20"/>
                <w:lang w:eastAsia="en-AU"/>
              </w:rPr>
              <w:t>Middle Rf</w:t>
            </w:r>
          </w:p>
        </w:tc>
        <w:tc>
          <w:tcPr>
            <w:tcW w:w="1630" w:type="dxa"/>
            <w:tcBorders>
              <w:top w:val="nil"/>
              <w:left w:val="nil"/>
              <w:bottom w:val="single" w:sz="8" w:space="0" w:color="auto"/>
              <w:right w:val="single" w:sz="8" w:space="0" w:color="auto"/>
            </w:tcBorders>
            <w:shd w:val="clear" w:color="auto" w:fill="auto"/>
            <w:noWrap/>
            <w:vAlign w:val="bottom"/>
            <w:hideMark/>
          </w:tcPr>
          <w:p w14:paraId="53C14B08" w14:textId="77777777" w:rsidR="00EE76B9" w:rsidRPr="00EE76B9" w:rsidRDefault="00EE76B9" w:rsidP="00EE76B9">
            <w:pPr>
              <w:jc w:val="center"/>
              <w:rPr>
                <w:rStyle w:val="IntenseReference"/>
              </w:rPr>
            </w:pPr>
            <w:r w:rsidRPr="00EE76B9">
              <w:rPr>
                <w:rStyle w:val="IntenseReference"/>
              </w:rPr>
              <w:t>0.89</w:t>
            </w:r>
          </w:p>
        </w:tc>
        <w:tc>
          <w:tcPr>
            <w:tcW w:w="1134" w:type="dxa"/>
            <w:tcBorders>
              <w:top w:val="nil"/>
              <w:left w:val="nil"/>
              <w:bottom w:val="single" w:sz="8" w:space="0" w:color="auto"/>
              <w:right w:val="single" w:sz="8" w:space="0" w:color="auto"/>
            </w:tcBorders>
            <w:shd w:val="clear" w:color="auto" w:fill="auto"/>
            <w:noWrap/>
            <w:vAlign w:val="bottom"/>
            <w:hideMark/>
          </w:tcPr>
          <w:p w14:paraId="53C14B09" w14:textId="77777777" w:rsidR="00EE76B9" w:rsidRPr="00EE76B9" w:rsidRDefault="00EE76B9" w:rsidP="00EE76B9">
            <w:pPr>
              <w:jc w:val="center"/>
              <w:rPr>
                <w:rStyle w:val="IntenseReference"/>
              </w:rPr>
            </w:pPr>
            <w:r w:rsidRPr="00EE76B9">
              <w:rPr>
                <w:rStyle w:val="IntenseReference"/>
              </w:rPr>
              <w:t>3.39</w:t>
            </w:r>
          </w:p>
        </w:tc>
        <w:tc>
          <w:tcPr>
            <w:tcW w:w="1276" w:type="dxa"/>
            <w:tcBorders>
              <w:top w:val="nil"/>
              <w:left w:val="nil"/>
              <w:bottom w:val="single" w:sz="8" w:space="0" w:color="auto"/>
              <w:right w:val="single" w:sz="8" w:space="0" w:color="auto"/>
            </w:tcBorders>
            <w:shd w:val="clear" w:color="auto" w:fill="auto"/>
            <w:noWrap/>
            <w:vAlign w:val="bottom"/>
            <w:hideMark/>
          </w:tcPr>
          <w:p w14:paraId="53C14B0A" w14:textId="77777777" w:rsidR="00EE76B9" w:rsidRPr="00EE76B9" w:rsidRDefault="00EE76B9" w:rsidP="00EE76B9">
            <w:pPr>
              <w:spacing w:after="0"/>
              <w:jc w:val="center"/>
              <w:rPr>
                <w:rStyle w:val="IntenseReference"/>
              </w:rPr>
            </w:pPr>
            <w:r w:rsidRPr="00EE76B9">
              <w:rPr>
                <w:rStyle w:val="IntenseReference"/>
              </w:rPr>
              <w:t>51.5</w:t>
            </w:r>
          </w:p>
        </w:tc>
      </w:tr>
      <w:tr w:rsidR="00EE76B9" w:rsidRPr="00CE4E0F" w14:paraId="53C14B11" w14:textId="77777777" w:rsidTr="001C0943">
        <w:trPr>
          <w:trHeight w:hRule="exact" w:val="255"/>
        </w:trPr>
        <w:tc>
          <w:tcPr>
            <w:tcW w:w="2709" w:type="dxa"/>
            <w:vMerge w:val="restart"/>
            <w:tcBorders>
              <w:top w:val="nil"/>
              <w:left w:val="single" w:sz="8" w:space="0" w:color="auto"/>
              <w:right w:val="single" w:sz="8" w:space="0" w:color="auto"/>
            </w:tcBorders>
            <w:shd w:val="clear" w:color="auto" w:fill="auto"/>
            <w:noWrap/>
            <w:vAlign w:val="center"/>
            <w:hideMark/>
          </w:tcPr>
          <w:p w14:paraId="53C14B0C" w14:textId="77777777" w:rsidR="00EE76B9" w:rsidRPr="001C0943" w:rsidRDefault="00EE76B9" w:rsidP="00EE76B9">
            <w:pPr>
              <w:spacing w:after="0"/>
              <w:jc w:val="left"/>
              <w:rPr>
                <w:rFonts w:ascii="Arial Narrow" w:hAnsi="Arial Narrow"/>
                <w:color w:val="000000" w:themeColor="text1"/>
                <w:sz w:val="20"/>
                <w:lang w:eastAsia="en-AU"/>
              </w:rPr>
            </w:pPr>
            <w:r>
              <w:rPr>
                <w:rFonts w:ascii="Arial Narrow" w:hAnsi="Arial Narrow"/>
                <w:color w:val="000000" w:themeColor="text1"/>
                <w:sz w:val="20"/>
                <w:lang w:eastAsia="en-AU"/>
              </w:rPr>
              <w:t>Mackay-Whitsunday</w:t>
            </w:r>
          </w:p>
        </w:tc>
        <w:tc>
          <w:tcPr>
            <w:tcW w:w="1583" w:type="dxa"/>
            <w:tcBorders>
              <w:top w:val="nil"/>
              <w:left w:val="nil"/>
              <w:bottom w:val="single" w:sz="8" w:space="0" w:color="auto"/>
              <w:right w:val="single" w:sz="8" w:space="0" w:color="auto"/>
            </w:tcBorders>
            <w:shd w:val="clear" w:color="auto" w:fill="auto"/>
            <w:noWrap/>
            <w:vAlign w:val="bottom"/>
            <w:hideMark/>
          </w:tcPr>
          <w:p w14:paraId="53C14B0D" w14:textId="77777777" w:rsidR="00EE76B9" w:rsidRPr="001C0943" w:rsidRDefault="00EE76B9" w:rsidP="00EE76B9">
            <w:pPr>
              <w:spacing w:after="0"/>
              <w:jc w:val="left"/>
              <w:rPr>
                <w:rFonts w:ascii="Arial Narrow" w:hAnsi="Arial Narrow"/>
                <w:color w:val="000000" w:themeColor="text1"/>
                <w:sz w:val="20"/>
                <w:lang w:eastAsia="en-AU"/>
              </w:rPr>
            </w:pPr>
            <w:r w:rsidRPr="001C0943">
              <w:rPr>
                <w:rFonts w:ascii="Arial Narrow" w:hAnsi="Arial Narrow"/>
                <w:color w:val="000000" w:themeColor="text1"/>
                <w:sz w:val="20"/>
                <w:lang w:eastAsia="en-AU"/>
              </w:rPr>
              <w:t>Hayman</w:t>
            </w:r>
          </w:p>
        </w:tc>
        <w:tc>
          <w:tcPr>
            <w:tcW w:w="1630" w:type="dxa"/>
            <w:tcBorders>
              <w:top w:val="nil"/>
              <w:left w:val="nil"/>
              <w:bottom w:val="single" w:sz="8" w:space="0" w:color="auto"/>
              <w:right w:val="single" w:sz="8" w:space="0" w:color="auto"/>
            </w:tcBorders>
            <w:shd w:val="clear" w:color="auto" w:fill="auto"/>
            <w:noWrap/>
            <w:vAlign w:val="bottom"/>
            <w:hideMark/>
          </w:tcPr>
          <w:p w14:paraId="53C14B0E" w14:textId="77777777" w:rsidR="00EE76B9" w:rsidRPr="00EE76B9" w:rsidRDefault="00EE76B9" w:rsidP="00EE76B9">
            <w:pPr>
              <w:jc w:val="center"/>
              <w:rPr>
                <w:rStyle w:val="IntenseReference"/>
              </w:rPr>
            </w:pPr>
            <w:r w:rsidRPr="00EE76B9">
              <w:rPr>
                <w:rStyle w:val="IntenseReference"/>
              </w:rPr>
              <w:t>0.29</w:t>
            </w:r>
          </w:p>
        </w:tc>
        <w:tc>
          <w:tcPr>
            <w:tcW w:w="1134" w:type="dxa"/>
            <w:tcBorders>
              <w:top w:val="nil"/>
              <w:left w:val="nil"/>
              <w:bottom w:val="single" w:sz="8" w:space="0" w:color="auto"/>
              <w:right w:val="single" w:sz="8" w:space="0" w:color="auto"/>
            </w:tcBorders>
            <w:shd w:val="clear" w:color="auto" w:fill="auto"/>
            <w:noWrap/>
            <w:vAlign w:val="bottom"/>
            <w:hideMark/>
          </w:tcPr>
          <w:p w14:paraId="53C14B0F" w14:textId="77777777" w:rsidR="00EE76B9" w:rsidRPr="00EE76B9" w:rsidRDefault="00EE76B9" w:rsidP="00EE76B9">
            <w:pPr>
              <w:jc w:val="center"/>
              <w:rPr>
                <w:rStyle w:val="IntenseReference"/>
              </w:rPr>
            </w:pPr>
            <w:r w:rsidRPr="00EE76B9">
              <w:rPr>
                <w:rStyle w:val="IntenseReference"/>
              </w:rPr>
              <w:t>0.79</w:t>
            </w:r>
          </w:p>
        </w:tc>
        <w:tc>
          <w:tcPr>
            <w:tcW w:w="1276" w:type="dxa"/>
            <w:tcBorders>
              <w:top w:val="nil"/>
              <w:left w:val="nil"/>
              <w:bottom w:val="single" w:sz="8" w:space="0" w:color="auto"/>
              <w:right w:val="single" w:sz="8" w:space="0" w:color="auto"/>
            </w:tcBorders>
            <w:shd w:val="clear" w:color="auto" w:fill="auto"/>
            <w:noWrap/>
            <w:vAlign w:val="bottom"/>
            <w:hideMark/>
          </w:tcPr>
          <w:p w14:paraId="53C14B10" w14:textId="77777777" w:rsidR="00EE76B9" w:rsidRPr="00EE76B9" w:rsidRDefault="00EE76B9" w:rsidP="00EE76B9">
            <w:pPr>
              <w:spacing w:after="0"/>
              <w:jc w:val="center"/>
              <w:rPr>
                <w:rStyle w:val="IntenseReference"/>
              </w:rPr>
            </w:pPr>
            <w:r w:rsidRPr="00EE76B9">
              <w:rPr>
                <w:rStyle w:val="IntenseReference"/>
              </w:rPr>
              <w:t>8.0</w:t>
            </w:r>
          </w:p>
        </w:tc>
      </w:tr>
      <w:tr w:rsidR="00EE76B9" w:rsidRPr="00CE4E0F" w14:paraId="53C14B17" w14:textId="77777777" w:rsidTr="001C0943">
        <w:trPr>
          <w:trHeight w:hRule="exact" w:val="255"/>
        </w:trPr>
        <w:tc>
          <w:tcPr>
            <w:tcW w:w="2709" w:type="dxa"/>
            <w:vMerge/>
            <w:tcBorders>
              <w:left w:val="single" w:sz="8" w:space="0" w:color="auto"/>
              <w:right w:val="single" w:sz="8" w:space="0" w:color="auto"/>
            </w:tcBorders>
            <w:shd w:val="clear" w:color="auto" w:fill="auto"/>
            <w:vAlign w:val="center"/>
            <w:hideMark/>
          </w:tcPr>
          <w:p w14:paraId="53C14B12" w14:textId="77777777" w:rsidR="00EE76B9" w:rsidRPr="001C0943" w:rsidRDefault="00EE76B9" w:rsidP="00EE76B9">
            <w:pPr>
              <w:spacing w:after="0"/>
              <w:jc w:val="left"/>
              <w:rPr>
                <w:rFonts w:ascii="Arial Narrow" w:hAnsi="Arial Narrow"/>
                <w:color w:val="000000" w:themeColor="text1"/>
                <w:sz w:val="20"/>
                <w:lang w:eastAsia="en-AU"/>
              </w:rPr>
            </w:pPr>
          </w:p>
        </w:tc>
        <w:tc>
          <w:tcPr>
            <w:tcW w:w="1583" w:type="dxa"/>
            <w:tcBorders>
              <w:top w:val="nil"/>
              <w:left w:val="nil"/>
              <w:bottom w:val="single" w:sz="8" w:space="0" w:color="auto"/>
              <w:right w:val="single" w:sz="8" w:space="0" w:color="auto"/>
            </w:tcBorders>
            <w:shd w:val="clear" w:color="auto" w:fill="auto"/>
            <w:noWrap/>
            <w:vAlign w:val="bottom"/>
            <w:hideMark/>
          </w:tcPr>
          <w:p w14:paraId="53C14B13" w14:textId="77777777" w:rsidR="00EE76B9" w:rsidRPr="001C0943" w:rsidRDefault="00EE76B9" w:rsidP="00EE76B9">
            <w:pPr>
              <w:spacing w:after="0"/>
              <w:jc w:val="left"/>
              <w:rPr>
                <w:rFonts w:ascii="Arial Narrow" w:hAnsi="Arial Narrow"/>
                <w:color w:val="000000" w:themeColor="text1"/>
                <w:sz w:val="20"/>
                <w:lang w:eastAsia="en-AU"/>
              </w:rPr>
            </w:pPr>
            <w:r w:rsidRPr="001C0943">
              <w:rPr>
                <w:rFonts w:ascii="Arial Narrow" w:hAnsi="Arial Narrow"/>
                <w:color w:val="000000" w:themeColor="text1"/>
                <w:sz w:val="20"/>
                <w:lang w:eastAsia="en-AU"/>
              </w:rPr>
              <w:t>Langford</w:t>
            </w:r>
          </w:p>
        </w:tc>
        <w:tc>
          <w:tcPr>
            <w:tcW w:w="1630" w:type="dxa"/>
            <w:tcBorders>
              <w:top w:val="nil"/>
              <w:left w:val="nil"/>
              <w:bottom w:val="single" w:sz="8" w:space="0" w:color="auto"/>
              <w:right w:val="single" w:sz="8" w:space="0" w:color="auto"/>
            </w:tcBorders>
            <w:shd w:val="clear" w:color="auto" w:fill="auto"/>
            <w:noWrap/>
            <w:vAlign w:val="bottom"/>
            <w:hideMark/>
          </w:tcPr>
          <w:p w14:paraId="53C14B14" w14:textId="77777777" w:rsidR="00EE76B9" w:rsidRPr="00EE76B9" w:rsidRDefault="00EE76B9" w:rsidP="00EE76B9">
            <w:pPr>
              <w:jc w:val="center"/>
              <w:rPr>
                <w:rStyle w:val="IntenseReference"/>
              </w:rPr>
            </w:pPr>
            <w:r w:rsidRPr="00EE76B9">
              <w:rPr>
                <w:rStyle w:val="IntenseReference"/>
              </w:rPr>
              <w:t>0.30</w:t>
            </w:r>
          </w:p>
        </w:tc>
        <w:tc>
          <w:tcPr>
            <w:tcW w:w="1134" w:type="dxa"/>
            <w:tcBorders>
              <w:top w:val="nil"/>
              <w:left w:val="nil"/>
              <w:bottom w:val="single" w:sz="8" w:space="0" w:color="auto"/>
              <w:right w:val="single" w:sz="8" w:space="0" w:color="auto"/>
            </w:tcBorders>
            <w:shd w:val="clear" w:color="auto" w:fill="auto"/>
            <w:noWrap/>
            <w:vAlign w:val="bottom"/>
            <w:hideMark/>
          </w:tcPr>
          <w:p w14:paraId="53C14B15" w14:textId="77777777" w:rsidR="00EE76B9" w:rsidRPr="00EE76B9" w:rsidRDefault="00EE76B9" w:rsidP="00EE76B9">
            <w:pPr>
              <w:jc w:val="center"/>
              <w:rPr>
                <w:rStyle w:val="IntenseReference"/>
              </w:rPr>
            </w:pPr>
            <w:r w:rsidRPr="00EE76B9">
              <w:rPr>
                <w:rStyle w:val="IntenseReference"/>
              </w:rPr>
              <w:t>0.90</w:t>
            </w:r>
          </w:p>
        </w:tc>
        <w:tc>
          <w:tcPr>
            <w:tcW w:w="1276" w:type="dxa"/>
            <w:tcBorders>
              <w:top w:val="nil"/>
              <w:left w:val="nil"/>
              <w:bottom w:val="single" w:sz="8" w:space="0" w:color="auto"/>
              <w:right w:val="single" w:sz="8" w:space="0" w:color="auto"/>
            </w:tcBorders>
            <w:shd w:val="clear" w:color="auto" w:fill="auto"/>
            <w:noWrap/>
            <w:vAlign w:val="bottom"/>
            <w:hideMark/>
          </w:tcPr>
          <w:p w14:paraId="53C14B16" w14:textId="77777777" w:rsidR="00EE76B9" w:rsidRPr="00EE76B9" w:rsidRDefault="00EE76B9" w:rsidP="00EE76B9">
            <w:pPr>
              <w:spacing w:after="0"/>
              <w:jc w:val="center"/>
              <w:rPr>
                <w:rStyle w:val="IntenseReference"/>
              </w:rPr>
            </w:pPr>
            <w:r w:rsidRPr="00EE76B9">
              <w:rPr>
                <w:rStyle w:val="IntenseReference"/>
              </w:rPr>
              <w:t>46.0</w:t>
            </w:r>
          </w:p>
        </w:tc>
      </w:tr>
      <w:tr w:rsidR="00EE76B9" w:rsidRPr="00CE4E0F" w14:paraId="53C14B1D" w14:textId="77777777" w:rsidTr="001C0943">
        <w:trPr>
          <w:trHeight w:hRule="exact" w:val="255"/>
        </w:trPr>
        <w:tc>
          <w:tcPr>
            <w:tcW w:w="2709" w:type="dxa"/>
            <w:vMerge/>
            <w:tcBorders>
              <w:left w:val="single" w:sz="8" w:space="0" w:color="auto"/>
              <w:right w:val="single" w:sz="8" w:space="0" w:color="auto"/>
            </w:tcBorders>
            <w:shd w:val="clear" w:color="auto" w:fill="auto"/>
            <w:vAlign w:val="center"/>
            <w:hideMark/>
          </w:tcPr>
          <w:p w14:paraId="53C14B18" w14:textId="77777777" w:rsidR="00EE76B9" w:rsidRPr="001C0943" w:rsidRDefault="00EE76B9" w:rsidP="00EE76B9">
            <w:pPr>
              <w:spacing w:after="0"/>
              <w:jc w:val="left"/>
              <w:rPr>
                <w:rFonts w:ascii="Arial Narrow" w:hAnsi="Arial Narrow"/>
                <w:color w:val="000000" w:themeColor="text1"/>
                <w:sz w:val="20"/>
                <w:lang w:eastAsia="en-AU"/>
              </w:rPr>
            </w:pPr>
          </w:p>
        </w:tc>
        <w:tc>
          <w:tcPr>
            <w:tcW w:w="1583" w:type="dxa"/>
            <w:tcBorders>
              <w:top w:val="nil"/>
              <w:left w:val="nil"/>
              <w:bottom w:val="single" w:sz="8" w:space="0" w:color="auto"/>
              <w:right w:val="single" w:sz="8" w:space="0" w:color="auto"/>
            </w:tcBorders>
            <w:shd w:val="clear" w:color="auto" w:fill="auto"/>
            <w:noWrap/>
            <w:vAlign w:val="bottom"/>
            <w:hideMark/>
          </w:tcPr>
          <w:p w14:paraId="53C14B19" w14:textId="77777777" w:rsidR="00EE76B9" w:rsidRPr="001C0943" w:rsidRDefault="00EE76B9" w:rsidP="00EE76B9">
            <w:pPr>
              <w:spacing w:after="0"/>
              <w:jc w:val="left"/>
              <w:rPr>
                <w:rFonts w:ascii="Arial Narrow" w:hAnsi="Arial Narrow"/>
                <w:color w:val="000000" w:themeColor="text1"/>
                <w:sz w:val="20"/>
                <w:lang w:eastAsia="en-AU"/>
              </w:rPr>
            </w:pPr>
            <w:r w:rsidRPr="001C0943">
              <w:rPr>
                <w:rFonts w:ascii="Arial Narrow" w:hAnsi="Arial Narrow"/>
                <w:color w:val="000000" w:themeColor="text1"/>
                <w:sz w:val="20"/>
                <w:lang w:eastAsia="en-AU"/>
              </w:rPr>
              <w:t>Border</w:t>
            </w:r>
          </w:p>
        </w:tc>
        <w:tc>
          <w:tcPr>
            <w:tcW w:w="1630" w:type="dxa"/>
            <w:tcBorders>
              <w:top w:val="nil"/>
              <w:left w:val="nil"/>
              <w:bottom w:val="single" w:sz="8" w:space="0" w:color="auto"/>
              <w:right w:val="single" w:sz="8" w:space="0" w:color="auto"/>
            </w:tcBorders>
            <w:shd w:val="clear" w:color="auto" w:fill="auto"/>
            <w:noWrap/>
            <w:vAlign w:val="bottom"/>
            <w:hideMark/>
          </w:tcPr>
          <w:p w14:paraId="53C14B1A" w14:textId="77777777" w:rsidR="00EE76B9" w:rsidRPr="00EE76B9" w:rsidRDefault="00EE76B9" w:rsidP="00EE76B9">
            <w:pPr>
              <w:jc w:val="center"/>
              <w:rPr>
                <w:rStyle w:val="IntenseReference"/>
              </w:rPr>
            </w:pPr>
            <w:r w:rsidRPr="00EE76B9">
              <w:rPr>
                <w:rStyle w:val="IntenseReference"/>
              </w:rPr>
              <w:t>0.31</w:t>
            </w:r>
          </w:p>
        </w:tc>
        <w:tc>
          <w:tcPr>
            <w:tcW w:w="1134" w:type="dxa"/>
            <w:tcBorders>
              <w:top w:val="nil"/>
              <w:left w:val="nil"/>
              <w:bottom w:val="single" w:sz="8" w:space="0" w:color="auto"/>
              <w:right w:val="single" w:sz="8" w:space="0" w:color="auto"/>
            </w:tcBorders>
            <w:shd w:val="clear" w:color="auto" w:fill="auto"/>
            <w:noWrap/>
            <w:vAlign w:val="bottom"/>
            <w:hideMark/>
          </w:tcPr>
          <w:p w14:paraId="53C14B1B" w14:textId="77777777" w:rsidR="00EE76B9" w:rsidRPr="00EE76B9" w:rsidRDefault="00EE76B9" w:rsidP="00EE76B9">
            <w:pPr>
              <w:jc w:val="center"/>
              <w:rPr>
                <w:rStyle w:val="IntenseReference"/>
              </w:rPr>
            </w:pPr>
            <w:r w:rsidRPr="00EE76B9">
              <w:rPr>
                <w:rStyle w:val="IntenseReference"/>
              </w:rPr>
              <w:t>1.01</w:t>
            </w:r>
          </w:p>
        </w:tc>
        <w:tc>
          <w:tcPr>
            <w:tcW w:w="1276" w:type="dxa"/>
            <w:tcBorders>
              <w:top w:val="nil"/>
              <w:left w:val="nil"/>
              <w:bottom w:val="single" w:sz="8" w:space="0" w:color="auto"/>
              <w:right w:val="single" w:sz="8" w:space="0" w:color="auto"/>
            </w:tcBorders>
            <w:shd w:val="clear" w:color="auto" w:fill="auto"/>
            <w:noWrap/>
            <w:vAlign w:val="bottom"/>
            <w:hideMark/>
          </w:tcPr>
          <w:p w14:paraId="53C14B1C" w14:textId="77777777" w:rsidR="00EE76B9" w:rsidRPr="00EE76B9" w:rsidRDefault="00EE76B9" w:rsidP="00EE76B9">
            <w:pPr>
              <w:spacing w:after="0"/>
              <w:jc w:val="center"/>
              <w:rPr>
                <w:rStyle w:val="IntenseReference"/>
              </w:rPr>
            </w:pPr>
            <w:r w:rsidRPr="00EE76B9">
              <w:rPr>
                <w:rStyle w:val="IntenseReference"/>
              </w:rPr>
              <w:t>12.5</w:t>
            </w:r>
          </w:p>
        </w:tc>
      </w:tr>
      <w:tr w:rsidR="00EE76B9" w:rsidRPr="00CE4E0F" w14:paraId="53C14B23" w14:textId="77777777" w:rsidTr="001C0943">
        <w:trPr>
          <w:trHeight w:hRule="exact" w:val="255"/>
        </w:trPr>
        <w:tc>
          <w:tcPr>
            <w:tcW w:w="2709" w:type="dxa"/>
            <w:vMerge/>
            <w:tcBorders>
              <w:left w:val="single" w:sz="8" w:space="0" w:color="auto"/>
              <w:right w:val="single" w:sz="8" w:space="0" w:color="auto"/>
            </w:tcBorders>
            <w:shd w:val="clear" w:color="auto" w:fill="auto"/>
            <w:vAlign w:val="center"/>
            <w:hideMark/>
          </w:tcPr>
          <w:p w14:paraId="53C14B1E" w14:textId="77777777" w:rsidR="00EE76B9" w:rsidRPr="001C0943" w:rsidRDefault="00EE76B9" w:rsidP="00EE76B9">
            <w:pPr>
              <w:spacing w:after="0"/>
              <w:jc w:val="left"/>
              <w:rPr>
                <w:rFonts w:ascii="Arial Narrow" w:hAnsi="Arial Narrow"/>
                <w:color w:val="000000" w:themeColor="text1"/>
                <w:sz w:val="20"/>
                <w:lang w:eastAsia="en-AU"/>
              </w:rPr>
            </w:pPr>
          </w:p>
        </w:tc>
        <w:tc>
          <w:tcPr>
            <w:tcW w:w="1583" w:type="dxa"/>
            <w:tcBorders>
              <w:top w:val="nil"/>
              <w:left w:val="nil"/>
              <w:bottom w:val="single" w:sz="8" w:space="0" w:color="auto"/>
              <w:right w:val="single" w:sz="8" w:space="0" w:color="auto"/>
            </w:tcBorders>
            <w:shd w:val="clear" w:color="auto" w:fill="auto"/>
            <w:noWrap/>
            <w:vAlign w:val="bottom"/>
            <w:hideMark/>
          </w:tcPr>
          <w:p w14:paraId="53C14B1F" w14:textId="77777777" w:rsidR="00EE76B9" w:rsidRPr="001C0943" w:rsidRDefault="00EE76B9" w:rsidP="00EE76B9">
            <w:pPr>
              <w:spacing w:after="0"/>
              <w:jc w:val="left"/>
              <w:rPr>
                <w:rFonts w:ascii="Arial Narrow" w:hAnsi="Arial Narrow"/>
                <w:color w:val="000000" w:themeColor="text1"/>
                <w:sz w:val="20"/>
                <w:lang w:eastAsia="en-AU"/>
              </w:rPr>
            </w:pPr>
            <w:r w:rsidRPr="001C0943">
              <w:rPr>
                <w:rFonts w:ascii="Arial Narrow" w:hAnsi="Arial Narrow"/>
                <w:color w:val="000000" w:themeColor="text1"/>
                <w:sz w:val="20"/>
                <w:lang w:eastAsia="en-AU"/>
              </w:rPr>
              <w:t>Hook</w:t>
            </w:r>
          </w:p>
        </w:tc>
        <w:tc>
          <w:tcPr>
            <w:tcW w:w="1630" w:type="dxa"/>
            <w:tcBorders>
              <w:top w:val="nil"/>
              <w:left w:val="nil"/>
              <w:bottom w:val="single" w:sz="8" w:space="0" w:color="auto"/>
              <w:right w:val="single" w:sz="8" w:space="0" w:color="auto"/>
            </w:tcBorders>
            <w:shd w:val="clear" w:color="auto" w:fill="auto"/>
            <w:noWrap/>
            <w:vAlign w:val="bottom"/>
            <w:hideMark/>
          </w:tcPr>
          <w:p w14:paraId="53C14B20" w14:textId="77777777" w:rsidR="00EE76B9" w:rsidRPr="00EE76B9" w:rsidRDefault="00EE76B9" w:rsidP="00EE76B9">
            <w:pPr>
              <w:jc w:val="center"/>
              <w:rPr>
                <w:rStyle w:val="IntenseReference"/>
              </w:rPr>
            </w:pPr>
            <w:r w:rsidRPr="00EE76B9">
              <w:rPr>
                <w:rStyle w:val="IntenseReference"/>
              </w:rPr>
              <w:t>0.32</w:t>
            </w:r>
          </w:p>
        </w:tc>
        <w:tc>
          <w:tcPr>
            <w:tcW w:w="1134" w:type="dxa"/>
            <w:tcBorders>
              <w:top w:val="nil"/>
              <w:left w:val="nil"/>
              <w:bottom w:val="single" w:sz="8" w:space="0" w:color="auto"/>
              <w:right w:val="single" w:sz="8" w:space="0" w:color="auto"/>
            </w:tcBorders>
            <w:shd w:val="clear" w:color="auto" w:fill="auto"/>
            <w:noWrap/>
            <w:vAlign w:val="bottom"/>
            <w:hideMark/>
          </w:tcPr>
          <w:p w14:paraId="53C14B21" w14:textId="77777777" w:rsidR="00EE76B9" w:rsidRPr="00EE76B9" w:rsidRDefault="00EE76B9" w:rsidP="00EE76B9">
            <w:pPr>
              <w:jc w:val="center"/>
              <w:rPr>
                <w:rStyle w:val="IntenseReference"/>
              </w:rPr>
            </w:pPr>
            <w:r w:rsidRPr="00EE76B9">
              <w:rPr>
                <w:rStyle w:val="IntenseReference"/>
              </w:rPr>
              <w:t>1.09</w:t>
            </w:r>
          </w:p>
        </w:tc>
        <w:tc>
          <w:tcPr>
            <w:tcW w:w="1276" w:type="dxa"/>
            <w:tcBorders>
              <w:top w:val="nil"/>
              <w:left w:val="nil"/>
              <w:bottom w:val="single" w:sz="8" w:space="0" w:color="auto"/>
              <w:right w:val="single" w:sz="8" w:space="0" w:color="auto"/>
            </w:tcBorders>
            <w:shd w:val="clear" w:color="auto" w:fill="auto"/>
            <w:noWrap/>
            <w:vAlign w:val="bottom"/>
            <w:hideMark/>
          </w:tcPr>
          <w:p w14:paraId="53C14B22" w14:textId="77777777" w:rsidR="00EE76B9" w:rsidRPr="00EE76B9" w:rsidRDefault="00EE76B9" w:rsidP="00EE76B9">
            <w:pPr>
              <w:spacing w:after="0"/>
              <w:jc w:val="center"/>
              <w:rPr>
                <w:rStyle w:val="IntenseReference"/>
              </w:rPr>
            </w:pPr>
            <w:r w:rsidRPr="00EE76B9">
              <w:rPr>
                <w:rStyle w:val="IntenseReference"/>
              </w:rPr>
              <w:t>35.6</w:t>
            </w:r>
          </w:p>
        </w:tc>
      </w:tr>
      <w:tr w:rsidR="00EE76B9" w:rsidRPr="00CE4E0F" w14:paraId="53C14B29" w14:textId="77777777" w:rsidTr="001C0943">
        <w:trPr>
          <w:trHeight w:hRule="exact" w:val="255"/>
        </w:trPr>
        <w:tc>
          <w:tcPr>
            <w:tcW w:w="2709" w:type="dxa"/>
            <w:vMerge/>
            <w:tcBorders>
              <w:left w:val="single" w:sz="8" w:space="0" w:color="auto"/>
              <w:right w:val="single" w:sz="8" w:space="0" w:color="auto"/>
            </w:tcBorders>
            <w:shd w:val="clear" w:color="auto" w:fill="auto"/>
            <w:vAlign w:val="center"/>
            <w:hideMark/>
          </w:tcPr>
          <w:p w14:paraId="53C14B24" w14:textId="77777777" w:rsidR="00EE76B9" w:rsidRPr="001C0943" w:rsidRDefault="00EE76B9" w:rsidP="00EE76B9">
            <w:pPr>
              <w:spacing w:after="0"/>
              <w:jc w:val="left"/>
              <w:rPr>
                <w:rFonts w:ascii="Arial Narrow" w:hAnsi="Arial Narrow"/>
                <w:color w:val="000000" w:themeColor="text1"/>
                <w:sz w:val="20"/>
                <w:lang w:eastAsia="en-AU"/>
              </w:rPr>
            </w:pPr>
          </w:p>
        </w:tc>
        <w:tc>
          <w:tcPr>
            <w:tcW w:w="1583" w:type="dxa"/>
            <w:tcBorders>
              <w:top w:val="nil"/>
              <w:left w:val="nil"/>
              <w:bottom w:val="single" w:sz="8" w:space="0" w:color="auto"/>
              <w:right w:val="single" w:sz="8" w:space="0" w:color="auto"/>
            </w:tcBorders>
            <w:shd w:val="clear" w:color="auto" w:fill="auto"/>
            <w:noWrap/>
            <w:vAlign w:val="bottom"/>
            <w:hideMark/>
          </w:tcPr>
          <w:p w14:paraId="53C14B25" w14:textId="77777777" w:rsidR="00EE76B9" w:rsidRPr="001C0943" w:rsidRDefault="00EE76B9" w:rsidP="00EE76B9">
            <w:pPr>
              <w:spacing w:after="0"/>
              <w:jc w:val="left"/>
              <w:rPr>
                <w:rFonts w:ascii="Arial Narrow" w:hAnsi="Arial Narrow"/>
                <w:color w:val="000000" w:themeColor="text1"/>
                <w:sz w:val="20"/>
                <w:lang w:eastAsia="en-AU"/>
              </w:rPr>
            </w:pPr>
            <w:r w:rsidRPr="001C0943">
              <w:rPr>
                <w:rFonts w:ascii="Arial Narrow" w:hAnsi="Arial Narrow"/>
                <w:color w:val="000000" w:themeColor="text1"/>
                <w:sz w:val="20"/>
                <w:lang w:eastAsia="en-AU"/>
              </w:rPr>
              <w:t>Double Cone</w:t>
            </w:r>
          </w:p>
        </w:tc>
        <w:tc>
          <w:tcPr>
            <w:tcW w:w="1630" w:type="dxa"/>
            <w:tcBorders>
              <w:top w:val="nil"/>
              <w:left w:val="nil"/>
              <w:bottom w:val="single" w:sz="8" w:space="0" w:color="auto"/>
              <w:right w:val="single" w:sz="8" w:space="0" w:color="auto"/>
            </w:tcBorders>
            <w:shd w:val="clear" w:color="auto" w:fill="auto"/>
            <w:noWrap/>
            <w:vAlign w:val="bottom"/>
            <w:hideMark/>
          </w:tcPr>
          <w:p w14:paraId="53C14B26" w14:textId="77777777" w:rsidR="00EE76B9" w:rsidRPr="00EE76B9" w:rsidRDefault="00EE76B9" w:rsidP="00EE76B9">
            <w:pPr>
              <w:jc w:val="center"/>
              <w:rPr>
                <w:rStyle w:val="IntenseReference"/>
              </w:rPr>
            </w:pPr>
            <w:r w:rsidRPr="00EE76B9">
              <w:rPr>
                <w:rStyle w:val="IntenseReference"/>
              </w:rPr>
              <w:t>0.34</w:t>
            </w:r>
          </w:p>
        </w:tc>
        <w:tc>
          <w:tcPr>
            <w:tcW w:w="1134" w:type="dxa"/>
            <w:tcBorders>
              <w:top w:val="nil"/>
              <w:left w:val="nil"/>
              <w:bottom w:val="single" w:sz="8" w:space="0" w:color="auto"/>
              <w:right w:val="single" w:sz="8" w:space="0" w:color="auto"/>
            </w:tcBorders>
            <w:shd w:val="clear" w:color="auto" w:fill="auto"/>
            <w:noWrap/>
            <w:vAlign w:val="bottom"/>
            <w:hideMark/>
          </w:tcPr>
          <w:p w14:paraId="53C14B27" w14:textId="77777777" w:rsidR="00EE76B9" w:rsidRPr="00EE76B9" w:rsidRDefault="00EE76B9" w:rsidP="00EE76B9">
            <w:pPr>
              <w:jc w:val="center"/>
              <w:rPr>
                <w:rStyle w:val="IntenseReference"/>
              </w:rPr>
            </w:pPr>
            <w:r w:rsidRPr="00EE76B9">
              <w:rPr>
                <w:rStyle w:val="IntenseReference"/>
              </w:rPr>
              <w:t>1.26</w:t>
            </w:r>
          </w:p>
        </w:tc>
        <w:tc>
          <w:tcPr>
            <w:tcW w:w="1276" w:type="dxa"/>
            <w:tcBorders>
              <w:top w:val="nil"/>
              <w:left w:val="nil"/>
              <w:bottom w:val="single" w:sz="8" w:space="0" w:color="auto"/>
              <w:right w:val="single" w:sz="8" w:space="0" w:color="auto"/>
            </w:tcBorders>
            <w:shd w:val="clear" w:color="auto" w:fill="auto"/>
            <w:noWrap/>
            <w:vAlign w:val="bottom"/>
            <w:hideMark/>
          </w:tcPr>
          <w:p w14:paraId="53C14B28" w14:textId="77777777" w:rsidR="00EE76B9" w:rsidRPr="00EE76B9" w:rsidRDefault="00EE76B9" w:rsidP="00EE76B9">
            <w:pPr>
              <w:spacing w:after="0"/>
              <w:jc w:val="center"/>
              <w:rPr>
                <w:rStyle w:val="IntenseReference"/>
              </w:rPr>
            </w:pPr>
            <w:r w:rsidRPr="00EE76B9">
              <w:rPr>
                <w:rStyle w:val="IntenseReference"/>
              </w:rPr>
              <w:t>36.1</w:t>
            </w:r>
          </w:p>
        </w:tc>
      </w:tr>
      <w:tr w:rsidR="00EE76B9" w:rsidRPr="00CE4E0F" w14:paraId="53C14B2F" w14:textId="77777777" w:rsidTr="001C0943">
        <w:trPr>
          <w:trHeight w:hRule="exact" w:val="255"/>
        </w:trPr>
        <w:tc>
          <w:tcPr>
            <w:tcW w:w="2709" w:type="dxa"/>
            <w:vMerge/>
            <w:tcBorders>
              <w:left w:val="single" w:sz="8" w:space="0" w:color="auto"/>
              <w:right w:val="single" w:sz="8" w:space="0" w:color="auto"/>
            </w:tcBorders>
            <w:shd w:val="clear" w:color="auto" w:fill="auto"/>
            <w:vAlign w:val="center"/>
            <w:hideMark/>
          </w:tcPr>
          <w:p w14:paraId="53C14B2A" w14:textId="77777777" w:rsidR="00EE76B9" w:rsidRPr="001C0943" w:rsidRDefault="00EE76B9" w:rsidP="00EE76B9">
            <w:pPr>
              <w:spacing w:after="0"/>
              <w:jc w:val="left"/>
              <w:rPr>
                <w:rFonts w:ascii="Arial Narrow" w:hAnsi="Arial Narrow"/>
                <w:color w:val="000000" w:themeColor="text1"/>
                <w:sz w:val="20"/>
                <w:lang w:eastAsia="en-AU"/>
              </w:rPr>
            </w:pPr>
          </w:p>
        </w:tc>
        <w:tc>
          <w:tcPr>
            <w:tcW w:w="1583" w:type="dxa"/>
            <w:tcBorders>
              <w:top w:val="nil"/>
              <w:left w:val="nil"/>
              <w:bottom w:val="single" w:sz="8" w:space="0" w:color="auto"/>
              <w:right w:val="single" w:sz="8" w:space="0" w:color="auto"/>
            </w:tcBorders>
            <w:shd w:val="clear" w:color="auto" w:fill="auto"/>
            <w:noWrap/>
            <w:vAlign w:val="bottom"/>
            <w:hideMark/>
          </w:tcPr>
          <w:p w14:paraId="53C14B2B" w14:textId="77777777" w:rsidR="00EE76B9" w:rsidRPr="001C0943" w:rsidRDefault="00EE76B9" w:rsidP="00EE76B9">
            <w:pPr>
              <w:spacing w:after="0"/>
              <w:jc w:val="left"/>
              <w:rPr>
                <w:rFonts w:ascii="Arial Narrow" w:hAnsi="Arial Narrow"/>
                <w:color w:val="000000" w:themeColor="text1"/>
                <w:sz w:val="20"/>
                <w:lang w:eastAsia="en-AU"/>
              </w:rPr>
            </w:pPr>
            <w:r w:rsidRPr="001C0943">
              <w:rPr>
                <w:rFonts w:ascii="Arial Narrow" w:hAnsi="Arial Narrow"/>
                <w:color w:val="000000" w:themeColor="text1"/>
                <w:sz w:val="20"/>
                <w:lang w:eastAsia="en-AU"/>
              </w:rPr>
              <w:t>Seaforth</w:t>
            </w:r>
          </w:p>
        </w:tc>
        <w:tc>
          <w:tcPr>
            <w:tcW w:w="1630" w:type="dxa"/>
            <w:tcBorders>
              <w:top w:val="nil"/>
              <w:left w:val="nil"/>
              <w:bottom w:val="single" w:sz="8" w:space="0" w:color="auto"/>
              <w:right w:val="single" w:sz="8" w:space="0" w:color="auto"/>
            </w:tcBorders>
            <w:shd w:val="clear" w:color="auto" w:fill="auto"/>
            <w:noWrap/>
            <w:vAlign w:val="bottom"/>
            <w:hideMark/>
          </w:tcPr>
          <w:p w14:paraId="53C14B2C" w14:textId="77777777" w:rsidR="00EE76B9" w:rsidRPr="00EE76B9" w:rsidRDefault="00EE76B9" w:rsidP="00EE76B9">
            <w:pPr>
              <w:jc w:val="center"/>
              <w:rPr>
                <w:rStyle w:val="IntenseReference"/>
              </w:rPr>
            </w:pPr>
            <w:r w:rsidRPr="00EE76B9">
              <w:rPr>
                <w:rStyle w:val="IntenseReference"/>
              </w:rPr>
              <w:t>0.38</w:t>
            </w:r>
          </w:p>
        </w:tc>
        <w:tc>
          <w:tcPr>
            <w:tcW w:w="1134" w:type="dxa"/>
            <w:tcBorders>
              <w:top w:val="nil"/>
              <w:left w:val="nil"/>
              <w:bottom w:val="single" w:sz="8" w:space="0" w:color="auto"/>
              <w:right w:val="single" w:sz="8" w:space="0" w:color="auto"/>
            </w:tcBorders>
            <w:shd w:val="clear" w:color="auto" w:fill="auto"/>
            <w:noWrap/>
            <w:vAlign w:val="bottom"/>
            <w:hideMark/>
          </w:tcPr>
          <w:p w14:paraId="53C14B2D" w14:textId="77777777" w:rsidR="00EE76B9" w:rsidRPr="00EE76B9" w:rsidRDefault="00EE76B9" w:rsidP="00EE76B9">
            <w:pPr>
              <w:jc w:val="center"/>
              <w:rPr>
                <w:rStyle w:val="IntenseReference"/>
              </w:rPr>
            </w:pPr>
            <w:r w:rsidRPr="00EE76B9">
              <w:rPr>
                <w:rStyle w:val="IntenseReference"/>
              </w:rPr>
              <w:t>1.26</w:t>
            </w:r>
          </w:p>
        </w:tc>
        <w:tc>
          <w:tcPr>
            <w:tcW w:w="1276" w:type="dxa"/>
            <w:tcBorders>
              <w:top w:val="nil"/>
              <w:left w:val="nil"/>
              <w:bottom w:val="single" w:sz="8" w:space="0" w:color="auto"/>
              <w:right w:val="single" w:sz="8" w:space="0" w:color="auto"/>
            </w:tcBorders>
            <w:shd w:val="clear" w:color="auto" w:fill="auto"/>
            <w:noWrap/>
            <w:vAlign w:val="bottom"/>
            <w:hideMark/>
          </w:tcPr>
          <w:p w14:paraId="53C14B2E" w14:textId="77777777" w:rsidR="00EE76B9" w:rsidRPr="00EE76B9" w:rsidRDefault="00EE76B9" w:rsidP="00EE76B9">
            <w:pPr>
              <w:spacing w:after="0"/>
              <w:jc w:val="center"/>
              <w:rPr>
                <w:rStyle w:val="IntenseReference"/>
              </w:rPr>
            </w:pPr>
            <w:r w:rsidRPr="00EE76B9">
              <w:rPr>
                <w:rStyle w:val="IntenseReference"/>
              </w:rPr>
              <w:t>37.1</w:t>
            </w:r>
          </w:p>
        </w:tc>
      </w:tr>
      <w:tr w:rsidR="00EE76B9" w:rsidRPr="00CE4E0F" w14:paraId="53C14B35" w14:textId="77777777" w:rsidTr="001C0943">
        <w:trPr>
          <w:trHeight w:hRule="exact" w:val="255"/>
        </w:trPr>
        <w:tc>
          <w:tcPr>
            <w:tcW w:w="2709" w:type="dxa"/>
            <w:vMerge/>
            <w:tcBorders>
              <w:left w:val="single" w:sz="8" w:space="0" w:color="auto"/>
              <w:right w:val="single" w:sz="8" w:space="0" w:color="auto"/>
            </w:tcBorders>
            <w:shd w:val="clear" w:color="auto" w:fill="auto"/>
            <w:vAlign w:val="center"/>
            <w:hideMark/>
          </w:tcPr>
          <w:p w14:paraId="53C14B30" w14:textId="77777777" w:rsidR="00EE76B9" w:rsidRPr="001C0943" w:rsidRDefault="00EE76B9" w:rsidP="00EE76B9">
            <w:pPr>
              <w:spacing w:after="0"/>
              <w:jc w:val="left"/>
              <w:rPr>
                <w:rFonts w:ascii="Arial Narrow" w:hAnsi="Arial Narrow"/>
                <w:color w:val="000000" w:themeColor="text1"/>
                <w:sz w:val="20"/>
                <w:lang w:eastAsia="en-AU"/>
              </w:rPr>
            </w:pPr>
          </w:p>
        </w:tc>
        <w:tc>
          <w:tcPr>
            <w:tcW w:w="1583" w:type="dxa"/>
            <w:tcBorders>
              <w:top w:val="nil"/>
              <w:left w:val="nil"/>
              <w:bottom w:val="single" w:sz="8" w:space="0" w:color="auto"/>
              <w:right w:val="single" w:sz="8" w:space="0" w:color="auto"/>
            </w:tcBorders>
            <w:shd w:val="clear" w:color="auto" w:fill="auto"/>
            <w:noWrap/>
            <w:vAlign w:val="bottom"/>
            <w:hideMark/>
          </w:tcPr>
          <w:p w14:paraId="53C14B31" w14:textId="77777777" w:rsidR="00EE76B9" w:rsidRPr="001C0943" w:rsidRDefault="00EE76B9" w:rsidP="00EE76B9">
            <w:pPr>
              <w:spacing w:after="0"/>
              <w:jc w:val="left"/>
              <w:rPr>
                <w:rFonts w:ascii="Arial Narrow" w:hAnsi="Arial Narrow"/>
                <w:color w:val="000000" w:themeColor="text1"/>
                <w:sz w:val="20"/>
                <w:lang w:eastAsia="en-AU"/>
              </w:rPr>
            </w:pPr>
            <w:r w:rsidRPr="001C0943">
              <w:rPr>
                <w:rFonts w:ascii="Arial Narrow" w:hAnsi="Arial Narrow"/>
                <w:color w:val="000000" w:themeColor="text1"/>
                <w:sz w:val="20"/>
                <w:lang w:eastAsia="en-AU"/>
              </w:rPr>
              <w:t>Dent</w:t>
            </w:r>
          </w:p>
        </w:tc>
        <w:tc>
          <w:tcPr>
            <w:tcW w:w="1630" w:type="dxa"/>
            <w:tcBorders>
              <w:top w:val="nil"/>
              <w:left w:val="nil"/>
              <w:bottom w:val="single" w:sz="8" w:space="0" w:color="auto"/>
              <w:right w:val="single" w:sz="8" w:space="0" w:color="auto"/>
            </w:tcBorders>
            <w:shd w:val="clear" w:color="auto" w:fill="auto"/>
            <w:noWrap/>
            <w:vAlign w:val="bottom"/>
            <w:hideMark/>
          </w:tcPr>
          <w:p w14:paraId="53C14B32" w14:textId="77777777" w:rsidR="00EE76B9" w:rsidRPr="00EE76B9" w:rsidRDefault="00EE76B9" w:rsidP="00EE76B9">
            <w:pPr>
              <w:jc w:val="center"/>
              <w:rPr>
                <w:rStyle w:val="IntenseReference"/>
              </w:rPr>
            </w:pPr>
            <w:r w:rsidRPr="00EE76B9">
              <w:rPr>
                <w:rStyle w:val="IntenseReference"/>
              </w:rPr>
              <w:t>0.40</w:t>
            </w:r>
          </w:p>
        </w:tc>
        <w:tc>
          <w:tcPr>
            <w:tcW w:w="1134" w:type="dxa"/>
            <w:tcBorders>
              <w:top w:val="nil"/>
              <w:left w:val="nil"/>
              <w:bottom w:val="single" w:sz="8" w:space="0" w:color="auto"/>
              <w:right w:val="single" w:sz="8" w:space="0" w:color="auto"/>
            </w:tcBorders>
            <w:shd w:val="clear" w:color="auto" w:fill="auto"/>
            <w:noWrap/>
            <w:vAlign w:val="bottom"/>
            <w:hideMark/>
          </w:tcPr>
          <w:p w14:paraId="53C14B33" w14:textId="77777777" w:rsidR="00EE76B9" w:rsidRPr="00EE76B9" w:rsidRDefault="00EE76B9" w:rsidP="00EE76B9">
            <w:pPr>
              <w:jc w:val="center"/>
              <w:rPr>
                <w:rStyle w:val="IntenseReference"/>
              </w:rPr>
            </w:pPr>
            <w:r w:rsidRPr="00EE76B9">
              <w:rPr>
                <w:rStyle w:val="IntenseReference"/>
              </w:rPr>
              <w:t>1.52</w:t>
            </w:r>
          </w:p>
        </w:tc>
        <w:tc>
          <w:tcPr>
            <w:tcW w:w="1276" w:type="dxa"/>
            <w:tcBorders>
              <w:top w:val="nil"/>
              <w:left w:val="nil"/>
              <w:bottom w:val="single" w:sz="8" w:space="0" w:color="auto"/>
              <w:right w:val="single" w:sz="8" w:space="0" w:color="auto"/>
            </w:tcBorders>
            <w:shd w:val="clear" w:color="auto" w:fill="auto"/>
            <w:noWrap/>
            <w:vAlign w:val="bottom"/>
            <w:hideMark/>
          </w:tcPr>
          <w:p w14:paraId="53C14B34" w14:textId="77777777" w:rsidR="00EE76B9" w:rsidRPr="00EE76B9" w:rsidRDefault="00EE76B9" w:rsidP="00EE76B9">
            <w:pPr>
              <w:spacing w:after="0"/>
              <w:jc w:val="center"/>
              <w:rPr>
                <w:rStyle w:val="IntenseReference"/>
              </w:rPr>
            </w:pPr>
            <w:r w:rsidRPr="00EE76B9">
              <w:rPr>
                <w:rStyle w:val="IntenseReference"/>
              </w:rPr>
              <w:t>53.8</w:t>
            </w:r>
          </w:p>
        </w:tc>
      </w:tr>
      <w:tr w:rsidR="00EE76B9" w:rsidRPr="00CE4E0F" w14:paraId="53C14B3B" w14:textId="77777777" w:rsidTr="001C0943">
        <w:trPr>
          <w:trHeight w:hRule="exact" w:val="255"/>
        </w:trPr>
        <w:tc>
          <w:tcPr>
            <w:tcW w:w="2709" w:type="dxa"/>
            <w:vMerge/>
            <w:tcBorders>
              <w:left w:val="single" w:sz="8" w:space="0" w:color="auto"/>
              <w:right w:val="single" w:sz="8" w:space="0" w:color="auto"/>
            </w:tcBorders>
            <w:shd w:val="clear" w:color="auto" w:fill="auto"/>
            <w:vAlign w:val="center"/>
            <w:hideMark/>
          </w:tcPr>
          <w:p w14:paraId="53C14B36" w14:textId="77777777" w:rsidR="00EE76B9" w:rsidRPr="001C0943" w:rsidRDefault="00EE76B9" w:rsidP="00EE76B9">
            <w:pPr>
              <w:spacing w:after="0"/>
              <w:jc w:val="left"/>
              <w:rPr>
                <w:rFonts w:ascii="Arial Narrow" w:hAnsi="Arial Narrow"/>
                <w:color w:val="000000" w:themeColor="text1"/>
                <w:sz w:val="20"/>
                <w:lang w:eastAsia="en-AU"/>
              </w:rPr>
            </w:pPr>
          </w:p>
        </w:tc>
        <w:tc>
          <w:tcPr>
            <w:tcW w:w="1583" w:type="dxa"/>
            <w:tcBorders>
              <w:top w:val="nil"/>
              <w:left w:val="nil"/>
              <w:bottom w:val="single" w:sz="8" w:space="0" w:color="auto"/>
              <w:right w:val="single" w:sz="8" w:space="0" w:color="auto"/>
            </w:tcBorders>
            <w:shd w:val="clear" w:color="auto" w:fill="auto"/>
            <w:noWrap/>
            <w:vAlign w:val="bottom"/>
            <w:hideMark/>
          </w:tcPr>
          <w:p w14:paraId="53C14B37" w14:textId="77777777" w:rsidR="00EE76B9" w:rsidRPr="001C0943" w:rsidRDefault="00EE76B9" w:rsidP="00EE76B9">
            <w:pPr>
              <w:spacing w:after="0"/>
              <w:jc w:val="left"/>
              <w:rPr>
                <w:rFonts w:ascii="Arial Narrow" w:hAnsi="Arial Narrow"/>
                <w:color w:val="000000" w:themeColor="text1"/>
                <w:sz w:val="20"/>
                <w:lang w:eastAsia="en-AU"/>
              </w:rPr>
            </w:pPr>
            <w:r w:rsidRPr="001C0943">
              <w:rPr>
                <w:rFonts w:ascii="Arial Narrow" w:hAnsi="Arial Narrow"/>
                <w:color w:val="000000" w:themeColor="text1"/>
                <w:sz w:val="20"/>
                <w:lang w:eastAsia="en-AU"/>
              </w:rPr>
              <w:t>Daydream</w:t>
            </w:r>
          </w:p>
        </w:tc>
        <w:tc>
          <w:tcPr>
            <w:tcW w:w="1630" w:type="dxa"/>
            <w:tcBorders>
              <w:top w:val="nil"/>
              <w:left w:val="nil"/>
              <w:bottom w:val="single" w:sz="8" w:space="0" w:color="auto"/>
              <w:right w:val="single" w:sz="8" w:space="0" w:color="auto"/>
            </w:tcBorders>
            <w:shd w:val="clear" w:color="auto" w:fill="auto"/>
            <w:noWrap/>
            <w:vAlign w:val="bottom"/>
            <w:hideMark/>
          </w:tcPr>
          <w:p w14:paraId="53C14B38" w14:textId="77777777" w:rsidR="00EE76B9" w:rsidRPr="00EE76B9" w:rsidRDefault="00EE76B9" w:rsidP="00EE76B9">
            <w:pPr>
              <w:jc w:val="center"/>
              <w:rPr>
                <w:rStyle w:val="IntenseReference"/>
              </w:rPr>
            </w:pPr>
            <w:r w:rsidRPr="00EE76B9">
              <w:rPr>
                <w:rStyle w:val="IntenseReference"/>
              </w:rPr>
              <w:t>0.43</w:t>
            </w:r>
          </w:p>
        </w:tc>
        <w:tc>
          <w:tcPr>
            <w:tcW w:w="1134" w:type="dxa"/>
            <w:tcBorders>
              <w:top w:val="nil"/>
              <w:left w:val="nil"/>
              <w:bottom w:val="single" w:sz="8" w:space="0" w:color="auto"/>
              <w:right w:val="single" w:sz="8" w:space="0" w:color="auto"/>
            </w:tcBorders>
            <w:shd w:val="clear" w:color="auto" w:fill="auto"/>
            <w:noWrap/>
            <w:vAlign w:val="bottom"/>
            <w:hideMark/>
          </w:tcPr>
          <w:p w14:paraId="53C14B39" w14:textId="77777777" w:rsidR="00EE76B9" w:rsidRPr="00EE76B9" w:rsidRDefault="00EE76B9" w:rsidP="00EE76B9">
            <w:pPr>
              <w:jc w:val="center"/>
              <w:rPr>
                <w:rStyle w:val="IntenseReference"/>
              </w:rPr>
            </w:pPr>
            <w:r w:rsidRPr="00EE76B9">
              <w:rPr>
                <w:rStyle w:val="IntenseReference"/>
              </w:rPr>
              <w:t>1.56</w:t>
            </w:r>
          </w:p>
        </w:tc>
        <w:tc>
          <w:tcPr>
            <w:tcW w:w="1276" w:type="dxa"/>
            <w:tcBorders>
              <w:top w:val="nil"/>
              <w:left w:val="nil"/>
              <w:bottom w:val="single" w:sz="8" w:space="0" w:color="auto"/>
              <w:right w:val="single" w:sz="8" w:space="0" w:color="auto"/>
            </w:tcBorders>
            <w:shd w:val="clear" w:color="auto" w:fill="auto"/>
            <w:noWrap/>
            <w:vAlign w:val="bottom"/>
            <w:hideMark/>
          </w:tcPr>
          <w:p w14:paraId="53C14B3A" w14:textId="77777777" w:rsidR="00EE76B9" w:rsidRPr="00EE76B9" w:rsidRDefault="00EE76B9" w:rsidP="00EE76B9">
            <w:pPr>
              <w:spacing w:after="0"/>
              <w:jc w:val="center"/>
              <w:rPr>
                <w:rStyle w:val="IntenseReference"/>
              </w:rPr>
            </w:pPr>
            <w:r w:rsidRPr="00EE76B9">
              <w:rPr>
                <w:rStyle w:val="IntenseReference"/>
              </w:rPr>
              <w:t>72.4</w:t>
            </w:r>
          </w:p>
        </w:tc>
      </w:tr>
      <w:tr w:rsidR="00EE76B9" w:rsidRPr="00CE4E0F" w14:paraId="53C14B41" w14:textId="77777777" w:rsidTr="001C0943">
        <w:trPr>
          <w:trHeight w:hRule="exact" w:val="255"/>
        </w:trPr>
        <w:tc>
          <w:tcPr>
            <w:tcW w:w="2709" w:type="dxa"/>
            <w:vMerge/>
            <w:tcBorders>
              <w:left w:val="single" w:sz="8" w:space="0" w:color="auto"/>
              <w:right w:val="single" w:sz="8" w:space="0" w:color="auto"/>
            </w:tcBorders>
            <w:shd w:val="clear" w:color="auto" w:fill="auto"/>
            <w:vAlign w:val="center"/>
          </w:tcPr>
          <w:p w14:paraId="53C14B3C" w14:textId="77777777" w:rsidR="00EE76B9" w:rsidRPr="001C0943" w:rsidRDefault="00EE76B9" w:rsidP="00EE76B9">
            <w:pPr>
              <w:spacing w:after="0"/>
              <w:jc w:val="left"/>
              <w:rPr>
                <w:rFonts w:ascii="Arial Narrow" w:hAnsi="Arial Narrow"/>
                <w:color w:val="000000" w:themeColor="text1"/>
                <w:sz w:val="20"/>
                <w:lang w:eastAsia="en-AU"/>
              </w:rPr>
            </w:pPr>
          </w:p>
        </w:tc>
        <w:tc>
          <w:tcPr>
            <w:tcW w:w="1583" w:type="dxa"/>
            <w:tcBorders>
              <w:top w:val="nil"/>
              <w:left w:val="nil"/>
              <w:bottom w:val="single" w:sz="8" w:space="0" w:color="auto"/>
              <w:right w:val="single" w:sz="8" w:space="0" w:color="auto"/>
            </w:tcBorders>
            <w:shd w:val="clear" w:color="auto" w:fill="auto"/>
            <w:noWrap/>
            <w:vAlign w:val="bottom"/>
          </w:tcPr>
          <w:p w14:paraId="53C14B3D" w14:textId="77777777" w:rsidR="00EE76B9" w:rsidRPr="001C0943" w:rsidRDefault="00EE76B9" w:rsidP="00EE76B9">
            <w:pPr>
              <w:spacing w:after="0"/>
              <w:jc w:val="left"/>
              <w:rPr>
                <w:rFonts w:ascii="Arial Narrow" w:hAnsi="Arial Narrow"/>
                <w:color w:val="000000" w:themeColor="text1"/>
                <w:sz w:val="20"/>
                <w:lang w:eastAsia="en-AU"/>
              </w:rPr>
            </w:pPr>
            <w:r w:rsidRPr="001C0943">
              <w:rPr>
                <w:rFonts w:ascii="Arial Narrow" w:hAnsi="Arial Narrow"/>
                <w:color w:val="000000" w:themeColor="text1"/>
                <w:sz w:val="20"/>
                <w:lang w:eastAsia="en-AU"/>
              </w:rPr>
              <w:t>Pine</w:t>
            </w:r>
          </w:p>
        </w:tc>
        <w:tc>
          <w:tcPr>
            <w:tcW w:w="1630" w:type="dxa"/>
            <w:tcBorders>
              <w:top w:val="nil"/>
              <w:left w:val="nil"/>
              <w:bottom w:val="single" w:sz="8" w:space="0" w:color="auto"/>
              <w:right w:val="single" w:sz="8" w:space="0" w:color="auto"/>
            </w:tcBorders>
            <w:shd w:val="clear" w:color="auto" w:fill="auto"/>
            <w:noWrap/>
            <w:vAlign w:val="bottom"/>
          </w:tcPr>
          <w:p w14:paraId="53C14B3E" w14:textId="77777777" w:rsidR="00EE76B9" w:rsidRPr="00EE76B9" w:rsidRDefault="00EE76B9" w:rsidP="00EE76B9">
            <w:pPr>
              <w:jc w:val="center"/>
              <w:rPr>
                <w:rStyle w:val="IntenseReference"/>
              </w:rPr>
            </w:pPr>
            <w:r w:rsidRPr="00EE76B9">
              <w:rPr>
                <w:rStyle w:val="IntenseReference"/>
              </w:rPr>
              <w:t>0.44</w:t>
            </w:r>
          </w:p>
        </w:tc>
        <w:tc>
          <w:tcPr>
            <w:tcW w:w="1134" w:type="dxa"/>
            <w:tcBorders>
              <w:top w:val="nil"/>
              <w:left w:val="nil"/>
              <w:bottom w:val="single" w:sz="8" w:space="0" w:color="auto"/>
              <w:right w:val="single" w:sz="8" w:space="0" w:color="auto"/>
            </w:tcBorders>
            <w:shd w:val="clear" w:color="auto" w:fill="auto"/>
            <w:noWrap/>
            <w:vAlign w:val="bottom"/>
          </w:tcPr>
          <w:p w14:paraId="53C14B3F" w14:textId="77777777" w:rsidR="00EE76B9" w:rsidRPr="00EE76B9" w:rsidRDefault="00EE76B9" w:rsidP="00EE76B9">
            <w:pPr>
              <w:jc w:val="center"/>
              <w:rPr>
                <w:rStyle w:val="IntenseReference"/>
              </w:rPr>
            </w:pPr>
            <w:r w:rsidRPr="00EE76B9">
              <w:rPr>
                <w:rStyle w:val="IntenseReference"/>
              </w:rPr>
              <w:t>1.83</w:t>
            </w:r>
          </w:p>
        </w:tc>
        <w:tc>
          <w:tcPr>
            <w:tcW w:w="1276" w:type="dxa"/>
            <w:tcBorders>
              <w:top w:val="nil"/>
              <w:left w:val="nil"/>
              <w:bottom w:val="single" w:sz="8" w:space="0" w:color="auto"/>
              <w:right w:val="single" w:sz="8" w:space="0" w:color="auto"/>
            </w:tcBorders>
            <w:shd w:val="clear" w:color="auto" w:fill="auto"/>
            <w:noWrap/>
            <w:vAlign w:val="bottom"/>
          </w:tcPr>
          <w:p w14:paraId="53C14B40" w14:textId="77777777" w:rsidR="00EE76B9" w:rsidRPr="00EE76B9" w:rsidRDefault="00EE76B9" w:rsidP="00EE76B9">
            <w:pPr>
              <w:spacing w:after="0"/>
              <w:jc w:val="center"/>
              <w:rPr>
                <w:rStyle w:val="IntenseReference"/>
              </w:rPr>
            </w:pPr>
            <w:r w:rsidRPr="00EE76B9">
              <w:rPr>
                <w:rStyle w:val="IntenseReference"/>
              </w:rPr>
              <w:t>61.0</w:t>
            </w:r>
          </w:p>
        </w:tc>
      </w:tr>
      <w:tr w:rsidR="00EE76B9" w:rsidRPr="00CE4E0F" w14:paraId="53C14B47" w14:textId="77777777" w:rsidTr="001C0943">
        <w:trPr>
          <w:trHeight w:hRule="exact" w:val="255"/>
        </w:trPr>
        <w:tc>
          <w:tcPr>
            <w:tcW w:w="2709" w:type="dxa"/>
            <w:vMerge/>
            <w:tcBorders>
              <w:left w:val="single" w:sz="8" w:space="0" w:color="auto"/>
              <w:bottom w:val="single" w:sz="8" w:space="0" w:color="auto"/>
              <w:right w:val="single" w:sz="8" w:space="0" w:color="auto"/>
            </w:tcBorders>
            <w:shd w:val="clear" w:color="auto" w:fill="auto"/>
            <w:vAlign w:val="center"/>
            <w:hideMark/>
          </w:tcPr>
          <w:p w14:paraId="53C14B42" w14:textId="77777777" w:rsidR="00EE76B9" w:rsidRPr="001C0943" w:rsidRDefault="00EE76B9" w:rsidP="00EE76B9">
            <w:pPr>
              <w:spacing w:after="0"/>
              <w:jc w:val="left"/>
              <w:rPr>
                <w:rFonts w:ascii="Arial Narrow" w:hAnsi="Arial Narrow"/>
                <w:color w:val="000000" w:themeColor="text1"/>
                <w:sz w:val="20"/>
                <w:lang w:eastAsia="en-AU"/>
              </w:rPr>
            </w:pPr>
          </w:p>
        </w:tc>
        <w:tc>
          <w:tcPr>
            <w:tcW w:w="1583" w:type="dxa"/>
            <w:tcBorders>
              <w:top w:val="nil"/>
              <w:left w:val="nil"/>
              <w:bottom w:val="single" w:sz="8" w:space="0" w:color="auto"/>
              <w:right w:val="single" w:sz="8" w:space="0" w:color="auto"/>
            </w:tcBorders>
            <w:shd w:val="clear" w:color="auto" w:fill="auto"/>
            <w:noWrap/>
            <w:vAlign w:val="bottom"/>
          </w:tcPr>
          <w:p w14:paraId="53C14B43" w14:textId="77777777" w:rsidR="00EE76B9" w:rsidRPr="001C0943" w:rsidRDefault="00EE76B9" w:rsidP="00EE76B9">
            <w:pPr>
              <w:spacing w:after="0"/>
              <w:jc w:val="left"/>
              <w:rPr>
                <w:rFonts w:ascii="Arial Narrow" w:hAnsi="Arial Narrow"/>
                <w:color w:val="000000" w:themeColor="text1"/>
                <w:sz w:val="20"/>
                <w:lang w:eastAsia="en-AU"/>
              </w:rPr>
            </w:pPr>
            <w:r w:rsidRPr="001C0943">
              <w:rPr>
                <w:rFonts w:ascii="Arial Narrow" w:hAnsi="Arial Narrow"/>
                <w:color w:val="000000" w:themeColor="text1"/>
                <w:sz w:val="20"/>
                <w:lang w:eastAsia="en-AU"/>
              </w:rPr>
              <w:t>Shute Harbour</w:t>
            </w:r>
          </w:p>
        </w:tc>
        <w:tc>
          <w:tcPr>
            <w:tcW w:w="1630" w:type="dxa"/>
            <w:tcBorders>
              <w:top w:val="nil"/>
              <w:left w:val="nil"/>
              <w:bottom w:val="single" w:sz="8" w:space="0" w:color="auto"/>
              <w:right w:val="single" w:sz="8" w:space="0" w:color="auto"/>
            </w:tcBorders>
            <w:shd w:val="clear" w:color="auto" w:fill="auto"/>
            <w:noWrap/>
            <w:vAlign w:val="bottom"/>
          </w:tcPr>
          <w:p w14:paraId="53C14B44" w14:textId="77777777" w:rsidR="00EE76B9" w:rsidRPr="00EE76B9" w:rsidRDefault="00EE76B9" w:rsidP="00EE76B9">
            <w:pPr>
              <w:jc w:val="center"/>
              <w:rPr>
                <w:rStyle w:val="IntenseReference"/>
              </w:rPr>
            </w:pPr>
            <w:r w:rsidRPr="00EE76B9">
              <w:rPr>
                <w:rStyle w:val="IntenseReference"/>
              </w:rPr>
              <w:t>0.44</w:t>
            </w:r>
          </w:p>
        </w:tc>
        <w:tc>
          <w:tcPr>
            <w:tcW w:w="1134" w:type="dxa"/>
            <w:tcBorders>
              <w:top w:val="nil"/>
              <w:left w:val="nil"/>
              <w:bottom w:val="single" w:sz="8" w:space="0" w:color="auto"/>
              <w:right w:val="single" w:sz="8" w:space="0" w:color="auto"/>
            </w:tcBorders>
            <w:shd w:val="clear" w:color="auto" w:fill="auto"/>
            <w:noWrap/>
            <w:vAlign w:val="bottom"/>
          </w:tcPr>
          <w:p w14:paraId="53C14B45" w14:textId="77777777" w:rsidR="00EE76B9" w:rsidRPr="00EE76B9" w:rsidRDefault="00EE76B9" w:rsidP="00EE76B9">
            <w:pPr>
              <w:jc w:val="center"/>
              <w:rPr>
                <w:rStyle w:val="IntenseReference"/>
              </w:rPr>
            </w:pPr>
            <w:r w:rsidRPr="00EE76B9">
              <w:rPr>
                <w:rStyle w:val="IntenseReference"/>
              </w:rPr>
              <w:t>1.67</w:t>
            </w:r>
          </w:p>
        </w:tc>
        <w:tc>
          <w:tcPr>
            <w:tcW w:w="1276" w:type="dxa"/>
            <w:tcBorders>
              <w:top w:val="nil"/>
              <w:left w:val="nil"/>
              <w:bottom w:val="single" w:sz="8" w:space="0" w:color="auto"/>
              <w:right w:val="single" w:sz="8" w:space="0" w:color="auto"/>
            </w:tcBorders>
            <w:shd w:val="clear" w:color="auto" w:fill="auto"/>
            <w:noWrap/>
            <w:vAlign w:val="bottom"/>
          </w:tcPr>
          <w:p w14:paraId="53C14B46" w14:textId="77777777" w:rsidR="00EE76B9" w:rsidRPr="00EE76B9" w:rsidRDefault="00EE76B9" w:rsidP="00EE76B9">
            <w:pPr>
              <w:spacing w:after="0"/>
              <w:jc w:val="center"/>
              <w:rPr>
                <w:rStyle w:val="IntenseReference"/>
              </w:rPr>
            </w:pPr>
            <w:r w:rsidRPr="00EE76B9">
              <w:rPr>
                <w:rStyle w:val="IntenseReference"/>
              </w:rPr>
              <w:t>53.9</w:t>
            </w:r>
          </w:p>
        </w:tc>
      </w:tr>
      <w:tr w:rsidR="00EE76B9" w:rsidRPr="00CE4E0F" w14:paraId="53C14B4D" w14:textId="77777777" w:rsidTr="001C0943">
        <w:trPr>
          <w:trHeight w:hRule="exact" w:val="255"/>
        </w:trPr>
        <w:tc>
          <w:tcPr>
            <w:tcW w:w="2709" w:type="dxa"/>
            <w:vMerge w:val="restart"/>
            <w:tcBorders>
              <w:top w:val="nil"/>
              <w:left w:val="single" w:sz="8" w:space="0" w:color="auto"/>
              <w:right w:val="single" w:sz="8" w:space="0" w:color="auto"/>
            </w:tcBorders>
            <w:shd w:val="clear" w:color="auto" w:fill="auto"/>
            <w:vAlign w:val="center"/>
            <w:hideMark/>
          </w:tcPr>
          <w:p w14:paraId="53C14B48" w14:textId="77777777" w:rsidR="00EE76B9" w:rsidRPr="001C0943" w:rsidRDefault="00EE76B9" w:rsidP="00EE76B9">
            <w:pPr>
              <w:spacing w:after="0"/>
              <w:jc w:val="left"/>
              <w:rPr>
                <w:rFonts w:ascii="Arial Narrow" w:hAnsi="Arial Narrow"/>
                <w:color w:val="000000" w:themeColor="text1"/>
                <w:sz w:val="20"/>
                <w:lang w:eastAsia="en-AU"/>
              </w:rPr>
            </w:pPr>
            <w:r w:rsidRPr="001C0943">
              <w:rPr>
                <w:rFonts w:ascii="Arial Narrow" w:hAnsi="Arial Narrow"/>
                <w:color w:val="000000" w:themeColor="text1"/>
                <w:sz w:val="20"/>
                <w:lang w:eastAsia="en-AU"/>
              </w:rPr>
              <w:t>Fitzroy</w:t>
            </w:r>
          </w:p>
        </w:tc>
        <w:tc>
          <w:tcPr>
            <w:tcW w:w="1583" w:type="dxa"/>
            <w:tcBorders>
              <w:top w:val="nil"/>
              <w:left w:val="nil"/>
              <w:bottom w:val="single" w:sz="8" w:space="0" w:color="auto"/>
              <w:right w:val="single" w:sz="8" w:space="0" w:color="auto"/>
            </w:tcBorders>
            <w:shd w:val="clear" w:color="auto" w:fill="auto"/>
            <w:noWrap/>
            <w:vAlign w:val="bottom"/>
            <w:hideMark/>
          </w:tcPr>
          <w:p w14:paraId="53C14B49" w14:textId="77777777" w:rsidR="00EE76B9" w:rsidRPr="001C0943" w:rsidRDefault="00EE76B9" w:rsidP="00EE76B9">
            <w:pPr>
              <w:spacing w:after="0"/>
              <w:jc w:val="left"/>
              <w:rPr>
                <w:rFonts w:ascii="Arial Narrow" w:hAnsi="Arial Narrow"/>
                <w:color w:val="000000" w:themeColor="text1"/>
                <w:sz w:val="20"/>
                <w:lang w:eastAsia="en-AU"/>
              </w:rPr>
            </w:pPr>
            <w:r w:rsidRPr="001C0943">
              <w:rPr>
                <w:rFonts w:ascii="Arial Narrow" w:hAnsi="Arial Narrow"/>
                <w:color w:val="000000" w:themeColor="text1"/>
                <w:sz w:val="20"/>
                <w:lang w:eastAsia="en-AU"/>
              </w:rPr>
              <w:t>Barren</w:t>
            </w:r>
          </w:p>
        </w:tc>
        <w:tc>
          <w:tcPr>
            <w:tcW w:w="1630" w:type="dxa"/>
            <w:tcBorders>
              <w:top w:val="nil"/>
              <w:left w:val="nil"/>
              <w:bottom w:val="single" w:sz="8" w:space="0" w:color="auto"/>
              <w:right w:val="single" w:sz="8" w:space="0" w:color="auto"/>
            </w:tcBorders>
            <w:shd w:val="clear" w:color="auto" w:fill="auto"/>
            <w:noWrap/>
            <w:vAlign w:val="bottom"/>
            <w:hideMark/>
          </w:tcPr>
          <w:p w14:paraId="53C14B4A" w14:textId="77777777" w:rsidR="00EE76B9" w:rsidRPr="00EE76B9" w:rsidRDefault="00EE76B9" w:rsidP="00EE76B9">
            <w:pPr>
              <w:jc w:val="center"/>
              <w:rPr>
                <w:rStyle w:val="IntenseReference"/>
              </w:rPr>
            </w:pPr>
            <w:r w:rsidRPr="00EE76B9">
              <w:rPr>
                <w:rStyle w:val="IntenseReference"/>
              </w:rPr>
              <w:t>0.32</w:t>
            </w:r>
          </w:p>
        </w:tc>
        <w:tc>
          <w:tcPr>
            <w:tcW w:w="1134" w:type="dxa"/>
            <w:tcBorders>
              <w:top w:val="nil"/>
              <w:left w:val="nil"/>
              <w:bottom w:val="single" w:sz="8" w:space="0" w:color="auto"/>
              <w:right w:val="single" w:sz="8" w:space="0" w:color="auto"/>
            </w:tcBorders>
            <w:shd w:val="clear" w:color="auto" w:fill="auto"/>
            <w:noWrap/>
            <w:vAlign w:val="bottom"/>
            <w:hideMark/>
          </w:tcPr>
          <w:p w14:paraId="53C14B4B" w14:textId="77777777" w:rsidR="00EE76B9" w:rsidRPr="00EE76B9" w:rsidRDefault="00EE76B9" w:rsidP="00EE76B9">
            <w:pPr>
              <w:jc w:val="center"/>
              <w:rPr>
                <w:rStyle w:val="IntenseReference"/>
              </w:rPr>
            </w:pPr>
            <w:r w:rsidRPr="00EE76B9">
              <w:rPr>
                <w:rStyle w:val="IntenseReference"/>
              </w:rPr>
              <w:t>0.45</w:t>
            </w:r>
          </w:p>
        </w:tc>
        <w:tc>
          <w:tcPr>
            <w:tcW w:w="1276" w:type="dxa"/>
            <w:tcBorders>
              <w:top w:val="nil"/>
              <w:left w:val="nil"/>
              <w:bottom w:val="single" w:sz="8" w:space="0" w:color="auto"/>
              <w:right w:val="single" w:sz="8" w:space="0" w:color="auto"/>
            </w:tcBorders>
            <w:shd w:val="clear" w:color="auto" w:fill="auto"/>
            <w:noWrap/>
            <w:vAlign w:val="bottom"/>
            <w:hideMark/>
          </w:tcPr>
          <w:p w14:paraId="53C14B4C" w14:textId="77777777" w:rsidR="00EE76B9" w:rsidRPr="00EE76B9" w:rsidRDefault="00EE76B9" w:rsidP="00EE76B9">
            <w:pPr>
              <w:spacing w:after="0"/>
              <w:jc w:val="center"/>
              <w:rPr>
                <w:rStyle w:val="IntenseReference"/>
              </w:rPr>
            </w:pPr>
            <w:r w:rsidRPr="00EE76B9">
              <w:rPr>
                <w:rStyle w:val="IntenseReference"/>
              </w:rPr>
              <w:t>4.2</w:t>
            </w:r>
          </w:p>
        </w:tc>
      </w:tr>
      <w:tr w:rsidR="00EE76B9" w:rsidRPr="00CE4E0F" w14:paraId="53C14B53" w14:textId="77777777" w:rsidTr="001C0943">
        <w:trPr>
          <w:trHeight w:hRule="exact" w:val="255"/>
        </w:trPr>
        <w:tc>
          <w:tcPr>
            <w:tcW w:w="2709" w:type="dxa"/>
            <w:vMerge/>
            <w:tcBorders>
              <w:left w:val="single" w:sz="8" w:space="0" w:color="auto"/>
              <w:right w:val="single" w:sz="8" w:space="0" w:color="auto"/>
            </w:tcBorders>
            <w:shd w:val="clear" w:color="auto" w:fill="auto"/>
            <w:vAlign w:val="center"/>
            <w:hideMark/>
          </w:tcPr>
          <w:p w14:paraId="53C14B4E" w14:textId="77777777" w:rsidR="00EE76B9" w:rsidRPr="001C0943" w:rsidRDefault="00EE76B9" w:rsidP="00EE76B9">
            <w:pPr>
              <w:spacing w:after="0"/>
              <w:jc w:val="left"/>
              <w:rPr>
                <w:rFonts w:ascii="Arial Narrow" w:hAnsi="Arial Narrow"/>
                <w:color w:val="000000" w:themeColor="text1"/>
                <w:sz w:val="20"/>
                <w:lang w:eastAsia="en-AU"/>
              </w:rPr>
            </w:pPr>
          </w:p>
        </w:tc>
        <w:tc>
          <w:tcPr>
            <w:tcW w:w="1583" w:type="dxa"/>
            <w:tcBorders>
              <w:top w:val="nil"/>
              <w:left w:val="nil"/>
              <w:bottom w:val="single" w:sz="8" w:space="0" w:color="auto"/>
              <w:right w:val="single" w:sz="8" w:space="0" w:color="auto"/>
            </w:tcBorders>
            <w:shd w:val="clear" w:color="auto" w:fill="auto"/>
            <w:noWrap/>
            <w:vAlign w:val="bottom"/>
            <w:hideMark/>
          </w:tcPr>
          <w:p w14:paraId="53C14B4F" w14:textId="77777777" w:rsidR="00EE76B9" w:rsidRPr="001C0943" w:rsidRDefault="00EE76B9" w:rsidP="00EE76B9">
            <w:pPr>
              <w:spacing w:after="0"/>
              <w:jc w:val="left"/>
              <w:rPr>
                <w:rFonts w:ascii="Arial Narrow" w:hAnsi="Arial Narrow"/>
                <w:color w:val="000000" w:themeColor="text1"/>
                <w:sz w:val="20"/>
                <w:lang w:eastAsia="en-AU"/>
              </w:rPr>
            </w:pPr>
            <w:r w:rsidRPr="001C0943">
              <w:rPr>
                <w:rFonts w:ascii="Arial Narrow" w:hAnsi="Arial Narrow"/>
                <w:color w:val="000000" w:themeColor="text1"/>
                <w:sz w:val="20"/>
                <w:lang w:eastAsia="en-AU"/>
              </w:rPr>
              <w:t>Keppels South</w:t>
            </w:r>
          </w:p>
        </w:tc>
        <w:tc>
          <w:tcPr>
            <w:tcW w:w="1630" w:type="dxa"/>
            <w:tcBorders>
              <w:top w:val="nil"/>
              <w:left w:val="nil"/>
              <w:bottom w:val="single" w:sz="8" w:space="0" w:color="auto"/>
              <w:right w:val="single" w:sz="8" w:space="0" w:color="auto"/>
            </w:tcBorders>
            <w:shd w:val="clear" w:color="auto" w:fill="auto"/>
            <w:noWrap/>
            <w:vAlign w:val="bottom"/>
            <w:hideMark/>
          </w:tcPr>
          <w:p w14:paraId="53C14B50" w14:textId="77777777" w:rsidR="00EE76B9" w:rsidRPr="00EE76B9" w:rsidRDefault="00EE76B9" w:rsidP="00EE76B9">
            <w:pPr>
              <w:jc w:val="center"/>
              <w:rPr>
                <w:rStyle w:val="IntenseReference"/>
              </w:rPr>
            </w:pPr>
            <w:r w:rsidRPr="00EE76B9">
              <w:rPr>
                <w:rStyle w:val="IntenseReference"/>
              </w:rPr>
              <w:t>0.44</w:t>
            </w:r>
          </w:p>
        </w:tc>
        <w:tc>
          <w:tcPr>
            <w:tcW w:w="1134" w:type="dxa"/>
            <w:tcBorders>
              <w:top w:val="nil"/>
              <w:left w:val="nil"/>
              <w:bottom w:val="single" w:sz="8" w:space="0" w:color="auto"/>
              <w:right w:val="single" w:sz="8" w:space="0" w:color="auto"/>
            </w:tcBorders>
            <w:shd w:val="clear" w:color="auto" w:fill="auto"/>
            <w:noWrap/>
            <w:vAlign w:val="bottom"/>
            <w:hideMark/>
          </w:tcPr>
          <w:p w14:paraId="53C14B51" w14:textId="77777777" w:rsidR="00EE76B9" w:rsidRPr="00EE76B9" w:rsidRDefault="00EE76B9" w:rsidP="00EE76B9">
            <w:pPr>
              <w:jc w:val="center"/>
              <w:rPr>
                <w:rStyle w:val="IntenseReference"/>
              </w:rPr>
            </w:pPr>
            <w:r w:rsidRPr="00EE76B9">
              <w:rPr>
                <w:rStyle w:val="IntenseReference"/>
              </w:rPr>
              <w:t>0.61</w:t>
            </w:r>
          </w:p>
        </w:tc>
        <w:tc>
          <w:tcPr>
            <w:tcW w:w="1276" w:type="dxa"/>
            <w:tcBorders>
              <w:top w:val="nil"/>
              <w:left w:val="nil"/>
              <w:bottom w:val="single" w:sz="8" w:space="0" w:color="auto"/>
              <w:right w:val="single" w:sz="8" w:space="0" w:color="auto"/>
            </w:tcBorders>
            <w:shd w:val="clear" w:color="auto" w:fill="auto"/>
            <w:noWrap/>
            <w:vAlign w:val="bottom"/>
            <w:hideMark/>
          </w:tcPr>
          <w:p w14:paraId="53C14B52" w14:textId="77777777" w:rsidR="00EE76B9" w:rsidRPr="00EE76B9" w:rsidRDefault="00EE76B9" w:rsidP="00EE76B9">
            <w:pPr>
              <w:spacing w:after="0"/>
              <w:jc w:val="center"/>
              <w:rPr>
                <w:rStyle w:val="IntenseReference"/>
              </w:rPr>
            </w:pPr>
            <w:r w:rsidRPr="00EE76B9">
              <w:rPr>
                <w:rStyle w:val="IntenseReference"/>
              </w:rPr>
              <w:t>9.8</w:t>
            </w:r>
          </w:p>
        </w:tc>
      </w:tr>
      <w:tr w:rsidR="00EE76B9" w:rsidRPr="00CE4E0F" w14:paraId="53C14B59" w14:textId="77777777" w:rsidTr="001C0943">
        <w:trPr>
          <w:trHeight w:hRule="exact" w:val="255"/>
        </w:trPr>
        <w:tc>
          <w:tcPr>
            <w:tcW w:w="2709" w:type="dxa"/>
            <w:vMerge/>
            <w:tcBorders>
              <w:left w:val="single" w:sz="8" w:space="0" w:color="auto"/>
              <w:right w:val="single" w:sz="8" w:space="0" w:color="auto"/>
            </w:tcBorders>
            <w:shd w:val="clear" w:color="auto" w:fill="auto"/>
            <w:noWrap/>
            <w:vAlign w:val="center"/>
            <w:hideMark/>
          </w:tcPr>
          <w:p w14:paraId="53C14B54" w14:textId="77777777" w:rsidR="00EE76B9" w:rsidRPr="001C0943" w:rsidRDefault="00EE76B9" w:rsidP="00EE76B9">
            <w:pPr>
              <w:spacing w:after="0"/>
              <w:jc w:val="left"/>
              <w:rPr>
                <w:rFonts w:ascii="Arial Narrow" w:hAnsi="Arial Narrow"/>
                <w:color w:val="000000" w:themeColor="text1"/>
                <w:sz w:val="20"/>
                <w:lang w:eastAsia="en-AU"/>
              </w:rPr>
            </w:pPr>
          </w:p>
        </w:tc>
        <w:tc>
          <w:tcPr>
            <w:tcW w:w="1583" w:type="dxa"/>
            <w:tcBorders>
              <w:top w:val="nil"/>
              <w:left w:val="nil"/>
              <w:bottom w:val="single" w:sz="8" w:space="0" w:color="auto"/>
              <w:right w:val="single" w:sz="8" w:space="0" w:color="auto"/>
            </w:tcBorders>
            <w:shd w:val="clear" w:color="auto" w:fill="auto"/>
            <w:noWrap/>
            <w:vAlign w:val="bottom"/>
            <w:hideMark/>
          </w:tcPr>
          <w:p w14:paraId="53C14B55" w14:textId="77777777" w:rsidR="00EE76B9" w:rsidRPr="001C0943" w:rsidRDefault="00EE76B9" w:rsidP="00EE76B9">
            <w:pPr>
              <w:spacing w:after="0"/>
              <w:jc w:val="left"/>
              <w:rPr>
                <w:rFonts w:ascii="Arial Narrow" w:hAnsi="Arial Narrow"/>
                <w:color w:val="000000" w:themeColor="text1"/>
                <w:sz w:val="20"/>
                <w:lang w:eastAsia="en-AU"/>
              </w:rPr>
            </w:pPr>
            <w:r w:rsidRPr="001C0943">
              <w:rPr>
                <w:rFonts w:ascii="Arial Narrow" w:hAnsi="Arial Narrow"/>
                <w:color w:val="000000" w:themeColor="text1"/>
                <w:sz w:val="20"/>
                <w:lang w:eastAsia="en-AU"/>
              </w:rPr>
              <w:t>North Keppel</w:t>
            </w:r>
          </w:p>
        </w:tc>
        <w:tc>
          <w:tcPr>
            <w:tcW w:w="1630" w:type="dxa"/>
            <w:tcBorders>
              <w:top w:val="nil"/>
              <w:left w:val="nil"/>
              <w:bottom w:val="single" w:sz="8" w:space="0" w:color="auto"/>
              <w:right w:val="single" w:sz="8" w:space="0" w:color="auto"/>
            </w:tcBorders>
            <w:shd w:val="clear" w:color="auto" w:fill="auto"/>
            <w:noWrap/>
            <w:vAlign w:val="bottom"/>
            <w:hideMark/>
          </w:tcPr>
          <w:p w14:paraId="53C14B56" w14:textId="77777777" w:rsidR="00EE76B9" w:rsidRPr="00EE76B9" w:rsidRDefault="00EE76B9" w:rsidP="00EE76B9">
            <w:pPr>
              <w:jc w:val="center"/>
              <w:rPr>
                <w:rStyle w:val="IntenseReference"/>
              </w:rPr>
            </w:pPr>
            <w:r w:rsidRPr="00EE76B9">
              <w:rPr>
                <w:rStyle w:val="IntenseReference"/>
              </w:rPr>
              <w:t>0.47</w:t>
            </w:r>
          </w:p>
        </w:tc>
        <w:tc>
          <w:tcPr>
            <w:tcW w:w="1134" w:type="dxa"/>
            <w:tcBorders>
              <w:top w:val="nil"/>
              <w:left w:val="nil"/>
              <w:bottom w:val="single" w:sz="8" w:space="0" w:color="auto"/>
              <w:right w:val="single" w:sz="8" w:space="0" w:color="auto"/>
            </w:tcBorders>
            <w:shd w:val="clear" w:color="auto" w:fill="auto"/>
            <w:noWrap/>
            <w:vAlign w:val="bottom"/>
            <w:hideMark/>
          </w:tcPr>
          <w:p w14:paraId="53C14B57" w14:textId="77777777" w:rsidR="00EE76B9" w:rsidRPr="00EE76B9" w:rsidRDefault="00EE76B9" w:rsidP="00EE76B9">
            <w:pPr>
              <w:jc w:val="center"/>
              <w:rPr>
                <w:rStyle w:val="IntenseReference"/>
              </w:rPr>
            </w:pPr>
            <w:r w:rsidRPr="00EE76B9">
              <w:rPr>
                <w:rStyle w:val="IntenseReference"/>
              </w:rPr>
              <w:t>0.68</w:t>
            </w:r>
          </w:p>
        </w:tc>
        <w:tc>
          <w:tcPr>
            <w:tcW w:w="1276" w:type="dxa"/>
            <w:tcBorders>
              <w:top w:val="nil"/>
              <w:left w:val="nil"/>
              <w:bottom w:val="single" w:sz="8" w:space="0" w:color="auto"/>
              <w:right w:val="single" w:sz="8" w:space="0" w:color="auto"/>
            </w:tcBorders>
            <w:shd w:val="clear" w:color="auto" w:fill="auto"/>
            <w:noWrap/>
            <w:vAlign w:val="bottom"/>
            <w:hideMark/>
          </w:tcPr>
          <w:p w14:paraId="53C14B58" w14:textId="77777777" w:rsidR="00EE76B9" w:rsidRPr="00EE76B9" w:rsidRDefault="00EE76B9" w:rsidP="00EE76B9">
            <w:pPr>
              <w:spacing w:after="0"/>
              <w:jc w:val="center"/>
              <w:rPr>
                <w:rStyle w:val="IntenseReference"/>
              </w:rPr>
            </w:pPr>
            <w:r w:rsidRPr="00EE76B9">
              <w:rPr>
                <w:rStyle w:val="IntenseReference"/>
              </w:rPr>
              <w:t>21.3</w:t>
            </w:r>
          </w:p>
        </w:tc>
      </w:tr>
      <w:tr w:rsidR="00EE76B9" w:rsidRPr="00CE4E0F" w14:paraId="53C14B5F" w14:textId="77777777" w:rsidTr="001C0943">
        <w:trPr>
          <w:trHeight w:hRule="exact" w:val="255"/>
        </w:trPr>
        <w:tc>
          <w:tcPr>
            <w:tcW w:w="2709" w:type="dxa"/>
            <w:vMerge/>
            <w:tcBorders>
              <w:left w:val="single" w:sz="8" w:space="0" w:color="auto"/>
              <w:right w:val="single" w:sz="8" w:space="0" w:color="auto"/>
            </w:tcBorders>
            <w:vAlign w:val="center"/>
            <w:hideMark/>
          </w:tcPr>
          <w:p w14:paraId="53C14B5A" w14:textId="77777777" w:rsidR="00EE76B9" w:rsidRPr="001C0943" w:rsidRDefault="00EE76B9" w:rsidP="00EE76B9">
            <w:pPr>
              <w:spacing w:after="0"/>
              <w:jc w:val="left"/>
              <w:rPr>
                <w:rFonts w:ascii="Arial Narrow" w:hAnsi="Arial Narrow"/>
                <w:color w:val="000000" w:themeColor="text1"/>
                <w:sz w:val="20"/>
                <w:lang w:eastAsia="en-AU"/>
              </w:rPr>
            </w:pPr>
          </w:p>
        </w:tc>
        <w:tc>
          <w:tcPr>
            <w:tcW w:w="1583" w:type="dxa"/>
            <w:tcBorders>
              <w:top w:val="nil"/>
              <w:left w:val="nil"/>
              <w:bottom w:val="single" w:sz="8" w:space="0" w:color="auto"/>
              <w:right w:val="single" w:sz="8" w:space="0" w:color="auto"/>
            </w:tcBorders>
            <w:shd w:val="clear" w:color="auto" w:fill="auto"/>
            <w:noWrap/>
            <w:vAlign w:val="bottom"/>
            <w:hideMark/>
          </w:tcPr>
          <w:p w14:paraId="53C14B5B" w14:textId="77777777" w:rsidR="00EE76B9" w:rsidRPr="001C0943" w:rsidRDefault="00EE76B9" w:rsidP="00EE76B9">
            <w:pPr>
              <w:spacing w:after="0"/>
              <w:jc w:val="left"/>
              <w:rPr>
                <w:rFonts w:ascii="Arial Narrow" w:hAnsi="Arial Narrow"/>
                <w:color w:val="000000" w:themeColor="text1"/>
                <w:sz w:val="20"/>
                <w:lang w:eastAsia="en-AU"/>
              </w:rPr>
            </w:pPr>
            <w:r w:rsidRPr="001C0943">
              <w:rPr>
                <w:rFonts w:ascii="Arial Narrow" w:hAnsi="Arial Narrow"/>
                <w:color w:val="000000" w:themeColor="text1"/>
                <w:sz w:val="20"/>
                <w:lang w:eastAsia="en-AU"/>
              </w:rPr>
              <w:t>Middle</w:t>
            </w:r>
          </w:p>
        </w:tc>
        <w:tc>
          <w:tcPr>
            <w:tcW w:w="1630" w:type="dxa"/>
            <w:tcBorders>
              <w:top w:val="nil"/>
              <w:left w:val="nil"/>
              <w:bottom w:val="single" w:sz="8" w:space="0" w:color="auto"/>
              <w:right w:val="single" w:sz="8" w:space="0" w:color="auto"/>
            </w:tcBorders>
            <w:shd w:val="clear" w:color="auto" w:fill="auto"/>
            <w:noWrap/>
            <w:vAlign w:val="bottom"/>
            <w:hideMark/>
          </w:tcPr>
          <w:p w14:paraId="53C14B5C" w14:textId="77777777" w:rsidR="00EE76B9" w:rsidRPr="00EE76B9" w:rsidRDefault="00EE76B9" w:rsidP="00EE76B9">
            <w:pPr>
              <w:jc w:val="center"/>
              <w:rPr>
                <w:rStyle w:val="IntenseReference"/>
              </w:rPr>
            </w:pPr>
            <w:r w:rsidRPr="00EE76B9">
              <w:rPr>
                <w:rStyle w:val="IntenseReference"/>
              </w:rPr>
              <w:t>0.48</w:t>
            </w:r>
          </w:p>
        </w:tc>
        <w:tc>
          <w:tcPr>
            <w:tcW w:w="1134" w:type="dxa"/>
            <w:tcBorders>
              <w:top w:val="nil"/>
              <w:left w:val="nil"/>
              <w:bottom w:val="single" w:sz="8" w:space="0" w:color="auto"/>
              <w:right w:val="single" w:sz="8" w:space="0" w:color="auto"/>
            </w:tcBorders>
            <w:shd w:val="clear" w:color="auto" w:fill="auto"/>
            <w:noWrap/>
            <w:vAlign w:val="bottom"/>
            <w:hideMark/>
          </w:tcPr>
          <w:p w14:paraId="53C14B5D" w14:textId="77777777" w:rsidR="00EE76B9" w:rsidRPr="00EE76B9" w:rsidRDefault="00EE76B9" w:rsidP="00EE76B9">
            <w:pPr>
              <w:jc w:val="center"/>
              <w:rPr>
                <w:rStyle w:val="IntenseReference"/>
              </w:rPr>
            </w:pPr>
            <w:r w:rsidRPr="00EE76B9">
              <w:rPr>
                <w:rStyle w:val="IntenseReference"/>
              </w:rPr>
              <w:t>0.75</w:t>
            </w:r>
          </w:p>
        </w:tc>
        <w:tc>
          <w:tcPr>
            <w:tcW w:w="1276" w:type="dxa"/>
            <w:tcBorders>
              <w:top w:val="nil"/>
              <w:left w:val="nil"/>
              <w:bottom w:val="single" w:sz="8" w:space="0" w:color="auto"/>
              <w:right w:val="single" w:sz="8" w:space="0" w:color="auto"/>
            </w:tcBorders>
            <w:shd w:val="clear" w:color="auto" w:fill="auto"/>
            <w:noWrap/>
            <w:vAlign w:val="bottom"/>
            <w:hideMark/>
          </w:tcPr>
          <w:p w14:paraId="53C14B5E" w14:textId="77777777" w:rsidR="00EE76B9" w:rsidRPr="00EE76B9" w:rsidRDefault="00EE76B9" w:rsidP="00EE76B9">
            <w:pPr>
              <w:spacing w:after="0"/>
              <w:jc w:val="center"/>
              <w:rPr>
                <w:rStyle w:val="IntenseReference"/>
              </w:rPr>
            </w:pPr>
            <w:r w:rsidRPr="00EE76B9">
              <w:rPr>
                <w:rStyle w:val="IntenseReference"/>
              </w:rPr>
              <w:t>4.8</w:t>
            </w:r>
          </w:p>
        </w:tc>
      </w:tr>
      <w:tr w:rsidR="00EE76B9" w:rsidRPr="00CE4E0F" w14:paraId="53C14B65" w14:textId="77777777" w:rsidTr="001C0943">
        <w:trPr>
          <w:trHeight w:hRule="exact" w:val="255"/>
        </w:trPr>
        <w:tc>
          <w:tcPr>
            <w:tcW w:w="2709" w:type="dxa"/>
            <w:vMerge/>
            <w:tcBorders>
              <w:left w:val="single" w:sz="8" w:space="0" w:color="auto"/>
              <w:right w:val="single" w:sz="8" w:space="0" w:color="auto"/>
            </w:tcBorders>
            <w:vAlign w:val="center"/>
            <w:hideMark/>
          </w:tcPr>
          <w:p w14:paraId="53C14B60" w14:textId="77777777" w:rsidR="00EE76B9" w:rsidRPr="001C0943" w:rsidRDefault="00EE76B9" w:rsidP="00EE76B9">
            <w:pPr>
              <w:spacing w:after="0"/>
              <w:jc w:val="left"/>
              <w:rPr>
                <w:rFonts w:ascii="Arial Narrow" w:hAnsi="Arial Narrow"/>
                <w:color w:val="000000" w:themeColor="text1"/>
                <w:sz w:val="20"/>
                <w:lang w:eastAsia="en-AU"/>
              </w:rPr>
            </w:pPr>
          </w:p>
        </w:tc>
        <w:tc>
          <w:tcPr>
            <w:tcW w:w="1583" w:type="dxa"/>
            <w:tcBorders>
              <w:top w:val="nil"/>
              <w:left w:val="nil"/>
              <w:bottom w:val="single" w:sz="8" w:space="0" w:color="auto"/>
              <w:right w:val="single" w:sz="8" w:space="0" w:color="auto"/>
            </w:tcBorders>
            <w:shd w:val="clear" w:color="auto" w:fill="auto"/>
            <w:noWrap/>
            <w:vAlign w:val="bottom"/>
            <w:hideMark/>
          </w:tcPr>
          <w:p w14:paraId="53C14B61" w14:textId="77777777" w:rsidR="00EE76B9" w:rsidRPr="001C0943" w:rsidRDefault="00EE76B9" w:rsidP="00EE76B9">
            <w:pPr>
              <w:spacing w:after="0"/>
              <w:jc w:val="left"/>
              <w:rPr>
                <w:rFonts w:ascii="Arial Narrow" w:hAnsi="Arial Narrow"/>
                <w:color w:val="000000" w:themeColor="text1"/>
                <w:sz w:val="20"/>
                <w:lang w:eastAsia="en-AU"/>
              </w:rPr>
            </w:pPr>
            <w:r w:rsidRPr="001C0943">
              <w:rPr>
                <w:rFonts w:ascii="Arial Narrow" w:hAnsi="Arial Narrow"/>
                <w:color w:val="000000" w:themeColor="text1"/>
                <w:sz w:val="20"/>
                <w:lang w:eastAsia="en-AU"/>
              </w:rPr>
              <w:t>Peak</w:t>
            </w:r>
          </w:p>
        </w:tc>
        <w:tc>
          <w:tcPr>
            <w:tcW w:w="1630" w:type="dxa"/>
            <w:tcBorders>
              <w:top w:val="nil"/>
              <w:left w:val="nil"/>
              <w:bottom w:val="single" w:sz="8" w:space="0" w:color="auto"/>
              <w:right w:val="single" w:sz="8" w:space="0" w:color="auto"/>
            </w:tcBorders>
            <w:shd w:val="clear" w:color="auto" w:fill="auto"/>
            <w:noWrap/>
            <w:vAlign w:val="bottom"/>
            <w:hideMark/>
          </w:tcPr>
          <w:p w14:paraId="53C14B62" w14:textId="77777777" w:rsidR="00EE76B9" w:rsidRPr="00EE76B9" w:rsidRDefault="00EE76B9" w:rsidP="00EE76B9">
            <w:pPr>
              <w:jc w:val="center"/>
              <w:rPr>
                <w:rStyle w:val="IntenseReference"/>
              </w:rPr>
            </w:pPr>
            <w:r w:rsidRPr="00EE76B9">
              <w:rPr>
                <w:rStyle w:val="IntenseReference"/>
              </w:rPr>
              <w:t>0.70</w:t>
            </w:r>
          </w:p>
        </w:tc>
        <w:tc>
          <w:tcPr>
            <w:tcW w:w="1134" w:type="dxa"/>
            <w:tcBorders>
              <w:top w:val="nil"/>
              <w:left w:val="nil"/>
              <w:bottom w:val="single" w:sz="8" w:space="0" w:color="auto"/>
              <w:right w:val="single" w:sz="8" w:space="0" w:color="auto"/>
            </w:tcBorders>
            <w:shd w:val="clear" w:color="auto" w:fill="auto"/>
            <w:noWrap/>
            <w:vAlign w:val="bottom"/>
            <w:hideMark/>
          </w:tcPr>
          <w:p w14:paraId="53C14B63" w14:textId="77777777" w:rsidR="00EE76B9" w:rsidRPr="00EE76B9" w:rsidRDefault="00EE76B9" w:rsidP="00EE76B9">
            <w:pPr>
              <w:jc w:val="center"/>
              <w:rPr>
                <w:rStyle w:val="IntenseReference"/>
              </w:rPr>
            </w:pPr>
            <w:r w:rsidRPr="00EE76B9">
              <w:rPr>
                <w:rStyle w:val="IntenseReference"/>
              </w:rPr>
              <w:t>2.22</w:t>
            </w:r>
          </w:p>
        </w:tc>
        <w:tc>
          <w:tcPr>
            <w:tcW w:w="1276" w:type="dxa"/>
            <w:tcBorders>
              <w:top w:val="nil"/>
              <w:left w:val="nil"/>
              <w:bottom w:val="single" w:sz="8" w:space="0" w:color="auto"/>
              <w:right w:val="single" w:sz="8" w:space="0" w:color="auto"/>
            </w:tcBorders>
            <w:shd w:val="clear" w:color="auto" w:fill="auto"/>
            <w:noWrap/>
            <w:vAlign w:val="bottom"/>
            <w:hideMark/>
          </w:tcPr>
          <w:p w14:paraId="53C14B64" w14:textId="77777777" w:rsidR="00EE76B9" w:rsidRPr="00EE76B9" w:rsidRDefault="00EE76B9" w:rsidP="00EE76B9">
            <w:pPr>
              <w:spacing w:after="0"/>
              <w:jc w:val="center"/>
              <w:rPr>
                <w:rStyle w:val="IntenseReference"/>
              </w:rPr>
            </w:pPr>
            <w:r w:rsidRPr="00EE76B9">
              <w:rPr>
                <w:rStyle w:val="IntenseReference"/>
              </w:rPr>
              <w:t>9.5</w:t>
            </w:r>
          </w:p>
        </w:tc>
      </w:tr>
      <w:tr w:rsidR="00EE76B9" w:rsidRPr="00CE4E0F" w14:paraId="53C14B6B" w14:textId="77777777" w:rsidTr="001C0943">
        <w:trPr>
          <w:trHeight w:hRule="exact" w:val="300"/>
        </w:trPr>
        <w:tc>
          <w:tcPr>
            <w:tcW w:w="2709" w:type="dxa"/>
            <w:vMerge/>
            <w:tcBorders>
              <w:left w:val="single" w:sz="8" w:space="0" w:color="auto"/>
              <w:bottom w:val="single" w:sz="8" w:space="0" w:color="auto"/>
              <w:right w:val="single" w:sz="8" w:space="0" w:color="auto"/>
            </w:tcBorders>
            <w:vAlign w:val="center"/>
            <w:hideMark/>
          </w:tcPr>
          <w:p w14:paraId="53C14B66" w14:textId="77777777" w:rsidR="00EE76B9" w:rsidRPr="001C0943" w:rsidRDefault="00EE76B9" w:rsidP="00EE76B9">
            <w:pPr>
              <w:spacing w:after="0"/>
              <w:jc w:val="left"/>
              <w:rPr>
                <w:rFonts w:ascii="Arial Narrow" w:hAnsi="Arial Narrow"/>
                <w:color w:val="000000" w:themeColor="text1"/>
                <w:sz w:val="20"/>
                <w:lang w:eastAsia="en-AU"/>
              </w:rPr>
            </w:pPr>
          </w:p>
        </w:tc>
        <w:tc>
          <w:tcPr>
            <w:tcW w:w="1583" w:type="dxa"/>
            <w:tcBorders>
              <w:top w:val="nil"/>
              <w:left w:val="nil"/>
              <w:bottom w:val="single" w:sz="8" w:space="0" w:color="auto"/>
              <w:right w:val="single" w:sz="8" w:space="0" w:color="auto"/>
            </w:tcBorders>
            <w:shd w:val="clear" w:color="auto" w:fill="auto"/>
            <w:noWrap/>
            <w:vAlign w:val="bottom"/>
            <w:hideMark/>
          </w:tcPr>
          <w:p w14:paraId="53C14B67" w14:textId="77777777" w:rsidR="00EE76B9" w:rsidRPr="001C0943" w:rsidRDefault="00EE76B9" w:rsidP="00EE76B9">
            <w:pPr>
              <w:spacing w:after="0"/>
              <w:jc w:val="left"/>
              <w:rPr>
                <w:rFonts w:ascii="Arial Narrow" w:hAnsi="Arial Narrow"/>
                <w:color w:val="000000" w:themeColor="text1"/>
                <w:sz w:val="20"/>
                <w:lang w:eastAsia="en-AU"/>
              </w:rPr>
            </w:pPr>
            <w:r w:rsidRPr="001C0943">
              <w:rPr>
                <w:rFonts w:ascii="Arial Narrow" w:hAnsi="Arial Narrow"/>
                <w:color w:val="000000" w:themeColor="text1"/>
                <w:sz w:val="20"/>
                <w:lang w:eastAsia="en-AU"/>
              </w:rPr>
              <w:t>Pelican</w:t>
            </w:r>
          </w:p>
        </w:tc>
        <w:tc>
          <w:tcPr>
            <w:tcW w:w="1630" w:type="dxa"/>
            <w:tcBorders>
              <w:top w:val="nil"/>
              <w:left w:val="nil"/>
              <w:bottom w:val="single" w:sz="8" w:space="0" w:color="auto"/>
              <w:right w:val="single" w:sz="8" w:space="0" w:color="auto"/>
            </w:tcBorders>
            <w:shd w:val="clear" w:color="auto" w:fill="auto"/>
            <w:noWrap/>
            <w:vAlign w:val="bottom"/>
            <w:hideMark/>
          </w:tcPr>
          <w:p w14:paraId="53C14B68" w14:textId="77777777" w:rsidR="00EE76B9" w:rsidRPr="00EE76B9" w:rsidRDefault="00EE76B9" w:rsidP="00EE76B9">
            <w:pPr>
              <w:jc w:val="center"/>
              <w:rPr>
                <w:rStyle w:val="IntenseReference"/>
              </w:rPr>
            </w:pPr>
            <w:r w:rsidRPr="00EE76B9">
              <w:rPr>
                <w:rStyle w:val="IntenseReference"/>
              </w:rPr>
              <w:t>0.71</w:t>
            </w:r>
          </w:p>
        </w:tc>
        <w:tc>
          <w:tcPr>
            <w:tcW w:w="1134" w:type="dxa"/>
            <w:tcBorders>
              <w:top w:val="nil"/>
              <w:left w:val="nil"/>
              <w:bottom w:val="single" w:sz="8" w:space="0" w:color="auto"/>
              <w:right w:val="single" w:sz="8" w:space="0" w:color="auto"/>
            </w:tcBorders>
            <w:shd w:val="clear" w:color="auto" w:fill="auto"/>
            <w:noWrap/>
            <w:vAlign w:val="bottom"/>
            <w:hideMark/>
          </w:tcPr>
          <w:p w14:paraId="53C14B69" w14:textId="77777777" w:rsidR="00EE76B9" w:rsidRPr="00EE76B9" w:rsidRDefault="00EE76B9" w:rsidP="00EE76B9">
            <w:pPr>
              <w:jc w:val="center"/>
              <w:rPr>
                <w:rStyle w:val="IntenseReference"/>
              </w:rPr>
            </w:pPr>
            <w:r w:rsidRPr="00EE76B9">
              <w:rPr>
                <w:rStyle w:val="IntenseReference"/>
              </w:rPr>
              <w:t>1.45</w:t>
            </w:r>
          </w:p>
        </w:tc>
        <w:tc>
          <w:tcPr>
            <w:tcW w:w="1276" w:type="dxa"/>
            <w:tcBorders>
              <w:top w:val="nil"/>
              <w:left w:val="nil"/>
              <w:bottom w:val="single" w:sz="8" w:space="0" w:color="auto"/>
              <w:right w:val="single" w:sz="8" w:space="0" w:color="auto"/>
            </w:tcBorders>
            <w:shd w:val="clear" w:color="auto" w:fill="auto"/>
            <w:noWrap/>
            <w:vAlign w:val="bottom"/>
            <w:hideMark/>
          </w:tcPr>
          <w:p w14:paraId="53C14B6A" w14:textId="77777777" w:rsidR="00EE76B9" w:rsidRPr="00EE76B9" w:rsidRDefault="00EE76B9" w:rsidP="00EE76B9">
            <w:pPr>
              <w:spacing w:after="0"/>
              <w:jc w:val="center"/>
              <w:rPr>
                <w:rStyle w:val="IntenseReference"/>
              </w:rPr>
            </w:pPr>
            <w:r w:rsidRPr="00EE76B9">
              <w:rPr>
                <w:rStyle w:val="IntenseReference"/>
              </w:rPr>
              <w:t>2.1</w:t>
            </w:r>
          </w:p>
        </w:tc>
      </w:tr>
    </w:tbl>
    <w:p w14:paraId="53C14B6C" w14:textId="77777777" w:rsidR="00A84742" w:rsidRPr="00CE4E0F" w:rsidRDefault="00A84742" w:rsidP="00A84742">
      <w:pPr>
        <w:spacing w:before="120"/>
        <w:rPr>
          <w:rFonts w:ascii="Arial Narrow" w:hAnsi="Arial Narrow"/>
          <w:b/>
          <w:color w:val="548DD4" w:themeColor="text2" w:themeTint="99"/>
        </w:rPr>
        <w:sectPr w:rsidR="00A84742" w:rsidRPr="00CE4E0F" w:rsidSect="00393669">
          <w:pgSz w:w="11907" w:h="16840" w:code="9"/>
          <w:pgMar w:top="1440" w:right="1134" w:bottom="1440" w:left="1134" w:header="709" w:footer="709" w:gutter="0"/>
          <w:cols w:space="708"/>
          <w:docGrid w:linePitch="360"/>
        </w:sectPr>
      </w:pPr>
    </w:p>
    <w:p w14:paraId="53C14B6D" w14:textId="77777777" w:rsidR="00A84742" w:rsidRPr="00CE4E0F" w:rsidRDefault="002A79C7" w:rsidP="00A84742">
      <w:pPr>
        <w:rPr>
          <w:color w:val="548DD4" w:themeColor="text2" w:themeTint="99"/>
        </w:rPr>
      </w:pPr>
      <w:bookmarkStart w:id="621" w:name="_Ref491178771"/>
      <w:bookmarkStart w:id="622" w:name="_Toc374701408"/>
      <w:bookmarkStart w:id="623" w:name="_Toc392929576"/>
      <w:bookmarkStart w:id="624" w:name="_Toc430268217"/>
      <w:r w:rsidRPr="00CE4E0F">
        <w:rPr>
          <w:noProof/>
          <w:color w:val="548DD4" w:themeColor="text2" w:themeTint="99"/>
          <w:lang w:eastAsia="en-AU"/>
        </w:rPr>
        <w:lastRenderedPageBreak/>
        <w:drawing>
          <wp:inline distT="0" distB="0" distL="0" distR="0" wp14:anchorId="53C15F74" wp14:editId="53C15F75">
            <wp:extent cx="8858250" cy="4638675"/>
            <wp:effectExtent l="0" t="0" r="0" b="9525"/>
            <wp:docPr id="13" name="Picture 13" descr="A panel of plots presenting family-level time-series of cover and juvenile density at each monitoring reef and depth combination." title="Figure A1 composition of benthic communities in the Barron Daintree sub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Reports\Visit 15 2019\code\output\figures\Daintreebar.1.png"/>
                    <pic:cNvPicPr>
                      <a:picLocks noChangeAspect="1" noChangeArrowheads="1"/>
                    </pic:cNvPicPr>
                  </pic:nvPicPr>
                  <pic:blipFill rotWithShape="1">
                    <a:blip r:embed="rId87" cstate="print">
                      <a:extLst>
                        <a:ext uri="{28A0092B-C50C-407E-A947-70E740481C1C}">
                          <a14:useLocalDpi xmlns:a14="http://schemas.microsoft.com/office/drawing/2010/main" val="0"/>
                        </a:ext>
                      </a:extLst>
                    </a:blip>
                    <a:srcRect t="2737" b="8394"/>
                    <a:stretch/>
                  </pic:blipFill>
                  <pic:spPr bwMode="auto">
                    <a:xfrm>
                      <a:off x="0" y="0"/>
                      <a:ext cx="8858250" cy="4638675"/>
                    </a:xfrm>
                    <a:prstGeom prst="rect">
                      <a:avLst/>
                    </a:prstGeom>
                    <a:noFill/>
                    <a:ln>
                      <a:noFill/>
                    </a:ln>
                    <a:extLst>
                      <a:ext uri="{53640926-AAD7-44D8-BBD7-CCE9431645EC}">
                        <a14:shadowObscured xmlns:a14="http://schemas.microsoft.com/office/drawing/2010/main"/>
                      </a:ext>
                    </a:extLst>
                  </pic:spPr>
                </pic:pic>
              </a:graphicData>
            </a:graphic>
          </wp:inline>
        </w:drawing>
      </w:r>
    </w:p>
    <w:p w14:paraId="53C14B6E" w14:textId="0749B0ED" w:rsidR="000410EE" w:rsidRPr="002445C4" w:rsidRDefault="00A84742" w:rsidP="002B5296">
      <w:pPr>
        <w:pStyle w:val="Caption"/>
        <w:rPr>
          <w:rFonts w:ascii="Arial" w:hAnsi="Arial" w:cs="Arial"/>
          <w:i/>
          <w:vanish/>
          <w:specVanish/>
        </w:rPr>
      </w:pPr>
      <w:bookmarkStart w:id="625" w:name="_Ref528584218"/>
      <w:bookmarkStart w:id="626" w:name="_Toc35524079"/>
      <w:bookmarkStart w:id="627" w:name="_Toc530654887"/>
      <w:bookmarkEnd w:id="621"/>
      <w:r w:rsidRPr="002445C4">
        <w:t xml:space="preserve">Figure A </w:t>
      </w:r>
      <w:r w:rsidR="005D7AC6" w:rsidRPr="002445C4">
        <w:rPr>
          <w:noProof/>
        </w:rPr>
        <w:fldChar w:fldCharType="begin"/>
      </w:r>
      <w:r w:rsidR="005D7AC6" w:rsidRPr="002445C4">
        <w:rPr>
          <w:noProof/>
        </w:rPr>
        <w:instrText xml:space="preserve"> SEQ Figure_A \* ARABIC </w:instrText>
      </w:r>
      <w:r w:rsidR="005D7AC6" w:rsidRPr="002445C4">
        <w:rPr>
          <w:noProof/>
        </w:rPr>
        <w:fldChar w:fldCharType="separate"/>
      </w:r>
      <w:r w:rsidR="003053D1">
        <w:rPr>
          <w:noProof/>
        </w:rPr>
        <w:t>1</w:t>
      </w:r>
      <w:r w:rsidR="005D7AC6" w:rsidRPr="002445C4">
        <w:rPr>
          <w:noProof/>
        </w:rPr>
        <w:fldChar w:fldCharType="end"/>
      </w:r>
      <w:bookmarkEnd w:id="625"/>
      <w:r w:rsidRPr="002445C4">
        <w:t xml:space="preserve"> Barron Daintree sub-region benthic community composition</w:t>
      </w:r>
      <w:bookmarkEnd w:id="626"/>
    </w:p>
    <w:p w14:paraId="53C14B6F" w14:textId="77777777" w:rsidR="00A84742" w:rsidRPr="008E703E" w:rsidRDefault="000410EE">
      <w:pPr>
        <w:pStyle w:val="Caption"/>
        <w:rPr>
          <w:rStyle w:val="IntenseReference"/>
        </w:rPr>
      </w:pPr>
      <w:r w:rsidRPr="002445C4">
        <w:t>.</w:t>
      </w:r>
      <w:bookmarkEnd w:id="622"/>
      <w:bookmarkEnd w:id="623"/>
      <w:bookmarkEnd w:id="624"/>
      <w:r w:rsidR="00A84742" w:rsidRPr="002445C4">
        <w:t xml:space="preserve"> </w:t>
      </w:r>
      <w:bookmarkStart w:id="628" w:name="_Toc437424324"/>
      <w:bookmarkStart w:id="629" w:name="_Toc437432377"/>
      <w:r w:rsidR="00A84742" w:rsidRPr="008E703E">
        <w:rPr>
          <w:rStyle w:val="IntenseReference"/>
        </w:rPr>
        <w:t>Cover estimates are separated into regionally abundant hard coral families and the total cover for soft corals and macroalgae (hanging). Juvenile density estimates are for regionally abundant hard coral families. Separate legends relevant groupings for cover and juvenile density estimates are located beneath the relevant plots.</w:t>
      </w:r>
      <w:bookmarkEnd w:id="627"/>
      <w:bookmarkEnd w:id="628"/>
      <w:bookmarkEnd w:id="629"/>
    </w:p>
    <w:p w14:paraId="53C14B70" w14:textId="77777777" w:rsidR="00A84742" w:rsidRPr="00CE4E0F" w:rsidRDefault="00A84742" w:rsidP="00A84742">
      <w:pPr>
        <w:rPr>
          <w:rFonts w:ascii="Arial Narrow" w:eastAsia="SimSun" w:hAnsi="Arial Narrow"/>
          <w:bCs/>
          <w:color w:val="548DD4" w:themeColor="text2" w:themeTint="99"/>
          <w:sz w:val="20"/>
        </w:rPr>
      </w:pPr>
      <w:r w:rsidRPr="00CE4E0F">
        <w:rPr>
          <w:rFonts w:ascii="Arial Narrow" w:eastAsia="SimSun" w:hAnsi="Arial Narrow"/>
          <w:bCs/>
          <w:color w:val="548DD4" w:themeColor="text2" w:themeTint="99"/>
          <w:sz w:val="20"/>
        </w:rPr>
        <w:br w:type="page"/>
      </w:r>
      <w:bookmarkStart w:id="630" w:name="_Toc374701409"/>
      <w:bookmarkStart w:id="631" w:name="_Toc392929577"/>
      <w:bookmarkStart w:id="632" w:name="_Toc430268218"/>
      <w:bookmarkStart w:id="633" w:name="_Toc453243769"/>
    </w:p>
    <w:p w14:paraId="53C14B71" w14:textId="77777777" w:rsidR="00A84742" w:rsidRPr="00CE4E0F" w:rsidRDefault="002A79C7" w:rsidP="00A84742">
      <w:pPr>
        <w:rPr>
          <w:color w:val="548DD4" w:themeColor="text2" w:themeTint="99"/>
        </w:rPr>
      </w:pPr>
      <w:bookmarkStart w:id="634" w:name="_Ref491264631"/>
      <w:r w:rsidRPr="00CE4E0F">
        <w:rPr>
          <w:noProof/>
          <w:color w:val="548DD4" w:themeColor="text2" w:themeTint="99"/>
          <w:lang w:eastAsia="en-AU"/>
        </w:rPr>
        <w:lastRenderedPageBreak/>
        <w:drawing>
          <wp:inline distT="0" distB="0" distL="0" distR="0" wp14:anchorId="53C15F76" wp14:editId="53C15F77">
            <wp:extent cx="8858250" cy="4505325"/>
            <wp:effectExtent l="0" t="0" r="0" b="9525"/>
            <wp:docPr id="16" name="Picture 16" descr="A panel of plots presenting family-level time-series of cover and juvenile density at each monitoring reef and depth combination." title="Figure A2 composition of benthic communities in the Johnstone Russell-Mulgrave sub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Reports\Visit 15 2019\code\output\figures\Johnstonebar.1.png"/>
                    <pic:cNvPicPr>
                      <a:picLocks noChangeAspect="1" noChangeArrowheads="1"/>
                    </pic:cNvPicPr>
                  </pic:nvPicPr>
                  <pic:blipFill rotWithShape="1">
                    <a:blip r:embed="rId88" cstate="print">
                      <a:extLst>
                        <a:ext uri="{28A0092B-C50C-407E-A947-70E740481C1C}">
                          <a14:useLocalDpi xmlns:a14="http://schemas.microsoft.com/office/drawing/2010/main" val="0"/>
                        </a:ext>
                      </a:extLst>
                    </a:blip>
                    <a:srcRect t="3103" b="10584"/>
                    <a:stretch/>
                  </pic:blipFill>
                  <pic:spPr bwMode="auto">
                    <a:xfrm>
                      <a:off x="0" y="0"/>
                      <a:ext cx="8858250" cy="4505325"/>
                    </a:xfrm>
                    <a:prstGeom prst="rect">
                      <a:avLst/>
                    </a:prstGeom>
                    <a:noFill/>
                    <a:ln>
                      <a:noFill/>
                    </a:ln>
                    <a:extLst>
                      <a:ext uri="{53640926-AAD7-44D8-BBD7-CCE9431645EC}">
                        <a14:shadowObscured xmlns:a14="http://schemas.microsoft.com/office/drawing/2010/main"/>
                      </a:ext>
                    </a:extLst>
                  </pic:spPr>
                </pic:pic>
              </a:graphicData>
            </a:graphic>
          </wp:inline>
        </w:drawing>
      </w:r>
    </w:p>
    <w:p w14:paraId="53C14B72" w14:textId="13B5D57E" w:rsidR="006902D1" w:rsidRPr="002445C4" w:rsidRDefault="00A84742" w:rsidP="002B5296">
      <w:pPr>
        <w:pStyle w:val="Caption"/>
        <w:rPr>
          <w:rFonts w:ascii="Arial" w:hAnsi="Arial" w:cs="Arial"/>
          <w:i/>
          <w:vanish/>
          <w:specVanish/>
        </w:rPr>
      </w:pPr>
      <w:bookmarkStart w:id="635" w:name="_Ref528585641"/>
      <w:bookmarkStart w:id="636" w:name="_Ref528588517"/>
      <w:bookmarkStart w:id="637" w:name="_Toc35524080"/>
      <w:bookmarkStart w:id="638" w:name="_Toc530654888"/>
      <w:bookmarkEnd w:id="634"/>
      <w:r w:rsidRPr="002445C4">
        <w:t xml:space="preserve">Figure A </w:t>
      </w:r>
      <w:r w:rsidR="005D7AC6" w:rsidRPr="002445C4">
        <w:rPr>
          <w:noProof/>
        </w:rPr>
        <w:fldChar w:fldCharType="begin"/>
      </w:r>
      <w:r w:rsidR="005D7AC6" w:rsidRPr="002445C4">
        <w:rPr>
          <w:noProof/>
        </w:rPr>
        <w:instrText xml:space="preserve"> SEQ Figure_A \* ARABIC </w:instrText>
      </w:r>
      <w:r w:rsidR="005D7AC6" w:rsidRPr="002445C4">
        <w:rPr>
          <w:noProof/>
        </w:rPr>
        <w:fldChar w:fldCharType="separate"/>
      </w:r>
      <w:r w:rsidR="003053D1">
        <w:rPr>
          <w:noProof/>
        </w:rPr>
        <w:t>2</w:t>
      </w:r>
      <w:r w:rsidR="005D7AC6" w:rsidRPr="002445C4">
        <w:rPr>
          <w:noProof/>
        </w:rPr>
        <w:fldChar w:fldCharType="end"/>
      </w:r>
      <w:bookmarkEnd w:id="635"/>
      <w:bookmarkEnd w:id="636"/>
      <w:r w:rsidRPr="002445C4">
        <w:t xml:space="preserve"> Johnstone Russell-Mulgrave sub-region benthic community composition</w:t>
      </w:r>
      <w:bookmarkEnd w:id="637"/>
    </w:p>
    <w:p w14:paraId="53C14B73" w14:textId="77777777" w:rsidR="00A84742" w:rsidRPr="008E703E" w:rsidRDefault="006902D1">
      <w:pPr>
        <w:pStyle w:val="Caption"/>
        <w:rPr>
          <w:rStyle w:val="IntenseReference"/>
        </w:rPr>
      </w:pPr>
      <w:r w:rsidRPr="008E703E">
        <w:rPr>
          <w:rStyle w:val="IntenseReference"/>
        </w:rPr>
        <w:t>.</w:t>
      </w:r>
      <w:bookmarkStart w:id="639" w:name="_Toc471373202"/>
      <w:bookmarkStart w:id="640" w:name="_Toc437424325"/>
      <w:bookmarkStart w:id="641" w:name="_Toc437432378"/>
      <w:bookmarkEnd w:id="630"/>
      <w:bookmarkEnd w:id="631"/>
      <w:bookmarkEnd w:id="632"/>
      <w:r w:rsidR="00A84742" w:rsidRPr="008E703E">
        <w:rPr>
          <w:rStyle w:val="IntenseReference"/>
        </w:rPr>
        <w:t xml:space="preserve"> Cover estimates are separated into regionally abundant hard coral families and the total cover for soft corals and macroalgae (hanging). Juvenile density estimates are for regionally abundant hard coral families. Separate legends relevant groupings for cover and juvenile density estimates are located beneath the relevant plots.</w:t>
      </w:r>
      <w:bookmarkEnd w:id="633"/>
      <w:bookmarkEnd w:id="638"/>
      <w:bookmarkEnd w:id="639"/>
      <w:bookmarkEnd w:id="640"/>
      <w:bookmarkEnd w:id="641"/>
    </w:p>
    <w:p w14:paraId="53C14B74" w14:textId="77777777" w:rsidR="00A84742" w:rsidRPr="00CE4E0F" w:rsidRDefault="00A84742" w:rsidP="006902D1">
      <w:pPr>
        <w:rPr>
          <w:color w:val="548DD4" w:themeColor="text2" w:themeTint="99"/>
        </w:rPr>
      </w:pPr>
      <w:r w:rsidRPr="00CE4E0F">
        <w:rPr>
          <w:color w:val="548DD4" w:themeColor="text2" w:themeTint="99"/>
        </w:rPr>
        <w:br w:type="page"/>
      </w:r>
    </w:p>
    <w:p w14:paraId="53C14B75" w14:textId="77777777" w:rsidR="00A84742" w:rsidRPr="002445C4" w:rsidRDefault="002A79C7" w:rsidP="006902D1">
      <w:pPr>
        <w:rPr>
          <w:rFonts w:ascii="Arial Narrow" w:hAnsi="Arial Narrow"/>
          <w:sz w:val="20"/>
          <w:szCs w:val="20"/>
        </w:rPr>
      </w:pPr>
      <w:r w:rsidRPr="00CE4E0F">
        <w:rPr>
          <w:noProof/>
          <w:color w:val="548DD4" w:themeColor="text2" w:themeTint="99"/>
          <w:lang w:eastAsia="en-AU"/>
        </w:rPr>
        <w:lastRenderedPageBreak/>
        <w:drawing>
          <wp:inline distT="0" distB="0" distL="0" distR="0" wp14:anchorId="53C15F78" wp14:editId="53C15F79">
            <wp:extent cx="8858250" cy="5219700"/>
            <wp:effectExtent l="0" t="0" r="0" b="0"/>
            <wp:docPr id="17" name="Picture 17" descr="A panel of plots presenting family-level time-series of cover and juvenile density at each monitoring reef and depth combination." title="Figure A2 continu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Reports\Visit 15 2019\code\output\figures\Johnstonebar.2.pn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8858250" cy="5219700"/>
                    </a:xfrm>
                    <a:prstGeom prst="rect">
                      <a:avLst/>
                    </a:prstGeom>
                    <a:noFill/>
                    <a:ln>
                      <a:noFill/>
                    </a:ln>
                  </pic:spPr>
                </pic:pic>
              </a:graphicData>
            </a:graphic>
          </wp:inline>
        </w:drawing>
      </w:r>
      <w:r w:rsidR="00A84742" w:rsidRPr="008E703E">
        <w:rPr>
          <w:rStyle w:val="IntenseReference"/>
        </w:rPr>
        <w:t>Figure A 2 continued</w:t>
      </w:r>
    </w:p>
    <w:p w14:paraId="53C14B76" w14:textId="77777777" w:rsidR="00A84742" w:rsidRPr="00CE4E0F" w:rsidRDefault="00A84742" w:rsidP="00A84742">
      <w:pPr>
        <w:rPr>
          <w:color w:val="548DD4" w:themeColor="text2" w:themeTint="99"/>
        </w:rPr>
      </w:pPr>
      <w:r w:rsidRPr="00CE4E0F">
        <w:rPr>
          <w:color w:val="548DD4" w:themeColor="text2" w:themeTint="99"/>
        </w:rPr>
        <w:br w:type="page"/>
      </w:r>
    </w:p>
    <w:p w14:paraId="53C14B77" w14:textId="77777777" w:rsidR="00A84742" w:rsidRPr="002445C4" w:rsidRDefault="002A79C7" w:rsidP="00A84742">
      <w:pPr>
        <w:rPr>
          <w:rFonts w:ascii="Arial Narrow" w:hAnsi="Arial Narrow"/>
          <w:bCs/>
          <w:sz w:val="20"/>
        </w:rPr>
      </w:pPr>
      <w:r w:rsidRPr="00CE4E0F">
        <w:rPr>
          <w:rFonts w:ascii="Arial Narrow" w:hAnsi="Arial Narrow"/>
          <w:bCs/>
          <w:noProof/>
          <w:color w:val="548DD4" w:themeColor="text2" w:themeTint="99"/>
          <w:sz w:val="20"/>
          <w:lang w:eastAsia="en-AU"/>
        </w:rPr>
        <w:lastRenderedPageBreak/>
        <w:drawing>
          <wp:inline distT="0" distB="0" distL="0" distR="0" wp14:anchorId="53C15F7A" wp14:editId="53C15F7B">
            <wp:extent cx="8858250" cy="4057650"/>
            <wp:effectExtent l="0" t="0" r="0" b="0"/>
            <wp:docPr id="18" name="Picture 18" descr="A panel of plots presenting family-level time-series of cover and juvenile density at each monitoring reef and depth combination." title="Figure A2 continu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Z:\Reports\Visit 15 2019\code\output\figures\Johnstonebar.3.png"/>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8858250" cy="4057650"/>
                    </a:xfrm>
                    <a:prstGeom prst="rect">
                      <a:avLst/>
                    </a:prstGeom>
                    <a:noFill/>
                    <a:ln>
                      <a:noFill/>
                    </a:ln>
                  </pic:spPr>
                </pic:pic>
              </a:graphicData>
            </a:graphic>
          </wp:inline>
        </w:drawing>
      </w:r>
      <w:r w:rsidR="00A84742" w:rsidRPr="008E703E">
        <w:rPr>
          <w:rStyle w:val="IntenseReference"/>
        </w:rPr>
        <w:t>Figure A 2 continued</w:t>
      </w:r>
    </w:p>
    <w:p w14:paraId="53C14B78" w14:textId="77777777" w:rsidR="00A84742" w:rsidRPr="00CE4E0F" w:rsidRDefault="00A84742" w:rsidP="00A84742">
      <w:pPr>
        <w:jc w:val="left"/>
        <w:rPr>
          <w:rFonts w:ascii="Arial Narrow" w:hAnsi="Arial Narrow"/>
          <w:bCs/>
          <w:color w:val="548DD4" w:themeColor="text2" w:themeTint="99"/>
          <w:sz w:val="20"/>
        </w:rPr>
      </w:pPr>
      <w:r w:rsidRPr="00CE4E0F">
        <w:rPr>
          <w:rFonts w:ascii="Arial Narrow" w:hAnsi="Arial Narrow"/>
          <w:bCs/>
          <w:color w:val="548DD4" w:themeColor="text2" w:themeTint="99"/>
          <w:sz w:val="20"/>
        </w:rPr>
        <w:br w:type="page"/>
      </w:r>
    </w:p>
    <w:p w14:paraId="53C14B79" w14:textId="77777777" w:rsidR="00A84742" w:rsidRPr="00CE4E0F" w:rsidRDefault="002A79C7" w:rsidP="00A84742">
      <w:pPr>
        <w:rPr>
          <w:color w:val="548DD4" w:themeColor="text2" w:themeTint="99"/>
        </w:rPr>
      </w:pPr>
      <w:bookmarkStart w:id="642" w:name="_Ref491267551"/>
      <w:bookmarkStart w:id="643" w:name="_Toc374701410"/>
      <w:bookmarkStart w:id="644" w:name="_Toc392929578"/>
      <w:bookmarkStart w:id="645" w:name="_Toc430268219"/>
      <w:r w:rsidRPr="00CE4E0F">
        <w:rPr>
          <w:noProof/>
          <w:color w:val="548DD4" w:themeColor="text2" w:themeTint="99"/>
          <w:lang w:eastAsia="en-AU"/>
        </w:rPr>
        <w:lastRenderedPageBreak/>
        <w:drawing>
          <wp:inline distT="0" distB="0" distL="0" distR="0" wp14:anchorId="53C15F7C" wp14:editId="53C15F7D">
            <wp:extent cx="8858250" cy="4600575"/>
            <wp:effectExtent l="0" t="0" r="0" b="9525"/>
            <wp:docPr id="23" name="Picture 23" descr="A panel of plots presenting family-level time-series of cover and juvenile density at each monitoring reef and depth combination." title="Figure A3 composition of benthic communities in the Herbert-Tully sub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Z:\Reports\Visit 15 2019\code\output\figures\Tullybar.1.png"/>
                    <pic:cNvPicPr>
                      <a:picLocks noChangeAspect="1" noChangeArrowheads="1"/>
                    </pic:cNvPicPr>
                  </pic:nvPicPr>
                  <pic:blipFill rotWithShape="1">
                    <a:blip r:embed="rId91" cstate="print">
                      <a:extLst>
                        <a:ext uri="{28A0092B-C50C-407E-A947-70E740481C1C}">
                          <a14:useLocalDpi xmlns:a14="http://schemas.microsoft.com/office/drawing/2010/main" val="0"/>
                        </a:ext>
                      </a:extLst>
                    </a:blip>
                    <a:srcRect t="2190" b="9673"/>
                    <a:stretch/>
                  </pic:blipFill>
                  <pic:spPr bwMode="auto">
                    <a:xfrm>
                      <a:off x="0" y="0"/>
                      <a:ext cx="8858250" cy="4600575"/>
                    </a:xfrm>
                    <a:prstGeom prst="rect">
                      <a:avLst/>
                    </a:prstGeom>
                    <a:noFill/>
                    <a:ln>
                      <a:noFill/>
                    </a:ln>
                    <a:extLst>
                      <a:ext uri="{53640926-AAD7-44D8-BBD7-CCE9431645EC}">
                        <a14:shadowObscured xmlns:a14="http://schemas.microsoft.com/office/drawing/2010/main"/>
                      </a:ext>
                    </a:extLst>
                  </pic:spPr>
                </pic:pic>
              </a:graphicData>
            </a:graphic>
          </wp:inline>
        </w:drawing>
      </w:r>
    </w:p>
    <w:p w14:paraId="53C14B7A" w14:textId="7BD04530" w:rsidR="00E41BC6" w:rsidRPr="002445C4" w:rsidRDefault="00A84742" w:rsidP="002B5296">
      <w:pPr>
        <w:pStyle w:val="Caption"/>
        <w:rPr>
          <w:rFonts w:ascii="Arial" w:hAnsi="Arial" w:cs="Arial"/>
          <w:i/>
          <w:vanish/>
          <w:specVanish/>
        </w:rPr>
      </w:pPr>
      <w:bookmarkStart w:id="646" w:name="_Ref528588974"/>
      <w:bookmarkStart w:id="647" w:name="_Toc35524081"/>
      <w:bookmarkStart w:id="648" w:name="_Toc530654889"/>
      <w:bookmarkEnd w:id="642"/>
      <w:r w:rsidRPr="002445C4">
        <w:t xml:space="preserve">Figure A </w:t>
      </w:r>
      <w:r w:rsidR="005D7AC6" w:rsidRPr="002445C4">
        <w:rPr>
          <w:noProof/>
        </w:rPr>
        <w:fldChar w:fldCharType="begin"/>
      </w:r>
      <w:r w:rsidR="005D7AC6" w:rsidRPr="002445C4">
        <w:rPr>
          <w:noProof/>
        </w:rPr>
        <w:instrText xml:space="preserve"> SEQ Figure_A \* ARABIC </w:instrText>
      </w:r>
      <w:r w:rsidR="005D7AC6" w:rsidRPr="002445C4">
        <w:rPr>
          <w:noProof/>
        </w:rPr>
        <w:fldChar w:fldCharType="separate"/>
      </w:r>
      <w:r w:rsidR="003053D1">
        <w:rPr>
          <w:noProof/>
        </w:rPr>
        <w:t>3</w:t>
      </w:r>
      <w:r w:rsidR="005D7AC6" w:rsidRPr="002445C4">
        <w:rPr>
          <w:noProof/>
        </w:rPr>
        <w:fldChar w:fldCharType="end"/>
      </w:r>
      <w:bookmarkEnd w:id="646"/>
      <w:r w:rsidR="008E17A4">
        <w:t xml:space="preserve"> Herbert </w:t>
      </w:r>
      <w:r w:rsidRPr="002445C4">
        <w:t>Tully sub- region benthic community composition</w:t>
      </w:r>
      <w:bookmarkEnd w:id="647"/>
    </w:p>
    <w:p w14:paraId="53C14B7B" w14:textId="77777777" w:rsidR="00A84742" w:rsidRPr="002445C4" w:rsidRDefault="00E41BC6">
      <w:pPr>
        <w:pStyle w:val="Caption"/>
      </w:pPr>
      <w:r w:rsidRPr="002445C4">
        <w:t>.</w:t>
      </w:r>
      <w:bookmarkStart w:id="649" w:name="_Toc471373203"/>
      <w:bookmarkStart w:id="650" w:name="_Toc437424326"/>
      <w:bookmarkStart w:id="651" w:name="_Toc437432379"/>
      <w:bookmarkEnd w:id="643"/>
      <w:bookmarkEnd w:id="644"/>
      <w:bookmarkEnd w:id="645"/>
      <w:r w:rsidR="00A84742" w:rsidRPr="002445C4">
        <w:t xml:space="preserve"> </w:t>
      </w:r>
      <w:r w:rsidR="00A84742" w:rsidRPr="008E703E">
        <w:rPr>
          <w:rStyle w:val="IntenseReference"/>
        </w:rPr>
        <w:t>Cover estimates are separated into regionally abundant hard coral families and the total cover for soft corals and macroalgae (hanging). Juvenile density estimates are for regionally abundant hard coral families. Separate legends with relevant groupings for cover and juvenile density estimates are located beneath the respective plots.</w:t>
      </w:r>
      <w:bookmarkEnd w:id="648"/>
      <w:bookmarkEnd w:id="649"/>
      <w:bookmarkEnd w:id="650"/>
      <w:bookmarkEnd w:id="651"/>
    </w:p>
    <w:p w14:paraId="53C14B7C" w14:textId="77777777" w:rsidR="00A84742" w:rsidRPr="00CE4E0F" w:rsidRDefault="00A84742" w:rsidP="00A84742">
      <w:pPr>
        <w:rPr>
          <w:color w:val="548DD4" w:themeColor="text2" w:themeTint="99"/>
        </w:rPr>
      </w:pPr>
      <w:r w:rsidRPr="00CE4E0F">
        <w:rPr>
          <w:rFonts w:ascii="Arial Narrow" w:eastAsia="SimSun" w:hAnsi="Arial Narrow"/>
          <w:bCs/>
          <w:color w:val="548DD4" w:themeColor="text2" w:themeTint="99"/>
          <w:sz w:val="20"/>
        </w:rPr>
        <w:br w:type="page"/>
      </w:r>
    </w:p>
    <w:p w14:paraId="53C14B7D" w14:textId="77777777" w:rsidR="00A84742" w:rsidRPr="002445C4" w:rsidRDefault="002A79C7" w:rsidP="00A84742">
      <w:pPr>
        <w:rPr>
          <w:rFonts w:ascii="Arial Narrow" w:hAnsi="Arial Narrow"/>
          <w:bCs/>
          <w:sz w:val="20"/>
        </w:rPr>
      </w:pPr>
      <w:r w:rsidRPr="00CE4E0F">
        <w:rPr>
          <w:noProof/>
          <w:color w:val="548DD4" w:themeColor="text2" w:themeTint="99"/>
          <w:lang w:eastAsia="en-AU"/>
        </w:rPr>
        <w:lastRenderedPageBreak/>
        <w:drawing>
          <wp:inline distT="0" distB="0" distL="0" distR="0" wp14:anchorId="53C15F7E" wp14:editId="53C15F7F">
            <wp:extent cx="8858250" cy="4057650"/>
            <wp:effectExtent l="0" t="0" r="0" b="0"/>
            <wp:docPr id="24" name="Picture 24" descr="A panel of plots presenting family-level time-series of cover and juvenile density at each monitoring reef and depth combination." title="Figure A3 continu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Z:\Reports\Visit 15 2019\code\output\figures\Tullybar.2.png"/>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8858250" cy="4057650"/>
                    </a:xfrm>
                    <a:prstGeom prst="rect">
                      <a:avLst/>
                    </a:prstGeom>
                    <a:noFill/>
                    <a:ln>
                      <a:noFill/>
                    </a:ln>
                  </pic:spPr>
                </pic:pic>
              </a:graphicData>
            </a:graphic>
          </wp:inline>
        </w:drawing>
      </w:r>
      <w:r w:rsidR="00A84742" w:rsidRPr="008E703E">
        <w:rPr>
          <w:rStyle w:val="IntenseReference"/>
        </w:rPr>
        <w:t>Figure A 3 continued</w:t>
      </w:r>
    </w:p>
    <w:p w14:paraId="53C14B7E" w14:textId="77777777" w:rsidR="00A84742" w:rsidRPr="002445C4" w:rsidRDefault="00A84742" w:rsidP="00A84742">
      <w:pPr>
        <w:jc w:val="left"/>
        <w:rPr>
          <w:rFonts w:ascii="Arial Narrow" w:eastAsia="SimSun" w:hAnsi="Arial Narrow"/>
          <w:sz w:val="20"/>
        </w:rPr>
      </w:pPr>
      <w:bookmarkStart w:id="652" w:name="_Ref469945408"/>
      <w:bookmarkStart w:id="653" w:name="_Toc374701411"/>
      <w:bookmarkStart w:id="654" w:name="_Toc392929579"/>
      <w:bookmarkStart w:id="655" w:name="_Toc430268220"/>
      <w:bookmarkStart w:id="656" w:name="_Toc453243771"/>
      <w:bookmarkStart w:id="657" w:name="_Toc471373204"/>
      <w:r w:rsidRPr="002445C4">
        <w:br w:type="page"/>
      </w:r>
    </w:p>
    <w:p w14:paraId="53C14B7F" w14:textId="77777777" w:rsidR="00A84742" w:rsidRPr="002445C4" w:rsidRDefault="00F47A44" w:rsidP="00A84742">
      <w:bookmarkStart w:id="658" w:name="_Ref491267608"/>
      <w:r w:rsidRPr="002445C4">
        <w:rPr>
          <w:noProof/>
          <w:lang w:eastAsia="en-AU"/>
        </w:rPr>
        <w:lastRenderedPageBreak/>
        <w:drawing>
          <wp:inline distT="0" distB="0" distL="0" distR="0" wp14:anchorId="53C15F80" wp14:editId="53C15F81">
            <wp:extent cx="8858250" cy="4752975"/>
            <wp:effectExtent l="0" t="0" r="0" b="9525"/>
            <wp:docPr id="29" name="Picture 29" descr="A panel of plots presenting family-level time-series of cover and juvenile density at each monitoring reef and depth combination." title="Figure A4 composition of benthic communities in the Burdekin 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Z:\Reports\Visit 15 2019\code\output\figures\Burdekinbar.1.png"/>
                    <pic:cNvPicPr>
                      <a:picLocks noChangeAspect="1" noChangeArrowheads="1"/>
                    </pic:cNvPicPr>
                  </pic:nvPicPr>
                  <pic:blipFill rotWithShape="1">
                    <a:blip r:embed="rId93" cstate="print">
                      <a:extLst>
                        <a:ext uri="{28A0092B-C50C-407E-A947-70E740481C1C}">
                          <a14:useLocalDpi xmlns:a14="http://schemas.microsoft.com/office/drawing/2010/main" val="0"/>
                        </a:ext>
                      </a:extLst>
                    </a:blip>
                    <a:srcRect t="2190" b="6752"/>
                    <a:stretch/>
                  </pic:blipFill>
                  <pic:spPr bwMode="auto">
                    <a:xfrm>
                      <a:off x="0" y="0"/>
                      <a:ext cx="8858250" cy="4752975"/>
                    </a:xfrm>
                    <a:prstGeom prst="rect">
                      <a:avLst/>
                    </a:prstGeom>
                    <a:noFill/>
                    <a:ln>
                      <a:noFill/>
                    </a:ln>
                    <a:extLst>
                      <a:ext uri="{53640926-AAD7-44D8-BBD7-CCE9431645EC}">
                        <a14:shadowObscured xmlns:a14="http://schemas.microsoft.com/office/drawing/2010/main"/>
                      </a:ext>
                    </a:extLst>
                  </pic:spPr>
                </pic:pic>
              </a:graphicData>
            </a:graphic>
          </wp:inline>
        </w:drawing>
      </w:r>
    </w:p>
    <w:p w14:paraId="53C14B80" w14:textId="1E2690DA" w:rsidR="00E41BC6" w:rsidRPr="002445C4" w:rsidRDefault="00A84742" w:rsidP="002B5296">
      <w:pPr>
        <w:pStyle w:val="Caption"/>
        <w:rPr>
          <w:rFonts w:ascii="Arial" w:hAnsi="Arial" w:cs="Arial"/>
          <w:i/>
          <w:vanish/>
          <w:specVanish/>
        </w:rPr>
      </w:pPr>
      <w:bookmarkStart w:id="659" w:name="_Ref501109656"/>
      <w:bookmarkStart w:id="660" w:name="_Ref528589949"/>
      <w:bookmarkStart w:id="661" w:name="_Toc35524082"/>
      <w:bookmarkStart w:id="662" w:name="_Toc530654890"/>
      <w:bookmarkEnd w:id="658"/>
      <w:bookmarkEnd w:id="659"/>
      <w:r w:rsidRPr="002445C4">
        <w:t xml:space="preserve">Figure A </w:t>
      </w:r>
      <w:r w:rsidR="005D7AC6" w:rsidRPr="002445C4">
        <w:rPr>
          <w:noProof/>
        </w:rPr>
        <w:fldChar w:fldCharType="begin"/>
      </w:r>
      <w:r w:rsidR="005D7AC6" w:rsidRPr="002445C4">
        <w:rPr>
          <w:noProof/>
        </w:rPr>
        <w:instrText xml:space="preserve"> SEQ Figure_A \* ARABIC </w:instrText>
      </w:r>
      <w:r w:rsidR="005D7AC6" w:rsidRPr="002445C4">
        <w:rPr>
          <w:noProof/>
        </w:rPr>
        <w:fldChar w:fldCharType="separate"/>
      </w:r>
      <w:r w:rsidR="003053D1">
        <w:rPr>
          <w:noProof/>
        </w:rPr>
        <w:t>4</w:t>
      </w:r>
      <w:r w:rsidR="005D7AC6" w:rsidRPr="002445C4">
        <w:rPr>
          <w:noProof/>
        </w:rPr>
        <w:fldChar w:fldCharType="end"/>
      </w:r>
      <w:bookmarkEnd w:id="660"/>
      <w:r w:rsidRPr="002445C4">
        <w:t xml:space="preserve"> Burdekin Region benthic community composition</w:t>
      </w:r>
      <w:bookmarkEnd w:id="661"/>
    </w:p>
    <w:p w14:paraId="53C14B81" w14:textId="77777777" w:rsidR="00A84742" w:rsidRPr="008E703E" w:rsidRDefault="00E41BC6">
      <w:pPr>
        <w:pStyle w:val="Caption"/>
        <w:rPr>
          <w:rStyle w:val="IntenseReference"/>
        </w:rPr>
      </w:pPr>
      <w:r w:rsidRPr="002445C4">
        <w:t>.</w:t>
      </w:r>
      <w:bookmarkEnd w:id="652"/>
      <w:bookmarkEnd w:id="653"/>
      <w:bookmarkEnd w:id="654"/>
      <w:bookmarkEnd w:id="655"/>
      <w:bookmarkEnd w:id="656"/>
      <w:r w:rsidR="00A84742" w:rsidRPr="002445C4">
        <w:t xml:space="preserve"> </w:t>
      </w:r>
      <w:bookmarkStart w:id="663" w:name="_Toc437424327"/>
      <w:bookmarkStart w:id="664" w:name="_Toc437432380"/>
      <w:r w:rsidR="00A84742" w:rsidRPr="008E703E">
        <w:rPr>
          <w:rStyle w:val="IntenseReference"/>
        </w:rPr>
        <w:t>Cover estimates are separated into regionally abundant hard coral families and the total cover for soft corals and macroalgae (hanging). Juvenile density estimates are for regionally abundant hard coral families. Separate legends with relevant groupings for cover and juvenile density estimates are located beneath the respective plots.</w:t>
      </w:r>
      <w:bookmarkEnd w:id="657"/>
      <w:bookmarkEnd w:id="662"/>
      <w:bookmarkEnd w:id="663"/>
      <w:bookmarkEnd w:id="664"/>
    </w:p>
    <w:p w14:paraId="53C14B82" w14:textId="77777777" w:rsidR="00A84742" w:rsidRPr="002445C4" w:rsidRDefault="00A84742" w:rsidP="00A84742">
      <w:pPr>
        <w:rPr>
          <w:noProof/>
          <w:lang w:eastAsia="en-AU"/>
        </w:rPr>
      </w:pPr>
      <w:r w:rsidRPr="002445C4">
        <w:rPr>
          <w:rFonts w:ascii="Arial Narrow" w:eastAsia="SimSun" w:hAnsi="Arial Narrow"/>
          <w:bCs/>
          <w:sz w:val="20"/>
        </w:rPr>
        <w:br w:type="page"/>
      </w:r>
    </w:p>
    <w:p w14:paraId="53C14B83" w14:textId="77777777" w:rsidR="00A84742" w:rsidRPr="002445C4" w:rsidRDefault="00F47A44" w:rsidP="00A84742">
      <w:pPr>
        <w:rPr>
          <w:rFonts w:ascii="Arial Narrow" w:hAnsi="Arial Narrow"/>
          <w:bCs/>
          <w:sz w:val="20"/>
        </w:rPr>
      </w:pPr>
      <w:r w:rsidRPr="002445C4">
        <w:rPr>
          <w:rFonts w:ascii="Arial Narrow" w:hAnsi="Arial Narrow"/>
          <w:bCs/>
          <w:noProof/>
          <w:sz w:val="20"/>
          <w:lang w:eastAsia="en-AU"/>
        </w:rPr>
        <w:lastRenderedPageBreak/>
        <w:drawing>
          <wp:inline distT="0" distB="0" distL="0" distR="0" wp14:anchorId="53C15F82" wp14:editId="53C15F83">
            <wp:extent cx="8858250" cy="5219700"/>
            <wp:effectExtent l="0" t="0" r="0" b="0"/>
            <wp:docPr id="1842573728" name="Picture 1842573728" descr="A panel of plots presenting family-level time-series of cover and juvenile density at each monitoring reef and depth combination." title="Figure A4 continu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Z:\Reports\Visit 15 2019\code\output\figures\Burdekinbar.2.pn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8858250" cy="5219700"/>
                    </a:xfrm>
                    <a:prstGeom prst="rect">
                      <a:avLst/>
                    </a:prstGeom>
                    <a:noFill/>
                    <a:ln>
                      <a:noFill/>
                    </a:ln>
                  </pic:spPr>
                </pic:pic>
              </a:graphicData>
            </a:graphic>
          </wp:inline>
        </w:drawing>
      </w:r>
    </w:p>
    <w:p w14:paraId="53C14B84" w14:textId="77777777" w:rsidR="00A84742" w:rsidRPr="008E703E" w:rsidRDefault="00A84742" w:rsidP="00A84742">
      <w:pPr>
        <w:rPr>
          <w:rStyle w:val="IntenseReference"/>
        </w:rPr>
      </w:pPr>
      <w:r w:rsidRPr="008E703E">
        <w:rPr>
          <w:rStyle w:val="IntenseReference"/>
        </w:rPr>
        <w:t>Figure A 4 continued</w:t>
      </w:r>
    </w:p>
    <w:p w14:paraId="53C14B85" w14:textId="77777777" w:rsidR="00A84742" w:rsidRPr="002445C4" w:rsidRDefault="00A84742" w:rsidP="00A84742">
      <w:pPr>
        <w:rPr>
          <w:rFonts w:ascii="Arial Narrow" w:hAnsi="Arial Narrow"/>
          <w:bCs/>
          <w:sz w:val="20"/>
        </w:rPr>
      </w:pPr>
      <w:r w:rsidRPr="002445C4">
        <w:rPr>
          <w:rFonts w:ascii="Arial Narrow" w:hAnsi="Arial Narrow"/>
          <w:bCs/>
          <w:sz w:val="20"/>
        </w:rPr>
        <w:br w:type="page"/>
      </w:r>
      <w:r w:rsidR="00F47A44" w:rsidRPr="002445C4">
        <w:rPr>
          <w:rFonts w:ascii="Arial Narrow" w:hAnsi="Arial Narrow"/>
          <w:bCs/>
          <w:noProof/>
          <w:sz w:val="20"/>
          <w:lang w:eastAsia="en-AU"/>
        </w:rPr>
        <w:lastRenderedPageBreak/>
        <w:drawing>
          <wp:inline distT="0" distB="0" distL="0" distR="0" wp14:anchorId="53C15F84" wp14:editId="53C15F85">
            <wp:extent cx="8858250" cy="5219700"/>
            <wp:effectExtent l="0" t="0" r="0" b="0"/>
            <wp:docPr id="1842573729" name="Picture 1842573729" descr="A panel of plots presenting family-level time-series of cover and juvenile density at each monitoring reef and depth combination." title="Figure A4 continu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Z:\Reports\Visit 15 2019\code\output\figures\Burdekinbar.3.pn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8858250" cy="5219700"/>
                    </a:xfrm>
                    <a:prstGeom prst="rect">
                      <a:avLst/>
                    </a:prstGeom>
                    <a:noFill/>
                    <a:ln>
                      <a:noFill/>
                    </a:ln>
                  </pic:spPr>
                </pic:pic>
              </a:graphicData>
            </a:graphic>
          </wp:inline>
        </w:drawing>
      </w:r>
    </w:p>
    <w:p w14:paraId="53C14B86" w14:textId="77777777" w:rsidR="00A84742" w:rsidRPr="008E703E" w:rsidRDefault="00A84742" w:rsidP="00A84742">
      <w:pPr>
        <w:rPr>
          <w:rStyle w:val="IntenseReference"/>
        </w:rPr>
      </w:pPr>
      <w:r w:rsidRPr="008E703E">
        <w:rPr>
          <w:rStyle w:val="IntenseReference"/>
        </w:rPr>
        <w:t>Figure A 4 continued</w:t>
      </w:r>
    </w:p>
    <w:p w14:paraId="53C14B87" w14:textId="77777777" w:rsidR="00A84742" w:rsidRPr="002445C4" w:rsidRDefault="00A84742" w:rsidP="00A84742">
      <w:pPr>
        <w:rPr>
          <w:rFonts w:ascii="Arial Narrow" w:hAnsi="Arial Narrow"/>
          <w:bCs/>
          <w:sz w:val="20"/>
        </w:rPr>
      </w:pPr>
      <w:r w:rsidRPr="002445C4">
        <w:rPr>
          <w:rFonts w:ascii="Arial Narrow" w:hAnsi="Arial Narrow"/>
          <w:bCs/>
          <w:sz w:val="20"/>
        </w:rPr>
        <w:br w:type="page"/>
      </w:r>
    </w:p>
    <w:p w14:paraId="53C14B88" w14:textId="77777777" w:rsidR="00A84742" w:rsidRPr="002445C4" w:rsidRDefault="00A84742" w:rsidP="00A84742">
      <w:pPr>
        <w:rPr>
          <w:rFonts w:ascii="Arial Narrow" w:hAnsi="Arial Narrow"/>
          <w:bCs/>
          <w:noProof/>
          <w:sz w:val="20"/>
          <w:lang w:eastAsia="en-AU"/>
        </w:rPr>
      </w:pPr>
    </w:p>
    <w:p w14:paraId="53C14B89" w14:textId="77777777" w:rsidR="00A84742" w:rsidRPr="002445C4" w:rsidRDefault="00F47A44" w:rsidP="00A84742">
      <w:pPr>
        <w:rPr>
          <w:rFonts w:ascii="Arial Narrow" w:hAnsi="Arial Narrow"/>
          <w:bCs/>
          <w:sz w:val="20"/>
        </w:rPr>
      </w:pPr>
      <w:r w:rsidRPr="002445C4">
        <w:rPr>
          <w:rFonts w:ascii="Arial Narrow" w:hAnsi="Arial Narrow"/>
          <w:bCs/>
          <w:noProof/>
          <w:sz w:val="20"/>
          <w:lang w:eastAsia="en-AU"/>
        </w:rPr>
        <w:drawing>
          <wp:inline distT="0" distB="0" distL="0" distR="0" wp14:anchorId="53C15F86" wp14:editId="53C15F87">
            <wp:extent cx="8858250" cy="2895600"/>
            <wp:effectExtent l="0" t="0" r="0" b="0"/>
            <wp:docPr id="1842573731" name="Picture 1842573731" descr="A panel of plots presenting family-level time-series of cover and juvenile density at each monitoring reef and depth combination." title="Figure A4 continu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Reports\Visit 15 2019\code\output\figures\Burdekinbar.4.pn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8858250" cy="2895600"/>
                    </a:xfrm>
                    <a:prstGeom prst="rect">
                      <a:avLst/>
                    </a:prstGeom>
                    <a:noFill/>
                    <a:ln>
                      <a:noFill/>
                    </a:ln>
                  </pic:spPr>
                </pic:pic>
              </a:graphicData>
            </a:graphic>
          </wp:inline>
        </w:drawing>
      </w:r>
    </w:p>
    <w:p w14:paraId="53C14B8A" w14:textId="77777777" w:rsidR="00A84742" w:rsidRPr="008E703E" w:rsidRDefault="00A84742" w:rsidP="00A84742">
      <w:pPr>
        <w:rPr>
          <w:rStyle w:val="IntenseReference"/>
        </w:rPr>
      </w:pPr>
      <w:r w:rsidRPr="008E703E">
        <w:rPr>
          <w:rStyle w:val="IntenseReference"/>
        </w:rPr>
        <w:t>Figure A 4 continued</w:t>
      </w:r>
    </w:p>
    <w:p w14:paraId="53C14B8B" w14:textId="77777777" w:rsidR="00A84742" w:rsidRPr="002445C4" w:rsidRDefault="00A84742" w:rsidP="00A84742">
      <w:r w:rsidRPr="002445C4">
        <w:br w:type="page"/>
      </w:r>
    </w:p>
    <w:p w14:paraId="53C14B8C" w14:textId="77777777" w:rsidR="00A84742" w:rsidRPr="002445C4" w:rsidRDefault="00A84742" w:rsidP="00A84742">
      <w:pPr>
        <w:rPr>
          <w:noProof/>
          <w:lang w:eastAsia="en-AU"/>
        </w:rPr>
      </w:pPr>
      <w:bookmarkStart w:id="665" w:name="_Ref491342235"/>
      <w:bookmarkStart w:id="666" w:name="_Toc374701412"/>
      <w:bookmarkStart w:id="667" w:name="_Toc392929580"/>
      <w:bookmarkStart w:id="668" w:name="_Toc430268221"/>
    </w:p>
    <w:p w14:paraId="53C14B8D" w14:textId="77777777" w:rsidR="00A84742" w:rsidRPr="002445C4" w:rsidRDefault="00F47A44" w:rsidP="00A84742">
      <w:r w:rsidRPr="002445C4">
        <w:rPr>
          <w:noProof/>
          <w:lang w:eastAsia="en-AU"/>
        </w:rPr>
        <w:drawing>
          <wp:inline distT="0" distB="0" distL="0" distR="0" wp14:anchorId="53C15F88" wp14:editId="53C15F89">
            <wp:extent cx="8858250" cy="4657725"/>
            <wp:effectExtent l="0" t="0" r="0" b="9525"/>
            <wp:docPr id="1842573732" name="Picture 1842573732" descr="A panel of plots presenting family-level time-series of cover and juvenile density at each monitoring reef and depth combination." title="Figure A5 composition of benthic communities in the Mackay Whitsunday 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Z:\Reports\Visit 15 2019\code\output\figures\Proserpinebar.1.png"/>
                    <pic:cNvPicPr>
                      <a:picLocks noChangeAspect="1" noChangeArrowheads="1"/>
                    </pic:cNvPicPr>
                  </pic:nvPicPr>
                  <pic:blipFill rotWithShape="1">
                    <a:blip r:embed="rId97" cstate="print">
                      <a:extLst>
                        <a:ext uri="{28A0092B-C50C-407E-A947-70E740481C1C}">
                          <a14:useLocalDpi xmlns:a14="http://schemas.microsoft.com/office/drawing/2010/main" val="0"/>
                        </a:ext>
                      </a:extLst>
                    </a:blip>
                    <a:srcRect t="2737" b="8029"/>
                    <a:stretch/>
                  </pic:blipFill>
                  <pic:spPr bwMode="auto">
                    <a:xfrm>
                      <a:off x="0" y="0"/>
                      <a:ext cx="8858250" cy="4657725"/>
                    </a:xfrm>
                    <a:prstGeom prst="rect">
                      <a:avLst/>
                    </a:prstGeom>
                    <a:noFill/>
                    <a:ln>
                      <a:noFill/>
                    </a:ln>
                    <a:extLst>
                      <a:ext uri="{53640926-AAD7-44D8-BBD7-CCE9431645EC}">
                        <a14:shadowObscured xmlns:a14="http://schemas.microsoft.com/office/drawing/2010/main"/>
                      </a:ext>
                    </a:extLst>
                  </pic:spPr>
                </pic:pic>
              </a:graphicData>
            </a:graphic>
          </wp:inline>
        </w:drawing>
      </w:r>
    </w:p>
    <w:p w14:paraId="53C14B8E" w14:textId="425A5A29" w:rsidR="00E41BC6" w:rsidRPr="002445C4" w:rsidRDefault="00A84742" w:rsidP="002B5296">
      <w:pPr>
        <w:pStyle w:val="Caption"/>
        <w:rPr>
          <w:rFonts w:ascii="Arial" w:hAnsi="Arial" w:cs="Arial"/>
          <w:i/>
          <w:vanish/>
          <w:specVanish/>
        </w:rPr>
      </w:pPr>
      <w:bookmarkStart w:id="669" w:name="_Ref528591004"/>
      <w:bookmarkStart w:id="670" w:name="_Toc35524083"/>
      <w:bookmarkStart w:id="671" w:name="_Ref528590993"/>
      <w:bookmarkStart w:id="672" w:name="_Toc530654891"/>
      <w:bookmarkEnd w:id="665"/>
      <w:r w:rsidRPr="002445C4">
        <w:t xml:space="preserve">Figure A </w:t>
      </w:r>
      <w:r w:rsidR="005D7AC6" w:rsidRPr="002445C4">
        <w:rPr>
          <w:noProof/>
        </w:rPr>
        <w:fldChar w:fldCharType="begin"/>
      </w:r>
      <w:r w:rsidR="005D7AC6" w:rsidRPr="002445C4">
        <w:rPr>
          <w:noProof/>
        </w:rPr>
        <w:instrText xml:space="preserve"> SEQ Figure_A \* ARABIC </w:instrText>
      </w:r>
      <w:r w:rsidR="005D7AC6" w:rsidRPr="002445C4">
        <w:rPr>
          <w:noProof/>
        </w:rPr>
        <w:fldChar w:fldCharType="separate"/>
      </w:r>
      <w:r w:rsidR="003053D1">
        <w:rPr>
          <w:noProof/>
        </w:rPr>
        <w:t>5</w:t>
      </w:r>
      <w:r w:rsidR="005D7AC6" w:rsidRPr="002445C4">
        <w:rPr>
          <w:noProof/>
        </w:rPr>
        <w:fldChar w:fldCharType="end"/>
      </w:r>
      <w:bookmarkEnd w:id="669"/>
      <w:r w:rsidRPr="002445C4">
        <w:t xml:space="preserve"> </w:t>
      </w:r>
      <w:r w:rsidR="005F2B5B">
        <w:t>Mackay-Whitsunday</w:t>
      </w:r>
      <w:r w:rsidRPr="002445C4">
        <w:t xml:space="preserve"> Region benthic community composition</w:t>
      </w:r>
      <w:bookmarkEnd w:id="670"/>
    </w:p>
    <w:p w14:paraId="53C14B8F" w14:textId="77777777" w:rsidR="00A84742" w:rsidRPr="002445C4" w:rsidRDefault="00E41BC6">
      <w:pPr>
        <w:pStyle w:val="Caption"/>
      </w:pPr>
      <w:r w:rsidRPr="002445C4">
        <w:t>.</w:t>
      </w:r>
      <w:bookmarkStart w:id="673" w:name="_Toc437424328"/>
      <w:bookmarkStart w:id="674" w:name="_Toc437432381"/>
      <w:bookmarkEnd w:id="666"/>
      <w:bookmarkEnd w:id="667"/>
      <w:bookmarkEnd w:id="668"/>
      <w:bookmarkEnd w:id="671"/>
      <w:bookmarkEnd w:id="672"/>
      <w:r w:rsidR="00A84742" w:rsidRPr="002445C4">
        <w:t xml:space="preserve"> </w:t>
      </w:r>
      <w:r w:rsidR="00A84742" w:rsidRPr="008E703E">
        <w:rPr>
          <w:rStyle w:val="IntenseReference"/>
        </w:rPr>
        <w:t>Cover estimates are separated into regionally abundant hard coral families and the total cover for soft corals and macroalgae (hanging). Juvenile density estimates are for regionally abundant hard coral families. Separate legends with relevant groupings for cover and juvenile density estimates are located beneath the respective plots.</w:t>
      </w:r>
      <w:bookmarkEnd w:id="673"/>
      <w:bookmarkEnd w:id="674"/>
    </w:p>
    <w:p w14:paraId="53C14B90" w14:textId="77777777" w:rsidR="00A84742" w:rsidRPr="002445C4" w:rsidRDefault="00A84742" w:rsidP="00A84742">
      <w:pPr>
        <w:jc w:val="left"/>
        <w:rPr>
          <w:rFonts w:ascii="Arial Narrow" w:hAnsi="Arial Narrow"/>
          <w:bCs/>
          <w:noProof/>
          <w:sz w:val="20"/>
          <w:lang w:eastAsia="en-AU"/>
        </w:rPr>
      </w:pPr>
      <w:r w:rsidRPr="002445C4">
        <w:br w:type="page"/>
      </w:r>
    </w:p>
    <w:p w14:paraId="53C14B91" w14:textId="77777777" w:rsidR="00A84742" w:rsidRPr="002445C4" w:rsidRDefault="00F47A44" w:rsidP="00A84742">
      <w:pPr>
        <w:jc w:val="left"/>
        <w:rPr>
          <w:rFonts w:ascii="Arial Narrow" w:hAnsi="Arial Narrow"/>
          <w:bCs/>
          <w:sz w:val="20"/>
        </w:rPr>
      </w:pPr>
      <w:r w:rsidRPr="002445C4">
        <w:rPr>
          <w:rFonts w:ascii="Arial Narrow" w:hAnsi="Arial Narrow"/>
          <w:bCs/>
          <w:noProof/>
          <w:sz w:val="20"/>
          <w:lang w:eastAsia="en-AU"/>
        </w:rPr>
        <w:lastRenderedPageBreak/>
        <w:drawing>
          <wp:inline distT="0" distB="0" distL="0" distR="0" wp14:anchorId="53C15F8A" wp14:editId="53C15F8B">
            <wp:extent cx="8858250" cy="4848225"/>
            <wp:effectExtent l="0" t="0" r="0" b="9525"/>
            <wp:docPr id="1842573733" name="Picture 1842573733" descr="A panel of plots presenting family-level time-series of cover and juvenile density at each monitoring reef and depth combination." title="Figure A5 continu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Z:\Reports\Visit 15 2019\code\output\figures\Proserpinebar.2.png"/>
                    <pic:cNvPicPr>
                      <a:picLocks noChangeAspect="1" noChangeArrowheads="1"/>
                    </pic:cNvPicPr>
                  </pic:nvPicPr>
                  <pic:blipFill rotWithShape="1">
                    <a:blip r:embed="rId98" cstate="print">
                      <a:extLst>
                        <a:ext uri="{28A0092B-C50C-407E-A947-70E740481C1C}">
                          <a14:useLocalDpi xmlns:a14="http://schemas.microsoft.com/office/drawing/2010/main" val="0"/>
                        </a:ext>
                      </a:extLst>
                    </a:blip>
                    <a:srcRect b="7117"/>
                    <a:stretch/>
                  </pic:blipFill>
                  <pic:spPr bwMode="auto">
                    <a:xfrm>
                      <a:off x="0" y="0"/>
                      <a:ext cx="8858250" cy="4848225"/>
                    </a:xfrm>
                    <a:prstGeom prst="rect">
                      <a:avLst/>
                    </a:prstGeom>
                    <a:noFill/>
                    <a:ln>
                      <a:noFill/>
                    </a:ln>
                    <a:extLst>
                      <a:ext uri="{53640926-AAD7-44D8-BBD7-CCE9431645EC}">
                        <a14:shadowObscured xmlns:a14="http://schemas.microsoft.com/office/drawing/2010/main"/>
                      </a:ext>
                    </a:extLst>
                  </pic:spPr>
                </pic:pic>
              </a:graphicData>
            </a:graphic>
          </wp:inline>
        </w:drawing>
      </w:r>
    </w:p>
    <w:p w14:paraId="53C14B92" w14:textId="77777777" w:rsidR="00A84742" w:rsidRPr="008E703E" w:rsidRDefault="00A84742" w:rsidP="00A84742">
      <w:pPr>
        <w:rPr>
          <w:rStyle w:val="IntenseReference"/>
        </w:rPr>
      </w:pPr>
      <w:r w:rsidRPr="008E703E">
        <w:rPr>
          <w:rStyle w:val="IntenseReference"/>
        </w:rPr>
        <w:t>Figure A 5 continued</w:t>
      </w:r>
    </w:p>
    <w:p w14:paraId="53C14B93" w14:textId="77777777" w:rsidR="00A84742" w:rsidRPr="002445C4" w:rsidRDefault="00A84742" w:rsidP="00A84742"/>
    <w:p w14:paraId="53C14B94" w14:textId="77777777" w:rsidR="00A84742" w:rsidRPr="002445C4" w:rsidRDefault="00A84742" w:rsidP="00A84742">
      <w:pPr>
        <w:jc w:val="left"/>
      </w:pPr>
      <w:r w:rsidRPr="002445C4">
        <w:br w:type="page"/>
      </w:r>
    </w:p>
    <w:p w14:paraId="53C14B95" w14:textId="77777777" w:rsidR="00A84742" w:rsidRPr="002445C4" w:rsidRDefault="00A84742" w:rsidP="00A84742">
      <w:pPr>
        <w:rPr>
          <w:rFonts w:ascii="Arial Narrow" w:hAnsi="Arial Narrow"/>
          <w:bCs/>
          <w:noProof/>
          <w:sz w:val="20"/>
          <w:lang w:eastAsia="en-AU"/>
        </w:rPr>
      </w:pPr>
    </w:p>
    <w:p w14:paraId="53C14B96" w14:textId="77777777" w:rsidR="00A84742" w:rsidRPr="002445C4" w:rsidRDefault="00F47A44" w:rsidP="00A84742">
      <w:pPr>
        <w:rPr>
          <w:rFonts w:ascii="Arial Narrow" w:hAnsi="Arial Narrow"/>
          <w:bCs/>
          <w:sz w:val="20"/>
        </w:rPr>
      </w:pPr>
      <w:r w:rsidRPr="002445C4">
        <w:rPr>
          <w:rFonts w:ascii="Arial Narrow" w:hAnsi="Arial Narrow"/>
          <w:bCs/>
          <w:noProof/>
          <w:sz w:val="20"/>
          <w:lang w:eastAsia="en-AU"/>
        </w:rPr>
        <w:drawing>
          <wp:inline distT="0" distB="0" distL="0" distR="0" wp14:anchorId="53C15F8C" wp14:editId="53C15F8D">
            <wp:extent cx="8858250" cy="4714875"/>
            <wp:effectExtent l="0" t="0" r="0" b="9525"/>
            <wp:docPr id="1842573734" name="Picture 1842573734" descr="A panel of plots presenting family-level time-series of cover and juvenile density at each monitoring reef and depth combination." title="Figure A5 continu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Z:\Reports\Visit 15 2019\code\output\figures\Proserpinebar.3.png"/>
                    <pic:cNvPicPr>
                      <a:picLocks noChangeAspect="1" noChangeArrowheads="1"/>
                    </pic:cNvPicPr>
                  </pic:nvPicPr>
                  <pic:blipFill rotWithShape="1">
                    <a:blip r:embed="rId99" cstate="print">
                      <a:extLst>
                        <a:ext uri="{28A0092B-C50C-407E-A947-70E740481C1C}">
                          <a14:useLocalDpi xmlns:a14="http://schemas.microsoft.com/office/drawing/2010/main" val="0"/>
                        </a:ext>
                      </a:extLst>
                    </a:blip>
                    <a:srcRect t="2555" b="7117"/>
                    <a:stretch/>
                  </pic:blipFill>
                  <pic:spPr bwMode="auto">
                    <a:xfrm>
                      <a:off x="0" y="0"/>
                      <a:ext cx="8858250" cy="4714875"/>
                    </a:xfrm>
                    <a:prstGeom prst="rect">
                      <a:avLst/>
                    </a:prstGeom>
                    <a:noFill/>
                    <a:ln>
                      <a:noFill/>
                    </a:ln>
                    <a:extLst>
                      <a:ext uri="{53640926-AAD7-44D8-BBD7-CCE9431645EC}">
                        <a14:shadowObscured xmlns:a14="http://schemas.microsoft.com/office/drawing/2010/main"/>
                      </a:ext>
                    </a:extLst>
                  </pic:spPr>
                </pic:pic>
              </a:graphicData>
            </a:graphic>
          </wp:inline>
        </w:drawing>
      </w:r>
    </w:p>
    <w:p w14:paraId="53C14B97" w14:textId="77777777" w:rsidR="00A84742" w:rsidRPr="008E703E" w:rsidRDefault="00A84742" w:rsidP="00A84742">
      <w:pPr>
        <w:rPr>
          <w:rStyle w:val="IntenseReference"/>
        </w:rPr>
      </w:pPr>
      <w:r w:rsidRPr="008E703E">
        <w:rPr>
          <w:rStyle w:val="IntenseReference"/>
        </w:rPr>
        <w:t>Figure A 5 continued</w:t>
      </w:r>
    </w:p>
    <w:p w14:paraId="53C14B98" w14:textId="77777777" w:rsidR="00A84742" w:rsidRPr="002445C4" w:rsidRDefault="00A84742" w:rsidP="00A84742">
      <w:pPr>
        <w:jc w:val="left"/>
        <w:rPr>
          <w:rFonts w:ascii="Arial Narrow" w:hAnsi="Arial Narrow"/>
          <w:bCs/>
          <w:sz w:val="20"/>
        </w:rPr>
      </w:pPr>
      <w:r w:rsidRPr="002445C4">
        <w:rPr>
          <w:rFonts w:ascii="Arial Narrow" w:hAnsi="Arial Narrow"/>
          <w:bCs/>
          <w:sz w:val="20"/>
        </w:rPr>
        <w:br w:type="page"/>
      </w:r>
    </w:p>
    <w:p w14:paraId="53C14B99" w14:textId="77777777" w:rsidR="00A84742" w:rsidRPr="002445C4" w:rsidRDefault="00A84742" w:rsidP="00A84742">
      <w:pPr>
        <w:rPr>
          <w:rFonts w:ascii="Arial Narrow" w:hAnsi="Arial Narrow"/>
          <w:bCs/>
          <w:noProof/>
          <w:sz w:val="20"/>
          <w:lang w:eastAsia="en-AU"/>
        </w:rPr>
      </w:pPr>
    </w:p>
    <w:p w14:paraId="53C14B9A" w14:textId="77777777" w:rsidR="00A84742" w:rsidRPr="002445C4" w:rsidRDefault="00F47A44" w:rsidP="00A84742">
      <w:pPr>
        <w:rPr>
          <w:rFonts w:ascii="Arial Narrow" w:hAnsi="Arial Narrow"/>
          <w:bCs/>
          <w:sz w:val="20"/>
        </w:rPr>
      </w:pPr>
      <w:r w:rsidRPr="002445C4">
        <w:rPr>
          <w:rFonts w:ascii="Arial Narrow" w:hAnsi="Arial Narrow"/>
          <w:bCs/>
          <w:noProof/>
          <w:sz w:val="20"/>
          <w:lang w:eastAsia="en-AU"/>
        </w:rPr>
        <w:drawing>
          <wp:inline distT="0" distB="0" distL="0" distR="0" wp14:anchorId="53C15F8E" wp14:editId="53C15F8F">
            <wp:extent cx="8858250" cy="2895600"/>
            <wp:effectExtent l="0" t="0" r="0" b="0"/>
            <wp:docPr id="1842573735" name="Picture 1842573735" descr="A panel of plots presenting family-level time-series of cover and juvenile density at each monitoring reef and depth combination." title="Figure A5 continu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Z:\Reports\Visit 15 2019\code\output\figures\Proserpinebar.4.pn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8858250" cy="2895600"/>
                    </a:xfrm>
                    <a:prstGeom prst="rect">
                      <a:avLst/>
                    </a:prstGeom>
                    <a:noFill/>
                    <a:ln>
                      <a:noFill/>
                    </a:ln>
                  </pic:spPr>
                </pic:pic>
              </a:graphicData>
            </a:graphic>
          </wp:inline>
        </w:drawing>
      </w:r>
    </w:p>
    <w:p w14:paraId="53C14B9B" w14:textId="77777777" w:rsidR="00A84742" w:rsidRPr="008E703E" w:rsidRDefault="00A84742" w:rsidP="00A84742">
      <w:pPr>
        <w:rPr>
          <w:rStyle w:val="IntenseReference"/>
        </w:rPr>
      </w:pPr>
      <w:r w:rsidRPr="008E703E">
        <w:rPr>
          <w:rStyle w:val="IntenseReference"/>
        </w:rPr>
        <w:t>Figure A 5 continued</w:t>
      </w:r>
    </w:p>
    <w:p w14:paraId="53C14B9C" w14:textId="77777777" w:rsidR="00A84742" w:rsidRPr="002445C4" w:rsidRDefault="00A84742" w:rsidP="00A84742">
      <w:r w:rsidRPr="002445C4">
        <w:br w:type="page"/>
      </w:r>
    </w:p>
    <w:p w14:paraId="53C14B9D" w14:textId="77777777" w:rsidR="00A84742" w:rsidRPr="002445C4" w:rsidRDefault="00A84742" w:rsidP="00A84742">
      <w:pPr>
        <w:rPr>
          <w:noProof/>
          <w:lang w:eastAsia="en-AU"/>
        </w:rPr>
      </w:pPr>
      <w:bookmarkStart w:id="675" w:name="_Ref491177966"/>
      <w:bookmarkStart w:id="676" w:name="_Toc374701413"/>
      <w:bookmarkStart w:id="677" w:name="_Toc392929581"/>
      <w:bookmarkStart w:id="678" w:name="_Toc430268222"/>
    </w:p>
    <w:p w14:paraId="53C14B9E" w14:textId="77777777" w:rsidR="00A84742" w:rsidRPr="002445C4" w:rsidRDefault="00F47A44" w:rsidP="00A84742">
      <w:r w:rsidRPr="002445C4">
        <w:rPr>
          <w:noProof/>
          <w:lang w:eastAsia="en-AU"/>
        </w:rPr>
        <w:drawing>
          <wp:inline distT="0" distB="0" distL="0" distR="0" wp14:anchorId="53C15F90" wp14:editId="53C15F91">
            <wp:extent cx="8858250" cy="4581525"/>
            <wp:effectExtent l="0" t="0" r="0" b="9525"/>
            <wp:docPr id="1842573736" name="Picture 1842573736" descr="A panel of plots presenting family-level time-series of cover and juvenile density at each monitoring reef and depth combination. " title="Figure A6 Composition of benthic communities Fitzroy in the Fitzroy 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Z:\Reports\Visit 15 2019\code\output\figures\Fitzroybar.1.png"/>
                    <pic:cNvPicPr>
                      <a:picLocks noChangeAspect="1" noChangeArrowheads="1"/>
                    </pic:cNvPicPr>
                  </pic:nvPicPr>
                  <pic:blipFill rotWithShape="1">
                    <a:blip r:embed="rId101" cstate="print">
                      <a:extLst>
                        <a:ext uri="{28A0092B-C50C-407E-A947-70E740481C1C}">
                          <a14:useLocalDpi xmlns:a14="http://schemas.microsoft.com/office/drawing/2010/main" val="0"/>
                        </a:ext>
                      </a:extLst>
                    </a:blip>
                    <a:srcRect t="2007" b="10219"/>
                    <a:stretch/>
                  </pic:blipFill>
                  <pic:spPr bwMode="auto">
                    <a:xfrm>
                      <a:off x="0" y="0"/>
                      <a:ext cx="8858250" cy="4581525"/>
                    </a:xfrm>
                    <a:prstGeom prst="rect">
                      <a:avLst/>
                    </a:prstGeom>
                    <a:noFill/>
                    <a:ln>
                      <a:noFill/>
                    </a:ln>
                    <a:extLst>
                      <a:ext uri="{53640926-AAD7-44D8-BBD7-CCE9431645EC}">
                        <a14:shadowObscured xmlns:a14="http://schemas.microsoft.com/office/drawing/2010/main"/>
                      </a:ext>
                    </a:extLst>
                  </pic:spPr>
                </pic:pic>
              </a:graphicData>
            </a:graphic>
          </wp:inline>
        </w:drawing>
      </w:r>
    </w:p>
    <w:p w14:paraId="53C14B9F" w14:textId="60D2F7C4" w:rsidR="00E41BC6" w:rsidRPr="002445C4" w:rsidRDefault="00A84742" w:rsidP="002B5296">
      <w:pPr>
        <w:pStyle w:val="Caption"/>
        <w:rPr>
          <w:rFonts w:ascii="Arial" w:hAnsi="Arial" w:cs="Arial"/>
          <w:i/>
          <w:vanish/>
          <w:specVanish/>
        </w:rPr>
      </w:pPr>
      <w:bookmarkStart w:id="679" w:name="_Ref528592725"/>
      <w:bookmarkStart w:id="680" w:name="_Ref30680430"/>
      <w:bookmarkStart w:id="681" w:name="_Toc35524084"/>
      <w:bookmarkStart w:id="682" w:name="_Toc530654892"/>
      <w:bookmarkEnd w:id="675"/>
      <w:r w:rsidRPr="002445C4">
        <w:t xml:space="preserve">Figure A </w:t>
      </w:r>
      <w:r w:rsidR="005D7AC6" w:rsidRPr="002445C4">
        <w:rPr>
          <w:noProof/>
        </w:rPr>
        <w:fldChar w:fldCharType="begin"/>
      </w:r>
      <w:r w:rsidR="005D7AC6" w:rsidRPr="002445C4">
        <w:rPr>
          <w:noProof/>
        </w:rPr>
        <w:instrText xml:space="preserve"> SEQ Figure_A \* ARABIC </w:instrText>
      </w:r>
      <w:r w:rsidR="005D7AC6" w:rsidRPr="002445C4">
        <w:rPr>
          <w:noProof/>
        </w:rPr>
        <w:fldChar w:fldCharType="separate"/>
      </w:r>
      <w:r w:rsidR="003053D1">
        <w:rPr>
          <w:noProof/>
        </w:rPr>
        <w:t>6</w:t>
      </w:r>
      <w:r w:rsidR="005D7AC6" w:rsidRPr="002445C4">
        <w:rPr>
          <w:noProof/>
        </w:rPr>
        <w:fldChar w:fldCharType="end"/>
      </w:r>
      <w:bookmarkEnd w:id="679"/>
      <w:r w:rsidRPr="002445C4">
        <w:t xml:space="preserve"> Fitzroy Region benthic community composition</w:t>
      </w:r>
      <w:bookmarkEnd w:id="680"/>
      <w:bookmarkEnd w:id="681"/>
    </w:p>
    <w:p w14:paraId="53C14BA0" w14:textId="77777777" w:rsidR="00A84742" w:rsidRPr="002445C4" w:rsidRDefault="00E41BC6">
      <w:pPr>
        <w:pStyle w:val="Caption"/>
      </w:pPr>
      <w:r w:rsidRPr="002445C4">
        <w:t>.</w:t>
      </w:r>
      <w:bookmarkStart w:id="683" w:name="_Toc437424329"/>
      <w:bookmarkStart w:id="684" w:name="_Toc437432382"/>
      <w:bookmarkEnd w:id="676"/>
      <w:bookmarkEnd w:id="677"/>
      <w:bookmarkEnd w:id="678"/>
      <w:r w:rsidR="00A84742" w:rsidRPr="002445C4">
        <w:t xml:space="preserve"> </w:t>
      </w:r>
      <w:r w:rsidR="00A84742" w:rsidRPr="008E703E">
        <w:rPr>
          <w:rStyle w:val="IntenseReference"/>
        </w:rPr>
        <w:t>Cover estimates are separated into regionally abundant hard coral families and the total cover for soft corals and macroalgae (hanging). Juvenile density estimates are for regionally abundant hard coral families. Separate legends with relevant groupings for cover and juvenile density estimates are located beneath the respective plots.</w:t>
      </w:r>
      <w:bookmarkEnd w:id="682"/>
      <w:bookmarkEnd w:id="683"/>
      <w:bookmarkEnd w:id="684"/>
    </w:p>
    <w:p w14:paraId="53C14BA1" w14:textId="77777777" w:rsidR="00A84742" w:rsidRPr="002445C4" w:rsidRDefault="00A84742" w:rsidP="00A84742">
      <w:pPr>
        <w:jc w:val="left"/>
        <w:rPr>
          <w:rFonts w:ascii="Arial Narrow" w:eastAsia="SimSun" w:hAnsi="Arial Narrow"/>
          <w:bCs/>
          <w:sz w:val="20"/>
        </w:rPr>
      </w:pPr>
      <w:r w:rsidRPr="002445C4">
        <w:rPr>
          <w:rFonts w:ascii="Arial Narrow" w:eastAsia="SimSun" w:hAnsi="Arial Narrow"/>
          <w:bCs/>
          <w:sz w:val="20"/>
        </w:rPr>
        <w:br w:type="page"/>
      </w:r>
    </w:p>
    <w:p w14:paraId="53C14BA2" w14:textId="77777777" w:rsidR="00A84742" w:rsidRPr="002445C4" w:rsidRDefault="00A84742" w:rsidP="00A84742">
      <w:pPr>
        <w:rPr>
          <w:rFonts w:eastAsia="SimSun"/>
          <w:noProof/>
          <w:lang w:eastAsia="en-AU"/>
        </w:rPr>
      </w:pPr>
    </w:p>
    <w:p w14:paraId="53C14BA3" w14:textId="77777777" w:rsidR="00A84742" w:rsidRPr="002445C4" w:rsidRDefault="00F47A44" w:rsidP="00A84742">
      <w:pPr>
        <w:rPr>
          <w:rFonts w:ascii="Arial Narrow" w:eastAsia="SimSun" w:hAnsi="Arial Narrow"/>
          <w:bCs/>
          <w:sz w:val="20"/>
        </w:rPr>
      </w:pPr>
      <w:r w:rsidRPr="002445C4">
        <w:rPr>
          <w:rFonts w:eastAsia="SimSun"/>
          <w:noProof/>
          <w:lang w:eastAsia="en-AU"/>
        </w:rPr>
        <w:drawing>
          <wp:inline distT="0" distB="0" distL="0" distR="0" wp14:anchorId="53C15F92" wp14:editId="53C15F93">
            <wp:extent cx="8858250" cy="4638675"/>
            <wp:effectExtent l="0" t="0" r="0" b="9525"/>
            <wp:docPr id="1842573737" name="Picture 1842573737" descr="A panel of plots presenting family-level time-series of cover and juvenile density at each monitoring reef and depth combination." title="Figure A6 continu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Z:\Reports\Visit 15 2019\code\output\figures\Fitzroybar.2.png"/>
                    <pic:cNvPicPr>
                      <a:picLocks noChangeAspect="1" noChangeArrowheads="1"/>
                    </pic:cNvPicPr>
                  </pic:nvPicPr>
                  <pic:blipFill rotWithShape="1">
                    <a:blip r:embed="rId102" cstate="print">
                      <a:extLst>
                        <a:ext uri="{28A0092B-C50C-407E-A947-70E740481C1C}">
                          <a14:useLocalDpi xmlns:a14="http://schemas.microsoft.com/office/drawing/2010/main" val="0"/>
                        </a:ext>
                      </a:extLst>
                    </a:blip>
                    <a:srcRect b="11132"/>
                    <a:stretch/>
                  </pic:blipFill>
                  <pic:spPr bwMode="auto">
                    <a:xfrm>
                      <a:off x="0" y="0"/>
                      <a:ext cx="8858250" cy="4638675"/>
                    </a:xfrm>
                    <a:prstGeom prst="rect">
                      <a:avLst/>
                    </a:prstGeom>
                    <a:noFill/>
                    <a:ln>
                      <a:noFill/>
                    </a:ln>
                    <a:extLst>
                      <a:ext uri="{53640926-AAD7-44D8-BBD7-CCE9431645EC}">
                        <a14:shadowObscured xmlns:a14="http://schemas.microsoft.com/office/drawing/2010/main"/>
                      </a:ext>
                    </a:extLst>
                  </pic:spPr>
                </pic:pic>
              </a:graphicData>
            </a:graphic>
          </wp:inline>
        </w:drawing>
      </w:r>
    </w:p>
    <w:p w14:paraId="53C14BA4" w14:textId="77777777" w:rsidR="00A84742" w:rsidRPr="002445C4" w:rsidRDefault="00A84742" w:rsidP="00A84742">
      <w:pPr>
        <w:rPr>
          <w:rFonts w:ascii="Arial Narrow" w:hAnsi="Arial Narrow"/>
          <w:bCs/>
          <w:sz w:val="20"/>
        </w:rPr>
      </w:pPr>
      <w:r w:rsidRPr="002445C4">
        <w:rPr>
          <w:rFonts w:ascii="Arial Narrow" w:hAnsi="Arial Narrow"/>
          <w:bCs/>
          <w:sz w:val="20"/>
        </w:rPr>
        <w:t>Figure A 6 continued</w:t>
      </w:r>
    </w:p>
    <w:p w14:paraId="53C14BA5" w14:textId="77777777" w:rsidR="00A84742" w:rsidRPr="00CE4E0F" w:rsidRDefault="00A84742" w:rsidP="00A84742">
      <w:pPr>
        <w:rPr>
          <w:color w:val="548DD4" w:themeColor="text2" w:themeTint="99"/>
        </w:rPr>
      </w:pPr>
      <w:r w:rsidRPr="002445C4">
        <w:br w:type="page"/>
      </w:r>
    </w:p>
    <w:p w14:paraId="53C14BA6" w14:textId="77777777" w:rsidR="00A84742" w:rsidRPr="00CE4E0F" w:rsidRDefault="00A84742" w:rsidP="00A84742">
      <w:pPr>
        <w:rPr>
          <w:color w:val="548DD4" w:themeColor="text2" w:themeTint="99"/>
        </w:rPr>
        <w:sectPr w:rsidR="00A84742" w:rsidRPr="00CE4E0F" w:rsidSect="000E5535">
          <w:pgSz w:w="16840" w:h="11907" w:orient="landscape" w:code="9"/>
          <w:pgMar w:top="993" w:right="1440" w:bottom="1134" w:left="1440" w:header="709" w:footer="709" w:gutter="0"/>
          <w:cols w:space="708"/>
          <w:docGrid w:linePitch="360"/>
        </w:sectPr>
      </w:pPr>
    </w:p>
    <w:p w14:paraId="53C14BA7" w14:textId="77777777" w:rsidR="00A84742" w:rsidRPr="00CE4E0F" w:rsidRDefault="00A70C23" w:rsidP="00A84742">
      <w:pPr>
        <w:rPr>
          <w:color w:val="548DD4" w:themeColor="text2" w:themeTint="99"/>
        </w:rPr>
      </w:pPr>
      <w:bookmarkStart w:id="685" w:name="_Toc374701415"/>
      <w:bookmarkStart w:id="686" w:name="_Toc392929583"/>
      <w:bookmarkStart w:id="687" w:name="_Toc430268223"/>
      <w:bookmarkStart w:id="688" w:name="_Toc358712538"/>
      <w:r w:rsidRPr="00CE4E0F">
        <w:rPr>
          <w:noProof/>
          <w:color w:val="548DD4" w:themeColor="text2" w:themeTint="99"/>
          <w:lang w:eastAsia="en-AU"/>
        </w:rPr>
        <w:lastRenderedPageBreak/>
        <w:drawing>
          <wp:inline distT="0" distB="0" distL="0" distR="0" wp14:anchorId="53C15F94" wp14:editId="53C15F95">
            <wp:extent cx="8467200" cy="5295600"/>
            <wp:effectExtent l="0" t="0" r="0" b="635"/>
            <wp:docPr id="1842573738" name="Picture 1842573738" descr="A panel of plots showing a times series of the relative number of diseased colonies at reefs within each region." title="Figure 7A Regional coral disease se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Z:\Reports\Visit 15 2019\code\output\figures\regional disease box.png"/>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8467200" cy="5295600"/>
                    </a:xfrm>
                    <a:prstGeom prst="rect">
                      <a:avLst/>
                    </a:prstGeom>
                    <a:noFill/>
                    <a:ln>
                      <a:noFill/>
                    </a:ln>
                  </pic:spPr>
                </pic:pic>
              </a:graphicData>
            </a:graphic>
          </wp:inline>
        </w:drawing>
      </w:r>
    </w:p>
    <w:p w14:paraId="53C14BA8" w14:textId="3C94DCE9" w:rsidR="00E41BC6" w:rsidRPr="002445C4" w:rsidRDefault="00A84742" w:rsidP="002B5296">
      <w:pPr>
        <w:pStyle w:val="Caption"/>
        <w:rPr>
          <w:rFonts w:ascii="Arial" w:hAnsi="Arial" w:cs="Arial"/>
          <w:i/>
          <w:vanish/>
          <w:specVanish/>
        </w:rPr>
      </w:pPr>
      <w:bookmarkStart w:id="689" w:name="_Ref528577145"/>
      <w:bookmarkStart w:id="690" w:name="_Toc35524085"/>
      <w:bookmarkStart w:id="691" w:name="_Ref469692010"/>
      <w:bookmarkStart w:id="692" w:name="_Toc453243774"/>
      <w:bookmarkStart w:id="693" w:name="_Toc471373207"/>
      <w:bookmarkStart w:id="694" w:name="_Ref528577137"/>
      <w:bookmarkStart w:id="695" w:name="_Ref528588459"/>
      <w:bookmarkStart w:id="696" w:name="_Toc530654893"/>
      <w:r w:rsidRPr="002445C4">
        <w:t xml:space="preserve">Figure A </w:t>
      </w:r>
      <w:r w:rsidR="005D7AC6" w:rsidRPr="002445C4">
        <w:rPr>
          <w:noProof/>
        </w:rPr>
        <w:fldChar w:fldCharType="begin"/>
      </w:r>
      <w:r w:rsidR="005D7AC6" w:rsidRPr="002445C4">
        <w:rPr>
          <w:noProof/>
        </w:rPr>
        <w:instrText xml:space="preserve"> SEQ Figure_A \* ARABIC </w:instrText>
      </w:r>
      <w:r w:rsidR="005D7AC6" w:rsidRPr="002445C4">
        <w:rPr>
          <w:noProof/>
        </w:rPr>
        <w:fldChar w:fldCharType="separate"/>
      </w:r>
      <w:r w:rsidR="003053D1">
        <w:rPr>
          <w:noProof/>
        </w:rPr>
        <w:t>7</w:t>
      </w:r>
      <w:r w:rsidR="005D7AC6" w:rsidRPr="002445C4">
        <w:rPr>
          <w:noProof/>
        </w:rPr>
        <w:fldChar w:fldCharType="end"/>
      </w:r>
      <w:bookmarkEnd w:id="689"/>
      <w:r w:rsidRPr="002445C4">
        <w:t xml:space="preserve"> Coral disease by year in each region</w:t>
      </w:r>
      <w:bookmarkEnd w:id="690"/>
    </w:p>
    <w:p w14:paraId="53C14BA9" w14:textId="77777777" w:rsidR="005968E8" w:rsidRPr="00F3457E" w:rsidRDefault="00E41BC6">
      <w:pPr>
        <w:pStyle w:val="Caption"/>
      </w:pPr>
      <w:r w:rsidRPr="002445C4">
        <w:t>.</w:t>
      </w:r>
      <w:bookmarkEnd w:id="685"/>
      <w:bookmarkEnd w:id="686"/>
      <w:bookmarkEnd w:id="687"/>
      <w:bookmarkEnd w:id="691"/>
      <w:bookmarkEnd w:id="692"/>
      <w:bookmarkEnd w:id="693"/>
      <w:r w:rsidR="00A84742" w:rsidRPr="002445C4">
        <w:t xml:space="preserve"> </w:t>
      </w:r>
      <w:r w:rsidR="00A84742" w:rsidRPr="008E703E">
        <w:rPr>
          <w:rStyle w:val="IntenseReference"/>
        </w:rPr>
        <w:t>Boxplots include the number of coral colonies suffering ongoing mortality attributed to either disease, sedimentation or ‘unknown causes’ for each reef, depth and year. Data are standardised to the reef and depth mean across years.</w:t>
      </w:r>
      <w:bookmarkEnd w:id="694"/>
      <w:bookmarkEnd w:id="695"/>
      <w:bookmarkEnd w:id="696"/>
      <w:r w:rsidR="00A84742" w:rsidRPr="002445C4">
        <w:t xml:space="preserve"> </w:t>
      </w:r>
    </w:p>
    <w:p w14:paraId="53C14BAA" w14:textId="77777777" w:rsidR="00F3457E" w:rsidRDefault="00F3457E" w:rsidP="005968E8">
      <w:pPr>
        <w:rPr>
          <w:lang w:val="en-GB"/>
        </w:rPr>
      </w:pPr>
      <w:r>
        <w:rPr>
          <w:noProof/>
          <w:lang w:eastAsia="en-AU"/>
        </w:rPr>
        <w:lastRenderedPageBreak/>
        <w:drawing>
          <wp:inline distT="0" distB="0" distL="0" distR="0" wp14:anchorId="53C15F96" wp14:editId="1EAE3AF8">
            <wp:extent cx="8467200" cy="5292000"/>
            <wp:effectExtent l="0" t="0" r="0" b="4445"/>
            <wp:docPr id="6" name="Picture 6" descr="shows outbreak densities exceeded at times for the Daintree and Johnstone sub regions" title="Crown -of-thorn-starfish mean density by year in each 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gional cots box.png"/>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8467200" cy="5292000"/>
                    </a:xfrm>
                    <a:prstGeom prst="rect">
                      <a:avLst/>
                    </a:prstGeom>
                  </pic:spPr>
                </pic:pic>
              </a:graphicData>
            </a:graphic>
          </wp:inline>
        </w:drawing>
      </w:r>
    </w:p>
    <w:p w14:paraId="53C14BAB" w14:textId="354F9095" w:rsidR="008E703E" w:rsidRPr="00AA6FF4" w:rsidDel="00C76327" w:rsidRDefault="00F3457E" w:rsidP="002B5296">
      <w:pPr>
        <w:pStyle w:val="Caption"/>
        <w:rPr>
          <w:rFonts w:ascii="Arial" w:hAnsi="Arial" w:cs="Arial"/>
          <w:i/>
          <w:vanish/>
          <w:specVanish/>
        </w:rPr>
      </w:pPr>
      <w:bookmarkStart w:id="697" w:name="_Ref22821743"/>
      <w:bookmarkStart w:id="698" w:name="_Toc35524086"/>
      <w:r>
        <w:t xml:space="preserve">Figure A </w:t>
      </w:r>
      <w:r>
        <w:fldChar w:fldCharType="begin"/>
      </w:r>
      <w:r>
        <w:instrText xml:space="preserve"> SEQ Figure_A \* ARABIC </w:instrText>
      </w:r>
      <w:r>
        <w:fldChar w:fldCharType="separate"/>
      </w:r>
      <w:r w:rsidR="003053D1">
        <w:rPr>
          <w:noProof/>
        </w:rPr>
        <w:t>8</w:t>
      </w:r>
      <w:r>
        <w:fldChar w:fldCharType="end"/>
      </w:r>
      <w:bookmarkEnd w:id="697"/>
      <w:r>
        <w:t xml:space="preserve"> Crown -of-thorn-starfish </w:t>
      </w:r>
      <w:r w:rsidR="003622F3">
        <w:t>mean</w:t>
      </w:r>
      <w:r>
        <w:t xml:space="preserve"> density (P/ha) by year in each region</w:t>
      </w:r>
      <w:bookmarkEnd w:id="698"/>
    </w:p>
    <w:p w14:paraId="53C14BAC" w14:textId="77777777" w:rsidR="008E703E" w:rsidRDefault="00056C15">
      <w:pPr>
        <w:pStyle w:val="Caption"/>
        <w:rPr>
          <w:rStyle w:val="IntenseReference"/>
        </w:rPr>
      </w:pPr>
      <w:r>
        <w:t xml:space="preserve">.  </w:t>
      </w:r>
      <w:r w:rsidR="004252D6" w:rsidRPr="008E703E">
        <w:rPr>
          <w:rStyle w:val="IntenseReference"/>
        </w:rPr>
        <w:t xml:space="preserve">Red line indicates </w:t>
      </w:r>
      <w:r w:rsidR="003622F3" w:rsidRPr="008E703E">
        <w:rPr>
          <w:rStyle w:val="IntenseReference"/>
        </w:rPr>
        <w:t>outbreak densities of 31 P/ha.</w:t>
      </w:r>
    </w:p>
    <w:p w14:paraId="53C14BAD" w14:textId="77777777" w:rsidR="008E703E" w:rsidRDefault="008E703E">
      <w:pPr>
        <w:jc w:val="left"/>
        <w:rPr>
          <w:rStyle w:val="IntenseReference"/>
          <w:rFonts w:cs="Times New Roman"/>
          <w:lang w:val="en-GB"/>
        </w:rPr>
      </w:pPr>
      <w:r>
        <w:rPr>
          <w:rStyle w:val="IntenseReference"/>
        </w:rPr>
        <w:br w:type="page"/>
      </w:r>
    </w:p>
    <w:p w14:paraId="53C14BAE" w14:textId="77777777" w:rsidR="00056C15" w:rsidRDefault="00056C15" w:rsidP="00056C15">
      <w:pPr>
        <w:rPr>
          <w:lang w:val="en-GB"/>
        </w:rPr>
      </w:pPr>
      <w:r>
        <w:rPr>
          <w:noProof/>
          <w:lang w:eastAsia="en-AU"/>
        </w:rPr>
        <w:lastRenderedPageBreak/>
        <w:drawing>
          <wp:inline distT="0" distB="0" distL="0" distR="0" wp14:anchorId="53C15F98" wp14:editId="577DFB35">
            <wp:extent cx="8474400" cy="5295600"/>
            <wp:effectExtent l="0" t="0" r="3175" b="635"/>
            <wp:docPr id="7" name="Picture 7" descr="shows exceedance of detrimental impact thresholds at times for the Daintree sub region" title="Mean density of Drupella by year in each (sub)-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regional drupella box.png"/>
                    <pic:cNvPicPr/>
                  </pic:nvPicPr>
                  <pic:blipFill>
                    <a:blip r:embed="rId105" cstate="print">
                      <a:extLst>
                        <a:ext uri="{28A0092B-C50C-407E-A947-70E740481C1C}">
                          <a14:useLocalDpi xmlns:a14="http://schemas.microsoft.com/office/drawing/2010/main" val="0"/>
                        </a:ext>
                      </a:extLst>
                    </a:blip>
                    <a:stretch>
                      <a:fillRect/>
                    </a:stretch>
                  </pic:blipFill>
                  <pic:spPr>
                    <a:xfrm>
                      <a:off x="0" y="0"/>
                      <a:ext cx="8474400" cy="5295600"/>
                    </a:xfrm>
                    <a:prstGeom prst="rect">
                      <a:avLst/>
                    </a:prstGeom>
                  </pic:spPr>
                </pic:pic>
              </a:graphicData>
            </a:graphic>
          </wp:inline>
        </w:drawing>
      </w:r>
    </w:p>
    <w:p w14:paraId="53C14BAF" w14:textId="75797013" w:rsidR="008E703E" w:rsidRPr="00AA6FF4" w:rsidDel="00C76327" w:rsidRDefault="00056C15" w:rsidP="002B5296">
      <w:pPr>
        <w:pStyle w:val="Caption"/>
        <w:rPr>
          <w:rFonts w:ascii="Arial" w:hAnsi="Arial" w:cs="Arial"/>
          <w:i/>
          <w:vanish/>
          <w:specVanish/>
        </w:rPr>
      </w:pPr>
      <w:bookmarkStart w:id="699" w:name="_Toc35524087"/>
      <w:r>
        <w:t xml:space="preserve">Figure A </w:t>
      </w:r>
      <w:r>
        <w:fldChar w:fldCharType="begin"/>
      </w:r>
      <w:r>
        <w:instrText xml:space="preserve"> SEQ Figure_A \* ARABIC </w:instrText>
      </w:r>
      <w:r>
        <w:fldChar w:fldCharType="separate"/>
      </w:r>
      <w:r w:rsidR="003053D1">
        <w:rPr>
          <w:noProof/>
        </w:rPr>
        <w:t>9</w:t>
      </w:r>
      <w:r>
        <w:fldChar w:fldCharType="end"/>
      </w:r>
      <w:r>
        <w:t xml:space="preserve"> </w:t>
      </w:r>
      <w:r w:rsidR="003622F3">
        <w:t>Mean density of</w:t>
      </w:r>
      <w:r>
        <w:t xml:space="preserve"> Drupella (P/ha) by year in each </w:t>
      </w:r>
      <w:r w:rsidR="00844C91">
        <w:t>(sub)-</w:t>
      </w:r>
      <w:r>
        <w:t>region</w:t>
      </w:r>
      <w:bookmarkEnd w:id="699"/>
    </w:p>
    <w:p w14:paraId="53C14BB0" w14:textId="77777777" w:rsidR="008E703E" w:rsidRDefault="00056C15">
      <w:pPr>
        <w:pStyle w:val="Caption"/>
      </w:pPr>
      <w:r>
        <w:t>.</w:t>
      </w:r>
      <w:r w:rsidR="003622F3">
        <w:t xml:space="preserve"> </w:t>
      </w:r>
      <w:r w:rsidR="003622F3" w:rsidRPr="008E703E">
        <w:rPr>
          <w:rStyle w:val="IntenseReference"/>
        </w:rPr>
        <w:t xml:space="preserve">Red line indicates densities of </w:t>
      </w:r>
      <w:r w:rsidR="00844C91" w:rsidRPr="008E703E">
        <w:rPr>
          <w:rStyle w:val="IntenseReference"/>
          <w:i/>
        </w:rPr>
        <w:t>D</w:t>
      </w:r>
      <w:r w:rsidR="003622F3" w:rsidRPr="008E703E">
        <w:rPr>
          <w:rStyle w:val="IntenseReference"/>
          <w:i/>
        </w:rPr>
        <w:t xml:space="preserve">rupella </w:t>
      </w:r>
      <w:r w:rsidR="003622F3" w:rsidRPr="008E703E">
        <w:rPr>
          <w:rStyle w:val="IntenseReference"/>
        </w:rPr>
        <w:t>which have detrimental impact on coral communities</w:t>
      </w:r>
      <w:r w:rsidR="003622F3">
        <w:t>.</w:t>
      </w:r>
      <w:bookmarkStart w:id="700" w:name="_Ref30660837"/>
      <w:bookmarkStart w:id="701" w:name="_Toc527701053"/>
      <w:bookmarkStart w:id="702" w:name="_Ref528591288"/>
      <w:bookmarkStart w:id="703" w:name="_Toc530654884"/>
    </w:p>
    <w:p w14:paraId="53C14BB1" w14:textId="77777777" w:rsidR="008E703E" w:rsidRDefault="008E703E">
      <w:pPr>
        <w:jc w:val="left"/>
        <w:rPr>
          <w:rFonts w:ascii="Arial Narrow" w:eastAsia="SimSun" w:hAnsi="Arial Narrow" w:cs="Times New Roman"/>
          <w:sz w:val="20"/>
          <w:lang w:val="en-GB"/>
        </w:rPr>
      </w:pPr>
      <w:r>
        <w:br w:type="page"/>
      </w:r>
    </w:p>
    <w:p w14:paraId="53C14BB2" w14:textId="2FEC1410" w:rsidR="00E13454" w:rsidRPr="00657AD4" w:rsidRDefault="003D3C1E" w:rsidP="002B5296">
      <w:pPr>
        <w:pStyle w:val="Caption"/>
        <w:rPr>
          <w:rFonts w:ascii="Arial" w:hAnsi="Arial" w:cs="Arial"/>
          <w:i/>
          <w:vanish/>
          <w:specVanish/>
        </w:rPr>
      </w:pPr>
      <w:bookmarkStart w:id="704" w:name="_Ref30756180"/>
      <w:bookmarkStart w:id="705" w:name="_Toc35519358"/>
      <w:r>
        <w:lastRenderedPageBreak/>
        <w:t xml:space="preserve">Table A </w:t>
      </w:r>
      <w:r>
        <w:fldChar w:fldCharType="begin"/>
      </w:r>
      <w:r>
        <w:instrText xml:space="preserve"> SEQ Table_A \* ARABIC </w:instrText>
      </w:r>
      <w:r>
        <w:fldChar w:fldCharType="separate"/>
      </w:r>
      <w:r w:rsidR="003053D1">
        <w:rPr>
          <w:noProof/>
        </w:rPr>
        <w:t>10</w:t>
      </w:r>
      <w:r>
        <w:fldChar w:fldCharType="end"/>
      </w:r>
      <w:bookmarkEnd w:id="700"/>
      <w:bookmarkEnd w:id="704"/>
      <w:r>
        <w:t xml:space="preserve"> </w:t>
      </w:r>
      <w:r w:rsidR="00A84742" w:rsidRPr="00657AD4">
        <w:t>Percent cover of hard coral genera 201</w:t>
      </w:r>
      <w:r w:rsidR="00657AD4" w:rsidRPr="00657AD4">
        <w:t>9</w:t>
      </w:r>
      <w:bookmarkEnd w:id="705"/>
    </w:p>
    <w:p w14:paraId="53C14BB3" w14:textId="77777777" w:rsidR="00A84742" w:rsidRPr="00657AD4" w:rsidRDefault="00E13454">
      <w:pPr>
        <w:pStyle w:val="Caption"/>
      </w:pPr>
      <w:r w:rsidRPr="00657AD4">
        <w:t>.</w:t>
      </w:r>
      <w:r w:rsidR="00A84742" w:rsidRPr="00657AD4">
        <w:t xml:space="preserve"> </w:t>
      </w:r>
      <w:r w:rsidR="00A84742" w:rsidRPr="003E1937">
        <w:rPr>
          <w:rStyle w:val="IntenseReference"/>
        </w:rPr>
        <w:t>Genera for which cover did not exceeded 1% on at least one reef or were unidentified to genus level are grouped as “other”</w:t>
      </w:r>
      <w:r w:rsidR="00A84742" w:rsidRPr="00657AD4">
        <w:t>.</w:t>
      </w:r>
      <w:bookmarkEnd w:id="701"/>
      <w:bookmarkEnd w:id="702"/>
      <w:bookmarkEnd w:id="703"/>
    </w:p>
    <w:tbl>
      <w:tblPr>
        <w:tblW w:w="13085" w:type="dxa"/>
        <w:tblInd w:w="93" w:type="dxa"/>
        <w:tblLayout w:type="fixed"/>
        <w:tblCellMar>
          <w:left w:w="0" w:type="dxa"/>
          <w:right w:w="0" w:type="dxa"/>
        </w:tblCellMar>
        <w:tblLook w:val="04A0" w:firstRow="1" w:lastRow="0" w:firstColumn="1" w:lastColumn="0" w:noHBand="0" w:noVBand="1"/>
        <w:tblCaption w:val="Table A 7 Percent cover of hard coral genera 2018"/>
        <w:tblDescription w:val="A table listing the cover estimates for each coral genus at each reef and depth."/>
      </w:tblPr>
      <w:tblGrid>
        <w:gridCol w:w="389"/>
        <w:gridCol w:w="1073"/>
        <w:gridCol w:w="283"/>
        <w:gridCol w:w="378"/>
        <w:gridCol w:w="378"/>
        <w:gridCol w:w="378"/>
        <w:gridCol w:w="378"/>
        <w:gridCol w:w="378"/>
        <w:gridCol w:w="378"/>
        <w:gridCol w:w="378"/>
        <w:gridCol w:w="378"/>
        <w:gridCol w:w="378"/>
        <w:gridCol w:w="378"/>
        <w:gridCol w:w="378"/>
        <w:gridCol w:w="378"/>
        <w:gridCol w:w="378"/>
        <w:gridCol w:w="378"/>
        <w:gridCol w:w="378"/>
        <w:gridCol w:w="378"/>
        <w:gridCol w:w="378"/>
        <w:gridCol w:w="378"/>
        <w:gridCol w:w="378"/>
        <w:gridCol w:w="378"/>
        <w:gridCol w:w="378"/>
        <w:gridCol w:w="378"/>
        <w:gridCol w:w="378"/>
        <w:gridCol w:w="378"/>
        <w:gridCol w:w="378"/>
        <w:gridCol w:w="378"/>
        <w:gridCol w:w="378"/>
        <w:gridCol w:w="378"/>
        <w:gridCol w:w="378"/>
        <w:gridCol w:w="378"/>
      </w:tblGrid>
      <w:tr w:rsidR="00CE4E0F" w:rsidRPr="00657AD4" w14:paraId="53C14BD5" w14:textId="77777777" w:rsidTr="007904CB">
        <w:trPr>
          <w:trHeight w:val="1051"/>
          <w:tblHeader/>
        </w:trPr>
        <w:tc>
          <w:tcPr>
            <w:tcW w:w="389"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textDirection w:val="btLr"/>
            <w:vAlign w:val="center"/>
            <w:hideMark/>
          </w:tcPr>
          <w:p w14:paraId="53C14BB4" w14:textId="77777777" w:rsidR="00780F62" w:rsidRPr="00657AD4" w:rsidRDefault="008E17A4" w:rsidP="00A84742">
            <w:pPr>
              <w:spacing w:after="0"/>
              <w:jc w:val="center"/>
              <w:rPr>
                <w:rFonts w:ascii="Arial Narrow" w:hAnsi="Arial Narrow"/>
                <w:sz w:val="20"/>
                <w:lang w:eastAsia="en-AU"/>
              </w:rPr>
            </w:pPr>
            <w:r>
              <w:rPr>
                <w:rFonts w:ascii="Arial Narrow" w:hAnsi="Arial Narrow"/>
                <w:sz w:val="20"/>
                <w:lang w:eastAsia="en-AU"/>
              </w:rPr>
              <w:t>(</w:t>
            </w:r>
            <w:r w:rsidR="00780F62" w:rsidRPr="00657AD4">
              <w:rPr>
                <w:rFonts w:ascii="Arial Narrow" w:hAnsi="Arial Narrow"/>
                <w:sz w:val="20"/>
                <w:lang w:eastAsia="en-AU"/>
              </w:rPr>
              <w:t>sub</w:t>
            </w:r>
            <w:r>
              <w:rPr>
                <w:rFonts w:ascii="Arial Narrow" w:hAnsi="Arial Narrow"/>
                <w:sz w:val="20"/>
                <w:lang w:eastAsia="en-AU"/>
              </w:rPr>
              <w:t>)-</w:t>
            </w:r>
            <w:r w:rsidR="00780F62" w:rsidRPr="00657AD4">
              <w:rPr>
                <w:rFonts w:ascii="Arial Narrow" w:hAnsi="Arial Narrow"/>
                <w:sz w:val="20"/>
                <w:lang w:eastAsia="en-AU"/>
              </w:rPr>
              <w:t>region</w:t>
            </w:r>
          </w:p>
        </w:tc>
        <w:tc>
          <w:tcPr>
            <w:tcW w:w="1073"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53C14BB5" w14:textId="77777777" w:rsidR="00780F62" w:rsidRPr="00657AD4" w:rsidRDefault="00780F62" w:rsidP="00A84742">
            <w:pPr>
              <w:spacing w:after="0"/>
              <w:jc w:val="center"/>
              <w:rPr>
                <w:rFonts w:ascii="Arial Narrow" w:hAnsi="Arial Narrow"/>
                <w:sz w:val="20"/>
                <w:lang w:eastAsia="en-AU"/>
              </w:rPr>
            </w:pPr>
            <w:r w:rsidRPr="00657AD4">
              <w:rPr>
                <w:rFonts w:ascii="Arial Narrow" w:hAnsi="Arial Narrow"/>
                <w:sz w:val="20"/>
                <w:lang w:eastAsia="en-AU"/>
              </w:rPr>
              <w:t>Reef</w:t>
            </w:r>
          </w:p>
        </w:tc>
        <w:tc>
          <w:tcPr>
            <w:tcW w:w="283" w:type="dxa"/>
            <w:tcBorders>
              <w:top w:val="single" w:sz="4" w:space="0" w:color="auto"/>
              <w:left w:val="nil"/>
              <w:bottom w:val="single" w:sz="4" w:space="0" w:color="auto"/>
              <w:right w:val="single" w:sz="4" w:space="0" w:color="auto"/>
            </w:tcBorders>
            <w:shd w:val="clear" w:color="auto" w:fill="F2F2F2" w:themeFill="background1" w:themeFillShade="F2"/>
            <w:noWrap/>
            <w:textDirection w:val="btLr"/>
            <w:vAlign w:val="center"/>
            <w:hideMark/>
          </w:tcPr>
          <w:p w14:paraId="53C14BB6" w14:textId="77777777" w:rsidR="00780F62" w:rsidRPr="00657AD4" w:rsidRDefault="00780F62" w:rsidP="00A84742">
            <w:pPr>
              <w:spacing w:after="0"/>
              <w:jc w:val="center"/>
              <w:rPr>
                <w:rFonts w:ascii="Arial Narrow" w:hAnsi="Arial Narrow"/>
                <w:sz w:val="20"/>
                <w:lang w:eastAsia="en-AU"/>
              </w:rPr>
            </w:pPr>
            <w:r w:rsidRPr="00657AD4">
              <w:rPr>
                <w:rFonts w:ascii="Arial Narrow" w:hAnsi="Arial Narrow"/>
                <w:sz w:val="20"/>
                <w:lang w:eastAsia="en-AU"/>
              </w:rPr>
              <w:t>Depth</w:t>
            </w:r>
          </w:p>
        </w:tc>
        <w:tc>
          <w:tcPr>
            <w:tcW w:w="37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53C14BB7" w14:textId="77777777" w:rsidR="00780F62" w:rsidRPr="00657AD4" w:rsidRDefault="00780F62" w:rsidP="00A84742">
            <w:pPr>
              <w:spacing w:after="0"/>
              <w:jc w:val="center"/>
              <w:rPr>
                <w:rFonts w:ascii="Arial Narrow" w:hAnsi="Arial Narrow"/>
                <w:i/>
                <w:iCs/>
                <w:sz w:val="18"/>
                <w:szCs w:val="18"/>
                <w:lang w:eastAsia="en-AU"/>
              </w:rPr>
            </w:pPr>
            <w:r w:rsidRPr="00657AD4">
              <w:rPr>
                <w:rFonts w:ascii="Arial Narrow" w:hAnsi="Arial Narrow"/>
                <w:i/>
                <w:iCs/>
                <w:sz w:val="18"/>
                <w:szCs w:val="18"/>
              </w:rPr>
              <w:t>Acropora</w:t>
            </w:r>
          </w:p>
        </w:tc>
        <w:tc>
          <w:tcPr>
            <w:tcW w:w="378"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53C14BB8" w14:textId="77777777" w:rsidR="00780F62" w:rsidRPr="00657AD4" w:rsidRDefault="00780F62" w:rsidP="00A84742">
            <w:pPr>
              <w:spacing w:after="0"/>
              <w:jc w:val="center"/>
              <w:rPr>
                <w:rFonts w:ascii="Arial Narrow" w:hAnsi="Arial Narrow"/>
                <w:i/>
                <w:iCs/>
                <w:sz w:val="18"/>
                <w:szCs w:val="18"/>
                <w:lang w:eastAsia="en-AU"/>
              </w:rPr>
            </w:pPr>
            <w:r w:rsidRPr="00657AD4">
              <w:rPr>
                <w:rFonts w:ascii="Arial Narrow" w:hAnsi="Arial Narrow"/>
                <w:i/>
                <w:iCs/>
                <w:sz w:val="18"/>
                <w:szCs w:val="18"/>
              </w:rPr>
              <w:t>Alveopora</w:t>
            </w:r>
          </w:p>
        </w:tc>
        <w:tc>
          <w:tcPr>
            <w:tcW w:w="378"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53C14BB9" w14:textId="77777777" w:rsidR="00780F62" w:rsidRPr="00657AD4" w:rsidRDefault="00780F62" w:rsidP="00A84742">
            <w:pPr>
              <w:spacing w:after="0"/>
              <w:jc w:val="center"/>
              <w:rPr>
                <w:rFonts w:ascii="Arial Narrow" w:hAnsi="Arial Narrow"/>
                <w:i/>
                <w:iCs/>
                <w:sz w:val="18"/>
                <w:szCs w:val="18"/>
                <w:lang w:eastAsia="en-AU"/>
              </w:rPr>
            </w:pPr>
            <w:r w:rsidRPr="00657AD4">
              <w:rPr>
                <w:rFonts w:ascii="Arial Narrow" w:hAnsi="Arial Narrow"/>
                <w:i/>
                <w:iCs/>
                <w:sz w:val="18"/>
                <w:szCs w:val="18"/>
              </w:rPr>
              <w:t>Caulastrea</w:t>
            </w:r>
          </w:p>
        </w:tc>
        <w:tc>
          <w:tcPr>
            <w:tcW w:w="378"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53C14BBA" w14:textId="77777777" w:rsidR="00780F62" w:rsidRPr="00657AD4" w:rsidRDefault="00780F62" w:rsidP="00A84742">
            <w:pPr>
              <w:spacing w:after="0"/>
              <w:jc w:val="center"/>
              <w:rPr>
                <w:rFonts w:ascii="Arial Narrow" w:hAnsi="Arial Narrow"/>
                <w:i/>
                <w:iCs/>
                <w:sz w:val="18"/>
                <w:szCs w:val="18"/>
                <w:lang w:eastAsia="en-AU"/>
              </w:rPr>
            </w:pPr>
            <w:r w:rsidRPr="00657AD4">
              <w:rPr>
                <w:rFonts w:ascii="Arial Narrow" w:hAnsi="Arial Narrow"/>
                <w:i/>
                <w:iCs/>
                <w:sz w:val="18"/>
                <w:szCs w:val="18"/>
              </w:rPr>
              <w:t>Cyphastrea</w:t>
            </w:r>
          </w:p>
        </w:tc>
        <w:tc>
          <w:tcPr>
            <w:tcW w:w="378"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53C14BBB" w14:textId="77777777" w:rsidR="00780F62" w:rsidRPr="00657AD4" w:rsidRDefault="00780F62" w:rsidP="00A84742">
            <w:pPr>
              <w:spacing w:after="0"/>
              <w:jc w:val="center"/>
              <w:rPr>
                <w:rFonts w:ascii="Arial Narrow" w:hAnsi="Arial Narrow"/>
                <w:i/>
                <w:iCs/>
                <w:sz w:val="18"/>
                <w:szCs w:val="18"/>
                <w:lang w:eastAsia="en-AU"/>
              </w:rPr>
            </w:pPr>
            <w:r w:rsidRPr="00657AD4">
              <w:rPr>
                <w:rFonts w:ascii="Arial Narrow" w:hAnsi="Arial Narrow"/>
                <w:i/>
                <w:iCs/>
                <w:sz w:val="18"/>
                <w:szCs w:val="18"/>
              </w:rPr>
              <w:t>Diploastrea</w:t>
            </w:r>
          </w:p>
        </w:tc>
        <w:tc>
          <w:tcPr>
            <w:tcW w:w="378"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53C14BBC" w14:textId="77777777" w:rsidR="00780F62" w:rsidRPr="00657AD4" w:rsidRDefault="00780F62" w:rsidP="00A84742">
            <w:pPr>
              <w:spacing w:after="0"/>
              <w:jc w:val="center"/>
              <w:rPr>
                <w:rFonts w:ascii="Arial Narrow" w:hAnsi="Arial Narrow"/>
                <w:i/>
                <w:iCs/>
                <w:sz w:val="18"/>
                <w:szCs w:val="18"/>
                <w:lang w:eastAsia="en-AU"/>
              </w:rPr>
            </w:pPr>
            <w:r w:rsidRPr="00657AD4">
              <w:rPr>
                <w:rFonts w:ascii="Arial Narrow" w:hAnsi="Arial Narrow"/>
                <w:i/>
                <w:iCs/>
                <w:sz w:val="18"/>
                <w:szCs w:val="18"/>
              </w:rPr>
              <w:t>Echinopora</w:t>
            </w:r>
          </w:p>
        </w:tc>
        <w:tc>
          <w:tcPr>
            <w:tcW w:w="378"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53C14BBD" w14:textId="77777777" w:rsidR="00780F62" w:rsidRPr="00657AD4" w:rsidRDefault="00780F62" w:rsidP="00A84742">
            <w:pPr>
              <w:spacing w:after="0"/>
              <w:jc w:val="center"/>
              <w:rPr>
                <w:rFonts w:ascii="Arial Narrow" w:hAnsi="Arial Narrow"/>
                <w:i/>
                <w:iCs/>
                <w:sz w:val="18"/>
                <w:szCs w:val="18"/>
                <w:lang w:eastAsia="en-AU"/>
              </w:rPr>
            </w:pPr>
            <w:r w:rsidRPr="00657AD4">
              <w:rPr>
                <w:rFonts w:ascii="Arial Narrow" w:hAnsi="Arial Narrow"/>
                <w:i/>
                <w:iCs/>
                <w:sz w:val="18"/>
                <w:szCs w:val="18"/>
              </w:rPr>
              <w:t>Favia</w:t>
            </w:r>
          </w:p>
        </w:tc>
        <w:tc>
          <w:tcPr>
            <w:tcW w:w="378"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53C14BBE" w14:textId="77777777" w:rsidR="00780F62" w:rsidRPr="00657AD4" w:rsidRDefault="00780F62" w:rsidP="00A84742">
            <w:pPr>
              <w:spacing w:after="0"/>
              <w:jc w:val="center"/>
              <w:rPr>
                <w:rFonts w:ascii="Arial Narrow" w:hAnsi="Arial Narrow"/>
                <w:i/>
                <w:iCs/>
                <w:sz w:val="18"/>
                <w:szCs w:val="18"/>
                <w:lang w:eastAsia="en-AU"/>
              </w:rPr>
            </w:pPr>
            <w:r w:rsidRPr="00657AD4">
              <w:rPr>
                <w:rFonts w:ascii="Arial Narrow" w:hAnsi="Arial Narrow"/>
                <w:i/>
                <w:iCs/>
                <w:sz w:val="18"/>
                <w:szCs w:val="18"/>
              </w:rPr>
              <w:t>Favites</w:t>
            </w:r>
          </w:p>
        </w:tc>
        <w:tc>
          <w:tcPr>
            <w:tcW w:w="378"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53C14BBF" w14:textId="77777777" w:rsidR="00780F62" w:rsidRPr="00657AD4" w:rsidRDefault="00780F62" w:rsidP="00A84742">
            <w:pPr>
              <w:spacing w:after="0"/>
              <w:jc w:val="center"/>
              <w:rPr>
                <w:rFonts w:ascii="Arial Narrow" w:hAnsi="Arial Narrow"/>
                <w:i/>
                <w:iCs/>
                <w:sz w:val="18"/>
                <w:szCs w:val="18"/>
                <w:lang w:eastAsia="en-AU"/>
              </w:rPr>
            </w:pPr>
            <w:r w:rsidRPr="00657AD4">
              <w:rPr>
                <w:rFonts w:ascii="Arial Narrow" w:hAnsi="Arial Narrow"/>
                <w:i/>
                <w:iCs/>
                <w:sz w:val="18"/>
                <w:szCs w:val="18"/>
              </w:rPr>
              <w:t>Fungia</w:t>
            </w:r>
          </w:p>
        </w:tc>
        <w:tc>
          <w:tcPr>
            <w:tcW w:w="378"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53C14BC0" w14:textId="77777777" w:rsidR="00780F62" w:rsidRPr="00657AD4" w:rsidRDefault="00780F62" w:rsidP="00A84742">
            <w:pPr>
              <w:spacing w:after="0"/>
              <w:jc w:val="center"/>
              <w:rPr>
                <w:rFonts w:ascii="Arial Narrow" w:hAnsi="Arial Narrow"/>
                <w:i/>
                <w:iCs/>
                <w:sz w:val="18"/>
                <w:szCs w:val="18"/>
                <w:lang w:eastAsia="en-AU"/>
              </w:rPr>
            </w:pPr>
            <w:r w:rsidRPr="00657AD4">
              <w:rPr>
                <w:rFonts w:ascii="Arial Narrow" w:hAnsi="Arial Narrow"/>
                <w:i/>
                <w:iCs/>
                <w:sz w:val="18"/>
                <w:szCs w:val="18"/>
              </w:rPr>
              <w:t>Galaxea</w:t>
            </w:r>
          </w:p>
        </w:tc>
        <w:tc>
          <w:tcPr>
            <w:tcW w:w="378"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53C14BC1" w14:textId="77777777" w:rsidR="00780F62" w:rsidRPr="00657AD4" w:rsidRDefault="00780F62" w:rsidP="00A84742">
            <w:pPr>
              <w:spacing w:after="0"/>
              <w:jc w:val="center"/>
              <w:rPr>
                <w:rFonts w:ascii="Arial Narrow" w:hAnsi="Arial Narrow"/>
                <w:i/>
                <w:iCs/>
                <w:sz w:val="18"/>
                <w:szCs w:val="18"/>
                <w:lang w:eastAsia="en-AU"/>
              </w:rPr>
            </w:pPr>
            <w:r w:rsidRPr="00657AD4">
              <w:rPr>
                <w:rFonts w:ascii="Arial Narrow" w:hAnsi="Arial Narrow"/>
                <w:i/>
                <w:iCs/>
                <w:sz w:val="18"/>
                <w:szCs w:val="18"/>
              </w:rPr>
              <w:t>Goniastrea</w:t>
            </w:r>
          </w:p>
        </w:tc>
        <w:tc>
          <w:tcPr>
            <w:tcW w:w="378"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53C14BC2" w14:textId="77777777" w:rsidR="00780F62" w:rsidRPr="00657AD4" w:rsidRDefault="00780F62" w:rsidP="00A84742">
            <w:pPr>
              <w:spacing w:after="0"/>
              <w:jc w:val="center"/>
              <w:rPr>
                <w:rFonts w:ascii="Arial Narrow" w:hAnsi="Arial Narrow"/>
                <w:i/>
                <w:iCs/>
                <w:sz w:val="18"/>
                <w:szCs w:val="18"/>
                <w:lang w:eastAsia="en-AU"/>
              </w:rPr>
            </w:pPr>
            <w:r w:rsidRPr="00657AD4">
              <w:rPr>
                <w:rFonts w:ascii="Arial Narrow" w:hAnsi="Arial Narrow"/>
                <w:i/>
                <w:iCs/>
                <w:sz w:val="18"/>
                <w:szCs w:val="18"/>
              </w:rPr>
              <w:t>Goniopora</w:t>
            </w:r>
          </w:p>
        </w:tc>
        <w:tc>
          <w:tcPr>
            <w:tcW w:w="378"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53C14BC3" w14:textId="77777777" w:rsidR="00780F62" w:rsidRPr="00657AD4" w:rsidRDefault="00780F62" w:rsidP="00A84742">
            <w:pPr>
              <w:spacing w:after="0"/>
              <w:jc w:val="center"/>
              <w:rPr>
                <w:rFonts w:ascii="Arial Narrow" w:hAnsi="Arial Narrow"/>
                <w:i/>
                <w:iCs/>
                <w:sz w:val="18"/>
                <w:szCs w:val="18"/>
                <w:lang w:eastAsia="en-AU"/>
              </w:rPr>
            </w:pPr>
            <w:r w:rsidRPr="00657AD4">
              <w:rPr>
                <w:rFonts w:ascii="Arial Narrow" w:hAnsi="Arial Narrow"/>
                <w:i/>
                <w:iCs/>
                <w:sz w:val="18"/>
                <w:szCs w:val="18"/>
              </w:rPr>
              <w:t>Isopora</w:t>
            </w:r>
          </w:p>
        </w:tc>
        <w:tc>
          <w:tcPr>
            <w:tcW w:w="378"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53C14BC4" w14:textId="77777777" w:rsidR="00780F62" w:rsidRPr="00657AD4" w:rsidRDefault="00780F62" w:rsidP="00A84742">
            <w:pPr>
              <w:spacing w:after="0"/>
              <w:jc w:val="center"/>
              <w:rPr>
                <w:rFonts w:ascii="Arial Narrow" w:hAnsi="Arial Narrow"/>
                <w:i/>
                <w:iCs/>
                <w:sz w:val="18"/>
                <w:szCs w:val="18"/>
                <w:lang w:eastAsia="en-AU"/>
              </w:rPr>
            </w:pPr>
            <w:r w:rsidRPr="00657AD4">
              <w:rPr>
                <w:rFonts w:ascii="Arial Narrow" w:hAnsi="Arial Narrow"/>
                <w:i/>
                <w:iCs/>
                <w:sz w:val="18"/>
                <w:szCs w:val="18"/>
              </w:rPr>
              <w:t>Lobophyllia</w:t>
            </w:r>
          </w:p>
        </w:tc>
        <w:tc>
          <w:tcPr>
            <w:tcW w:w="378"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53C14BC5" w14:textId="77777777" w:rsidR="00780F62" w:rsidRPr="00657AD4" w:rsidRDefault="00780F62" w:rsidP="00A84742">
            <w:pPr>
              <w:spacing w:after="0"/>
              <w:jc w:val="center"/>
              <w:rPr>
                <w:rFonts w:ascii="Arial Narrow" w:hAnsi="Arial Narrow"/>
                <w:i/>
                <w:iCs/>
                <w:sz w:val="18"/>
                <w:szCs w:val="18"/>
                <w:lang w:eastAsia="en-AU"/>
              </w:rPr>
            </w:pPr>
            <w:r w:rsidRPr="00657AD4">
              <w:rPr>
                <w:rFonts w:ascii="Arial Narrow" w:hAnsi="Arial Narrow"/>
                <w:i/>
                <w:iCs/>
                <w:sz w:val="18"/>
                <w:szCs w:val="18"/>
              </w:rPr>
              <w:t>Merulina</w:t>
            </w:r>
          </w:p>
        </w:tc>
        <w:tc>
          <w:tcPr>
            <w:tcW w:w="378"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53C14BC6" w14:textId="77777777" w:rsidR="00780F62" w:rsidRPr="00657AD4" w:rsidRDefault="00780F62" w:rsidP="00A84742">
            <w:pPr>
              <w:spacing w:after="0"/>
              <w:jc w:val="center"/>
              <w:rPr>
                <w:rFonts w:ascii="Arial Narrow" w:hAnsi="Arial Narrow"/>
                <w:i/>
                <w:iCs/>
                <w:sz w:val="18"/>
                <w:szCs w:val="18"/>
                <w:lang w:eastAsia="en-AU"/>
              </w:rPr>
            </w:pPr>
            <w:r w:rsidRPr="00657AD4">
              <w:rPr>
                <w:rFonts w:ascii="Arial Narrow" w:hAnsi="Arial Narrow"/>
                <w:i/>
                <w:iCs/>
                <w:sz w:val="18"/>
                <w:szCs w:val="18"/>
              </w:rPr>
              <w:t>Montipora</w:t>
            </w:r>
          </w:p>
        </w:tc>
        <w:tc>
          <w:tcPr>
            <w:tcW w:w="378"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53C14BC7" w14:textId="77777777" w:rsidR="00780F62" w:rsidRPr="00657AD4" w:rsidRDefault="00780F62" w:rsidP="00A84742">
            <w:pPr>
              <w:spacing w:after="0"/>
              <w:jc w:val="center"/>
              <w:rPr>
                <w:rFonts w:ascii="Arial Narrow" w:hAnsi="Arial Narrow"/>
                <w:i/>
                <w:iCs/>
                <w:sz w:val="18"/>
                <w:szCs w:val="18"/>
                <w:lang w:eastAsia="en-AU"/>
              </w:rPr>
            </w:pPr>
            <w:r w:rsidRPr="00657AD4">
              <w:rPr>
                <w:rFonts w:ascii="Arial Narrow" w:hAnsi="Arial Narrow"/>
                <w:i/>
                <w:iCs/>
                <w:sz w:val="18"/>
                <w:szCs w:val="18"/>
              </w:rPr>
              <w:t>Mycedium</w:t>
            </w:r>
          </w:p>
        </w:tc>
        <w:tc>
          <w:tcPr>
            <w:tcW w:w="378"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53C14BC8" w14:textId="77777777" w:rsidR="00780F62" w:rsidRPr="00657AD4" w:rsidRDefault="00780F62" w:rsidP="00A84742">
            <w:pPr>
              <w:spacing w:after="0"/>
              <w:jc w:val="center"/>
              <w:rPr>
                <w:rFonts w:ascii="Arial Narrow" w:hAnsi="Arial Narrow"/>
                <w:i/>
                <w:iCs/>
                <w:sz w:val="18"/>
                <w:szCs w:val="18"/>
                <w:lang w:eastAsia="en-AU"/>
              </w:rPr>
            </w:pPr>
            <w:r w:rsidRPr="00657AD4">
              <w:rPr>
                <w:rFonts w:ascii="Arial Narrow" w:hAnsi="Arial Narrow"/>
                <w:i/>
                <w:iCs/>
                <w:sz w:val="18"/>
                <w:szCs w:val="18"/>
              </w:rPr>
              <w:t>Oxypora</w:t>
            </w:r>
          </w:p>
        </w:tc>
        <w:tc>
          <w:tcPr>
            <w:tcW w:w="378"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53C14BC9" w14:textId="77777777" w:rsidR="00780F62" w:rsidRPr="00657AD4" w:rsidRDefault="00780F62" w:rsidP="00A84742">
            <w:pPr>
              <w:spacing w:after="0"/>
              <w:jc w:val="center"/>
              <w:rPr>
                <w:rFonts w:ascii="Arial Narrow" w:hAnsi="Arial Narrow"/>
                <w:i/>
                <w:iCs/>
                <w:sz w:val="18"/>
                <w:szCs w:val="18"/>
                <w:lang w:eastAsia="en-AU"/>
              </w:rPr>
            </w:pPr>
            <w:r w:rsidRPr="00657AD4">
              <w:rPr>
                <w:rFonts w:ascii="Arial Narrow" w:hAnsi="Arial Narrow"/>
                <w:i/>
                <w:iCs/>
                <w:sz w:val="18"/>
                <w:szCs w:val="18"/>
              </w:rPr>
              <w:t>Pachyseris</w:t>
            </w:r>
          </w:p>
        </w:tc>
        <w:tc>
          <w:tcPr>
            <w:tcW w:w="378"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53C14BCA" w14:textId="77777777" w:rsidR="00780F62" w:rsidRPr="00657AD4" w:rsidRDefault="00780F62" w:rsidP="00A84742">
            <w:pPr>
              <w:spacing w:after="0"/>
              <w:jc w:val="center"/>
              <w:rPr>
                <w:rFonts w:ascii="Arial Narrow" w:hAnsi="Arial Narrow"/>
                <w:i/>
                <w:iCs/>
                <w:sz w:val="18"/>
                <w:szCs w:val="18"/>
                <w:lang w:eastAsia="en-AU"/>
              </w:rPr>
            </w:pPr>
            <w:r w:rsidRPr="00657AD4">
              <w:rPr>
                <w:rFonts w:ascii="Arial Narrow" w:hAnsi="Arial Narrow"/>
                <w:i/>
                <w:iCs/>
                <w:sz w:val="18"/>
                <w:szCs w:val="18"/>
              </w:rPr>
              <w:t>Pavona</w:t>
            </w:r>
          </w:p>
        </w:tc>
        <w:tc>
          <w:tcPr>
            <w:tcW w:w="378"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53C14BCB" w14:textId="77777777" w:rsidR="00780F62" w:rsidRPr="00657AD4" w:rsidRDefault="00780F62" w:rsidP="00A84742">
            <w:pPr>
              <w:spacing w:after="0"/>
              <w:jc w:val="center"/>
              <w:rPr>
                <w:rFonts w:ascii="Arial Narrow" w:hAnsi="Arial Narrow"/>
                <w:i/>
                <w:iCs/>
                <w:sz w:val="18"/>
                <w:szCs w:val="18"/>
                <w:lang w:eastAsia="en-AU"/>
              </w:rPr>
            </w:pPr>
            <w:r w:rsidRPr="00657AD4">
              <w:rPr>
                <w:rFonts w:ascii="Arial Narrow" w:hAnsi="Arial Narrow"/>
                <w:i/>
                <w:iCs/>
                <w:sz w:val="18"/>
                <w:szCs w:val="18"/>
              </w:rPr>
              <w:t>Pectinia</w:t>
            </w:r>
          </w:p>
        </w:tc>
        <w:tc>
          <w:tcPr>
            <w:tcW w:w="378"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53C14BCC" w14:textId="77777777" w:rsidR="00780F62" w:rsidRPr="00657AD4" w:rsidRDefault="00780F62" w:rsidP="00A84742">
            <w:pPr>
              <w:spacing w:after="0"/>
              <w:jc w:val="center"/>
              <w:rPr>
                <w:rFonts w:ascii="Arial Narrow" w:hAnsi="Arial Narrow"/>
                <w:i/>
                <w:iCs/>
                <w:sz w:val="18"/>
                <w:szCs w:val="18"/>
                <w:lang w:eastAsia="en-AU"/>
              </w:rPr>
            </w:pPr>
            <w:r w:rsidRPr="00657AD4">
              <w:rPr>
                <w:rFonts w:ascii="Arial Narrow" w:hAnsi="Arial Narrow"/>
                <w:i/>
                <w:iCs/>
                <w:sz w:val="18"/>
                <w:szCs w:val="18"/>
              </w:rPr>
              <w:t>Platygyra</w:t>
            </w:r>
          </w:p>
        </w:tc>
        <w:tc>
          <w:tcPr>
            <w:tcW w:w="378"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53C14BCD" w14:textId="77777777" w:rsidR="00780F62" w:rsidRPr="00657AD4" w:rsidRDefault="00780F62" w:rsidP="00A84742">
            <w:pPr>
              <w:spacing w:after="0"/>
              <w:jc w:val="center"/>
              <w:rPr>
                <w:rFonts w:ascii="Arial Narrow" w:hAnsi="Arial Narrow"/>
                <w:i/>
                <w:iCs/>
                <w:sz w:val="18"/>
                <w:szCs w:val="18"/>
                <w:lang w:eastAsia="en-AU"/>
              </w:rPr>
            </w:pPr>
            <w:r w:rsidRPr="00657AD4">
              <w:rPr>
                <w:rFonts w:ascii="Arial Narrow" w:hAnsi="Arial Narrow"/>
                <w:i/>
                <w:iCs/>
                <w:sz w:val="18"/>
                <w:szCs w:val="18"/>
              </w:rPr>
              <w:t>Plesiastrea</w:t>
            </w:r>
          </w:p>
        </w:tc>
        <w:tc>
          <w:tcPr>
            <w:tcW w:w="378"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53C14BCE" w14:textId="77777777" w:rsidR="00780F62" w:rsidRPr="00657AD4" w:rsidRDefault="00780F62" w:rsidP="00A84742">
            <w:pPr>
              <w:spacing w:after="0"/>
              <w:jc w:val="center"/>
              <w:rPr>
                <w:rFonts w:ascii="Arial Narrow" w:hAnsi="Arial Narrow"/>
                <w:i/>
                <w:iCs/>
                <w:sz w:val="18"/>
                <w:szCs w:val="18"/>
                <w:lang w:eastAsia="en-AU"/>
              </w:rPr>
            </w:pPr>
            <w:r w:rsidRPr="00657AD4">
              <w:rPr>
                <w:rFonts w:ascii="Arial Narrow" w:hAnsi="Arial Narrow"/>
                <w:i/>
                <w:iCs/>
                <w:sz w:val="18"/>
                <w:szCs w:val="18"/>
              </w:rPr>
              <w:t>Pocillopora</w:t>
            </w:r>
          </w:p>
        </w:tc>
        <w:tc>
          <w:tcPr>
            <w:tcW w:w="378"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53C14BCF" w14:textId="77777777" w:rsidR="00780F62" w:rsidRPr="00657AD4" w:rsidRDefault="00780F62" w:rsidP="00A84742">
            <w:pPr>
              <w:spacing w:after="0"/>
              <w:jc w:val="center"/>
              <w:rPr>
                <w:rFonts w:ascii="Arial Narrow" w:hAnsi="Arial Narrow"/>
                <w:i/>
                <w:iCs/>
                <w:sz w:val="18"/>
                <w:szCs w:val="18"/>
                <w:lang w:eastAsia="en-AU"/>
              </w:rPr>
            </w:pPr>
            <w:r w:rsidRPr="00657AD4">
              <w:rPr>
                <w:rFonts w:ascii="Arial Narrow" w:hAnsi="Arial Narrow"/>
                <w:i/>
                <w:iCs/>
                <w:sz w:val="18"/>
                <w:szCs w:val="18"/>
              </w:rPr>
              <w:t>Podobacia</w:t>
            </w:r>
          </w:p>
        </w:tc>
        <w:tc>
          <w:tcPr>
            <w:tcW w:w="378"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53C14BD0" w14:textId="77777777" w:rsidR="00780F62" w:rsidRPr="00657AD4" w:rsidRDefault="00780F62" w:rsidP="00A84742">
            <w:pPr>
              <w:spacing w:after="0"/>
              <w:jc w:val="center"/>
              <w:rPr>
                <w:rFonts w:ascii="Arial Narrow" w:hAnsi="Arial Narrow"/>
                <w:i/>
                <w:iCs/>
                <w:sz w:val="18"/>
                <w:szCs w:val="18"/>
                <w:lang w:eastAsia="en-AU"/>
              </w:rPr>
            </w:pPr>
            <w:r w:rsidRPr="00657AD4">
              <w:rPr>
                <w:rFonts w:ascii="Arial Narrow" w:hAnsi="Arial Narrow"/>
                <w:i/>
                <w:iCs/>
                <w:sz w:val="18"/>
                <w:szCs w:val="18"/>
              </w:rPr>
              <w:t>Porites</w:t>
            </w:r>
          </w:p>
        </w:tc>
        <w:tc>
          <w:tcPr>
            <w:tcW w:w="378"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53C14BD1" w14:textId="77777777" w:rsidR="00780F62" w:rsidRPr="00657AD4" w:rsidRDefault="00780F62" w:rsidP="00A84742">
            <w:pPr>
              <w:spacing w:after="0"/>
              <w:jc w:val="center"/>
              <w:rPr>
                <w:rFonts w:ascii="Arial Narrow" w:hAnsi="Arial Narrow"/>
                <w:i/>
                <w:iCs/>
                <w:sz w:val="18"/>
                <w:szCs w:val="18"/>
                <w:lang w:eastAsia="en-AU"/>
              </w:rPr>
            </w:pPr>
            <w:r w:rsidRPr="00657AD4">
              <w:rPr>
                <w:rFonts w:ascii="Arial Narrow" w:hAnsi="Arial Narrow"/>
                <w:i/>
                <w:iCs/>
                <w:sz w:val="18"/>
                <w:szCs w:val="18"/>
              </w:rPr>
              <w:t>Psammocora</w:t>
            </w:r>
          </w:p>
        </w:tc>
        <w:tc>
          <w:tcPr>
            <w:tcW w:w="378"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53C14BD2" w14:textId="77777777" w:rsidR="00780F62" w:rsidRPr="00657AD4" w:rsidRDefault="00780F62" w:rsidP="00A84742">
            <w:pPr>
              <w:spacing w:after="0"/>
              <w:jc w:val="center"/>
              <w:rPr>
                <w:rFonts w:ascii="Arial Narrow" w:hAnsi="Arial Narrow"/>
                <w:i/>
                <w:iCs/>
                <w:sz w:val="18"/>
                <w:szCs w:val="18"/>
                <w:lang w:eastAsia="en-AU"/>
              </w:rPr>
            </w:pPr>
            <w:r w:rsidRPr="00657AD4">
              <w:rPr>
                <w:rFonts w:ascii="Arial Narrow" w:hAnsi="Arial Narrow"/>
                <w:i/>
                <w:iCs/>
                <w:sz w:val="18"/>
                <w:szCs w:val="18"/>
              </w:rPr>
              <w:t>Symphyllia</w:t>
            </w:r>
          </w:p>
        </w:tc>
        <w:tc>
          <w:tcPr>
            <w:tcW w:w="378"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53C14BD3" w14:textId="77777777" w:rsidR="00780F62" w:rsidRPr="00657AD4" w:rsidRDefault="00780F62" w:rsidP="00A84742">
            <w:pPr>
              <w:spacing w:after="0"/>
              <w:jc w:val="center"/>
              <w:rPr>
                <w:rFonts w:ascii="Arial Narrow" w:hAnsi="Arial Narrow"/>
                <w:i/>
                <w:iCs/>
                <w:sz w:val="18"/>
                <w:szCs w:val="18"/>
                <w:lang w:eastAsia="en-AU"/>
              </w:rPr>
            </w:pPr>
            <w:r w:rsidRPr="00657AD4">
              <w:rPr>
                <w:rFonts w:ascii="Arial Narrow" w:hAnsi="Arial Narrow"/>
                <w:i/>
                <w:iCs/>
                <w:sz w:val="18"/>
                <w:szCs w:val="18"/>
              </w:rPr>
              <w:t>Turbinaria</w:t>
            </w:r>
          </w:p>
        </w:tc>
        <w:tc>
          <w:tcPr>
            <w:tcW w:w="378"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53C14BD4" w14:textId="77777777" w:rsidR="00780F62" w:rsidRPr="00657AD4" w:rsidRDefault="00780F62" w:rsidP="00A84742">
            <w:pPr>
              <w:spacing w:after="0"/>
              <w:jc w:val="center"/>
              <w:rPr>
                <w:rFonts w:ascii="Arial Narrow" w:hAnsi="Arial Narrow"/>
                <w:iCs/>
                <w:sz w:val="18"/>
                <w:szCs w:val="18"/>
                <w:lang w:eastAsia="en-AU"/>
              </w:rPr>
            </w:pPr>
            <w:r w:rsidRPr="00657AD4">
              <w:rPr>
                <w:rFonts w:ascii="Arial Narrow" w:hAnsi="Arial Narrow"/>
                <w:i/>
                <w:iCs/>
                <w:sz w:val="18"/>
                <w:szCs w:val="18"/>
              </w:rPr>
              <w:t>Other</w:t>
            </w:r>
          </w:p>
        </w:tc>
      </w:tr>
      <w:tr w:rsidR="00657AD4" w:rsidRPr="00657AD4" w14:paraId="53C14BF7" w14:textId="77777777" w:rsidTr="00C60606">
        <w:trPr>
          <w:trHeight w:hRule="exact" w:val="397"/>
        </w:trPr>
        <w:tc>
          <w:tcPr>
            <w:tcW w:w="389" w:type="dxa"/>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14:paraId="53C14BD6" w14:textId="77777777" w:rsidR="00235072" w:rsidRPr="007904CB" w:rsidRDefault="008E17A4" w:rsidP="00235072">
            <w:pPr>
              <w:spacing w:after="0"/>
              <w:jc w:val="center"/>
              <w:rPr>
                <w:rFonts w:ascii="Arial Narrow" w:hAnsi="Arial Narrow"/>
                <w:sz w:val="18"/>
                <w:szCs w:val="18"/>
                <w:lang w:eastAsia="en-AU"/>
              </w:rPr>
            </w:pPr>
            <w:r>
              <w:rPr>
                <w:rFonts w:ascii="Arial Narrow" w:hAnsi="Arial Narrow"/>
                <w:sz w:val="18"/>
                <w:szCs w:val="18"/>
                <w:lang w:eastAsia="en-AU"/>
              </w:rPr>
              <w:t xml:space="preserve">Barron </w:t>
            </w:r>
            <w:r w:rsidR="00235072" w:rsidRPr="007904CB">
              <w:rPr>
                <w:rFonts w:ascii="Arial Narrow" w:hAnsi="Arial Narrow"/>
                <w:sz w:val="18"/>
                <w:szCs w:val="18"/>
                <w:lang w:eastAsia="en-AU"/>
              </w:rPr>
              <w:t>Daintree</w:t>
            </w:r>
          </w:p>
        </w:tc>
        <w:tc>
          <w:tcPr>
            <w:tcW w:w="1073" w:type="dxa"/>
            <w:tcBorders>
              <w:top w:val="nil"/>
              <w:left w:val="single" w:sz="4" w:space="0" w:color="auto"/>
              <w:bottom w:val="single" w:sz="4" w:space="0" w:color="auto"/>
              <w:right w:val="single" w:sz="4" w:space="0" w:color="auto"/>
            </w:tcBorders>
            <w:shd w:val="clear" w:color="auto" w:fill="auto"/>
            <w:noWrap/>
            <w:vAlign w:val="center"/>
          </w:tcPr>
          <w:p w14:paraId="53C14BD7" w14:textId="77777777" w:rsidR="00235072" w:rsidRPr="007904CB" w:rsidRDefault="00235072" w:rsidP="00C60606">
            <w:pPr>
              <w:jc w:val="center"/>
              <w:rPr>
                <w:rFonts w:ascii="Arial Narrow" w:hAnsi="Arial Narrow"/>
                <w:sz w:val="18"/>
                <w:szCs w:val="18"/>
              </w:rPr>
            </w:pPr>
            <w:r w:rsidRPr="007904CB">
              <w:rPr>
                <w:rFonts w:ascii="Arial Narrow" w:hAnsi="Arial Narrow"/>
                <w:sz w:val="18"/>
                <w:szCs w:val="18"/>
              </w:rPr>
              <w:t>Low Isles</w:t>
            </w:r>
          </w:p>
        </w:tc>
        <w:tc>
          <w:tcPr>
            <w:tcW w:w="283" w:type="dxa"/>
            <w:tcBorders>
              <w:top w:val="nil"/>
              <w:left w:val="nil"/>
              <w:bottom w:val="single" w:sz="4" w:space="0" w:color="auto"/>
              <w:right w:val="single" w:sz="4" w:space="0" w:color="auto"/>
            </w:tcBorders>
            <w:shd w:val="clear" w:color="auto" w:fill="auto"/>
            <w:noWrap/>
            <w:vAlign w:val="bottom"/>
            <w:hideMark/>
          </w:tcPr>
          <w:p w14:paraId="53C14BD8"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5</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4BD9"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0.30</w:t>
            </w:r>
          </w:p>
        </w:tc>
        <w:tc>
          <w:tcPr>
            <w:tcW w:w="378" w:type="dxa"/>
            <w:tcBorders>
              <w:top w:val="nil"/>
              <w:left w:val="nil"/>
              <w:bottom w:val="single" w:sz="4" w:space="0" w:color="auto"/>
              <w:right w:val="single" w:sz="4" w:space="0" w:color="auto"/>
            </w:tcBorders>
            <w:shd w:val="clear" w:color="auto" w:fill="auto"/>
            <w:noWrap/>
            <w:vAlign w:val="center"/>
            <w:hideMark/>
          </w:tcPr>
          <w:p w14:paraId="53C14BDA" w14:textId="77777777" w:rsidR="00235072" w:rsidRPr="00C60606" w:rsidRDefault="00235072"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BDB"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0.03</w:t>
            </w:r>
          </w:p>
        </w:tc>
        <w:tc>
          <w:tcPr>
            <w:tcW w:w="378" w:type="dxa"/>
            <w:tcBorders>
              <w:top w:val="nil"/>
              <w:left w:val="nil"/>
              <w:bottom w:val="single" w:sz="4" w:space="0" w:color="auto"/>
              <w:right w:val="single" w:sz="4" w:space="0" w:color="auto"/>
            </w:tcBorders>
            <w:shd w:val="clear" w:color="auto" w:fill="auto"/>
            <w:noWrap/>
            <w:vAlign w:val="center"/>
            <w:hideMark/>
          </w:tcPr>
          <w:p w14:paraId="53C14BDC"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0.03</w:t>
            </w:r>
          </w:p>
        </w:tc>
        <w:tc>
          <w:tcPr>
            <w:tcW w:w="378" w:type="dxa"/>
            <w:tcBorders>
              <w:top w:val="nil"/>
              <w:left w:val="nil"/>
              <w:bottom w:val="single" w:sz="4" w:space="0" w:color="auto"/>
              <w:right w:val="single" w:sz="4" w:space="0" w:color="auto"/>
            </w:tcBorders>
            <w:shd w:val="clear" w:color="auto" w:fill="auto"/>
            <w:noWrap/>
            <w:vAlign w:val="center"/>
            <w:hideMark/>
          </w:tcPr>
          <w:p w14:paraId="53C14BDD"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0.20</w:t>
            </w:r>
          </w:p>
        </w:tc>
        <w:tc>
          <w:tcPr>
            <w:tcW w:w="378" w:type="dxa"/>
            <w:tcBorders>
              <w:top w:val="nil"/>
              <w:left w:val="nil"/>
              <w:bottom w:val="single" w:sz="4" w:space="0" w:color="auto"/>
              <w:right w:val="single" w:sz="4" w:space="0" w:color="auto"/>
            </w:tcBorders>
            <w:shd w:val="clear" w:color="auto" w:fill="auto"/>
            <w:noWrap/>
            <w:vAlign w:val="center"/>
            <w:hideMark/>
          </w:tcPr>
          <w:p w14:paraId="53C14BDE"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1.00</w:t>
            </w:r>
          </w:p>
        </w:tc>
        <w:tc>
          <w:tcPr>
            <w:tcW w:w="378" w:type="dxa"/>
            <w:tcBorders>
              <w:top w:val="nil"/>
              <w:left w:val="nil"/>
              <w:bottom w:val="single" w:sz="4" w:space="0" w:color="auto"/>
              <w:right w:val="single" w:sz="4" w:space="0" w:color="auto"/>
            </w:tcBorders>
            <w:shd w:val="clear" w:color="auto" w:fill="auto"/>
            <w:noWrap/>
            <w:vAlign w:val="center"/>
            <w:hideMark/>
          </w:tcPr>
          <w:p w14:paraId="53C14BDF"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0.07</w:t>
            </w:r>
          </w:p>
        </w:tc>
        <w:tc>
          <w:tcPr>
            <w:tcW w:w="378" w:type="dxa"/>
            <w:tcBorders>
              <w:top w:val="nil"/>
              <w:left w:val="nil"/>
              <w:bottom w:val="single" w:sz="4" w:space="0" w:color="auto"/>
              <w:right w:val="single" w:sz="4" w:space="0" w:color="auto"/>
            </w:tcBorders>
            <w:shd w:val="clear" w:color="auto" w:fill="auto"/>
            <w:noWrap/>
            <w:vAlign w:val="center"/>
            <w:hideMark/>
          </w:tcPr>
          <w:p w14:paraId="53C14BE0" w14:textId="77777777" w:rsidR="00235072" w:rsidRPr="00C60606" w:rsidRDefault="00235072"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BE1"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0.60</w:t>
            </w:r>
          </w:p>
        </w:tc>
        <w:tc>
          <w:tcPr>
            <w:tcW w:w="378" w:type="dxa"/>
            <w:tcBorders>
              <w:top w:val="nil"/>
              <w:left w:val="nil"/>
              <w:bottom w:val="single" w:sz="4" w:space="0" w:color="auto"/>
              <w:right w:val="single" w:sz="4" w:space="0" w:color="auto"/>
            </w:tcBorders>
            <w:shd w:val="clear" w:color="auto" w:fill="auto"/>
            <w:noWrap/>
            <w:vAlign w:val="center"/>
            <w:hideMark/>
          </w:tcPr>
          <w:p w14:paraId="53C14BE2"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2.24</w:t>
            </w:r>
          </w:p>
        </w:tc>
        <w:tc>
          <w:tcPr>
            <w:tcW w:w="378" w:type="dxa"/>
            <w:tcBorders>
              <w:top w:val="nil"/>
              <w:left w:val="nil"/>
              <w:bottom w:val="single" w:sz="4" w:space="0" w:color="auto"/>
              <w:right w:val="single" w:sz="4" w:space="0" w:color="auto"/>
            </w:tcBorders>
            <w:shd w:val="clear" w:color="auto" w:fill="auto"/>
            <w:noWrap/>
            <w:vAlign w:val="center"/>
            <w:hideMark/>
          </w:tcPr>
          <w:p w14:paraId="53C14BE3"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BE4"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0.37</w:t>
            </w:r>
          </w:p>
        </w:tc>
        <w:tc>
          <w:tcPr>
            <w:tcW w:w="378" w:type="dxa"/>
            <w:tcBorders>
              <w:top w:val="nil"/>
              <w:left w:val="nil"/>
              <w:bottom w:val="single" w:sz="4" w:space="0" w:color="auto"/>
              <w:right w:val="single" w:sz="4" w:space="0" w:color="auto"/>
            </w:tcBorders>
            <w:shd w:val="clear" w:color="auto" w:fill="auto"/>
            <w:noWrap/>
            <w:vAlign w:val="center"/>
            <w:hideMark/>
          </w:tcPr>
          <w:p w14:paraId="53C14BE5" w14:textId="77777777" w:rsidR="00235072" w:rsidRPr="00C60606" w:rsidRDefault="00235072"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BE6"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1.79</w:t>
            </w:r>
          </w:p>
        </w:tc>
        <w:tc>
          <w:tcPr>
            <w:tcW w:w="378" w:type="dxa"/>
            <w:tcBorders>
              <w:top w:val="nil"/>
              <w:left w:val="nil"/>
              <w:bottom w:val="single" w:sz="4" w:space="0" w:color="auto"/>
              <w:right w:val="single" w:sz="4" w:space="0" w:color="auto"/>
            </w:tcBorders>
            <w:shd w:val="clear" w:color="auto" w:fill="auto"/>
            <w:noWrap/>
            <w:vAlign w:val="center"/>
            <w:hideMark/>
          </w:tcPr>
          <w:p w14:paraId="53C14BE7"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0.17</w:t>
            </w:r>
          </w:p>
        </w:tc>
        <w:tc>
          <w:tcPr>
            <w:tcW w:w="378" w:type="dxa"/>
            <w:tcBorders>
              <w:top w:val="nil"/>
              <w:left w:val="nil"/>
              <w:bottom w:val="single" w:sz="4" w:space="0" w:color="auto"/>
              <w:right w:val="single" w:sz="4" w:space="0" w:color="auto"/>
            </w:tcBorders>
            <w:shd w:val="clear" w:color="auto" w:fill="auto"/>
            <w:noWrap/>
            <w:vAlign w:val="center"/>
            <w:hideMark/>
          </w:tcPr>
          <w:p w14:paraId="53C14BE8"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0.10</w:t>
            </w:r>
          </w:p>
        </w:tc>
        <w:tc>
          <w:tcPr>
            <w:tcW w:w="378" w:type="dxa"/>
            <w:tcBorders>
              <w:top w:val="nil"/>
              <w:left w:val="nil"/>
              <w:bottom w:val="single" w:sz="4" w:space="0" w:color="auto"/>
              <w:right w:val="single" w:sz="4" w:space="0" w:color="auto"/>
            </w:tcBorders>
            <w:shd w:val="clear" w:color="auto" w:fill="auto"/>
            <w:noWrap/>
            <w:vAlign w:val="center"/>
            <w:hideMark/>
          </w:tcPr>
          <w:p w14:paraId="53C14BE9"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0.07</w:t>
            </w:r>
          </w:p>
        </w:tc>
        <w:tc>
          <w:tcPr>
            <w:tcW w:w="378" w:type="dxa"/>
            <w:tcBorders>
              <w:top w:val="nil"/>
              <w:left w:val="nil"/>
              <w:bottom w:val="single" w:sz="4" w:space="0" w:color="auto"/>
              <w:right w:val="single" w:sz="4" w:space="0" w:color="auto"/>
            </w:tcBorders>
            <w:shd w:val="clear" w:color="auto" w:fill="auto"/>
            <w:noWrap/>
            <w:vAlign w:val="center"/>
            <w:hideMark/>
          </w:tcPr>
          <w:p w14:paraId="53C14BEA"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0.03</w:t>
            </w:r>
          </w:p>
        </w:tc>
        <w:tc>
          <w:tcPr>
            <w:tcW w:w="378" w:type="dxa"/>
            <w:tcBorders>
              <w:top w:val="nil"/>
              <w:left w:val="nil"/>
              <w:bottom w:val="single" w:sz="4" w:space="0" w:color="auto"/>
              <w:right w:val="single" w:sz="4" w:space="0" w:color="auto"/>
            </w:tcBorders>
            <w:shd w:val="clear" w:color="auto" w:fill="auto"/>
            <w:noWrap/>
            <w:vAlign w:val="center"/>
            <w:hideMark/>
          </w:tcPr>
          <w:p w14:paraId="53C14BEB"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0.77</w:t>
            </w:r>
          </w:p>
        </w:tc>
        <w:tc>
          <w:tcPr>
            <w:tcW w:w="378" w:type="dxa"/>
            <w:tcBorders>
              <w:top w:val="nil"/>
              <w:left w:val="nil"/>
              <w:bottom w:val="single" w:sz="4" w:space="0" w:color="auto"/>
              <w:right w:val="single" w:sz="4" w:space="0" w:color="auto"/>
            </w:tcBorders>
            <w:shd w:val="clear" w:color="auto" w:fill="auto"/>
            <w:noWrap/>
            <w:vAlign w:val="center"/>
            <w:hideMark/>
          </w:tcPr>
          <w:p w14:paraId="53C14BEC"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0.03</w:t>
            </w:r>
          </w:p>
        </w:tc>
        <w:tc>
          <w:tcPr>
            <w:tcW w:w="378" w:type="dxa"/>
            <w:tcBorders>
              <w:top w:val="nil"/>
              <w:left w:val="nil"/>
              <w:bottom w:val="single" w:sz="4" w:space="0" w:color="auto"/>
              <w:right w:val="single" w:sz="4" w:space="0" w:color="auto"/>
            </w:tcBorders>
            <w:shd w:val="clear" w:color="auto" w:fill="auto"/>
            <w:noWrap/>
            <w:vAlign w:val="center"/>
            <w:hideMark/>
          </w:tcPr>
          <w:p w14:paraId="53C14BED" w14:textId="77777777" w:rsidR="00235072" w:rsidRPr="00C60606" w:rsidRDefault="00235072"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BEE"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0.17</w:t>
            </w:r>
          </w:p>
        </w:tc>
        <w:tc>
          <w:tcPr>
            <w:tcW w:w="378" w:type="dxa"/>
            <w:tcBorders>
              <w:top w:val="nil"/>
              <w:left w:val="nil"/>
              <w:bottom w:val="single" w:sz="4" w:space="0" w:color="auto"/>
              <w:right w:val="single" w:sz="4" w:space="0" w:color="auto"/>
            </w:tcBorders>
            <w:shd w:val="clear" w:color="auto" w:fill="auto"/>
            <w:noWrap/>
            <w:vAlign w:val="center"/>
            <w:hideMark/>
          </w:tcPr>
          <w:p w14:paraId="53C14BEF" w14:textId="77777777" w:rsidR="00235072" w:rsidRPr="00C60606" w:rsidRDefault="00235072"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BF0"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0.23</w:t>
            </w:r>
          </w:p>
        </w:tc>
        <w:tc>
          <w:tcPr>
            <w:tcW w:w="378" w:type="dxa"/>
            <w:tcBorders>
              <w:top w:val="nil"/>
              <w:left w:val="nil"/>
              <w:bottom w:val="single" w:sz="4" w:space="0" w:color="auto"/>
              <w:right w:val="single" w:sz="4" w:space="0" w:color="auto"/>
            </w:tcBorders>
            <w:shd w:val="clear" w:color="auto" w:fill="auto"/>
            <w:noWrap/>
            <w:vAlign w:val="center"/>
            <w:hideMark/>
          </w:tcPr>
          <w:p w14:paraId="53C14BF1"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0.20</w:t>
            </w:r>
          </w:p>
        </w:tc>
        <w:tc>
          <w:tcPr>
            <w:tcW w:w="378" w:type="dxa"/>
            <w:tcBorders>
              <w:top w:val="nil"/>
              <w:left w:val="nil"/>
              <w:bottom w:val="single" w:sz="4" w:space="0" w:color="auto"/>
              <w:right w:val="single" w:sz="4" w:space="0" w:color="auto"/>
            </w:tcBorders>
            <w:shd w:val="clear" w:color="auto" w:fill="auto"/>
            <w:noWrap/>
            <w:vAlign w:val="center"/>
            <w:hideMark/>
          </w:tcPr>
          <w:p w14:paraId="53C14BF2"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14.29</w:t>
            </w:r>
          </w:p>
        </w:tc>
        <w:tc>
          <w:tcPr>
            <w:tcW w:w="378" w:type="dxa"/>
            <w:tcBorders>
              <w:top w:val="nil"/>
              <w:left w:val="nil"/>
              <w:bottom w:val="single" w:sz="4" w:space="0" w:color="auto"/>
              <w:right w:val="single" w:sz="4" w:space="0" w:color="auto"/>
            </w:tcBorders>
            <w:shd w:val="clear" w:color="auto" w:fill="auto"/>
            <w:noWrap/>
            <w:vAlign w:val="center"/>
            <w:hideMark/>
          </w:tcPr>
          <w:p w14:paraId="53C14BF3"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0.03</w:t>
            </w:r>
          </w:p>
        </w:tc>
        <w:tc>
          <w:tcPr>
            <w:tcW w:w="378" w:type="dxa"/>
            <w:tcBorders>
              <w:top w:val="nil"/>
              <w:left w:val="nil"/>
              <w:bottom w:val="single" w:sz="4" w:space="0" w:color="auto"/>
              <w:right w:val="single" w:sz="4" w:space="0" w:color="auto"/>
            </w:tcBorders>
            <w:shd w:val="clear" w:color="auto" w:fill="auto"/>
            <w:noWrap/>
            <w:vAlign w:val="center"/>
            <w:hideMark/>
          </w:tcPr>
          <w:p w14:paraId="53C14BF4"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0.07</w:t>
            </w:r>
          </w:p>
        </w:tc>
        <w:tc>
          <w:tcPr>
            <w:tcW w:w="378" w:type="dxa"/>
            <w:tcBorders>
              <w:top w:val="nil"/>
              <w:left w:val="nil"/>
              <w:bottom w:val="single" w:sz="4" w:space="0" w:color="auto"/>
              <w:right w:val="single" w:sz="4" w:space="0" w:color="auto"/>
            </w:tcBorders>
            <w:shd w:val="clear" w:color="auto" w:fill="auto"/>
            <w:noWrap/>
            <w:vAlign w:val="center"/>
            <w:hideMark/>
          </w:tcPr>
          <w:p w14:paraId="53C14BF5"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0.07</w:t>
            </w:r>
          </w:p>
        </w:tc>
        <w:tc>
          <w:tcPr>
            <w:tcW w:w="378" w:type="dxa"/>
            <w:tcBorders>
              <w:top w:val="nil"/>
              <w:left w:val="nil"/>
              <w:bottom w:val="single" w:sz="4" w:space="0" w:color="auto"/>
              <w:right w:val="single" w:sz="4" w:space="0" w:color="auto"/>
            </w:tcBorders>
            <w:shd w:val="clear" w:color="auto" w:fill="auto"/>
            <w:noWrap/>
            <w:vAlign w:val="center"/>
            <w:hideMark/>
          </w:tcPr>
          <w:p w14:paraId="53C14BF6"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1.20</w:t>
            </w:r>
          </w:p>
        </w:tc>
      </w:tr>
      <w:tr w:rsidR="007904CB" w:rsidRPr="00657AD4" w14:paraId="53C14C19" w14:textId="77777777" w:rsidTr="00C60606">
        <w:trPr>
          <w:cantSplit/>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4BF8" w14:textId="77777777" w:rsidR="007904CB" w:rsidRPr="007904CB" w:rsidRDefault="007904CB" w:rsidP="00235072">
            <w:pPr>
              <w:spacing w:after="0"/>
              <w:jc w:val="left"/>
              <w:rPr>
                <w:rFonts w:ascii="Arial Narrow" w:hAnsi="Arial Narrow"/>
                <w:sz w:val="18"/>
                <w:szCs w:val="18"/>
                <w:lang w:eastAsia="en-AU"/>
              </w:rPr>
            </w:pPr>
          </w:p>
        </w:tc>
        <w:tc>
          <w:tcPr>
            <w:tcW w:w="1073" w:type="dxa"/>
            <w:vMerge w:val="restart"/>
            <w:tcBorders>
              <w:top w:val="nil"/>
              <w:left w:val="single" w:sz="4" w:space="0" w:color="auto"/>
              <w:right w:val="single" w:sz="4" w:space="0" w:color="auto"/>
            </w:tcBorders>
            <w:shd w:val="clear" w:color="auto" w:fill="auto"/>
            <w:vAlign w:val="center"/>
          </w:tcPr>
          <w:p w14:paraId="53C14BF9" w14:textId="77777777" w:rsidR="007904CB" w:rsidRPr="007904CB" w:rsidRDefault="007904CB" w:rsidP="00C60606">
            <w:pPr>
              <w:jc w:val="center"/>
              <w:rPr>
                <w:rFonts w:ascii="Arial Narrow" w:hAnsi="Arial Narrow"/>
                <w:sz w:val="18"/>
                <w:szCs w:val="18"/>
              </w:rPr>
            </w:pPr>
            <w:r w:rsidRPr="007904CB">
              <w:rPr>
                <w:rFonts w:ascii="Arial Narrow" w:hAnsi="Arial Narrow"/>
                <w:sz w:val="18"/>
                <w:szCs w:val="18"/>
              </w:rPr>
              <w:t>Snapper North</w:t>
            </w:r>
          </w:p>
        </w:tc>
        <w:tc>
          <w:tcPr>
            <w:tcW w:w="283" w:type="dxa"/>
            <w:tcBorders>
              <w:top w:val="nil"/>
              <w:left w:val="nil"/>
              <w:bottom w:val="single" w:sz="4" w:space="0" w:color="auto"/>
              <w:right w:val="single" w:sz="4" w:space="0" w:color="auto"/>
            </w:tcBorders>
            <w:shd w:val="clear" w:color="auto" w:fill="auto"/>
            <w:noWrap/>
            <w:vAlign w:val="bottom"/>
            <w:hideMark/>
          </w:tcPr>
          <w:p w14:paraId="53C14BFA"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2</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4BFB"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1.71</w:t>
            </w:r>
          </w:p>
        </w:tc>
        <w:tc>
          <w:tcPr>
            <w:tcW w:w="378" w:type="dxa"/>
            <w:tcBorders>
              <w:top w:val="nil"/>
              <w:left w:val="nil"/>
              <w:bottom w:val="single" w:sz="4" w:space="0" w:color="auto"/>
              <w:right w:val="single" w:sz="4" w:space="0" w:color="auto"/>
            </w:tcBorders>
            <w:shd w:val="clear" w:color="auto" w:fill="auto"/>
            <w:noWrap/>
            <w:vAlign w:val="center"/>
            <w:hideMark/>
          </w:tcPr>
          <w:p w14:paraId="53C14BFC"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BFD"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BFE"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BFF"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00"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2.42</w:t>
            </w:r>
          </w:p>
        </w:tc>
        <w:tc>
          <w:tcPr>
            <w:tcW w:w="378" w:type="dxa"/>
            <w:tcBorders>
              <w:top w:val="nil"/>
              <w:left w:val="nil"/>
              <w:bottom w:val="single" w:sz="4" w:space="0" w:color="auto"/>
              <w:right w:val="single" w:sz="4" w:space="0" w:color="auto"/>
            </w:tcBorders>
            <w:shd w:val="clear" w:color="auto" w:fill="auto"/>
            <w:noWrap/>
            <w:vAlign w:val="center"/>
            <w:hideMark/>
          </w:tcPr>
          <w:p w14:paraId="53C14C01"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02"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03"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C04"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4C05"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06"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07"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08"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C09"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0A"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4C0B"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0C"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0D"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0E"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0F"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10"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0.08</w:t>
            </w:r>
          </w:p>
        </w:tc>
        <w:tc>
          <w:tcPr>
            <w:tcW w:w="378" w:type="dxa"/>
            <w:tcBorders>
              <w:top w:val="nil"/>
              <w:left w:val="nil"/>
              <w:bottom w:val="single" w:sz="4" w:space="0" w:color="auto"/>
              <w:right w:val="single" w:sz="4" w:space="0" w:color="auto"/>
            </w:tcBorders>
            <w:shd w:val="clear" w:color="auto" w:fill="auto"/>
            <w:noWrap/>
            <w:vAlign w:val="center"/>
            <w:hideMark/>
          </w:tcPr>
          <w:p w14:paraId="53C14C11"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12"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0.04</w:t>
            </w:r>
          </w:p>
        </w:tc>
        <w:tc>
          <w:tcPr>
            <w:tcW w:w="378" w:type="dxa"/>
            <w:tcBorders>
              <w:top w:val="nil"/>
              <w:left w:val="nil"/>
              <w:bottom w:val="single" w:sz="4" w:space="0" w:color="auto"/>
              <w:right w:val="single" w:sz="4" w:space="0" w:color="auto"/>
            </w:tcBorders>
            <w:shd w:val="clear" w:color="auto" w:fill="auto"/>
            <w:noWrap/>
            <w:vAlign w:val="center"/>
            <w:hideMark/>
          </w:tcPr>
          <w:p w14:paraId="53C14C13"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14"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1.25</w:t>
            </w:r>
          </w:p>
        </w:tc>
        <w:tc>
          <w:tcPr>
            <w:tcW w:w="378" w:type="dxa"/>
            <w:tcBorders>
              <w:top w:val="nil"/>
              <w:left w:val="nil"/>
              <w:bottom w:val="single" w:sz="4" w:space="0" w:color="auto"/>
              <w:right w:val="single" w:sz="4" w:space="0" w:color="auto"/>
            </w:tcBorders>
            <w:shd w:val="clear" w:color="auto" w:fill="auto"/>
            <w:noWrap/>
            <w:vAlign w:val="center"/>
            <w:hideMark/>
          </w:tcPr>
          <w:p w14:paraId="53C14C15"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0.08</w:t>
            </w:r>
          </w:p>
        </w:tc>
        <w:tc>
          <w:tcPr>
            <w:tcW w:w="378" w:type="dxa"/>
            <w:tcBorders>
              <w:top w:val="nil"/>
              <w:left w:val="nil"/>
              <w:bottom w:val="single" w:sz="4" w:space="0" w:color="auto"/>
              <w:right w:val="single" w:sz="4" w:space="0" w:color="auto"/>
            </w:tcBorders>
            <w:shd w:val="clear" w:color="auto" w:fill="auto"/>
            <w:noWrap/>
            <w:vAlign w:val="center"/>
            <w:hideMark/>
          </w:tcPr>
          <w:p w14:paraId="53C14C16"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17"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18" w14:textId="77777777" w:rsidR="007904CB" w:rsidRPr="00C60606" w:rsidRDefault="007904CB" w:rsidP="00235072">
            <w:pPr>
              <w:jc w:val="center"/>
              <w:rPr>
                <w:rFonts w:ascii="Arial Narrow" w:hAnsi="Arial Narrow"/>
                <w:sz w:val="16"/>
                <w:szCs w:val="16"/>
              </w:rPr>
            </w:pPr>
          </w:p>
        </w:tc>
      </w:tr>
      <w:tr w:rsidR="007904CB" w:rsidRPr="00657AD4" w14:paraId="53C14C3B"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4C1A" w14:textId="77777777" w:rsidR="007904CB" w:rsidRPr="007904CB" w:rsidRDefault="007904CB" w:rsidP="00235072">
            <w:pPr>
              <w:spacing w:after="0"/>
              <w:jc w:val="left"/>
              <w:rPr>
                <w:rFonts w:ascii="Arial Narrow" w:hAnsi="Arial Narrow"/>
                <w:sz w:val="18"/>
                <w:szCs w:val="18"/>
                <w:lang w:eastAsia="en-AU"/>
              </w:rPr>
            </w:pPr>
          </w:p>
        </w:tc>
        <w:tc>
          <w:tcPr>
            <w:tcW w:w="1073" w:type="dxa"/>
            <w:vMerge/>
            <w:tcBorders>
              <w:left w:val="single" w:sz="4" w:space="0" w:color="auto"/>
              <w:bottom w:val="single" w:sz="4" w:space="0" w:color="000000"/>
              <w:right w:val="single" w:sz="4" w:space="0" w:color="auto"/>
            </w:tcBorders>
            <w:shd w:val="clear" w:color="auto" w:fill="auto"/>
            <w:noWrap/>
            <w:vAlign w:val="center"/>
          </w:tcPr>
          <w:p w14:paraId="53C14C1B" w14:textId="77777777" w:rsidR="007904CB" w:rsidRPr="007904CB" w:rsidRDefault="007904CB" w:rsidP="00C60606">
            <w:pPr>
              <w:jc w:val="center"/>
              <w:rPr>
                <w:rFonts w:ascii="Arial Narrow" w:hAnsi="Arial Narrow"/>
                <w:sz w:val="18"/>
                <w:szCs w:val="18"/>
              </w:rPr>
            </w:pPr>
          </w:p>
        </w:tc>
        <w:tc>
          <w:tcPr>
            <w:tcW w:w="283" w:type="dxa"/>
            <w:tcBorders>
              <w:top w:val="nil"/>
              <w:left w:val="nil"/>
              <w:bottom w:val="single" w:sz="4" w:space="0" w:color="auto"/>
              <w:right w:val="single" w:sz="4" w:space="0" w:color="auto"/>
            </w:tcBorders>
            <w:shd w:val="clear" w:color="auto" w:fill="auto"/>
            <w:noWrap/>
            <w:vAlign w:val="bottom"/>
            <w:hideMark/>
          </w:tcPr>
          <w:p w14:paraId="53C14C1C"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5</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4C1D"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0.56</w:t>
            </w:r>
          </w:p>
        </w:tc>
        <w:tc>
          <w:tcPr>
            <w:tcW w:w="378" w:type="dxa"/>
            <w:tcBorders>
              <w:top w:val="nil"/>
              <w:left w:val="nil"/>
              <w:bottom w:val="single" w:sz="4" w:space="0" w:color="auto"/>
              <w:right w:val="single" w:sz="4" w:space="0" w:color="auto"/>
            </w:tcBorders>
            <w:shd w:val="clear" w:color="auto" w:fill="auto"/>
            <w:noWrap/>
            <w:vAlign w:val="center"/>
            <w:hideMark/>
          </w:tcPr>
          <w:p w14:paraId="53C14C1E"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1F"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C20"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4C21"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22"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23"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4C24"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4C25"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0.44</w:t>
            </w:r>
          </w:p>
        </w:tc>
        <w:tc>
          <w:tcPr>
            <w:tcW w:w="378" w:type="dxa"/>
            <w:tcBorders>
              <w:top w:val="nil"/>
              <w:left w:val="nil"/>
              <w:bottom w:val="single" w:sz="4" w:space="0" w:color="auto"/>
              <w:right w:val="single" w:sz="4" w:space="0" w:color="auto"/>
            </w:tcBorders>
            <w:shd w:val="clear" w:color="auto" w:fill="auto"/>
            <w:noWrap/>
            <w:vAlign w:val="center"/>
            <w:hideMark/>
          </w:tcPr>
          <w:p w14:paraId="53C14C26"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0.56</w:t>
            </w:r>
          </w:p>
        </w:tc>
        <w:tc>
          <w:tcPr>
            <w:tcW w:w="378" w:type="dxa"/>
            <w:tcBorders>
              <w:top w:val="nil"/>
              <w:left w:val="nil"/>
              <w:bottom w:val="single" w:sz="4" w:space="0" w:color="auto"/>
              <w:right w:val="single" w:sz="4" w:space="0" w:color="auto"/>
            </w:tcBorders>
            <w:shd w:val="clear" w:color="auto" w:fill="auto"/>
            <w:noWrap/>
            <w:vAlign w:val="center"/>
            <w:hideMark/>
          </w:tcPr>
          <w:p w14:paraId="53C14C27"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28"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6.00</w:t>
            </w:r>
          </w:p>
        </w:tc>
        <w:tc>
          <w:tcPr>
            <w:tcW w:w="378" w:type="dxa"/>
            <w:tcBorders>
              <w:top w:val="nil"/>
              <w:left w:val="nil"/>
              <w:bottom w:val="single" w:sz="4" w:space="0" w:color="auto"/>
              <w:right w:val="single" w:sz="4" w:space="0" w:color="auto"/>
            </w:tcBorders>
            <w:shd w:val="clear" w:color="auto" w:fill="auto"/>
            <w:noWrap/>
            <w:vAlign w:val="center"/>
            <w:hideMark/>
          </w:tcPr>
          <w:p w14:paraId="53C14C29"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C2A"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2B"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4C2C"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0.38</w:t>
            </w:r>
          </w:p>
        </w:tc>
        <w:tc>
          <w:tcPr>
            <w:tcW w:w="378" w:type="dxa"/>
            <w:tcBorders>
              <w:top w:val="nil"/>
              <w:left w:val="nil"/>
              <w:bottom w:val="single" w:sz="4" w:space="0" w:color="auto"/>
              <w:right w:val="single" w:sz="4" w:space="0" w:color="auto"/>
            </w:tcBorders>
            <w:shd w:val="clear" w:color="auto" w:fill="auto"/>
            <w:noWrap/>
            <w:vAlign w:val="center"/>
            <w:hideMark/>
          </w:tcPr>
          <w:p w14:paraId="53C14C2D"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0.31</w:t>
            </w:r>
          </w:p>
        </w:tc>
        <w:tc>
          <w:tcPr>
            <w:tcW w:w="378" w:type="dxa"/>
            <w:tcBorders>
              <w:top w:val="nil"/>
              <w:left w:val="nil"/>
              <w:bottom w:val="single" w:sz="4" w:space="0" w:color="auto"/>
              <w:right w:val="single" w:sz="4" w:space="0" w:color="auto"/>
            </w:tcBorders>
            <w:shd w:val="clear" w:color="auto" w:fill="auto"/>
            <w:noWrap/>
            <w:vAlign w:val="center"/>
            <w:hideMark/>
          </w:tcPr>
          <w:p w14:paraId="53C14C2E"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2F"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2.19</w:t>
            </w:r>
          </w:p>
        </w:tc>
        <w:tc>
          <w:tcPr>
            <w:tcW w:w="378" w:type="dxa"/>
            <w:tcBorders>
              <w:top w:val="nil"/>
              <w:left w:val="nil"/>
              <w:bottom w:val="single" w:sz="4" w:space="0" w:color="auto"/>
              <w:right w:val="single" w:sz="4" w:space="0" w:color="auto"/>
            </w:tcBorders>
            <w:shd w:val="clear" w:color="auto" w:fill="auto"/>
            <w:noWrap/>
            <w:vAlign w:val="center"/>
            <w:hideMark/>
          </w:tcPr>
          <w:p w14:paraId="53C14C30"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0.44</w:t>
            </w:r>
          </w:p>
        </w:tc>
        <w:tc>
          <w:tcPr>
            <w:tcW w:w="378" w:type="dxa"/>
            <w:tcBorders>
              <w:top w:val="nil"/>
              <w:left w:val="nil"/>
              <w:bottom w:val="single" w:sz="4" w:space="0" w:color="auto"/>
              <w:right w:val="single" w:sz="4" w:space="0" w:color="auto"/>
            </w:tcBorders>
            <w:shd w:val="clear" w:color="auto" w:fill="auto"/>
            <w:noWrap/>
            <w:vAlign w:val="center"/>
            <w:hideMark/>
          </w:tcPr>
          <w:p w14:paraId="53C14C31"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32"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C33"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34"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C35"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36"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3.19</w:t>
            </w:r>
          </w:p>
        </w:tc>
        <w:tc>
          <w:tcPr>
            <w:tcW w:w="378" w:type="dxa"/>
            <w:tcBorders>
              <w:top w:val="nil"/>
              <w:left w:val="nil"/>
              <w:bottom w:val="single" w:sz="4" w:space="0" w:color="auto"/>
              <w:right w:val="single" w:sz="4" w:space="0" w:color="auto"/>
            </w:tcBorders>
            <w:shd w:val="clear" w:color="auto" w:fill="auto"/>
            <w:noWrap/>
            <w:vAlign w:val="center"/>
            <w:hideMark/>
          </w:tcPr>
          <w:p w14:paraId="53C14C37"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38"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39"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C3A"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0.94</w:t>
            </w:r>
          </w:p>
        </w:tc>
      </w:tr>
      <w:tr w:rsidR="007904CB" w:rsidRPr="00657AD4" w14:paraId="53C14C5D"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4C3C" w14:textId="77777777" w:rsidR="007904CB" w:rsidRPr="007904CB" w:rsidRDefault="007904CB" w:rsidP="00235072">
            <w:pPr>
              <w:spacing w:after="0"/>
              <w:jc w:val="left"/>
              <w:rPr>
                <w:rFonts w:ascii="Arial Narrow" w:hAnsi="Arial Narrow"/>
                <w:sz w:val="18"/>
                <w:szCs w:val="18"/>
                <w:lang w:eastAsia="en-AU"/>
              </w:rPr>
            </w:pPr>
          </w:p>
        </w:tc>
        <w:tc>
          <w:tcPr>
            <w:tcW w:w="1073" w:type="dxa"/>
            <w:vMerge w:val="restart"/>
            <w:tcBorders>
              <w:top w:val="nil"/>
              <w:left w:val="single" w:sz="4" w:space="0" w:color="auto"/>
              <w:right w:val="single" w:sz="4" w:space="0" w:color="auto"/>
            </w:tcBorders>
            <w:shd w:val="clear" w:color="auto" w:fill="auto"/>
            <w:vAlign w:val="center"/>
          </w:tcPr>
          <w:p w14:paraId="53C14C3D" w14:textId="77777777" w:rsidR="007904CB" w:rsidRPr="007904CB" w:rsidRDefault="007904CB" w:rsidP="00C60606">
            <w:pPr>
              <w:jc w:val="center"/>
              <w:rPr>
                <w:rFonts w:ascii="Arial Narrow" w:hAnsi="Arial Narrow"/>
                <w:sz w:val="18"/>
                <w:szCs w:val="18"/>
              </w:rPr>
            </w:pPr>
            <w:r w:rsidRPr="007904CB">
              <w:rPr>
                <w:rFonts w:ascii="Arial Narrow" w:hAnsi="Arial Narrow"/>
                <w:sz w:val="18"/>
                <w:szCs w:val="18"/>
              </w:rPr>
              <w:t>Snapper South</w:t>
            </w:r>
          </w:p>
        </w:tc>
        <w:tc>
          <w:tcPr>
            <w:tcW w:w="283" w:type="dxa"/>
            <w:tcBorders>
              <w:top w:val="nil"/>
              <w:left w:val="nil"/>
              <w:bottom w:val="single" w:sz="4" w:space="0" w:color="auto"/>
              <w:right w:val="single" w:sz="4" w:space="0" w:color="auto"/>
            </w:tcBorders>
            <w:shd w:val="clear" w:color="auto" w:fill="auto"/>
            <w:noWrap/>
            <w:vAlign w:val="bottom"/>
            <w:hideMark/>
          </w:tcPr>
          <w:p w14:paraId="53C14C3E"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2</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4C3F"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0.42</w:t>
            </w:r>
          </w:p>
        </w:tc>
        <w:tc>
          <w:tcPr>
            <w:tcW w:w="378" w:type="dxa"/>
            <w:tcBorders>
              <w:top w:val="nil"/>
              <w:left w:val="nil"/>
              <w:bottom w:val="single" w:sz="4" w:space="0" w:color="auto"/>
              <w:right w:val="single" w:sz="4" w:space="0" w:color="auto"/>
            </w:tcBorders>
            <w:shd w:val="clear" w:color="auto" w:fill="auto"/>
            <w:noWrap/>
            <w:vAlign w:val="center"/>
            <w:hideMark/>
          </w:tcPr>
          <w:p w14:paraId="53C14C40"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41"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42"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0.08</w:t>
            </w:r>
          </w:p>
        </w:tc>
        <w:tc>
          <w:tcPr>
            <w:tcW w:w="378" w:type="dxa"/>
            <w:tcBorders>
              <w:top w:val="nil"/>
              <w:left w:val="nil"/>
              <w:bottom w:val="single" w:sz="4" w:space="0" w:color="auto"/>
              <w:right w:val="single" w:sz="4" w:space="0" w:color="auto"/>
            </w:tcBorders>
            <w:shd w:val="clear" w:color="auto" w:fill="auto"/>
            <w:noWrap/>
            <w:vAlign w:val="center"/>
            <w:hideMark/>
          </w:tcPr>
          <w:p w14:paraId="53C14C43"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44"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45"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0.21</w:t>
            </w:r>
          </w:p>
        </w:tc>
        <w:tc>
          <w:tcPr>
            <w:tcW w:w="378" w:type="dxa"/>
            <w:tcBorders>
              <w:top w:val="nil"/>
              <w:left w:val="nil"/>
              <w:bottom w:val="single" w:sz="4" w:space="0" w:color="auto"/>
              <w:right w:val="single" w:sz="4" w:space="0" w:color="auto"/>
            </w:tcBorders>
            <w:shd w:val="clear" w:color="auto" w:fill="auto"/>
            <w:noWrap/>
            <w:vAlign w:val="center"/>
            <w:hideMark/>
          </w:tcPr>
          <w:p w14:paraId="53C14C46"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C47"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0.08</w:t>
            </w:r>
          </w:p>
        </w:tc>
        <w:tc>
          <w:tcPr>
            <w:tcW w:w="378" w:type="dxa"/>
            <w:tcBorders>
              <w:top w:val="nil"/>
              <w:left w:val="nil"/>
              <w:bottom w:val="single" w:sz="4" w:space="0" w:color="auto"/>
              <w:right w:val="single" w:sz="4" w:space="0" w:color="auto"/>
            </w:tcBorders>
            <w:shd w:val="clear" w:color="auto" w:fill="auto"/>
            <w:noWrap/>
            <w:vAlign w:val="center"/>
            <w:hideMark/>
          </w:tcPr>
          <w:p w14:paraId="53C14C48"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2.25</w:t>
            </w:r>
          </w:p>
        </w:tc>
        <w:tc>
          <w:tcPr>
            <w:tcW w:w="378" w:type="dxa"/>
            <w:tcBorders>
              <w:top w:val="nil"/>
              <w:left w:val="nil"/>
              <w:bottom w:val="single" w:sz="4" w:space="0" w:color="auto"/>
              <w:right w:val="single" w:sz="4" w:space="0" w:color="auto"/>
            </w:tcBorders>
            <w:shd w:val="clear" w:color="auto" w:fill="auto"/>
            <w:noWrap/>
            <w:vAlign w:val="center"/>
            <w:hideMark/>
          </w:tcPr>
          <w:p w14:paraId="53C14C49"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1.21</w:t>
            </w:r>
          </w:p>
        </w:tc>
        <w:tc>
          <w:tcPr>
            <w:tcW w:w="378" w:type="dxa"/>
            <w:tcBorders>
              <w:top w:val="nil"/>
              <w:left w:val="nil"/>
              <w:bottom w:val="single" w:sz="4" w:space="0" w:color="auto"/>
              <w:right w:val="single" w:sz="4" w:space="0" w:color="auto"/>
            </w:tcBorders>
            <w:shd w:val="clear" w:color="auto" w:fill="auto"/>
            <w:noWrap/>
            <w:vAlign w:val="center"/>
            <w:hideMark/>
          </w:tcPr>
          <w:p w14:paraId="53C14C4A"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0.21</w:t>
            </w:r>
          </w:p>
        </w:tc>
        <w:tc>
          <w:tcPr>
            <w:tcW w:w="378" w:type="dxa"/>
            <w:tcBorders>
              <w:top w:val="nil"/>
              <w:left w:val="nil"/>
              <w:bottom w:val="single" w:sz="4" w:space="0" w:color="auto"/>
              <w:right w:val="single" w:sz="4" w:space="0" w:color="auto"/>
            </w:tcBorders>
            <w:shd w:val="clear" w:color="auto" w:fill="auto"/>
            <w:noWrap/>
            <w:vAlign w:val="center"/>
            <w:hideMark/>
          </w:tcPr>
          <w:p w14:paraId="53C14C4B"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4C"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4D"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4E"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1.29</w:t>
            </w:r>
          </w:p>
        </w:tc>
        <w:tc>
          <w:tcPr>
            <w:tcW w:w="378" w:type="dxa"/>
            <w:tcBorders>
              <w:top w:val="nil"/>
              <w:left w:val="nil"/>
              <w:bottom w:val="single" w:sz="4" w:space="0" w:color="auto"/>
              <w:right w:val="single" w:sz="4" w:space="0" w:color="auto"/>
            </w:tcBorders>
            <w:shd w:val="clear" w:color="auto" w:fill="auto"/>
            <w:noWrap/>
            <w:vAlign w:val="center"/>
            <w:hideMark/>
          </w:tcPr>
          <w:p w14:paraId="53C14C4F"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50"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51"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52"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4C53"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54"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0.17</w:t>
            </w:r>
          </w:p>
        </w:tc>
        <w:tc>
          <w:tcPr>
            <w:tcW w:w="378" w:type="dxa"/>
            <w:tcBorders>
              <w:top w:val="nil"/>
              <w:left w:val="nil"/>
              <w:bottom w:val="single" w:sz="4" w:space="0" w:color="auto"/>
              <w:right w:val="single" w:sz="4" w:space="0" w:color="auto"/>
            </w:tcBorders>
            <w:shd w:val="clear" w:color="auto" w:fill="auto"/>
            <w:noWrap/>
            <w:vAlign w:val="center"/>
            <w:hideMark/>
          </w:tcPr>
          <w:p w14:paraId="53C14C55"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56"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57"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58"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23.58</w:t>
            </w:r>
          </w:p>
        </w:tc>
        <w:tc>
          <w:tcPr>
            <w:tcW w:w="378" w:type="dxa"/>
            <w:tcBorders>
              <w:top w:val="nil"/>
              <w:left w:val="nil"/>
              <w:bottom w:val="single" w:sz="4" w:space="0" w:color="auto"/>
              <w:right w:val="single" w:sz="4" w:space="0" w:color="auto"/>
            </w:tcBorders>
            <w:shd w:val="clear" w:color="auto" w:fill="auto"/>
            <w:noWrap/>
            <w:vAlign w:val="center"/>
            <w:hideMark/>
          </w:tcPr>
          <w:p w14:paraId="53C14C59"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0.21</w:t>
            </w:r>
          </w:p>
        </w:tc>
        <w:tc>
          <w:tcPr>
            <w:tcW w:w="378" w:type="dxa"/>
            <w:tcBorders>
              <w:top w:val="nil"/>
              <w:left w:val="nil"/>
              <w:bottom w:val="single" w:sz="4" w:space="0" w:color="auto"/>
              <w:right w:val="single" w:sz="4" w:space="0" w:color="auto"/>
            </w:tcBorders>
            <w:shd w:val="clear" w:color="auto" w:fill="auto"/>
            <w:noWrap/>
            <w:vAlign w:val="center"/>
            <w:hideMark/>
          </w:tcPr>
          <w:p w14:paraId="53C14C5A"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0.04</w:t>
            </w:r>
          </w:p>
        </w:tc>
        <w:tc>
          <w:tcPr>
            <w:tcW w:w="378" w:type="dxa"/>
            <w:tcBorders>
              <w:top w:val="nil"/>
              <w:left w:val="nil"/>
              <w:bottom w:val="single" w:sz="4" w:space="0" w:color="auto"/>
              <w:right w:val="single" w:sz="4" w:space="0" w:color="auto"/>
            </w:tcBorders>
            <w:shd w:val="clear" w:color="auto" w:fill="auto"/>
            <w:noWrap/>
            <w:vAlign w:val="center"/>
            <w:hideMark/>
          </w:tcPr>
          <w:p w14:paraId="53C14C5B"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0.04</w:t>
            </w:r>
          </w:p>
        </w:tc>
        <w:tc>
          <w:tcPr>
            <w:tcW w:w="378" w:type="dxa"/>
            <w:tcBorders>
              <w:top w:val="nil"/>
              <w:left w:val="nil"/>
              <w:bottom w:val="single" w:sz="4" w:space="0" w:color="auto"/>
              <w:right w:val="single" w:sz="4" w:space="0" w:color="auto"/>
            </w:tcBorders>
            <w:shd w:val="clear" w:color="auto" w:fill="auto"/>
            <w:noWrap/>
            <w:vAlign w:val="center"/>
            <w:hideMark/>
          </w:tcPr>
          <w:p w14:paraId="53C14C5C"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0.21</w:t>
            </w:r>
          </w:p>
        </w:tc>
      </w:tr>
      <w:tr w:rsidR="007904CB" w:rsidRPr="00657AD4" w14:paraId="53C14C7F"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4C5E" w14:textId="77777777" w:rsidR="007904CB" w:rsidRPr="007904CB" w:rsidRDefault="007904CB" w:rsidP="00235072">
            <w:pPr>
              <w:spacing w:after="0"/>
              <w:jc w:val="left"/>
              <w:rPr>
                <w:rFonts w:ascii="Arial Narrow" w:hAnsi="Arial Narrow"/>
                <w:sz w:val="18"/>
                <w:szCs w:val="18"/>
                <w:lang w:eastAsia="en-AU"/>
              </w:rPr>
            </w:pPr>
          </w:p>
        </w:tc>
        <w:tc>
          <w:tcPr>
            <w:tcW w:w="1073" w:type="dxa"/>
            <w:vMerge/>
            <w:tcBorders>
              <w:left w:val="single" w:sz="4" w:space="0" w:color="auto"/>
              <w:bottom w:val="single" w:sz="4" w:space="0" w:color="auto"/>
              <w:right w:val="single" w:sz="4" w:space="0" w:color="auto"/>
            </w:tcBorders>
            <w:shd w:val="clear" w:color="auto" w:fill="auto"/>
            <w:noWrap/>
            <w:vAlign w:val="center"/>
          </w:tcPr>
          <w:p w14:paraId="53C14C5F" w14:textId="77777777" w:rsidR="007904CB" w:rsidRPr="007904CB" w:rsidRDefault="007904CB" w:rsidP="00C60606">
            <w:pPr>
              <w:jc w:val="center"/>
              <w:rPr>
                <w:rFonts w:ascii="Arial Narrow" w:hAnsi="Arial Narrow"/>
                <w:sz w:val="18"/>
                <w:szCs w:val="18"/>
              </w:rPr>
            </w:pPr>
          </w:p>
        </w:tc>
        <w:tc>
          <w:tcPr>
            <w:tcW w:w="283" w:type="dxa"/>
            <w:tcBorders>
              <w:top w:val="nil"/>
              <w:left w:val="nil"/>
              <w:bottom w:val="single" w:sz="4" w:space="0" w:color="auto"/>
              <w:right w:val="single" w:sz="4" w:space="0" w:color="auto"/>
            </w:tcBorders>
            <w:shd w:val="clear" w:color="auto" w:fill="auto"/>
            <w:noWrap/>
            <w:vAlign w:val="bottom"/>
            <w:hideMark/>
          </w:tcPr>
          <w:p w14:paraId="53C14C60"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5</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4C61"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4.94</w:t>
            </w:r>
          </w:p>
        </w:tc>
        <w:tc>
          <w:tcPr>
            <w:tcW w:w="378" w:type="dxa"/>
            <w:tcBorders>
              <w:top w:val="nil"/>
              <w:left w:val="nil"/>
              <w:bottom w:val="single" w:sz="4" w:space="0" w:color="auto"/>
              <w:right w:val="single" w:sz="4" w:space="0" w:color="auto"/>
            </w:tcBorders>
            <w:shd w:val="clear" w:color="auto" w:fill="auto"/>
            <w:noWrap/>
            <w:vAlign w:val="center"/>
            <w:hideMark/>
          </w:tcPr>
          <w:p w14:paraId="53C14C62"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63"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3.94</w:t>
            </w:r>
          </w:p>
        </w:tc>
        <w:tc>
          <w:tcPr>
            <w:tcW w:w="378" w:type="dxa"/>
            <w:tcBorders>
              <w:top w:val="nil"/>
              <w:left w:val="nil"/>
              <w:bottom w:val="single" w:sz="4" w:space="0" w:color="auto"/>
              <w:right w:val="single" w:sz="4" w:space="0" w:color="auto"/>
            </w:tcBorders>
            <w:shd w:val="clear" w:color="auto" w:fill="auto"/>
            <w:noWrap/>
            <w:vAlign w:val="center"/>
            <w:hideMark/>
          </w:tcPr>
          <w:p w14:paraId="53C14C64"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C65"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66"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4C67"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68"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C69"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C6A"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C6B"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6C"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2.50</w:t>
            </w:r>
          </w:p>
        </w:tc>
        <w:tc>
          <w:tcPr>
            <w:tcW w:w="378" w:type="dxa"/>
            <w:tcBorders>
              <w:top w:val="nil"/>
              <w:left w:val="nil"/>
              <w:bottom w:val="single" w:sz="4" w:space="0" w:color="auto"/>
              <w:right w:val="single" w:sz="4" w:space="0" w:color="auto"/>
            </w:tcBorders>
            <w:shd w:val="clear" w:color="auto" w:fill="auto"/>
            <w:noWrap/>
            <w:vAlign w:val="center"/>
            <w:hideMark/>
          </w:tcPr>
          <w:p w14:paraId="53C14C6D"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6E"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C6F"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70"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0.38</w:t>
            </w:r>
          </w:p>
        </w:tc>
        <w:tc>
          <w:tcPr>
            <w:tcW w:w="378" w:type="dxa"/>
            <w:tcBorders>
              <w:top w:val="nil"/>
              <w:left w:val="nil"/>
              <w:bottom w:val="single" w:sz="4" w:space="0" w:color="auto"/>
              <w:right w:val="single" w:sz="4" w:space="0" w:color="auto"/>
            </w:tcBorders>
            <w:shd w:val="clear" w:color="auto" w:fill="auto"/>
            <w:noWrap/>
            <w:vAlign w:val="center"/>
            <w:hideMark/>
          </w:tcPr>
          <w:p w14:paraId="53C14C71"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72"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73"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2.25</w:t>
            </w:r>
          </w:p>
        </w:tc>
        <w:tc>
          <w:tcPr>
            <w:tcW w:w="378" w:type="dxa"/>
            <w:tcBorders>
              <w:top w:val="nil"/>
              <w:left w:val="nil"/>
              <w:bottom w:val="single" w:sz="4" w:space="0" w:color="auto"/>
              <w:right w:val="single" w:sz="4" w:space="0" w:color="auto"/>
            </w:tcBorders>
            <w:shd w:val="clear" w:color="auto" w:fill="auto"/>
            <w:noWrap/>
            <w:vAlign w:val="center"/>
            <w:hideMark/>
          </w:tcPr>
          <w:p w14:paraId="53C14C74"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0.63</w:t>
            </w:r>
          </w:p>
        </w:tc>
        <w:tc>
          <w:tcPr>
            <w:tcW w:w="378" w:type="dxa"/>
            <w:tcBorders>
              <w:top w:val="nil"/>
              <w:left w:val="nil"/>
              <w:bottom w:val="single" w:sz="4" w:space="0" w:color="auto"/>
              <w:right w:val="single" w:sz="4" w:space="0" w:color="auto"/>
            </w:tcBorders>
            <w:shd w:val="clear" w:color="auto" w:fill="auto"/>
            <w:noWrap/>
            <w:vAlign w:val="center"/>
            <w:hideMark/>
          </w:tcPr>
          <w:p w14:paraId="53C14C75"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76"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C77"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78"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79"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7A"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32.13</w:t>
            </w:r>
          </w:p>
        </w:tc>
        <w:tc>
          <w:tcPr>
            <w:tcW w:w="378" w:type="dxa"/>
            <w:tcBorders>
              <w:top w:val="nil"/>
              <w:left w:val="nil"/>
              <w:bottom w:val="single" w:sz="4" w:space="0" w:color="auto"/>
              <w:right w:val="single" w:sz="4" w:space="0" w:color="auto"/>
            </w:tcBorders>
            <w:shd w:val="clear" w:color="auto" w:fill="auto"/>
            <w:noWrap/>
            <w:vAlign w:val="center"/>
            <w:hideMark/>
          </w:tcPr>
          <w:p w14:paraId="53C14C7B"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0.38</w:t>
            </w:r>
          </w:p>
        </w:tc>
        <w:tc>
          <w:tcPr>
            <w:tcW w:w="378" w:type="dxa"/>
            <w:tcBorders>
              <w:top w:val="nil"/>
              <w:left w:val="nil"/>
              <w:bottom w:val="single" w:sz="4" w:space="0" w:color="auto"/>
              <w:right w:val="single" w:sz="4" w:space="0" w:color="auto"/>
            </w:tcBorders>
            <w:shd w:val="clear" w:color="auto" w:fill="auto"/>
            <w:noWrap/>
            <w:vAlign w:val="center"/>
            <w:hideMark/>
          </w:tcPr>
          <w:p w14:paraId="53C14C7C"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7D"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4C7E"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0.56</w:t>
            </w:r>
          </w:p>
        </w:tc>
      </w:tr>
      <w:tr w:rsidR="00657AD4" w:rsidRPr="00657AD4" w14:paraId="53C14CA1" w14:textId="77777777" w:rsidTr="00C60606">
        <w:trPr>
          <w:trHeight w:hRule="exact" w:val="397"/>
        </w:trPr>
        <w:tc>
          <w:tcPr>
            <w:tcW w:w="389" w:type="dxa"/>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14:paraId="53C14C80" w14:textId="77777777" w:rsidR="00235072" w:rsidRPr="007904CB" w:rsidRDefault="00235072" w:rsidP="00235072">
            <w:pPr>
              <w:spacing w:after="0"/>
              <w:jc w:val="center"/>
              <w:rPr>
                <w:rFonts w:ascii="Arial Narrow" w:hAnsi="Arial Narrow"/>
                <w:sz w:val="18"/>
                <w:szCs w:val="18"/>
                <w:lang w:eastAsia="en-AU"/>
              </w:rPr>
            </w:pPr>
            <w:r w:rsidRPr="007904CB">
              <w:rPr>
                <w:rFonts w:ascii="Arial Narrow" w:hAnsi="Arial Narrow"/>
                <w:sz w:val="18"/>
                <w:szCs w:val="18"/>
                <w:lang w:eastAsia="en-AU"/>
              </w:rPr>
              <w:t>Johnstone</w:t>
            </w:r>
            <w:r w:rsidR="008E17A4">
              <w:rPr>
                <w:rFonts w:ascii="Arial Narrow" w:hAnsi="Arial Narrow"/>
                <w:sz w:val="18"/>
                <w:szCs w:val="18"/>
                <w:lang w:eastAsia="en-AU"/>
              </w:rPr>
              <w:t xml:space="preserve"> Russell-Mulgrave</w:t>
            </w:r>
          </w:p>
        </w:tc>
        <w:tc>
          <w:tcPr>
            <w:tcW w:w="1073" w:type="dxa"/>
            <w:tcBorders>
              <w:top w:val="nil"/>
              <w:left w:val="nil"/>
              <w:bottom w:val="single" w:sz="4" w:space="0" w:color="auto"/>
              <w:right w:val="single" w:sz="4" w:space="0" w:color="auto"/>
            </w:tcBorders>
            <w:shd w:val="clear" w:color="auto" w:fill="auto"/>
            <w:noWrap/>
            <w:vAlign w:val="center"/>
          </w:tcPr>
          <w:p w14:paraId="53C14C81" w14:textId="77777777" w:rsidR="00235072" w:rsidRPr="007904CB" w:rsidRDefault="00235072" w:rsidP="00C60606">
            <w:pPr>
              <w:jc w:val="center"/>
              <w:rPr>
                <w:rFonts w:ascii="Arial Narrow" w:hAnsi="Arial Narrow"/>
                <w:sz w:val="18"/>
                <w:szCs w:val="18"/>
              </w:rPr>
            </w:pPr>
            <w:r w:rsidRPr="007904CB">
              <w:rPr>
                <w:rFonts w:ascii="Arial Narrow" w:hAnsi="Arial Narrow"/>
                <w:sz w:val="18"/>
                <w:szCs w:val="18"/>
              </w:rPr>
              <w:t>Green</w:t>
            </w:r>
          </w:p>
        </w:tc>
        <w:tc>
          <w:tcPr>
            <w:tcW w:w="283" w:type="dxa"/>
            <w:tcBorders>
              <w:top w:val="nil"/>
              <w:left w:val="nil"/>
              <w:bottom w:val="single" w:sz="4" w:space="0" w:color="auto"/>
              <w:right w:val="single" w:sz="4" w:space="0" w:color="auto"/>
            </w:tcBorders>
            <w:shd w:val="clear" w:color="auto" w:fill="auto"/>
            <w:noWrap/>
            <w:vAlign w:val="bottom"/>
            <w:hideMark/>
          </w:tcPr>
          <w:p w14:paraId="53C14C82"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5</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4C83"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1.40</w:t>
            </w:r>
          </w:p>
        </w:tc>
        <w:tc>
          <w:tcPr>
            <w:tcW w:w="378" w:type="dxa"/>
            <w:tcBorders>
              <w:top w:val="nil"/>
              <w:left w:val="nil"/>
              <w:bottom w:val="single" w:sz="4" w:space="0" w:color="auto"/>
              <w:right w:val="single" w:sz="4" w:space="0" w:color="auto"/>
            </w:tcBorders>
            <w:shd w:val="clear" w:color="auto" w:fill="auto"/>
            <w:noWrap/>
            <w:vAlign w:val="center"/>
            <w:hideMark/>
          </w:tcPr>
          <w:p w14:paraId="53C14C84" w14:textId="77777777" w:rsidR="00235072" w:rsidRPr="00C60606" w:rsidRDefault="00235072"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85" w14:textId="77777777" w:rsidR="00235072" w:rsidRPr="00C60606" w:rsidRDefault="00235072"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86" w14:textId="77777777" w:rsidR="00235072" w:rsidRPr="00C60606" w:rsidRDefault="00235072"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87"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C88"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C89"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0.23</w:t>
            </w:r>
          </w:p>
        </w:tc>
        <w:tc>
          <w:tcPr>
            <w:tcW w:w="378" w:type="dxa"/>
            <w:tcBorders>
              <w:top w:val="nil"/>
              <w:left w:val="nil"/>
              <w:bottom w:val="single" w:sz="4" w:space="0" w:color="auto"/>
              <w:right w:val="single" w:sz="4" w:space="0" w:color="auto"/>
            </w:tcBorders>
            <w:shd w:val="clear" w:color="auto" w:fill="auto"/>
            <w:noWrap/>
            <w:vAlign w:val="center"/>
            <w:hideMark/>
          </w:tcPr>
          <w:p w14:paraId="53C14C8A"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0.03</w:t>
            </w:r>
          </w:p>
        </w:tc>
        <w:tc>
          <w:tcPr>
            <w:tcW w:w="378" w:type="dxa"/>
            <w:tcBorders>
              <w:top w:val="nil"/>
              <w:left w:val="nil"/>
              <w:bottom w:val="single" w:sz="4" w:space="0" w:color="auto"/>
              <w:right w:val="single" w:sz="4" w:space="0" w:color="auto"/>
            </w:tcBorders>
            <w:shd w:val="clear" w:color="auto" w:fill="auto"/>
            <w:noWrap/>
            <w:vAlign w:val="center"/>
            <w:hideMark/>
          </w:tcPr>
          <w:p w14:paraId="53C14C8B"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0.03</w:t>
            </w:r>
          </w:p>
        </w:tc>
        <w:tc>
          <w:tcPr>
            <w:tcW w:w="378" w:type="dxa"/>
            <w:tcBorders>
              <w:top w:val="nil"/>
              <w:left w:val="nil"/>
              <w:bottom w:val="single" w:sz="4" w:space="0" w:color="auto"/>
              <w:right w:val="single" w:sz="4" w:space="0" w:color="auto"/>
            </w:tcBorders>
            <w:shd w:val="clear" w:color="auto" w:fill="auto"/>
            <w:noWrap/>
            <w:vAlign w:val="center"/>
            <w:hideMark/>
          </w:tcPr>
          <w:p w14:paraId="53C14C8C"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0.17</w:t>
            </w:r>
          </w:p>
        </w:tc>
        <w:tc>
          <w:tcPr>
            <w:tcW w:w="378" w:type="dxa"/>
            <w:tcBorders>
              <w:top w:val="nil"/>
              <w:left w:val="nil"/>
              <w:bottom w:val="single" w:sz="4" w:space="0" w:color="auto"/>
              <w:right w:val="single" w:sz="4" w:space="0" w:color="auto"/>
            </w:tcBorders>
            <w:shd w:val="clear" w:color="auto" w:fill="auto"/>
            <w:noWrap/>
            <w:vAlign w:val="center"/>
            <w:hideMark/>
          </w:tcPr>
          <w:p w14:paraId="53C14C8D"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C8E"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0.35</w:t>
            </w:r>
          </w:p>
        </w:tc>
        <w:tc>
          <w:tcPr>
            <w:tcW w:w="378" w:type="dxa"/>
            <w:tcBorders>
              <w:top w:val="nil"/>
              <w:left w:val="nil"/>
              <w:bottom w:val="single" w:sz="4" w:space="0" w:color="auto"/>
              <w:right w:val="single" w:sz="4" w:space="0" w:color="auto"/>
            </w:tcBorders>
            <w:shd w:val="clear" w:color="auto" w:fill="auto"/>
            <w:noWrap/>
            <w:vAlign w:val="center"/>
            <w:hideMark/>
          </w:tcPr>
          <w:p w14:paraId="53C14C8F" w14:textId="77777777" w:rsidR="00235072" w:rsidRPr="00C60606" w:rsidRDefault="00235072"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90"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0.26</w:t>
            </w:r>
          </w:p>
        </w:tc>
        <w:tc>
          <w:tcPr>
            <w:tcW w:w="378" w:type="dxa"/>
            <w:tcBorders>
              <w:top w:val="nil"/>
              <w:left w:val="nil"/>
              <w:bottom w:val="single" w:sz="4" w:space="0" w:color="auto"/>
              <w:right w:val="single" w:sz="4" w:space="0" w:color="auto"/>
            </w:tcBorders>
            <w:shd w:val="clear" w:color="auto" w:fill="auto"/>
            <w:noWrap/>
            <w:vAlign w:val="center"/>
            <w:hideMark/>
          </w:tcPr>
          <w:p w14:paraId="53C14C91" w14:textId="77777777" w:rsidR="00235072" w:rsidRPr="00C60606" w:rsidRDefault="00235072"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92"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0.20</w:t>
            </w:r>
          </w:p>
        </w:tc>
        <w:tc>
          <w:tcPr>
            <w:tcW w:w="378" w:type="dxa"/>
            <w:tcBorders>
              <w:top w:val="nil"/>
              <w:left w:val="nil"/>
              <w:bottom w:val="single" w:sz="4" w:space="0" w:color="auto"/>
              <w:right w:val="single" w:sz="4" w:space="0" w:color="auto"/>
            </w:tcBorders>
            <w:shd w:val="clear" w:color="auto" w:fill="auto"/>
            <w:noWrap/>
            <w:vAlign w:val="center"/>
            <w:hideMark/>
          </w:tcPr>
          <w:p w14:paraId="53C14C93" w14:textId="77777777" w:rsidR="00235072" w:rsidRPr="00C60606" w:rsidRDefault="00235072"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94" w14:textId="77777777" w:rsidR="00235072" w:rsidRPr="00C60606" w:rsidRDefault="00235072"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95"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0.03</w:t>
            </w:r>
          </w:p>
        </w:tc>
        <w:tc>
          <w:tcPr>
            <w:tcW w:w="378" w:type="dxa"/>
            <w:tcBorders>
              <w:top w:val="nil"/>
              <w:left w:val="nil"/>
              <w:bottom w:val="single" w:sz="4" w:space="0" w:color="auto"/>
              <w:right w:val="single" w:sz="4" w:space="0" w:color="auto"/>
            </w:tcBorders>
            <w:shd w:val="clear" w:color="auto" w:fill="auto"/>
            <w:noWrap/>
            <w:vAlign w:val="center"/>
            <w:hideMark/>
          </w:tcPr>
          <w:p w14:paraId="53C14C96" w14:textId="77777777" w:rsidR="00235072" w:rsidRPr="00C60606" w:rsidRDefault="00235072"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97" w14:textId="77777777" w:rsidR="00235072" w:rsidRPr="00C60606" w:rsidRDefault="00235072"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98"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0.10</w:t>
            </w:r>
          </w:p>
        </w:tc>
        <w:tc>
          <w:tcPr>
            <w:tcW w:w="378" w:type="dxa"/>
            <w:tcBorders>
              <w:top w:val="nil"/>
              <w:left w:val="nil"/>
              <w:bottom w:val="single" w:sz="4" w:space="0" w:color="auto"/>
              <w:right w:val="single" w:sz="4" w:space="0" w:color="auto"/>
            </w:tcBorders>
            <w:shd w:val="clear" w:color="auto" w:fill="auto"/>
            <w:noWrap/>
            <w:vAlign w:val="center"/>
            <w:hideMark/>
          </w:tcPr>
          <w:p w14:paraId="53C14C99" w14:textId="77777777" w:rsidR="00235072" w:rsidRPr="00C60606" w:rsidRDefault="00235072"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9A"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0.03</w:t>
            </w:r>
          </w:p>
        </w:tc>
        <w:tc>
          <w:tcPr>
            <w:tcW w:w="378" w:type="dxa"/>
            <w:tcBorders>
              <w:top w:val="nil"/>
              <w:left w:val="nil"/>
              <w:bottom w:val="single" w:sz="4" w:space="0" w:color="auto"/>
              <w:right w:val="single" w:sz="4" w:space="0" w:color="auto"/>
            </w:tcBorders>
            <w:shd w:val="clear" w:color="auto" w:fill="auto"/>
            <w:noWrap/>
            <w:vAlign w:val="center"/>
            <w:hideMark/>
          </w:tcPr>
          <w:p w14:paraId="53C14C9B"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0.03</w:t>
            </w:r>
          </w:p>
        </w:tc>
        <w:tc>
          <w:tcPr>
            <w:tcW w:w="378" w:type="dxa"/>
            <w:tcBorders>
              <w:top w:val="nil"/>
              <w:left w:val="nil"/>
              <w:bottom w:val="single" w:sz="4" w:space="0" w:color="auto"/>
              <w:right w:val="single" w:sz="4" w:space="0" w:color="auto"/>
            </w:tcBorders>
            <w:shd w:val="clear" w:color="auto" w:fill="auto"/>
            <w:noWrap/>
            <w:vAlign w:val="center"/>
            <w:hideMark/>
          </w:tcPr>
          <w:p w14:paraId="53C14C9C"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7.11</w:t>
            </w:r>
          </w:p>
        </w:tc>
        <w:tc>
          <w:tcPr>
            <w:tcW w:w="378" w:type="dxa"/>
            <w:tcBorders>
              <w:top w:val="nil"/>
              <w:left w:val="nil"/>
              <w:bottom w:val="single" w:sz="4" w:space="0" w:color="auto"/>
              <w:right w:val="single" w:sz="4" w:space="0" w:color="auto"/>
            </w:tcBorders>
            <w:shd w:val="clear" w:color="auto" w:fill="auto"/>
            <w:noWrap/>
            <w:vAlign w:val="center"/>
            <w:hideMark/>
          </w:tcPr>
          <w:p w14:paraId="53C14C9D" w14:textId="77777777" w:rsidR="00235072" w:rsidRPr="00C60606" w:rsidRDefault="00235072"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9E"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0.28</w:t>
            </w:r>
          </w:p>
        </w:tc>
        <w:tc>
          <w:tcPr>
            <w:tcW w:w="378" w:type="dxa"/>
            <w:tcBorders>
              <w:top w:val="nil"/>
              <w:left w:val="nil"/>
              <w:bottom w:val="single" w:sz="4" w:space="0" w:color="auto"/>
              <w:right w:val="single" w:sz="4" w:space="0" w:color="auto"/>
            </w:tcBorders>
            <w:shd w:val="clear" w:color="auto" w:fill="auto"/>
            <w:noWrap/>
            <w:vAlign w:val="center"/>
            <w:hideMark/>
          </w:tcPr>
          <w:p w14:paraId="53C14C9F"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0.10</w:t>
            </w:r>
          </w:p>
        </w:tc>
        <w:tc>
          <w:tcPr>
            <w:tcW w:w="378" w:type="dxa"/>
            <w:tcBorders>
              <w:top w:val="nil"/>
              <w:left w:val="nil"/>
              <w:bottom w:val="single" w:sz="4" w:space="0" w:color="auto"/>
              <w:right w:val="single" w:sz="4" w:space="0" w:color="auto"/>
            </w:tcBorders>
            <w:shd w:val="clear" w:color="auto" w:fill="auto"/>
            <w:noWrap/>
            <w:vAlign w:val="center"/>
            <w:hideMark/>
          </w:tcPr>
          <w:p w14:paraId="53C14CA0"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0.58</w:t>
            </w:r>
          </w:p>
        </w:tc>
      </w:tr>
      <w:tr w:rsidR="007904CB" w:rsidRPr="00657AD4" w14:paraId="53C14CC3"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4CA2" w14:textId="77777777" w:rsidR="007904CB" w:rsidRPr="007904CB" w:rsidRDefault="007904CB" w:rsidP="00235072">
            <w:pPr>
              <w:spacing w:after="0"/>
              <w:jc w:val="left"/>
              <w:rPr>
                <w:rFonts w:ascii="Arial Narrow" w:hAnsi="Arial Narrow"/>
                <w:sz w:val="18"/>
                <w:szCs w:val="18"/>
                <w:lang w:eastAsia="en-AU"/>
              </w:rPr>
            </w:pPr>
          </w:p>
        </w:tc>
        <w:tc>
          <w:tcPr>
            <w:tcW w:w="1073" w:type="dxa"/>
            <w:vMerge w:val="restart"/>
            <w:tcBorders>
              <w:top w:val="nil"/>
              <w:left w:val="nil"/>
              <w:right w:val="single" w:sz="4" w:space="0" w:color="auto"/>
            </w:tcBorders>
            <w:shd w:val="clear" w:color="auto" w:fill="auto"/>
            <w:noWrap/>
            <w:vAlign w:val="center"/>
          </w:tcPr>
          <w:p w14:paraId="53C14CA3" w14:textId="77777777" w:rsidR="007904CB" w:rsidRPr="007904CB" w:rsidRDefault="007904CB" w:rsidP="00C60606">
            <w:pPr>
              <w:jc w:val="center"/>
              <w:rPr>
                <w:rFonts w:ascii="Arial Narrow" w:hAnsi="Arial Narrow"/>
                <w:sz w:val="18"/>
                <w:szCs w:val="18"/>
              </w:rPr>
            </w:pPr>
            <w:r w:rsidRPr="007904CB">
              <w:rPr>
                <w:rFonts w:ascii="Arial Narrow" w:hAnsi="Arial Narrow"/>
                <w:sz w:val="18"/>
                <w:szCs w:val="18"/>
              </w:rPr>
              <w:t>Fitzroy East</w:t>
            </w:r>
          </w:p>
        </w:tc>
        <w:tc>
          <w:tcPr>
            <w:tcW w:w="283" w:type="dxa"/>
            <w:tcBorders>
              <w:top w:val="nil"/>
              <w:left w:val="nil"/>
              <w:bottom w:val="single" w:sz="4" w:space="0" w:color="auto"/>
              <w:right w:val="single" w:sz="4" w:space="0" w:color="auto"/>
            </w:tcBorders>
            <w:shd w:val="clear" w:color="auto" w:fill="auto"/>
            <w:noWrap/>
            <w:vAlign w:val="bottom"/>
            <w:hideMark/>
          </w:tcPr>
          <w:p w14:paraId="53C14CA4"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2</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4CA5"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16.19</w:t>
            </w:r>
          </w:p>
        </w:tc>
        <w:tc>
          <w:tcPr>
            <w:tcW w:w="378" w:type="dxa"/>
            <w:tcBorders>
              <w:top w:val="nil"/>
              <w:left w:val="nil"/>
              <w:bottom w:val="single" w:sz="4" w:space="0" w:color="auto"/>
              <w:right w:val="single" w:sz="4" w:space="0" w:color="auto"/>
            </w:tcBorders>
            <w:shd w:val="clear" w:color="auto" w:fill="auto"/>
            <w:noWrap/>
            <w:vAlign w:val="center"/>
            <w:hideMark/>
          </w:tcPr>
          <w:p w14:paraId="53C14CA6"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A7"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A8"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CA9"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AA"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AB"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CAC"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0.38</w:t>
            </w:r>
          </w:p>
        </w:tc>
        <w:tc>
          <w:tcPr>
            <w:tcW w:w="378" w:type="dxa"/>
            <w:tcBorders>
              <w:top w:val="nil"/>
              <w:left w:val="nil"/>
              <w:bottom w:val="single" w:sz="4" w:space="0" w:color="auto"/>
              <w:right w:val="single" w:sz="4" w:space="0" w:color="auto"/>
            </w:tcBorders>
            <w:shd w:val="clear" w:color="auto" w:fill="auto"/>
            <w:noWrap/>
            <w:vAlign w:val="center"/>
            <w:hideMark/>
          </w:tcPr>
          <w:p w14:paraId="53C14CAD"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AE"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AF"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0.44</w:t>
            </w:r>
          </w:p>
        </w:tc>
        <w:tc>
          <w:tcPr>
            <w:tcW w:w="378" w:type="dxa"/>
            <w:tcBorders>
              <w:top w:val="nil"/>
              <w:left w:val="nil"/>
              <w:bottom w:val="single" w:sz="4" w:space="0" w:color="auto"/>
              <w:right w:val="single" w:sz="4" w:space="0" w:color="auto"/>
            </w:tcBorders>
            <w:shd w:val="clear" w:color="auto" w:fill="auto"/>
            <w:noWrap/>
            <w:vAlign w:val="center"/>
            <w:hideMark/>
          </w:tcPr>
          <w:p w14:paraId="53C14CB0"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CB1"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B2"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B3"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B4"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4.88</w:t>
            </w:r>
          </w:p>
        </w:tc>
        <w:tc>
          <w:tcPr>
            <w:tcW w:w="378" w:type="dxa"/>
            <w:tcBorders>
              <w:top w:val="nil"/>
              <w:left w:val="nil"/>
              <w:bottom w:val="single" w:sz="4" w:space="0" w:color="auto"/>
              <w:right w:val="single" w:sz="4" w:space="0" w:color="auto"/>
            </w:tcBorders>
            <w:shd w:val="clear" w:color="auto" w:fill="auto"/>
            <w:noWrap/>
            <w:vAlign w:val="center"/>
            <w:hideMark/>
          </w:tcPr>
          <w:p w14:paraId="53C14CB5"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B6"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B7"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B8"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CB9"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BA"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CBB"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BC"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3.31</w:t>
            </w:r>
          </w:p>
        </w:tc>
        <w:tc>
          <w:tcPr>
            <w:tcW w:w="378" w:type="dxa"/>
            <w:tcBorders>
              <w:top w:val="nil"/>
              <w:left w:val="nil"/>
              <w:bottom w:val="single" w:sz="4" w:space="0" w:color="auto"/>
              <w:right w:val="single" w:sz="4" w:space="0" w:color="auto"/>
            </w:tcBorders>
            <w:shd w:val="clear" w:color="auto" w:fill="auto"/>
            <w:noWrap/>
            <w:vAlign w:val="center"/>
            <w:hideMark/>
          </w:tcPr>
          <w:p w14:paraId="53C14CBD"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BE"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5.94</w:t>
            </w:r>
          </w:p>
        </w:tc>
        <w:tc>
          <w:tcPr>
            <w:tcW w:w="378" w:type="dxa"/>
            <w:tcBorders>
              <w:top w:val="nil"/>
              <w:left w:val="nil"/>
              <w:bottom w:val="single" w:sz="4" w:space="0" w:color="auto"/>
              <w:right w:val="single" w:sz="4" w:space="0" w:color="auto"/>
            </w:tcBorders>
            <w:shd w:val="clear" w:color="auto" w:fill="auto"/>
            <w:noWrap/>
            <w:vAlign w:val="center"/>
            <w:hideMark/>
          </w:tcPr>
          <w:p w14:paraId="53C14CBF"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C0"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C1"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C2"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0.81</w:t>
            </w:r>
          </w:p>
        </w:tc>
      </w:tr>
      <w:tr w:rsidR="007904CB" w:rsidRPr="00657AD4" w14:paraId="53C14CE5"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4CC4" w14:textId="77777777" w:rsidR="007904CB" w:rsidRPr="007904CB" w:rsidRDefault="007904CB" w:rsidP="00235072">
            <w:pPr>
              <w:spacing w:after="0"/>
              <w:jc w:val="left"/>
              <w:rPr>
                <w:rFonts w:ascii="Arial Narrow" w:hAnsi="Arial Narrow"/>
                <w:sz w:val="18"/>
                <w:szCs w:val="18"/>
                <w:lang w:eastAsia="en-AU"/>
              </w:rPr>
            </w:pPr>
          </w:p>
        </w:tc>
        <w:tc>
          <w:tcPr>
            <w:tcW w:w="1073" w:type="dxa"/>
            <w:vMerge/>
            <w:tcBorders>
              <w:left w:val="single" w:sz="4" w:space="0" w:color="auto"/>
              <w:bottom w:val="single" w:sz="4" w:space="0" w:color="auto"/>
              <w:right w:val="single" w:sz="4" w:space="0" w:color="auto"/>
            </w:tcBorders>
            <w:shd w:val="clear" w:color="auto" w:fill="auto"/>
            <w:noWrap/>
            <w:vAlign w:val="center"/>
          </w:tcPr>
          <w:p w14:paraId="53C14CC5" w14:textId="77777777" w:rsidR="007904CB" w:rsidRPr="007904CB" w:rsidRDefault="007904CB" w:rsidP="00C60606">
            <w:pPr>
              <w:jc w:val="center"/>
              <w:rPr>
                <w:rFonts w:ascii="Arial Narrow" w:hAnsi="Arial Narrow"/>
                <w:sz w:val="18"/>
                <w:szCs w:val="18"/>
              </w:rPr>
            </w:pPr>
          </w:p>
        </w:tc>
        <w:tc>
          <w:tcPr>
            <w:tcW w:w="283" w:type="dxa"/>
            <w:tcBorders>
              <w:top w:val="nil"/>
              <w:left w:val="nil"/>
              <w:bottom w:val="single" w:sz="4" w:space="0" w:color="auto"/>
              <w:right w:val="single" w:sz="4" w:space="0" w:color="auto"/>
            </w:tcBorders>
            <w:shd w:val="clear" w:color="auto" w:fill="auto"/>
            <w:noWrap/>
            <w:vAlign w:val="bottom"/>
            <w:hideMark/>
          </w:tcPr>
          <w:p w14:paraId="53C14CC6"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5</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4CC7"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2.81</w:t>
            </w:r>
          </w:p>
        </w:tc>
        <w:tc>
          <w:tcPr>
            <w:tcW w:w="378" w:type="dxa"/>
            <w:tcBorders>
              <w:top w:val="nil"/>
              <w:left w:val="nil"/>
              <w:bottom w:val="single" w:sz="4" w:space="0" w:color="auto"/>
              <w:right w:val="single" w:sz="4" w:space="0" w:color="auto"/>
            </w:tcBorders>
            <w:shd w:val="clear" w:color="auto" w:fill="auto"/>
            <w:noWrap/>
            <w:vAlign w:val="center"/>
            <w:hideMark/>
          </w:tcPr>
          <w:p w14:paraId="53C14CC8"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C9"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CA"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CB"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0.63</w:t>
            </w:r>
          </w:p>
        </w:tc>
        <w:tc>
          <w:tcPr>
            <w:tcW w:w="378" w:type="dxa"/>
            <w:tcBorders>
              <w:top w:val="nil"/>
              <w:left w:val="nil"/>
              <w:bottom w:val="single" w:sz="4" w:space="0" w:color="auto"/>
              <w:right w:val="single" w:sz="4" w:space="0" w:color="auto"/>
            </w:tcBorders>
            <w:shd w:val="clear" w:color="auto" w:fill="auto"/>
            <w:noWrap/>
            <w:vAlign w:val="center"/>
            <w:hideMark/>
          </w:tcPr>
          <w:p w14:paraId="53C14CCC"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0.75</w:t>
            </w:r>
          </w:p>
        </w:tc>
        <w:tc>
          <w:tcPr>
            <w:tcW w:w="378" w:type="dxa"/>
            <w:tcBorders>
              <w:top w:val="nil"/>
              <w:left w:val="nil"/>
              <w:bottom w:val="single" w:sz="4" w:space="0" w:color="auto"/>
              <w:right w:val="single" w:sz="4" w:space="0" w:color="auto"/>
            </w:tcBorders>
            <w:shd w:val="clear" w:color="auto" w:fill="auto"/>
            <w:noWrap/>
            <w:vAlign w:val="center"/>
            <w:hideMark/>
          </w:tcPr>
          <w:p w14:paraId="53C14CCD"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0.44</w:t>
            </w:r>
          </w:p>
        </w:tc>
        <w:tc>
          <w:tcPr>
            <w:tcW w:w="378" w:type="dxa"/>
            <w:tcBorders>
              <w:top w:val="nil"/>
              <w:left w:val="nil"/>
              <w:bottom w:val="single" w:sz="4" w:space="0" w:color="auto"/>
              <w:right w:val="single" w:sz="4" w:space="0" w:color="auto"/>
            </w:tcBorders>
            <w:shd w:val="clear" w:color="auto" w:fill="auto"/>
            <w:noWrap/>
            <w:vAlign w:val="center"/>
            <w:hideMark/>
          </w:tcPr>
          <w:p w14:paraId="53C14CCE"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4CCF"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4CD0"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1.13</w:t>
            </w:r>
          </w:p>
        </w:tc>
        <w:tc>
          <w:tcPr>
            <w:tcW w:w="378" w:type="dxa"/>
            <w:tcBorders>
              <w:top w:val="nil"/>
              <w:left w:val="nil"/>
              <w:bottom w:val="single" w:sz="4" w:space="0" w:color="auto"/>
              <w:right w:val="single" w:sz="4" w:space="0" w:color="auto"/>
            </w:tcBorders>
            <w:shd w:val="clear" w:color="auto" w:fill="auto"/>
            <w:noWrap/>
            <w:vAlign w:val="center"/>
            <w:hideMark/>
          </w:tcPr>
          <w:p w14:paraId="53C14CD1"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0.44</w:t>
            </w:r>
          </w:p>
        </w:tc>
        <w:tc>
          <w:tcPr>
            <w:tcW w:w="378" w:type="dxa"/>
            <w:tcBorders>
              <w:top w:val="nil"/>
              <w:left w:val="nil"/>
              <w:bottom w:val="single" w:sz="4" w:space="0" w:color="auto"/>
              <w:right w:val="single" w:sz="4" w:space="0" w:color="auto"/>
            </w:tcBorders>
            <w:shd w:val="clear" w:color="auto" w:fill="auto"/>
            <w:noWrap/>
            <w:vAlign w:val="center"/>
            <w:hideMark/>
          </w:tcPr>
          <w:p w14:paraId="53C14CD2"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4CD3"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D4"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0.56</w:t>
            </w:r>
          </w:p>
        </w:tc>
        <w:tc>
          <w:tcPr>
            <w:tcW w:w="378" w:type="dxa"/>
            <w:tcBorders>
              <w:top w:val="nil"/>
              <w:left w:val="nil"/>
              <w:bottom w:val="single" w:sz="4" w:space="0" w:color="auto"/>
              <w:right w:val="single" w:sz="4" w:space="0" w:color="auto"/>
            </w:tcBorders>
            <w:shd w:val="clear" w:color="auto" w:fill="auto"/>
            <w:noWrap/>
            <w:vAlign w:val="center"/>
            <w:hideMark/>
          </w:tcPr>
          <w:p w14:paraId="53C14CD5"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CD6"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0.56</w:t>
            </w:r>
          </w:p>
        </w:tc>
        <w:tc>
          <w:tcPr>
            <w:tcW w:w="378" w:type="dxa"/>
            <w:tcBorders>
              <w:top w:val="nil"/>
              <w:left w:val="nil"/>
              <w:bottom w:val="single" w:sz="4" w:space="0" w:color="auto"/>
              <w:right w:val="single" w:sz="4" w:space="0" w:color="auto"/>
            </w:tcBorders>
            <w:shd w:val="clear" w:color="auto" w:fill="auto"/>
            <w:noWrap/>
            <w:vAlign w:val="center"/>
            <w:hideMark/>
          </w:tcPr>
          <w:p w14:paraId="53C14CD7"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D8"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D9"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CDA"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CDB"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DC"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0.31</w:t>
            </w:r>
          </w:p>
        </w:tc>
        <w:tc>
          <w:tcPr>
            <w:tcW w:w="378" w:type="dxa"/>
            <w:tcBorders>
              <w:top w:val="nil"/>
              <w:left w:val="nil"/>
              <w:bottom w:val="single" w:sz="4" w:space="0" w:color="auto"/>
              <w:right w:val="single" w:sz="4" w:space="0" w:color="auto"/>
            </w:tcBorders>
            <w:shd w:val="clear" w:color="auto" w:fill="auto"/>
            <w:noWrap/>
            <w:vAlign w:val="center"/>
            <w:hideMark/>
          </w:tcPr>
          <w:p w14:paraId="53C14CDD"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DE"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4.44</w:t>
            </w:r>
          </w:p>
        </w:tc>
        <w:tc>
          <w:tcPr>
            <w:tcW w:w="378" w:type="dxa"/>
            <w:tcBorders>
              <w:top w:val="nil"/>
              <w:left w:val="nil"/>
              <w:bottom w:val="single" w:sz="4" w:space="0" w:color="auto"/>
              <w:right w:val="single" w:sz="4" w:space="0" w:color="auto"/>
            </w:tcBorders>
            <w:shd w:val="clear" w:color="auto" w:fill="auto"/>
            <w:noWrap/>
            <w:vAlign w:val="center"/>
            <w:hideMark/>
          </w:tcPr>
          <w:p w14:paraId="53C14CDF"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E0"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11.69</w:t>
            </w:r>
          </w:p>
        </w:tc>
        <w:tc>
          <w:tcPr>
            <w:tcW w:w="378" w:type="dxa"/>
            <w:tcBorders>
              <w:top w:val="nil"/>
              <w:left w:val="nil"/>
              <w:bottom w:val="single" w:sz="4" w:space="0" w:color="auto"/>
              <w:right w:val="single" w:sz="4" w:space="0" w:color="auto"/>
            </w:tcBorders>
            <w:shd w:val="clear" w:color="auto" w:fill="auto"/>
            <w:noWrap/>
            <w:vAlign w:val="center"/>
            <w:hideMark/>
          </w:tcPr>
          <w:p w14:paraId="53C14CE1"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0.75</w:t>
            </w:r>
          </w:p>
        </w:tc>
        <w:tc>
          <w:tcPr>
            <w:tcW w:w="378" w:type="dxa"/>
            <w:tcBorders>
              <w:top w:val="nil"/>
              <w:left w:val="nil"/>
              <w:bottom w:val="single" w:sz="4" w:space="0" w:color="auto"/>
              <w:right w:val="single" w:sz="4" w:space="0" w:color="auto"/>
            </w:tcBorders>
            <w:shd w:val="clear" w:color="auto" w:fill="auto"/>
            <w:noWrap/>
            <w:vAlign w:val="center"/>
            <w:hideMark/>
          </w:tcPr>
          <w:p w14:paraId="53C14CE2"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4CE3"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E4"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1.06</w:t>
            </w:r>
          </w:p>
        </w:tc>
      </w:tr>
      <w:tr w:rsidR="007904CB" w:rsidRPr="00657AD4" w14:paraId="53C14D07"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4CE6" w14:textId="77777777" w:rsidR="007904CB" w:rsidRPr="007904CB" w:rsidRDefault="007904CB" w:rsidP="00235072">
            <w:pPr>
              <w:spacing w:after="0"/>
              <w:jc w:val="left"/>
              <w:rPr>
                <w:rFonts w:ascii="Arial Narrow" w:hAnsi="Arial Narrow"/>
                <w:sz w:val="18"/>
                <w:szCs w:val="18"/>
                <w:lang w:eastAsia="en-AU"/>
              </w:rPr>
            </w:pPr>
          </w:p>
        </w:tc>
        <w:tc>
          <w:tcPr>
            <w:tcW w:w="1073" w:type="dxa"/>
            <w:vMerge w:val="restart"/>
            <w:tcBorders>
              <w:top w:val="nil"/>
              <w:left w:val="single" w:sz="4" w:space="0" w:color="auto"/>
              <w:right w:val="single" w:sz="4" w:space="0" w:color="auto"/>
            </w:tcBorders>
            <w:shd w:val="clear" w:color="auto" w:fill="auto"/>
            <w:vAlign w:val="center"/>
          </w:tcPr>
          <w:p w14:paraId="53C14CE7" w14:textId="77777777" w:rsidR="007904CB" w:rsidRPr="007904CB" w:rsidRDefault="007904CB" w:rsidP="00C60606">
            <w:pPr>
              <w:jc w:val="center"/>
              <w:rPr>
                <w:rFonts w:ascii="Arial Narrow" w:hAnsi="Arial Narrow"/>
                <w:sz w:val="18"/>
                <w:szCs w:val="18"/>
              </w:rPr>
            </w:pPr>
            <w:r w:rsidRPr="007904CB">
              <w:rPr>
                <w:rFonts w:ascii="Arial Narrow" w:hAnsi="Arial Narrow"/>
                <w:sz w:val="18"/>
                <w:szCs w:val="18"/>
              </w:rPr>
              <w:t>Fitzroy West</w:t>
            </w:r>
          </w:p>
        </w:tc>
        <w:tc>
          <w:tcPr>
            <w:tcW w:w="283" w:type="dxa"/>
            <w:tcBorders>
              <w:top w:val="nil"/>
              <w:left w:val="nil"/>
              <w:bottom w:val="single" w:sz="4" w:space="0" w:color="auto"/>
              <w:right w:val="single" w:sz="4" w:space="0" w:color="auto"/>
            </w:tcBorders>
            <w:shd w:val="clear" w:color="auto" w:fill="auto"/>
            <w:noWrap/>
            <w:vAlign w:val="bottom"/>
            <w:hideMark/>
          </w:tcPr>
          <w:p w14:paraId="53C14CE8"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2</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4CE9"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18.63</w:t>
            </w:r>
          </w:p>
        </w:tc>
        <w:tc>
          <w:tcPr>
            <w:tcW w:w="378" w:type="dxa"/>
            <w:tcBorders>
              <w:top w:val="nil"/>
              <w:left w:val="nil"/>
              <w:bottom w:val="single" w:sz="4" w:space="0" w:color="auto"/>
              <w:right w:val="single" w:sz="4" w:space="0" w:color="auto"/>
            </w:tcBorders>
            <w:shd w:val="clear" w:color="auto" w:fill="auto"/>
            <w:noWrap/>
            <w:vAlign w:val="center"/>
            <w:hideMark/>
          </w:tcPr>
          <w:p w14:paraId="53C14CEA"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EB"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EC"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ED"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CEE"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1.81</w:t>
            </w:r>
          </w:p>
        </w:tc>
        <w:tc>
          <w:tcPr>
            <w:tcW w:w="378" w:type="dxa"/>
            <w:tcBorders>
              <w:top w:val="nil"/>
              <w:left w:val="nil"/>
              <w:bottom w:val="single" w:sz="4" w:space="0" w:color="auto"/>
              <w:right w:val="single" w:sz="4" w:space="0" w:color="auto"/>
            </w:tcBorders>
            <w:shd w:val="clear" w:color="auto" w:fill="auto"/>
            <w:noWrap/>
            <w:vAlign w:val="center"/>
            <w:hideMark/>
          </w:tcPr>
          <w:p w14:paraId="53C14CEF"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CF0"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CF1"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0.38</w:t>
            </w:r>
          </w:p>
        </w:tc>
        <w:tc>
          <w:tcPr>
            <w:tcW w:w="378" w:type="dxa"/>
            <w:tcBorders>
              <w:top w:val="nil"/>
              <w:left w:val="nil"/>
              <w:bottom w:val="single" w:sz="4" w:space="0" w:color="auto"/>
              <w:right w:val="single" w:sz="4" w:space="0" w:color="auto"/>
            </w:tcBorders>
            <w:shd w:val="clear" w:color="auto" w:fill="auto"/>
            <w:noWrap/>
            <w:vAlign w:val="center"/>
            <w:hideMark/>
          </w:tcPr>
          <w:p w14:paraId="53C14CF2"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0.63</w:t>
            </w:r>
          </w:p>
        </w:tc>
        <w:tc>
          <w:tcPr>
            <w:tcW w:w="378" w:type="dxa"/>
            <w:tcBorders>
              <w:top w:val="nil"/>
              <w:left w:val="nil"/>
              <w:bottom w:val="single" w:sz="4" w:space="0" w:color="auto"/>
              <w:right w:val="single" w:sz="4" w:space="0" w:color="auto"/>
            </w:tcBorders>
            <w:shd w:val="clear" w:color="auto" w:fill="auto"/>
            <w:noWrap/>
            <w:vAlign w:val="center"/>
            <w:hideMark/>
          </w:tcPr>
          <w:p w14:paraId="53C14CF3"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F4"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0.50</w:t>
            </w:r>
          </w:p>
        </w:tc>
        <w:tc>
          <w:tcPr>
            <w:tcW w:w="378" w:type="dxa"/>
            <w:tcBorders>
              <w:top w:val="nil"/>
              <w:left w:val="nil"/>
              <w:bottom w:val="single" w:sz="4" w:space="0" w:color="auto"/>
              <w:right w:val="single" w:sz="4" w:space="0" w:color="auto"/>
            </w:tcBorders>
            <w:shd w:val="clear" w:color="auto" w:fill="auto"/>
            <w:noWrap/>
            <w:vAlign w:val="center"/>
            <w:hideMark/>
          </w:tcPr>
          <w:p w14:paraId="53C14CF5"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F6"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0.50</w:t>
            </w:r>
          </w:p>
        </w:tc>
        <w:tc>
          <w:tcPr>
            <w:tcW w:w="378" w:type="dxa"/>
            <w:tcBorders>
              <w:top w:val="nil"/>
              <w:left w:val="nil"/>
              <w:bottom w:val="single" w:sz="4" w:space="0" w:color="auto"/>
              <w:right w:val="single" w:sz="4" w:space="0" w:color="auto"/>
            </w:tcBorders>
            <w:shd w:val="clear" w:color="auto" w:fill="auto"/>
            <w:noWrap/>
            <w:vAlign w:val="center"/>
            <w:hideMark/>
          </w:tcPr>
          <w:p w14:paraId="53C14CF7"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CF8"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3.56</w:t>
            </w:r>
          </w:p>
        </w:tc>
        <w:tc>
          <w:tcPr>
            <w:tcW w:w="378" w:type="dxa"/>
            <w:tcBorders>
              <w:top w:val="nil"/>
              <w:left w:val="nil"/>
              <w:bottom w:val="single" w:sz="4" w:space="0" w:color="auto"/>
              <w:right w:val="single" w:sz="4" w:space="0" w:color="auto"/>
            </w:tcBorders>
            <w:shd w:val="clear" w:color="auto" w:fill="auto"/>
            <w:noWrap/>
            <w:vAlign w:val="center"/>
            <w:hideMark/>
          </w:tcPr>
          <w:p w14:paraId="53C14CF9"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CFA"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FB"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FC"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CFD"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CFE"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CFF"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00"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0.75</w:t>
            </w:r>
          </w:p>
        </w:tc>
        <w:tc>
          <w:tcPr>
            <w:tcW w:w="378" w:type="dxa"/>
            <w:tcBorders>
              <w:top w:val="nil"/>
              <w:left w:val="nil"/>
              <w:bottom w:val="single" w:sz="4" w:space="0" w:color="auto"/>
              <w:right w:val="single" w:sz="4" w:space="0" w:color="auto"/>
            </w:tcBorders>
            <w:shd w:val="clear" w:color="auto" w:fill="auto"/>
            <w:noWrap/>
            <w:vAlign w:val="center"/>
            <w:hideMark/>
          </w:tcPr>
          <w:p w14:paraId="53C14D01"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02"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5.44</w:t>
            </w:r>
          </w:p>
        </w:tc>
        <w:tc>
          <w:tcPr>
            <w:tcW w:w="378" w:type="dxa"/>
            <w:tcBorders>
              <w:top w:val="nil"/>
              <w:left w:val="nil"/>
              <w:bottom w:val="single" w:sz="4" w:space="0" w:color="auto"/>
              <w:right w:val="single" w:sz="4" w:space="0" w:color="auto"/>
            </w:tcBorders>
            <w:shd w:val="clear" w:color="auto" w:fill="auto"/>
            <w:noWrap/>
            <w:vAlign w:val="center"/>
            <w:hideMark/>
          </w:tcPr>
          <w:p w14:paraId="53C14D03"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D04"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0.38</w:t>
            </w:r>
          </w:p>
        </w:tc>
        <w:tc>
          <w:tcPr>
            <w:tcW w:w="378" w:type="dxa"/>
            <w:tcBorders>
              <w:top w:val="nil"/>
              <w:left w:val="nil"/>
              <w:bottom w:val="single" w:sz="4" w:space="0" w:color="auto"/>
              <w:right w:val="single" w:sz="4" w:space="0" w:color="auto"/>
            </w:tcBorders>
            <w:shd w:val="clear" w:color="auto" w:fill="auto"/>
            <w:noWrap/>
            <w:vAlign w:val="center"/>
            <w:hideMark/>
          </w:tcPr>
          <w:p w14:paraId="53C14D05"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06"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0.63</w:t>
            </w:r>
          </w:p>
        </w:tc>
      </w:tr>
      <w:tr w:rsidR="007904CB" w:rsidRPr="00657AD4" w14:paraId="53C14D29"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4D08" w14:textId="77777777" w:rsidR="007904CB" w:rsidRPr="007904CB" w:rsidRDefault="007904CB" w:rsidP="00235072">
            <w:pPr>
              <w:spacing w:after="0"/>
              <w:jc w:val="left"/>
              <w:rPr>
                <w:rFonts w:ascii="Arial Narrow" w:hAnsi="Arial Narrow"/>
                <w:sz w:val="18"/>
                <w:szCs w:val="18"/>
                <w:lang w:eastAsia="en-AU"/>
              </w:rPr>
            </w:pPr>
          </w:p>
        </w:tc>
        <w:tc>
          <w:tcPr>
            <w:tcW w:w="1073" w:type="dxa"/>
            <w:vMerge/>
            <w:tcBorders>
              <w:left w:val="single" w:sz="4" w:space="0" w:color="auto"/>
              <w:bottom w:val="single" w:sz="4" w:space="0" w:color="auto"/>
              <w:right w:val="single" w:sz="4" w:space="0" w:color="auto"/>
            </w:tcBorders>
            <w:shd w:val="clear" w:color="auto" w:fill="auto"/>
            <w:noWrap/>
            <w:vAlign w:val="center"/>
          </w:tcPr>
          <w:p w14:paraId="53C14D09" w14:textId="77777777" w:rsidR="007904CB" w:rsidRPr="007904CB" w:rsidRDefault="007904CB" w:rsidP="00C60606">
            <w:pPr>
              <w:jc w:val="center"/>
              <w:rPr>
                <w:rFonts w:ascii="Arial Narrow" w:hAnsi="Arial Narrow"/>
                <w:sz w:val="18"/>
                <w:szCs w:val="18"/>
              </w:rPr>
            </w:pPr>
          </w:p>
        </w:tc>
        <w:tc>
          <w:tcPr>
            <w:tcW w:w="283" w:type="dxa"/>
            <w:tcBorders>
              <w:top w:val="nil"/>
              <w:left w:val="nil"/>
              <w:bottom w:val="single" w:sz="4" w:space="0" w:color="auto"/>
              <w:right w:val="single" w:sz="4" w:space="0" w:color="auto"/>
            </w:tcBorders>
            <w:shd w:val="clear" w:color="auto" w:fill="auto"/>
            <w:noWrap/>
            <w:vAlign w:val="bottom"/>
            <w:hideMark/>
          </w:tcPr>
          <w:p w14:paraId="53C14D0A"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5</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4D0B"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3.94</w:t>
            </w:r>
          </w:p>
        </w:tc>
        <w:tc>
          <w:tcPr>
            <w:tcW w:w="378" w:type="dxa"/>
            <w:tcBorders>
              <w:top w:val="nil"/>
              <w:left w:val="nil"/>
              <w:bottom w:val="single" w:sz="4" w:space="0" w:color="auto"/>
              <w:right w:val="single" w:sz="4" w:space="0" w:color="auto"/>
            </w:tcBorders>
            <w:shd w:val="clear" w:color="auto" w:fill="auto"/>
            <w:noWrap/>
            <w:vAlign w:val="center"/>
            <w:hideMark/>
          </w:tcPr>
          <w:p w14:paraId="53C14D0C"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0D"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D0E"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0F"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0.88</w:t>
            </w:r>
          </w:p>
        </w:tc>
        <w:tc>
          <w:tcPr>
            <w:tcW w:w="378" w:type="dxa"/>
            <w:tcBorders>
              <w:top w:val="nil"/>
              <w:left w:val="nil"/>
              <w:bottom w:val="single" w:sz="4" w:space="0" w:color="auto"/>
              <w:right w:val="single" w:sz="4" w:space="0" w:color="auto"/>
            </w:tcBorders>
            <w:shd w:val="clear" w:color="auto" w:fill="auto"/>
            <w:noWrap/>
            <w:vAlign w:val="center"/>
            <w:hideMark/>
          </w:tcPr>
          <w:p w14:paraId="53C14D10"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1.00</w:t>
            </w:r>
          </w:p>
        </w:tc>
        <w:tc>
          <w:tcPr>
            <w:tcW w:w="378" w:type="dxa"/>
            <w:tcBorders>
              <w:top w:val="nil"/>
              <w:left w:val="nil"/>
              <w:bottom w:val="single" w:sz="4" w:space="0" w:color="auto"/>
              <w:right w:val="single" w:sz="4" w:space="0" w:color="auto"/>
            </w:tcBorders>
            <w:shd w:val="clear" w:color="auto" w:fill="auto"/>
            <w:noWrap/>
            <w:vAlign w:val="center"/>
            <w:hideMark/>
          </w:tcPr>
          <w:p w14:paraId="53C14D11"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D12"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13"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0.56</w:t>
            </w:r>
          </w:p>
        </w:tc>
        <w:tc>
          <w:tcPr>
            <w:tcW w:w="378" w:type="dxa"/>
            <w:tcBorders>
              <w:top w:val="nil"/>
              <w:left w:val="nil"/>
              <w:bottom w:val="single" w:sz="4" w:space="0" w:color="auto"/>
              <w:right w:val="single" w:sz="4" w:space="0" w:color="auto"/>
            </w:tcBorders>
            <w:shd w:val="clear" w:color="auto" w:fill="auto"/>
            <w:noWrap/>
            <w:vAlign w:val="center"/>
            <w:hideMark/>
          </w:tcPr>
          <w:p w14:paraId="53C14D14"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0.94</w:t>
            </w:r>
          </w:p>
        </w:tc>
        <w:tc>
          <w:tcPr>
            <w:tcW w:w="378" w:type="dxa"/>
            <w:tcBorders>
              <w:top w:val="nil"/>
              <w:left w:val="nil"/>
              <w:bottom w:val="single" w:sz="4" w:space="0" w:color="auto"/>
              <w:right w:val="single" w:sz="4" w:space="0" w:color="auto"/>
            </w:tcBorders>
            <w:shd w:val="clear" w:color="auto" w:fill="auto"/>
            <w:noWrap/>
            <w:vAlign w:val="center"/>
            <w:hideMark/>
          </w:tcPr>
          <w:p w14:paraId="53C14D15"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16"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0.88</w:t>
            </w:r>
          </w:p>
        </w:tc>
        <w:tc>
          <w:tcPr>
            <w:tcW w:w="378" w:type="dxa"/>
            <w:tcBorders>
              <w:top w:val="nil"/>
              <w:left w:val="nil"/>
              <w:bottom w:val="single" w:sz="4" w:space="0" w:color="auto"/>
              <w:right w:val="single" w:sz="4" w:space="0" w:color="auto"/>
            </w:tcBorders>
            <w:shd w:val="clear" w:color="auto" w:fill="auto"/>
            <w:noWrap/>
            <w:vAlign w:val="center"/>
            <w:hideMark/>
          </w:tcPr>
          <w:p w14:paraId="53C14D17"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18"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1.88</w:t>
            </w:r>
          </w:p>
        </w:tc>
        <w:tc>
          <w:tcPr>
            <w:tcW w:w="378" w:type="dxa"/>
            <w:tcBorders>
              <w:top w:val="nil"/>
              <w:left w:val="nil"/>
              <w:bottom w:val="single" w:sz="4" w:space="0" w:color="auto"/>
              <w:right w:val="single" w:sz="4" w:space="0" w:color="auto"/>
            </w:tcBorders>
            <w:shd w:val="clear" w:color="auto" w:fill="auto"/>
            <w:noWrap/>
            <w:vAlign w:val="center"/>
            <w:hideMark/>
          </w:tcPr>
          <w:p w14:paraId="53C14D19"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1A"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1.75</w:t>
            </w:r>
          </w:p>
        </w:tc>
        <w:tc>
          <w:tcPr>
            <w:tcW w:w="378" w:type="dxa"/>
            <w:tcBorders>
              <w:top w:val="nil"/>
              <w:left w:val="nil"/>
              <w:bottom w:val="single" w:sz="4" w:space="0" w:color="auto"/>
              <w:right w:val="single" w:sz="4" w:space="0" w:color="auto"/>
            </w:tcBorders>
            <w:shd w:val="clear" w:color="auto" w:fill="auto"/>
            <w:noWrap/>
            <w:vAlign w:val="center"/>
            <w:hideMark/>
          </w:tcPr>
          <w:p w14:paraId="53C14D1B"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0.44</w:t>
            </w:r>
          </w:p>
        </w:tc>
        <w:tc>
          <w:tcPr>
            <w:tcW w:w="378" w:type="dxa"/>
            <w:tcBorders>
              <w:top w:val="nil"/>
              <w:left w:val="nil"/>
              <w:bottom w:val="single" w:sz="4" w:space="0" w:color="auto"/>
              <w:right w:val="single" w:sz="4" w:space="0" w:color="auto"/>
            </w:tcBorders>
            <w:shd w:val="clear" w:color="auto" w:fill="auto"/>
            <w:noWrap/>
            <w:vAlign w:val="center"/>
            <w:hideMark/>
          </w:tcPr>
          <w:p w14:paraId="53C14D1C"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0.31</w:t>
            </w:r>
          </w:p>
        </w:tc>
        <w:tc>
          <w:tcPr>
            <w:tcW w:w="378" w:type="dxa"/>
            <w:tcBorders>
              <w:top w:val="nil"/>
              <w:left w:val="nil"/>
              <w:bottom w:val="single" w:sz="4" w:space="0" w:color="auto"/>
              <w:right w:val="single" w:sz="4" w:space="0" w:color="auto"/>
            </w:tcBorders>
            <w:shd w:val="clear" w:color="auto" w:fill="auto"/>
            <w:noWrap/>
            <w:vAlign w:val="center"/>
            <w:hideMark/>
          </w:tcPr>
          <w:p w14:paraId="53C14D1D"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1.00</w:t>
            </w:r>
          </w:p>
        </w:tc>
        <w:tc>
          <w:tcPr>
            <w:tcW w:w="378" w:type="dxa"/>
            <w:tcBorders>
              <w:top w:val="nil"/>
              <w:left w:val="nil"/>
              <w:bottom w:val="single" w:sz="4" w:space="0" w:color="auto"/>
              <w:right w:val="single" w:sz="4" w:space="0" w:color="auto"/>
            </w:tcBorders>
            <w:shd w:val="clear" w:color="auto" w:fill="auto"/>
            <w:noWrap/>
            <w:vAlign w:val="center"/>
            <w:hideMark/>
          </w:tcPr>
          <w:p w14:paraId="53C14D1E"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1F"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20"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4D21"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22"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D23"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24"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10.82</w:t>
            </w:r>
          </w:p>
        </w:tc>
        <w:tc>
          <w:tcPr>
            <w:tcW w:w="378" w:type="dxa"/>
            <w:tcBorders>
              <w:top w:val="nil"/>
              <w:left w:val="nil"/>
              <w:bottom w:val="single" w:sz="4" w:space="0" w:color="auto"/>
              <w:right w:val="single" w:sz="4" w:space="0" w:color="auto"/>
            </w:tcBorders>
            <w:shd w:val="clear" w:color="auto" w:fill="auto"/>
            <w:noWrap/>
            <w:vAlign w:val="center"/>
            <w:hideMark/>
          </w:tcPr>
          <w:p w14:paraId="53C14D25"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0.50</w:t>
            </w:r>
          </w:p>
        </w:tc>
        <w:tc>
          <w:tcPr>
            <w:tcW w:w="378" w:type="dxa"/>
            <w:tcBorders>
              <w:top w:val="nil"/>
              <w:left w:val="nil"/>
              <w:bottom w:val="single" w:sz="4" w:space="0" w:color="auto"/>
              <w:right w:val="single" w:sz="4" w:space="0" w:color="auto"/>
            </w:tcBorders>
            <w:shd w:val="clear" w:color="auto" w:fill="auto"/>
            <w:noWrap/>
            <w:vAlign w:val="center"/>
            <w:hideMark/>
          </w:tcPr>
          <w:p w14:paraId="53C14D26"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D27"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D28"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0.50</w:t>
            </w:r>
          </w:p>
        </w:tc>
      </w:tr>
      <w:tr w:rsidR="00657AD4" w:rsidRPr="00657AD4" w14:paraId="53C14D4B"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4D2A" w14:textId="77777777" w:rsidR="00235072" w:rsidRPr="007904CB" w:rsidRDefault="00235072" w:rsidP="00235072">
            <w:pPr>
              <w:spacing w:after="0"/>
              <w:jc w:val="left"/>
              <w:rPr>
                <w:rFonts w:ascii="Arial Narrow" w:hAnsi="Arial Narrow"/>
                <w:sz w:val="18"/>
                <w:szCs w:val="18"/>
                <w:lang w:eastAsia="en-AU"/>
              </w:rPr>
            </w:pPr>
          </w:p>
        </w:tc>
        <w:tc>
          <w:tcPr>
            <w:tcW w:w="1073" w:type="dxa"/>
            <w:tcBorders>
              <w:top w:val="nil"/>
              <w:left w:val="single" w:sz="4" w:space="0" w:color="auto"/>
              <w:bottom w:val="single" w:sz="4" w:space="0" w:color="auto"/>
              <w:right w:val="single" w:sz="4" w:space="0" w:color="auto"/>
            </w:tcBorders>
            <w:shd w:val="clear" w:color="auto" w:fill="auto"/>
            <w:vAlign w:val="center"/>
          </w:tcPr>
          <w:p w14:paraId="53C14D2B" w14:textId="77777777" w:rsidR="00235072" w:rsidRPr="007904CB" w:rsidRDefault="00235072" w:rsidP="00C60606">
            <w:pPr>
              <w:jc w:val="center"/>
              <w:rPr>
                <w:rFonts w:ascii="Arial Narrow" w:hAnsi="Arial Narrow"/>
                <w:sz w:val="18"/>
                <w:szCs w:val="18"/>
              </w:rPr>
            </w:pPr>
            <w:r w:rsidRPr="007904CB">
              <w:rPr>
                <w:rFonts w:ascii="Arial Narrow" w:hAnsi="Arial Narrow"/>
                <w:sz w:val="18"/>
                <w:szCs w:val="18"/>
              </w:rPr>
              <w:t>Fitzroy West LTMP</w:t>
            </w:r>
          </w:p>
        </w:tc>
        <w:tc>
          <w:tcPr>
            <w:tcW w:w="283" w:type="dxa"/>
            <w:tcBorders>
              <w:top w:val="nil"/>
              <w:left w:val="nil"/>
              <w:bottom w:val="single" w:sz="4" w:space="0" w:color="auto"/>
              <w:right w:val="single" w:sz="4" w:space="0" w:color="auto"/>
            </w:tcBorders>
            <w:shd w:val="clear" w:color="auto" w:fill="auto"/>
            <w:noWrap/>
            <w:vAlign w:val="bottom"/>
            <w:hideMark/>
          </w:tcPr>
          <w:p w14:paraId="53C14D2C"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5</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4D2D"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1.19</w:t>
            </w:r>
          </w:p>
        </w:tc>
        <w:tc>
          <w:tcPr>
            <w:tcW w:w="378" w:type="dxa"/>
            <w:tcBorders>
              <w:top w:val="nil"/>
              <w:left w:val="nil"/>
              <w:bottom w:val="single" w:sz="4" w:space="0" w:color="auto"/>
              <w:right w:val="single" w:sz="4" w:space="0" w:color="auto"/>
            </w:tcBorders>
            <w:shd w:val="clear" w:color="auto" w:fill="auto"/>
            <w:noWrap/>
            <w:vAlign w:val="center"/>
            <w:hideMark/>
          </w:tcPr>
          <w:p w14:paraId="53C14D2E" w14:textId="77777777" w:rsidR="00235072" w:rsidRPr="00C60606" w:rsidRDefault="00235072"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2F"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0.10</w:t>
            </w:r>
          </w:p>
        </w:tc>
        <w:tc>
          <w:tcPr>
            <w:tcW w:w="378" w:type="dxa"/>
            <w:tcBorders>
              <w:top w:val="nil"/>
              <w:left w:val="nil"/>
              <w:bottom w:val="single" w:sz="4" w:space="0" w:color="auto"/>
              <w:right w:val="single" w:sz="4" w:space="0" w:color="auto"/>
            </w:tcBorders>
            <w:shd w:val="clear" w:color="auto" w:fill="auto"/>
            <w:noWrap/>
            <w:vAlign w:val="center"/>
            <w:hideMark/>
          </w:tcPr>
          <w:p w14:paraId="53C14D30"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0.03</w:t>
            </w:r>
          </w:p>
        </w:tc>
        <w:tc>
          <w:tcPr>
            <w:tcW w:w="378" w:type="dxa"/>
            <w:tcBorders>
              <w:top w:val="nil"/>
              <w:left w:val="nil"/>
              <w:bottom w:val="single" w:sz="4" w:space="0" w:color="auto"/>
              <w:right w:val="single" w:sz="4" w:space="0" w:color="auto"/>
            </w:tcBorders>
            <w:shd w:val="clear" w:color="auto" w:fill="auto"/>
            <w:noWrap/>
            <w:vAlign w:val="center"/>
            <w:hideMark/>
          </w:tcPr>
          <w:p w14:paraId="53C14D31"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0.07</w:t>
            </w:r>
          </w:p>
        </w:tc>
        <w:tc>
          <w:tcPr>
            <w:tcW w:w="378" w:type="dxa"/>
            <w:tcBorders>
              <w:top w:val="nil"/>
              <w:left w:val="nil"/>
              <w:bottom w:val="single" w:sz="4" w:space="0" w:color="auto"/>
              <w:right w:val="single" w:sz="4" w:space="0" w:color="auto"/>
            </w:tcBorders>
            <w:shd w:val="clear" w:color="auto" w:fill="auto"/>
            <w:noWrap/>
            <w:vAlign w:val="center"/>
            <w:hideMark/>
          </w:tcPr>
          <w:p w14:paraId="53C14D32"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0.48</w:t>
            </w:r>
          </w:p>
        </w:tc>
        <w:tc>
          <w:tcPr>
            <w:tcW w:w="378" w:type="dxa"/>
            <w:tcBorders>
              <w:top w:val="nil"/>
              <w:left w:val="nil"/>
              <w:bottom w:val="single" w:sz="4" w:space="0" w:color="auto"/>
              <w:right w:val="single" w:sz="4" w:space="0" w:color="auto"/>
            </w:tcBorders>
            <w:shd w:val="clear" w:color="auto" w:fill="auto"/>
            <w:noWrap/>
            <w:vAlign w:val="center"/>
            <w:hideMark/>
          </w:tcPr>
          <w:p w14:paraId="53C14D33"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0.03</w:t>
            </w:r>
          </w:p>
        </w:tc>
        <w:tc>
          <w:tcPr>
            <w:tcW w:w="378" w:type="dxa"/>
            <w:tcBorders>
              <w:top w:val="nil"/>
              <w:left w:val="nil"/>
              <w:bottom w:val="single" w:sz="4" w:space="0" w:color="auto"/>
              <w:right w:val="single" w:sz="4" w:space="0" w:color="auto"/>
            </w:tcBorders>
            <w:shd w:val="clear" w:color="auto" w:fill="auto"/>
            <w:noWrap/>
            <w:vAlign w:val="center"/>
            <w:hideMark/>
          </w:tcPr>
          <w:p w14:paraId="53C14D34"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0.03</w:t>
            </w:r>
          </w:p>
        </w:tc>
        <w:tc>
          <w:tcPr>
            <w:tcW w:w="378" w:type="dxa"/>
            <w:tcBorders>
              <w:top w:val="nil"/>
              <w:left w:val="nil"/>
              <w:bottom w:val="single" w:sz="4" w:space="0" w:color="auto"/>
              <w:right w:val="single" w:sz="4" w:space="0" w:color="auto"/>
            </w:tcBorders>
            <w:shd w:val="clear" w:color="auto" w:fill="auto"/>
            <w:noWrap/>
            <w:vAlign w:val="center"/>
            <w:hideMark/>
          </w:tcPr>
          <w:p w14:paraId="53C14D35"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0.26</w:t>
            </w:r>
          </w:p>
        </w:tc>
        <w:tc>
          <w:tcPr>
            <w:tcW w:w="378" w:type="dxa"/>
            <w:tcBorders>
              <w:top w:val="nil"/>
              <w:left w:val="nil"/>
              <w:bottom w:val="single" w:sz="4" w:space="0" w:color="auto"/>
              <w:right w:val="single" w:sz="4" w:space="0" w:color="auto"/>
            </w:tcBorders>
            <w:shd w:val="clear" w:color="auto" w:fill="auto"/>
            <w:noWrap/>
            <w:vAlign w:val="center"/>
            <w:hideMark/>
          </w:tcPr>
          <w:p w14:paraId="53C14D36"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0.79</w:t>
            </w:r>
          </w:p>
        </w:tc>
        <w:tc>
          <w:tcPr>
            <w:tcW w:w="378" w:type="dxa"/>
            <w:tcBorders>
              <w:top w:val="nil"/>
              <w:left w:val="nil"/>
              <w:bottom w:val="single" w:sz="4" w:space="0" w:color="auto"/>
              <w:right w:val="single" w:sz="4" w:space="0" w:color="auto"/>
            </w:tcBorders>
            <w:shd w:val="clear" w:color="auto" w:fill="auto"/>
            <w:noWrap/>
            <w:vAlign w:val="center"/>
            <w:hideMark/>
          </w:tcPr>
          <w:p w14:paraId="53C14D37"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0.03</w:t>
            </w:r>
          </w:p>
        </w:tc>
        <w:tc>
          <w:tcPr>
            <w:tcW w:w="378" w:type="dxa"/>
            <w:tcBorders>
              <w:top w:val="nil"/>
              <w:left w:val="nil"/>
              <w:bottom w:val="single" w:sz="4" w:space="0" w:color="auto"/>
              <w:right w:val="single" w:sz="4" w:space="0" w:color="auto"/>
            </w:tcBorders>
            <w:shd w:val="clear" w:color="auto" w:fill="auto"/>
            <w:noWrap/>
            <w:vAlign w:val="center"/>
            <w:hideMark/>
          </w:tcPr>
          <w:p w14:paraId="53C14D38"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0.16</w:t>
            </w:r>
          </w:p>
        </w:tc>
        <w:tc>
          <w:tcPr>
            <w:tcW w:w="378" w:type="dxa"/>
            <w:tcBorders>
              <w:top w:val="nil"/>
              <w:left w:val="nil"/>
              <w:bottom w:val="single" w:sz="4" w:space="0" w:color="auto"/>
              <w:right w:val="single" w:sz="4" w:space="0" w:color="auto"/>
            </w:tcBorders>
            <w:shd w:val="clear" w:color="auto" w:fill="auto"/>
            <w:noWrap/>
            <w:vAlign w:val="center"/>
            <w:hideMark/>
          </w:tcPr>
          <w:p w14:paraId="53C14D39" w14:textId="77777777" w:rsidR="00235072" w:rsidRPr="00C60606" w:rsidRDefault="00235072"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3A"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1.12</w:t>
            </w:r>
          </w:p>
        </w:tc>
        <w:tc>
          <w:tcPr>
            <w:tcW w:w="378" w:type="dxa"/>
            <w:tcBorders>
              <w:top w:val="nil"/>
              <w:left w:val="nil"/>
              <w:bottom w:val="single" w:sz="4" w:space="0" w:color="auto"/>
              <w:right w:val="single" w:sz="4" w:space="0" w:color="auto"/>
            </w:tcBorders>
            <w:shd w:val="clear" w:color="auto" w:fill="auto"/>
            <w:noWrap/>
            <w:vAlign w:val="center"/>
            <w:hideMark/>
          </w:tcPr>
          <w:p w14:paraId="53C14D3B"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0.26</w:t>
            </w:r>
          </w:p>
        </w:tc>
        <w:tc>
          <w:tcPr>
            <w:tcW w:w="378" w:type="dxa"/>
            <w:tcBorders>
              <w:top w:val="nil"/>
              <w:left w:val="nil"/>
              <w:bottom w:val="single" w:sz="4" w:space="0" w:color="auto"/>
              <w:right w:val="single" w:sz="4" w:space="0" w:color="auto"/>
            </w:tcBorders>
            <w:shd w:val="clear" w:color="auto" w:fill="auto"/>
            <w:noWrap/>
            <w:vAlign w:val="center"/>
            <w:hideMark/>
          </w:tcPr>
          <w:p w14:paraId="53C14D3C"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1.19</w:t>
            </w:r>
          </w:p>
        </w:tc>
        <w:tc>
          <w:tcPr>
            <w:tcW w:w="378" w:type="dxa"/>
            <w:tcBorders>
              <w:top w:val="nil"/>
              <w:left w:val="nil"/>
              <w:bottom w:val="single" w:sz="4" w:space="0" w:color="auto"/>
              <w:right w:val="single" w:sz="4" w:space="0" w:color="auto"/>
            </w:tcBorders>
            <w:shd w:val="clear" w:color="auto" w:fill="auto"/>
            <w:noWrap/>
            <w:vAlign w:val="center"/>
            <w:hideMark/>
          </w:tcPr>
          <w:p w14:paraId="53C14D3D"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0.20</w:t>
            </w:r>
          </w:p>
        </w:tc>
        <w:tc>
          <w:tcPr>
            <w:tcW w:w="378" w:type="dxa"/>
            <w:tcBorders>
              <w:top w:val="nil"/>
              <w:left w:val="nil"/>
              <w:bottom w:val="single" w:sz="4" w:space="0" w:color="auto"/>
              <w:right w:val="single" w:sz="4" w:space="0" w:color="auto"/>
            </w:tcBorders>
            <w:shd w:val="clear" w:color="auto" w:fill="auto"/>
            <w:noWrap/>
            <w:vAlign w:val="center"/>
            <w:hideMark/>
          </w:tcPr>
          <w:p w14:paraId="53C14D3E"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0.03</w:t>
            </w:r>
          </w:p>
        </w:tc>
        <w:tc>
          <w:tcPr>
            <w:tcW w:w="378" w:type="dxa"/>
            <w:tcBorders>
              <w:top w:val="nil"/>
              <w:left w:val="nil"/>
              <w:bottom w:val="single" w:sz="4" w:space="0" w:color="auto"/>
              <w:right w:val="single" w:sz="4" w:space="0" w:color="auto"/>
            </w:tcBorders>
            <w:shd w:val="clear" w:color="auto" w:fill="auto"/>
            <w:noWrap/>
            <w:vAlign w:val="center"/>
            <w:hideMark/>
          </w:tcPr>
          <w:p w14:paraId="53C14D3F"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1.33</w:t>
            </w:r>
          </w:p>
        </w:tc>
        <w:tc>
          <w:tcPr>
            <w:tcW w:w="378" w:type="dxa"/>
            <w:tcBorders>
              <w:top w:val="nil"/>
              <w:left w:val="nil"/>
              <w:bottom w:val="single" w:sz="4" w:space="0" w:color="auto"/>
              <w:right w:val="single" w:sz="4" w:space="0" w:color="auto"/>
            </w:tcBorders>
            <w:shd w:val="clear" w:color="auto" w:fill="auto"/>
            <w:noWrap/>
            <w:vAlign w:val="center"/>
            <w:hideMark/>
          </w:tcPr>
          <w:p w14:paraId="53C14D40"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0.07</w:t>
            </w:r>
          </w:p>
        </w:tc>
        <w:tc>
          <w:tcPr>
            <w:tcW w:w="378" w:type="dxa"/>
            <w:tcBorders>
              <w:top w:val="nil"/>
              <w:left w:val="nil"/>
              <w:bottom w:val="single" w:sz="4" w:space="0" w:color="auto"/>
              <w:right w:val="single" w:sz="4" w:space="0" w:color="auto"/>
            </w:tcBorders>
            <w:shd w:val="clear" w:color="auto" w:fill="auto"/>
            <w:noWrap/>
            <w:vAlign w:val="center"/>
            <w:hideMark/>
          </w:tcPr>
          <w:p w14:paraId="53C14D41"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0.32</w:t>
            </w:r>
          </w:p>
        </w:tc>
        <w:tc>
          <w:tcPr>
            <w:tcW w:w="378" w:type="dxa"/>
            <w:tcBorders>
              <w:top w:val="nil"/>
              <w:left w:val="nil"/>
              <w:bottom w:val="single" w:sz="4" w:space="0" w:color="auto"/>
              <w:right w:val="single" w:sz="4" w:space="0" w:color="auto"/>
            </w:tcBorders>
            <w:shd w:val="clear" w:color="auto" w:fill="auto"/>
            <w:noWrap/>
            <w:vAlign w:val="center"/>
            <w:hideMark/>
          </w:tcPr>
          <w:p w14:paraId="53C14D42"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0.17</w:t>
            </w:r>
          </w:p>
        </w:tc>
        <w:tc>
          <w:tcPr>
            <w:tcW w:w="378" w:type="dxa"/>
            <w:tcBorders>
              <w:top w:val="nil"/>
              <w:left w:val="nil"/>
              <w:bottom w:val="single" w:sz="4" w:space="0" w:color="auto"/>
              <w:right w:val="single" w:sz="4" w:space="0" w:color="auto"/>
            </w:tcBorders>
            <w:shd w:val="clear" w:color="auto" w:fill="auto"/>
            <w:noWrap/>
            <w:vAlign w:val="center"/>
            <w:hideMark/>
          </w:tcPr>
          <w:p w14:paraId="53C14D43" w14:textId="77777777" w:rsidR="00235072" w:rsidRPr="00C60606" w:rsidRDefault="00235072"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44"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0.20</w:t>
            </w:r>
          </w:p>
        </w:tc>
        <w:tc>
          <w:tcPr>
            <w:tcW w:w="378" w:type="dxa"/>
            <w:tcBorders>
              <w:top w:val="nil"/>
              <w:left w:val="nil"/>
              <w:bottom w:val="single" w:sz="4" w:space="0" w:color="auto"/>
              <w:right w:val="single" w:sz="4" w:space="0" w:color="auto"/>
            </w:tcBorders>
            <w:shd w:val="clear" w:color="auto" w:fill="auto"/>
            <w:noWrap/>
            <w:vAlign w:val="center"/>
            <w:hideMark/>
          </w:tcPr>
          <w:p w14:paraId="53C14D45"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0.07</w:t>
            </w:r>
          </w:p>
        </w:tc>
        <w:tc>
          <w:tcPr>
            <w:tcW w:w="378" w:type="dxa"/>
            <w:tcBorders>
              <w:top w:val="nil"/>
              <w:left w:val="nil"/>
              <w:bottom w:val="single" w:sz="4" w:space="0" w:color="auto"/>
              <w:right w:val="single" w:sz="4" w:space="0" w:color="auto"/>
            </w:tcBorders>
            <w:shd w:val="clear" w:color="auto" w:fill="auto"/>
            <w:noWrap/>
            <w:vAlign w:val="center"/>
            <w:hideMark/>
          </w:tcPr>
          <w:p w14:paraId="53C14D46"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12.18</w:t>
            </w:r>
          </w:p>
        </w:tc>
        <w:tc>
          <w:tcPr>
            <w:tcW w:w="378" w:type="dxa"/>
            <w:tcBorders>
              <w:top w:val="nil"/>
              <w:left w:val="nil"/>
              <w:bottom w:val="single" w:sz="4" w:space="0" w:color="auto"/>
              <w:right w:val="single" w:sz="4" w:space="0" w:color="auto"/>
            </w:tcBorders>
            <w:shd w:val="clear" w:color="auto" w:fill="auto"/>
            <w:noWrap/>
            <w:vAlign w:val="center"/>
            <w:hideMark/>
          </w:tcPr>
          <w:p w14:paraId="53C14D47" w14:textId="77777777" w:rsidR="00235072" w:rsidRPr="00C60606" w:rsidRDefault="00235072"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48" w14:textId="77777777" w:rsidR="00235072" w:rsidRPr="00C60606" w:rsidRDefault="00235072"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49"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0.07</w:t>
            </w:r>
          </w:p>
        </w:tc>
        <w:tc>
          <w:tcPr>
            <w:tcW w:w="378" w:type="dxa"/>
            <w:tcBorders>
              <w:top w:val="nil"/>
              <w:left w:val="nil"/>
              <w:bottom w:val="single" w:sz="4" w:space="0" w:color="auto"/>
              <w:right w:val="single" w:sz="4" w:space="0" w:color="auto"/>
            </w:tcBorders>
            <w:shd w:val="clear" w:color="auto" w:fill="auto"/>
            <w:noWrap/>
            <w:vAlign w:val="center"/>
            <w:hideMark/>
          </w:tcPr>
          <w:p w14:paraId="53C14D4A" w14:textId="77777777" w:rsidR="00235072" w:rsidRPr="00C60606" w:rsidRDefault="00235072" w:rsidP="00235072">
            <w:pPr>
              <w:jc w:val="center"/>
              <w:rPr>
                <w:rFonts w:ascii="Arial Narrow" w:hAnsi="Arial Narrow"/>
                <w:sz w:val="16"/>
                <w:szCs w:val="16"/>
              </w:rPr>
            </w:pPr>
            <w:r w:rsidRPr="00C60606">
              <w:rPr>
                <w:rFonts w:ascii="Arial Narrow" w:hAnsi="Arial Narrow"/>
                <w:sz w:val="16"/>
                <w:szCs w:val="16"/>
              </w:rPr>
              <w:t>0.36</w:t>
            </w:r>
          </w:p>
        </w:tc>
      </w:tr>
      <w:tr w:rsidR="007904CB" w:rsidRPr="00657AD4" w14:paraId="53C14D6D" w14:textId="77777777" w:rsidTr="00C60606">
        <w:trPr>
          <w:cantSplit/>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4D4C" w14:textId="77777777" w:rsidR="007904CB" w:rsidRPr="007904CB" w:rsidRDefault="007904CB" w:rsidP="00235072">
            <w:pPr>
              <w:spacing w:after="0"/>
              <w:jc w:val="left"/>
              <w:rPr>
                <w:rFonts w:ascii="Arial Narrow" w:hAnsi="Arial Narrow"/>
                <w:sz w:val="18"/>
                <w:szCs w:val="18"/>
                <w:lang w:eastAsia="en-AU"/>
              </w:rPr>
            </w:pPr>
          </w:p>
        </w:tc>
        <w:tc>
          <w:tcPr>
            <w:tcW w:w="1073" w:type="dxa"/>
            <w:vMerge w:val="restart"/>
            <w:tcBorders>
              <w:top w:val="nil"/>
              <w:left w:val="single" w:sz="4" w:space="0" w:color="auto"/>
              <w:right w:val="single" w:sz="4" w:space="0" w:color="auto"/>
            </w:tcBorders>
            <w:shd w:val="clear" w:color="auto" w:fill="auto"/>
            <w:noWrap/>
            <w:vAlign w:val="center"/>
          </w:tcPr>
          <w:p w14:paraId="53C14D4D" w14:textId="77777777" w:rsidR="007904CB" w:rsidRPr="007904CB" w:rsidRDefault="007904CB" w:rsidP="00C60606">
            <w:pPr>
              <w:jc w:val="center"/>
              <w:rPr>
                <w:rFonts w:ascii="Arial Narrow" w:hAnsi="Arial Narrow"/>
                <w:sz w:val="18"/>
                <w:szCs w:val="18"/>
              </w:rPr>
            </w:pPr>
            <w:r w:rsidRPr="007904CB">
              <w:rPr>
                <w:rFonts w:ascii="Arial Narrow" w:hAnsi="Arial Narrow"/>
                <w:sz w:val="18"/>
                <w:szCs w:val="18"/>
              </w:rPr>
              <w:t>Franklands East</w:t>
            </w:r>
          </w:p>
        </w:tc>
        <w:tc>
          <w:tcPr>
            <w:tcW w:w="283" w:type="dxa"/>
            <w:tcBorders>
              <w:top w:val="nil"/>
              <w:left w:val="nil"/>
              <w:bottom w:val="single" w:sz="4" w:space="0" w:color="auto"/>
              <w:right w:val="single" w:sz="4" w:space="0" w:color="auto"/>
            </w:tcBorders>
            <w:shd w:val="clear" w:color="auto" w:fill="auto"/>
            <w:noWrap/>
            <w:vAlign w:val="bottom"/>
            <w:hideMark/>
          </w:tcPr>
          <w:p w14:paraId="53C14D4E"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2</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4D4F"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25.38</w:t>
            </w:r>
          </w:p>
        </w:tc>
        <w:tc>
          <w:tcPr>
            <w:tcW w:w="378" w:type="dxa"/>
            <w:tcBorders>
              <w:top w:val="nil"/>
              <w:left w:val="nil"/>
              <w:bottom w:val="single" w:sz="4" w:space="0" w:color="auto"/>
              <w:right w:val="single" w:sz="4" w:space="0" w:color="auto"/>
            </w:tcBorders>
            <w:shd w:val="clear" w:color="auto" w:fill="auto"/>
            <w:noWrap/>
            <w:vAlign w:val="center"/>
            <w:hideMark/>
          </w:tcPr>
          <w:p w14:paraId="53C14D50"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51"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52"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4D53"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54"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1.13</w:t>
            </w:r>
          </w:p>
        </w:tc>
        <w:tc>
          <w:tcPr>
            <w:tcW w:w="378" w:type="dxa"/>
            <w:tcBorders>
              <w:top w:val="nil"/>
              <w:left w:val="nil"/>
              <w:bottom w:val="single" w:sz="4" w:space="0" w:color="auto"/>
              <w:right w:val="single" w:sz="4" w:space="0" w:color="auto"/>
            </w:tcBorders>
            <w:shd w:val="clear" w:color="auto" w:fill="auto"/>
            <w:noWrap/>
            <w:vAlign w:val="center"/>
            <w:hideMark/>
          </w:tcPr>
          <w:p w14:paraId="53C14D55"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4D56"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4D57"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58"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D59"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D5A"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D5B"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0.50</w:t>
            </w:r>
          </w:p>
        </w:tc>
        <w:tc>
          <w:tcPr>
            <w:tcW w:w="378" w:type="dxa"/>
            <w:tcBorders>
              <w:top w:val="nil"/>
              <w:left w:val="nil"/>
              <w:bottom w:val="single" w:sz="4" w:space="0" w:color="auto"/>
              <w:right w:val="single" w:sz="4" w:space="0" w:color="auto"/>
            </w:tcBorders>
            <w:shd w:val="clear" w:color="auto" w:fill="auto"/>
            <w:noWrap/>
            <w:vAlign w:val="center"/>
            <w:hideMark/>
          </w:tcPr>
          <w:p w14:paraId="53C14D5C"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5D"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5E"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18.44</w:t>
            </w:r>
          </w:p>
        </w:tc>
        <w:tc>
          <w:tcPr>
            <w:tcW w:w="378" w:type="dxa"/>
            <w:tcBorders>
              <w:top w:val="nil"/>
              <w:left w:val="nil"/>
              <w:bottom w:val="single" w:sz="4" w:space="0" w:color="auto"/>
              <w:right w:val="single" w:sz="4" w:space="0" w:color="auto"/>
            </w:tcBorders>
            <w:shd w:val="clear" w:color="auto" w:fill="auto"/>
            <w:noWrap/>
            <w:vAlign w:val="center"/>
            <w:hideMark/>
          </w:tcPr>
          <w:p w14:paraId="53C14D5F"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60"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61"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62"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63"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64"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D65"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66"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1.00</w:t>
            </w:r>
          </w:p>
        </w:tc>
        <w:tc>
          <w:tcPr>
            <w:tcW w:w="378" w:type="dxa"/>
            <w:tcBorders>
              <w:top w:val="nil"/>
              <w:left w:val="nil"/>
              <w:bottom w:val="single" w:sz="4" w:space="0" w:color="auto"/>
              <w:right w:val="single" w:sz="4" w:space="0" w:color="auto"/>
            </w:tcBorders>
            <w:shd w:val="clear" w:color="auto" w:fill="auto"/>
            <w:noWrap/>
            <w:vAlign w:val="center"/>
            <w:hideMark/>
          </w:tcPr>
          <w:p w14:paraId="53C14D67"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68"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1.69</w:t>
            </w:r>
          </w:p>
        </w:tc>
        <w:tc>
          <w:tcPr>
            <w:tcW w:w="378" w:type="dxa"/>
            <w:tcBorders>
              <w:top w:val="nil"/>
              <w:left w:val="nil"/>
              <w:bottom w:val="single" w:sz="4" w:space="0" w:color="auto"/>
              <w:right w:val="single" w:sz="4" w:space="0" w:color="auto"/>
            </w:tcBorders>
            <w:shd w:val="clear" w:color="auto" w:fill="auto"/>
            <w:noWrap/>
            <w:vAlign w:val="center"/>
            <w:hideMark/>
          </w:tcPr>
          <w:p w14:paraId="53C14D69"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6A"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6B"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6C"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0.31</w:t>
            </w:r>
          </w:p>
        </w:tc>
      </w:tr>
      <w:tr w:rsidR="007904CB" w:rsidRPr="00657AD4" w14:paraId="53C14D8F"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4D6E" w14:textId="77777777" w:rsidR="007904CB" w:rsidRPr="007904CB" w:rsidRDefault="007904CB" w:rsidP="00235072">
            <w:pPr>
              <w:spacing w:after="0"/>
              <w:jc w:val="left"/>
              <w:rPr>
                <w:rFonts w:ascii="Arial Narrow" w:hAnsi="Arial Narrow"/>
                <w:sz w:val="18"/>
                <w:szCs w:val="18"/>
                <w:lang w:eastAsia="en-AU"/>
              </w:rPr>
            </w:pPr>
          </w:p>
        </w:tc>
        <w:tc>
          <w:tcPr>
            <w:tcW w:w="1073" w:type="dxa"/>
            <w:vMerge/>
            <w:tcBorders>
              <w:left w:val="single" w:sz="4" w:space="0" w:color="auto"/>
              <w:bottom w:val="single" w:sz="4" w:space="0" w:color="auto"/>
              <w:right w:val="single" w:sz="4" w:space="0" w:color="auto"/>
            </w:tcBorders>
            <w:shd w:val="clear" w:color="auto" w:fill="auto"/>
            <w:vAlign w:val="center"/>
          </w:tcPr>
          <w:p w14:paraId="53C14D6F" w14:textId="77777777" w:rsidR="007904CB" w:rsidRPr="007904CB" w:rsidRDefault="007904CB" w:rsidP="00C60606">
            <w:pPr>
              <w:jc w:val="center"/>
              <w:rPr>
                <w:rFonts w:ascii="Arial Narrow" w:hAnsi="Arial Narrow"/>
                <w:sz w:val="18"/>
                <w:szCs w:val="18"/>
              </w:rPr>
            </w:pPr>
          </w:p>
        </w:tc>
        <w:tc>
          <w:tcPr>
            <w:tcW w:w="283" w:type="dxa"/>
            <w:tcBorders>
              <w:top w:val="nil"/>
              <w:left w:val="nil"/>
              <w:bottom w:val="single" w:sz="4" w:space="0" w:color="auto"/>
              <w:right w:val="single" w:sz="4" w:space="0" w:color="auto"/>
            </w:tcBorders>
            <w:shd w:val="clear" w:color="auto" w:fill="auto"/>
            <w:noWrap/>
            <w:vAlign w:val="bottom"/>
            <w:hideMark/>
          </w:tcPr>
          <w:p w14:paraId="53C14D70"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5</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4D71"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33.75</w:t>
            </w:r>
          </w:p>
        </w:tc>
        <w:tc>
          <w:tcPr>
            <w:tcW w:w="378" w:type="dxa"/>
            <w:tcBorders>
              <w:top w:val="nil"/>
              <w:left w:val="nil"/>
              <w:bottom w:val="single" w:sz="4" w:space="0" w:color="auto"/>
              <w:right w:val="single" w:sz="4" w:space="0" w:color="auto"/>
            </w:tcBorders>
            <w:shd w:val="clear" w:color="auto" w:fill="auto"/>
            <w:noWrap/>
            <w:vAlign w:val="center"/>
            <w:hideMark/>
          </w:tcPr>
          <w:p w14:paraId="53C14D72"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73"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D74"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D75"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76"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77"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D78"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D79"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7A"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0.31</w:t>
            </w:r>
          </w:p>
        </w:tc>
        <w:tc>
          <w:tcPr>
            <w:tcW w:w="378" w:type="dxa"/>
            <w:tcBorders>
              <w:top w:val="nil"/>
              <w:left w:val="nil"/>
              <w:bottom w:val="single" w:sz="4" w:space="0" w:color="auto"/>
              <w:right w:val="single" w:sz="4" w:space="0" w:color="auto"/>
            </w:tcBorders>
            <w:shd w:val="clear" w:color="auto" w:fill="auto"/>
            <w:noWrap/>
            <w:vAlign w:val="center"/>
            <w:hideMark/>
          </w:tcPr>
          <w:p w14:paraId="53C14D7B"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7C"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7D"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7E"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D7F"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4D80"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2.63</w:t>
            </w:r>
          </w:p>
        </w:tc>
        <w:tc>
          <w:tcPr>
            <w:tcW w:w="378" w:type="dxa"/>
            <w:tcBorders>
              <w:top w:val="nil"/>
              <w:left w:val="nil"/>
              <w:bottom w:val="single" w:sz="4" w:space="0" w:color="auto"/>
              <w:right w:val="single" w:sz="4" w:space="0" w:color="auto"/>
            </w:tcBorders>
            <w:shd w:val="clear" w:color="auto" w:fill="auto"/>
            <w:noWrap/>
            <w:vAlign w:val="center"/>
            <w:hideMark/>
          </w:tcPr>
          <w:p w14:paraId="53C14D81"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82"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83"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84"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85"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D86"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4D87"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88"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89"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8A"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3.88</w:t>
            </w:r>
          </w:p>
        </w:tc>
        <w:tc>
          <w:tcPr>
            <w:tcW w:w="378" w:type="dxa"/>
            <w:tcBorders>
              <w:top w:val="nil"/>
              <w:left w:val="nil"/>
              <w:bottom w:val="single" w:sz="4" w:space="0" w:color="auto"/>
              <w:right w:val="single" w:sz="4" w:space="0" w:color="auto"/>
            </w:tcBorders>
            <w:shd w:val="clear" w:color="auto" w:fill="auto"/>
            <w:noWrap/>
            <w:vAlign w:val="center"/>
            <w:hideMark/>
          </w:tcPr>
          <w:p w14:paraId="53C14D8B"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8C"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D8D"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4D8E"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0.19</w:t>
            </w:r>
          </w:p>
        </w:tc>
      </w:tr>
      <w:tr w:rsidR="007904CB" w:rsidRPr="00657AD4" w14:paraId="53C14DB1"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4D90" w14:textId="77777777" w:rsidR="007904CB" w:rsidRPr="007904CB" w:rsidRDefault="007904CB" w:rsidP="00235072">
            <w:pPr>
              <w:spacing w:after="0"/>
              <w:jc w:val="left"/>
              <w:rPr>
                <w:rFonts w:ascii="Arial Narrow" w:hAnsi="Arial Narrow"/>
                <w:sz w:val="18"/>
                <w:szCs w:val="18"/>
                <w:lang w:eastAsia="en-AU"/>
              </w:rPr>
            </w:pPr>
          </w:p>
        </w:tc>
        <w:tc>
          <w:tcPr>
            <w:tcW w:w="1073" w:type="dxa"/>
            <w:vMerge w:val="restart"/>
            <w:tcBorders>
              <w:top w:val="nil"/>
              <w:left w:val="single" w:sz="4" w:space="0" w:color="auto"/>
              <w:right w:val="single" w:sz="4" w:space="0" w:color="auto"/>
            </w:tcBorders>
            <w:shd w:val="clear" w:color="auto" w:fill="auto"/>
            <w:noWrap/>
            <w:vAlign w:val="center"/>
          </w:tcPr>
          <w:p w14:paraId="53C14D91" w14:textId="77777777" w:rsidR="007904CB" w:rsidRPr="007904CB" w:rsidRDefault="007904CB" w:rsidP="00C60606">
            <w:pPr>
              <w:jc w:val="center"/>
              <w:rPr>
                <w:rFonts w:ascii="Arial Narrow" w:hAnsi="Arial Narrow"/>
                <w:sz w:val="18"/>
                <w:szCs w:val="18"/>
              </w:rPr>
            </w:pPr>
            <w:r w:rsidRPr="007904CB">
              <w:rPr>
                <w:rFonts w:ascii="Arial Narrow" w:hAnsi="Arial Narrow"/>
                <w:sz w:val="18"/>
                <w:szCs w:val="18"/>
              </w:rPr>
              <w:t>Franklands West</w:t>
            </w:r>
          </w:p>
        </w:tc>
        <w:tc>
          <w:tcPr>
            <w:tcW w:w="283" w:type="dxa"/>
            <w:tcBorders>
              <w:top w:val="nil"/>
              <w:left w:val="nil"/>
              <w:bottom w:val="single" w:sz="4" w:space="0" w:color="auto"/>
              <w:right w:val="single" w:sz="4" w:space="0" w:color="auto"/>
            </w:tcBorders>
            <w:shd w:val="clear" w:color="auto" w:fill="auto"/>
            <w:noWrap/>
            <w:vAlign w:val="bottom"/>
            <w:hideMark/>
          </w:tcPr>
          <w:p w14:paraId="53C14D92"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2</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4D93"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4.00</w:t>
            </w:r>
          </w:p>
        </w:tc>
        <w:tc>
          <w:tcPr>
            <w:tcW w:w="378" w:type="dxa"/>
            <w:tcBorders>
              <w:top w:val="nil"/>
              <w:left w:val="nil"/>
              <w:bottom w:val="single" w:sz="4" w:space="0" w:color="auto"/>
              <w:right w:val="single" w:sz="4" w:space="0" w:color="auto"/>
            </w:tcBorders>
            <w:shd w:val="clear" w:color="auto" w:fill="auto"/>
            <w:noWrap/>
            <w:vAlign w:val="center"/>
            <w:hideMark/>
          </w:tcPr>
          <w:p w14:paraId="53C14D94"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95"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96"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97"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98"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99"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9A"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D9B"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4D9C"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0.31</w:t>
            </w:r>
          </w:p>
        </w:tc>
        <w:tc>
          <w:tcPr>
            <w:tcW w:w="378" w:type="dxa"/>
            <w:tcBorders>
              <w:top w:val="nil"/>
              <w:left w:val="nil"/>
              <w:bottom w:val="single" w:sz="4" w:space="0" w:color="auto"/>
              <w:right w:val="single" w:sz="4" w:space="0" w:color="auto"/>
            </w:tcBorders>
            <w:shd w:val="clear" w:color="auto" w:fill="auto"/>
            <w:noWrap/>
            <w:vAlign w:val="center"/>
            <w:hideMark/>
          </w:tcPr>
          <w:p w14:paraId="53C14D9D"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9E"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1.81</w:t>
            </w:r>
          </w:p>
        </w:tc>
        <w:tc>
          <w:tcPr>
            <w:tcW w:w="378" w:type="dxa"/>
            <w:tcBorders>
              <w:top w:val="nil"/>
              <w:left w:val="nil"/>
              <w:bottom w:val="single" w:sz="4" w:space="0" w:color="auto"/>
              <w:right w:val="single" w:sz="4" w:space="0" w:color="auto"/>
            </w:tcBorders>
            <w:shd w:val="clear" w:color="auto" w:fill="auto"/>
            <w:noWrap/>
            <w:vAlign w:val="center"/>
            <w:hideMark/>
          </w:tcPr>
          <w:p w14:paraId="53C14D9F"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A0"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DA1"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A2"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4DA3"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A4"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A5"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4.69</w:t>
            </w:r>
          </w:p>
        </w:tc>
        <w:tc>
          <w:tcPr>
            <w:tcW w:w="378" w:type="dxa"/>
            <w:tcBorders>
              <w:top w:val="nil"/>
              <w:left w:val="nil"/>
              <w:bottom w:val="single" w:sz="4" w:space="0" w:color="auto"/>
              <w:right w:val="single" w:sz="4" w:space="0" w:color="auto"/>
            </w:tcBorders>
            <w:shd w:val="clear" w:color="auto" w:fill="auto"/>
            <w:noWrap/>
            <w:vAlign w:val="center"/>
            <w:hideMark/>
          </w:tcPr>
          <w:p w14:paraId="53C14DA6"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A7"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A8"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A9"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AA"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0.56</w:t>
            </w:r>
          </w:p>
        </w:tc>
        <w:tc>
          <w:tcPr>
            <w:tcW w:w="378" w:type="dxa"/>
            <w:tcBorders>
              <w:top w:val="nil"/>
              <w:left w:val="nil"/>
              <w:bottom w:val="single" w:sz="4" w:space="0" w:color="auto"/>
              <w:right w:val="single" w:sz="4" w:space="0" w:color="auto"/>
            </w:tcBorders>
            <w:shd w:val="clear" w:color="auto" w:fill="auto"/>
            <w:noWrap/>
            <w:vAlign w:val="center"/>
            <w:hideMark/>
          </w:tcPr>
          <w:p w14:paraId="53C14DAB"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AC"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28.69</w:t>
            </w:r>
          </w:p>
        </w:tc>
        <w:tc>
          <w:tcPr>
            <w:tcW w:w="378" w:type="dxa"/>
            <w:tcBorders>
              <w:top w:val="nil"/>
              <w:left w:val="nil"/>
              <w:bottom w:val="single" w:sz="4" w:space="0" w:color="auto"/>
              <w:right w:val="single" w:sz="4" w:space="0" w:color="auto"/>
            </w:tcBorders>
            <w:shd w:val="clear" w:color="auto" w:fill="auto"/>
            <w:noWrap/>
            <w:vAlign w:val="center"/>
            <w:hideMark/>
          </w:tcPr>
          <w:p w14:paraId="53C14DAD"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AE"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DAF"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B0"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0.38</w:t>
            </w:r>
          </w:p>
        </w:tc>
      </w:tr>
      <w:tr w:rsidR="007904CB" w:rsidRPr="00657AD4" w14:paraId="53C14DD3"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4DB2" w14:textId="77777777" w:rsidR="007904CB" w:rsidRPr="007904CB" w:rsidRDefault="007904CB" w:rsidP="00235072">
            <w:pPr>
              <w:spacing w:after="0"/>
              <w:jc w:val="left"/>
              <w:rPr>
                <w:rFonts w:ascii="Arial Narrow" w:hAnsi="Arial Narrow"/>
                <w:sz w:val="18"/>
                <w:szCs w:val="18"/>
                <w:lang w:eastAsia="en-AU"/>
              </w:rPr>
            </w:pPr>
          </w:p>
        </w:tc>
        <w:tc>
          <w:tcPr>
            <w:tcW w:w="1073" w:type="dxa"/>
            <w:vMerge/>
            <w:tcBorders>
              <w:left w:val="single" w:sz="4" w:space="0" w:color="auto"/>
              <w:bottom w:val="single" w:sz="4" w:space="0" w:color="auto"/>
              <w:right w:val="single" w:sz="4" w:space="0" w:color="auto"/>
            </w:tcBorders>
            <w:shd w:val="clear" w:color="auto" w:fill="auto"/>
            <w:vAlign w:val="center"/>
          </w:tcPr>
          <w:p w14:paraId="53C14DB3" w14:textId="77777777" w:rsidR="007904CB" w:rsidRPr="007904CB" w:rsidRDefault="007904CB" w:rsidP="00C60606">
            <w:pPr>
              <w:jc w:val="center"/>
              <w:rPr>
                <w:rFonts w:ascii="Arial Narrow" w:hAnsi="Arial Narrow"/>
                <w:sz w:val="18"/>
                <w:szCs w:val="18"/>
              </w:rPr>
            </w:pPr>
          </w:p>
        </w:tc>
        <w:tc>
          <w:tcPr>
            <w:tcW w:w="283" w:type="dxa"/>
            <w:tcBorders>
              <w:top w:val="nil"/>
              <w:left w:val="nil"/>
              <w:bottom w:val="single" w:sz="4" w:space="0" w:color="auto"/>
              <w:right w:val="single" w:sz="4" w:space="0" w:color="auto"/>
            </w:tcBorders>
            <w:shd w:val="clear" w:color="auto" w:fill="auto"/>
            <w:noWrap/>
            <w:vAlign w:val="bottom"/>
            <w:hideMark/>
          </w:tcPr>
          <w:p w14:paraId="53C14DB4"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5</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4DB5"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DB6"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B7"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B8"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B9"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BA"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0.31</w:t>
            </w:r>
          </w:p>
        </w:tc>
        <w:tc>
          <w:tcPr>
            <w:tcW w:w="378" w:type="dxa"/>
            <w:tcBorders>
              <w:top w:val="nil"/>
              <w:left w:val="nil"/>
              <w:bottom w:val="single" w:sz="4" w:space="0" w:color="auto"/>
              <w:right w:val="single" w:sz="4" w:space="0" w:color="auto"/>
            </w:tcBorders>
            <w:shd w:val="clear" w:color="auto" w:fill="auto"/>
            <w:noWrap/>
            <w:vAlign w:val="center"/>
            <w:hideMark/>
          </w:tcPr>
          <w:p w14:paraId="53C14DBB"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BC"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BD"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BE"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DBF"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C0"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C1"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C2"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C3"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C4"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C5"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C6"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C7"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1.94</w:t>
            </w:r>
          </w:p>
        </w:tc>
        <w:tc>
          <w:tcPr>
            <w:tcW w:w="378" w:type="dxa"/>
            <w:tcBorders>
              <w:top w:val="nil"/>
              <w:left w:val="nil"/>
              <w:bottom w:val="single" w:sz="4" w:space="0" w:color="auto"/>
              <w:right w:val="single" w:sz="4" w:space="0" w:color="auto"/>
            </w:tcBorders>
            <w:shd w:val="clear" w:color="auto" w:fill="auto"/>
            <w:noWrap/>
            <w:vAlign w:val="center"/>
            <w:hideMark/>
          </w:tcPr>
          <w:p w14:paraId="53C14DC8"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C9"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CA"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CB"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CC"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CD"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CE"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42.06</w:t>
            </w:r>
          </w:p>
        </w:tc>
        <w:tc>
          <w:tcPr>
            <w:tcW w:w="378" w:type="dxa"/>
            <w:tcBorders>
              <w:top w:val="nil"/>
              <w:left w:val="nil"/>
              <w:bottom w:val="single" w:sz="4" w:space="0" w:color="auto"/>
              <w:right w:val="single" w:sz="4" w:space="0" w:color="auto"/>
            </w:tcBorders>
            <w:shd w:val="clear" w:color="auto" w:fill="auto"/>
            <w:noWrap/>
            <w:vAlign w:val="center"/>
            <w:hideMark/>
          </w:tcPr>
          <w:p w14:paraId="53C14DCF"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D0"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D1"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D2"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0.25</w:t>
            </w:r>
          </w:p>
        </w:tc>
      </w:tr>
      <w:tr w:rsidR="007904CB" w:rsidRPr="00657AD4" w14:paraId="53C14DF5"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4DD4" w14:textId="77777777" w:rsidR="007904CB" w:rsidRPr="007904CB" w:rsidRDefault="007904CB" w:rsidP="00235072">
            <w:pPr>
              <w:spacing w:after="0"/>
              <w:jc w:val="left"/>
              <w:rPr>
                <w:rFonts w:ascii="Arial Narrow" w:hAnsi="Arial Narrow"/>
                <w:sz w:val="18"/>
                <w:szCs w:val="18"/>
                <w:lang w:eastAsia="en-AU"/>
              </w:rPr>
            </w:pPr>
          </w:p>
        </w:tc>
        <w:tc>
          <w:tcPr>
            <w:tcW w:w="1073" w:type="dxa"/>
            <w:vMerge w:val="restart"/>
            <w:tcBorders>
              <w:top w:val="nil"/>
              <w:left w:val="single" w:sz="4" w:space="0" w:color="auto"/>
              <w:right w:val="single" w:sz="4" w:space="0" w:color="auto"/>
            </w:tcBorders>
            <w:shd w:val="clear" w:color="auto" w:fill="auto"/>
            <w:noWrap/>
            <w:vAlign w:val="center"/>
          </w:tcPr>
          <w:p w14:paraId="53C14DD5" w14:textId="77777777" w:rsidR="007904CB" w:rsidRPr="007904CB" w:rsidRDefault="007904CB" w:rsidP="00C60606">
            <w:pPr>
              <w:jc w:val="center"/>
              <w:rPr>
                <w:rFonts w:ascii="Arial Narrow" w:hAnsi="Arial Narrow"/>
                <w:sz w:val="18"/>
                <w:szCs w:val="18"/>
              </w:rPr>
            </w:pPr>
            <w:r w:rsidRPr="007904CB">
              <w:rPr>
                <w:rFonts w:ascii="Arial Narrow" w:hAnsi="Arial Narrow"/>
                <w:sz w:val="18"/>
                <w:szCs w:val="18"/>
              </w:rPr>
              <w:t>High East</w:t>
            </w:r>
          </w:p>
        </w:tc>
        <w:tc>
          <w:tcPr>
            <w:tcW w:w="283" w:type="dxa"/>
            <w:tcBorders>
              <w:top w:val="nil"/>
              <w:left w:val="nil"/>
              <w:bottom w:val="single" w:sz="4" w:space="0" w:color="auto"/>
              <w:right w:val="single" w:sz="4" w:space="0" w:color="auto"/>
            </w:tcBorders>
            <w:shd w:val="clear" w:color="auto" w:fill="auto"/>
            <w:noWrap/>
            <w:vAlign w:val="bottom"/>
            <w:hideMark/>
          </w:tcPr>
          <w:p w14:paraId="53C14DD6"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2</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4DD7"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29.25</w:t>
            </w:r>
          </w:p>
        </w:tc>
        <w:tc>
          <w:tcPr>
            <w:tcW w:w="378" w:type="dxa"/>
            <w:tcBorders>
              <w:top w:val="nil"/>
              <w:left w:val="nil"/>
              <w:bottom w:val="single" w:sz="4" w:space="0" w:color="auto"/>
              <w:right w:val="single" w:sz="4" w:space="0" w:color="auto"/>
            </w:tcBorders>
            <w:shd w:val="clear" w:color="auto" w:fill="auto"/>
            <w:noWrap/>
            <w:vAlign w:val="center"/>
            <w:hideMark/>
          </w:tcPr>
          <w:p w14:paraId="53C14DD8"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D9"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DA"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DB"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DC"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1.13</w:t>
            </w:r>
          </w:p>
        </w:tc>
        <w:tc>
          <w:tcPr>
            <w:tcW w:w="378" w:type="dxa"/>
            <w:tcBorders>
              <w:top w:val="nil"/>
              <w:left w:val="nil"/>
              <w:bottom w:val="single" w:sz="4" w:space="0" w:color="auto"/>
              <w:right w:val="single" w:sz="4" w:space="0" w:color="auto"/>
            </w:tcBorders>
            <w:shd w:val="clear" w:color="auto" w:fill="auto"/>
            <w:noWrap/>
            <w:vAlign w:val="center"/>
            <w:hideMark/>
          </w:tcPr>
          <w:p w14:paraId="53C14DDD"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DDE"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DDF"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E0"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0.38</w:t>
            </w:r>
          </w:p>
        </w:tc>
        <w:tc>
          <w:tcPr>
            <w:tcW w:w="378" w:type="dxa"/>
            <w:tcBorders>
              <w:top w:val="nil"/>
              <w:left w:val="nil"/>
              <w:bottom w:val="single" w:sz="4" w:space="0" w:color="auto"/>
              <w:right w:val="single" w:sz="4" w:space="0" w:color="auto"/>
            </w:tcBorders>
            <w:shd w:val="clear" w:color="auto" w:fill="auto"/>
            <w:noWrap/>
            <w:vAlign w:val="center"/>
            <w:hideMark/>
          </w:tcPr>
          <w:p w14:paraId="53C14DE1"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0.44</w:t>
            </w:r>
          </w:p>
        </w:tc>
        <w:tc>
          <w:tcPr>
            <w:tcW w:w="378" w:type="dxa"/>
            <w:tcBorders>
              <w:top w:val="nil"/>
              <w:left w:val="nil"/>
              <w:bottom w:val="single" w:sz="4" w:space="0" w:color="auto"/>
              <w:right w:val="single" w:sz="4" w:space="0" w:color="auto"/>
            </w:tcBorders>
            <w:shd w:val="clear" w:color="auto" w:fill="auto"/>
            <w:noWrap/>
            <w:vAlign w:val="center"/>
            <w:hideMark/>
          </w:tcPr>
          <w:p w14:paraId="53C14DE2"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4DE3"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E4"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0.50</w:t>
            </w:r>
          </w:p>
        </w:tc>
        <w:tc>
          <w:tcPr>
            <w:tcW w:w="378" w:type="dxa"/>
            <w:tcBorders>
              <w:top w:val="nil"/>
              <w:left w:val="nil"/>
              <w:bottom w:val="single" w:sz="4" w:space="0" w:color="auto"/>
              <w:right w:val="single" w:sz="4" w:space="0" w:color="auto"/>
            </w:tcBorders>
            <w:shd w:val="clear" w:color="auto" w:fill="auto"/>
            <w:noWrap/>
            <w:vAlign w:val="center"/>
            <w:hideMark/>
          </w:tcPr>
          <w:p w14:paraId="53C14DE5"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E6"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8.13</w:t>
            </w:r>
          </w:p>
        </w:tc>
        <w:tc>
          <w:tcPr>
            <w:tcW w:w="378" w:type="dxa"/>
            <w:tcBorders>
              <w:top w:val="nil"/>
              <w:left w:val="nil"/>
              <w:bottom w:val="single" w:sz="4" w:space="0" w:color="auto"/>
              <w:right w:val="single" w:sz="4" w:space="0" w:color="auto"/>
            </w:tcBorders>
            <w:shd w:val="clear" w:color="auto" w:fill="auto"/>
            <w:noWrap/>
            <w:vAlign w:val="center"/>
            <w:hideMark/>
          </w:tcPr>
          <w:p w14:paraId="53C14DE7"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E8"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DE9"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EA"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DEB"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EC"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4DED"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EE"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0.56</w:t>
            </w:r>
          </w:p>
        </w:tc>
        <w:tc>
          <w:tcPr>
            <w:tcW w:w="378" w:type="dxa"/>
            <w:tcBorders>
              <w:top w:val="nil"/>
              <w:left w:val="nil"/>
              <w:bottom w:val="single" w:sz="4" w:space="0" w:color="auto"/>
              <w:right w:val="single" w:sz="4" w:space="0" w:color="auto"/>
            </w:tcBorders>
            <w:shd w:val="clear" w:color="auto" w:fill="auto"/>
            <w:noWrap/>
            <w:vAlign w:val="center"/>
            <w:hideMark/>
          </w:tcPr>
          <w:p w14:paraId="53C14DEF"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F0"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6.56</w:t>
            </w:r>
          </w:p>
        </w:tc>
        <w:tc>
          <w:tcPr>
            <w:tcW w:w="378" w:type="dxa"/>
            <w:tcBorders>
              <w:top w:val="nil"/>
              <w:left w:val="nil"/>
              <w:bottom w:val="single" w:sz="4" w:space="0" w:color="auto"/>
              <w:right w:val="single" w:sz="4" w:space="0" w:color="auto"/>
            </w:tcBorders>
            <w:shd w:val="clear" w:color="auto" w:fill="auto"/>
            <w:noWrap/>
            <w:vAlign w:val="center"/>
            <w:hideMark/>
          </w:tcPr>
          <w:p w14:paraId="53C14DF1"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DF2"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1.56</w:t>
            </w:r>
          </w:p>
        </w:tc>
        <w:tc>
          <w:tcPr>
            <w:tcW w:w="378" w:type="dxa"/>
            <w:tcBorders>
              <w:top w:val="nil"/>
              <w:left w:val="nil"/>
              <w:bottom w:val="single" w:sz="4" w:space="0" w:color="auto"/>
              <w:right w:val="single" w:sz="4" w:space="0" w:color="auto"/>
            </w:tcBorders>
            <w:shd w:val="clear" w:color="auto" w:fill="auto"/>
            <w:noWrap/>
            <w:vAlign w:val="center"/>
            <w:hideMark/>
          </w:tcPr>
          <w:p w14:paraId="53C14DF3"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4DF4"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0.31</w:t>
            </w:r>
          </w:p>
        </w:tc>
      </w:tr>
      <w:tr w:rsidR="007904CB" w:rsidRPr="00657AD4" w14:paraId="53C14E17"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4DF6" w14:textId="77777777" w:rsidR="007904CB" w:rsidRPr="007904CB" w:rsidRDefault="007904CB" w:rsidP="00235072">
            <w:pPr>
              <w:spacing w:after="0"/>
              <w:jc w:val="left"/>
              <w:rPr>
                <w:rFonts w:ascii="Arial Narrow" w:hAnsi="Arial Narrow"/>
                <w:sz w:val="18"/>
                <w:szCs w:val="18"/>
                <w:lang w:eastAsia="en-AU"/>
              </w:rPr>
            </w:pPr>
          </w:p>
        </w:tc>
        <w:tc>
          <w:tcPr>
            <w:tcW w:w="1073" w:type="dxa"/>
            <w:vMerge/>
            <w:tcBorders>
              <w:left w:val="single" w:sz="4" w:space="0" w:color="auto"/>
              <w:bottom w:val="single" w:sz="4" w:space="0" w:color="auto"/>
              <w:right w:val="single" w:sz="4" w:space="0" w:color="auto"/>
            </w:tcBorders>
            <w:shd w:val="clear" w:color="auto" w:fill="auto"/>
            <w:vAlign w:val="center"/>
          </w:tcPr>
          <w:p w14:paraId="53C14DF7" w14:textId="77777777" w:rsidR="007904CB" w:rsidRPr="007904CB" w:rsidRDefault="007904CB" w:rsidP="00C60606">
            <w:pPr>
              <w:jc w:val="center"/>
              <w:rPr>
                <w:rFonts w:ascii="Arial Narrow" w:hAnsi="Arial Narrow"/>
                <w:sz w:val="18"/>
                <w:szCs w:val="18"/>
              </w:rPr>
            </w:pPr>
          </w:p>
        </w:tc>
        <w:tc>
          <w:tcPr>
            <w:tcW w:w="283" w:type="dxa"/>
            <w:tcBorders>
              <w:top w:val="nil"/>
              <w:left w:val="nil"/>
              <w:bottom w:val="single" w:sz="4" w:space="0" w:color="auto"/>
              <w:right w:val="single" w:sz="4" w:space="0" w:color="auto"/>
            </w:tcBorders>
            <w:shd w:val="clear" w:color="auto" w:fill="auto"/>
            <w:noWrap/>
            <w:vAlign w:val="bottom"/>
            <w:hideMark/>
          </w:tcPr>
          <w:p w14:paraId="53C14DF8"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5</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4DF9"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20.06</w:t>
            </w:r>
          </w:p>
        </w:tc>
        <w:tc>
          <w:tcPr>
            <w:tcW w:w="378" w:type="dxa"/>
            <w:tcBorders>
              <w:top w:val="nil"/>
              <w:left w:val="nil"/>
              <w:bottom w:val="single" w:sz="4" w:space="0" w:color="auto"/>
              <w:right w:val="single" w:sz="4" w:space="0" w:color="auto"/>
            </w:tcBorders>
            <w:shd w:val="clear" w:color="auto" w:fill="auto"/>
            <w:noWrap/>
            <w:vAlign w:val="center"/>
            <w:hideMark/>
          </w:tcPr>
          <w:p w14:paraId="53C14DFA"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FB"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FC"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0.31</w:t>
            </w:r>
          </w:p>
        </w:tc>
        <w:tc>
          <w:tcPr>
            <w:tcW w:w="378" w:type="dxa"/>
            <w:tcBorders>
              <w:top w:val="nil"/>
              <w:left w:val="nil"/>
              <w:bottom w:val="single" w:sz="4" w:space="0" w:color="auto"/>
              <w:right w:val="single" w:sz="4" w:space="0" w:color="auto"/>
            </w:tcBorders>
            <w:shd w:val="clear" w:color="auto" w:fill="auto"/>
            <w:noWrap/>
            <w:vAlign w:val="center"/>
            <w:hideMark/>
          </w:tcPr>
          <w:p w14:paraId="53C14DFD"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DFE"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2.00</w:t>
            </w:r>
          </w:p>
        </w:tc>
        <w:tc>
          <w:tcPr>
            <w:tcW w:w="378" w:type="dxa"/>
            <w:tcBorders>
              <w:top w:val="nil"/>
              <w:left w:val="nil"/>
              <w:bottom w:val="single" w:sz="4" w:space="0" w:color="auto"/>
              <w:right w:val="single" w:sz="4" w:space="0" w:color="auto"/>
            </w:tcBorders>
            <w:shd w:val="clear" w:color="auto" w:fill="auto"/>
            <w:noWrap/>
            <w:vAlign w:val="center"/>
            <w:hideMark/>
          </w:tcPr>
          <w:p w14:paraId="53C14DFF"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E00"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0.44</w:t>
            </w:r>
          </w:p>
        </w:tc>
        <w:tc>
          <w:tcPr>
            <w:tcW w:w="378" w:type="dxa"/>
            <w:tcBorders>
              <w:top w:val="nil"/>
              <w:left w:val="nil"/>
              <w:bottom w:val="single" w:sz="4" w:space="0" w:color="auto"/>
              <w:right w:val="single" w:sz="4" w:space="0" w:color="auto"/>
            </w:tcBorders>
            <w:shd w:val="clear" w:color="auto" w:fill="auto"/>
            <w:noWrap/>
            <w:vAlign w:val="center"/>
            <w:hideMark/>
          </w:tcPr>
          <w:p w14:paraId="53C14E01"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E02"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0.44</w:t>
            </w:r>
          </w:p>
        </w:tc>
        <w:tc>
          <w:tcPr>
            <w:tcW w:w="378" w:type="dxa"/>
            <w:tcBorders>
              <w:top w:val="nil"/>
              <w:left w:val="nil"/>
              <w:bottom w:val="single" w:sz="4" w:space="0" w:color="auto"/>
              <w:right w:val="single" w:sz="4" w:space="0" w:color="auto"/>
            </w:tcBorders>
            <w:shd w:val="clear" w:color="auto" w:fill="auto"/>
            <w:noWrap/>
            <w:vAlign w:val="center"/>
            <w:hideMark/>
          </w:tcPr>
          <w:p w14:paraId="53C14E03"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E04"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0.31</w:t>
            </w:r>
          </w:p>
        </w:tc>
        <w:tc>
          <w:tcPr>
            <w:tcW w:w="378" w:type="dxa"/>
            <w:tcBorders>
              <w:top w:val="nil"/>
              <w:left w:val="nil"/>
              <w:bottom w:val="single" w:sz="4" w:space="0" w:color="auto"/>
              <w:right w:val="single" w:sz="4" w:space="0" w:color="auto"/>
            </w:tcBorders>
            <w:shd w:val="clear" w:color="auto" w:fill="auto"/>
            <w:noWrap/>
            <w:vAlign w:val="center"/>
            <w:hideMark/>
          </w:tcPr>
          <w:p w14:paraId="53C14E05"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E06"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4E07"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E08"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7.31</w:t>
            </w:r>
          </w:p>
        </w:tc>
        <w:tc>
          <w:tcPr>
            <w:tcW w:w="378" w:type="dxa"/>
            <w:tcBorders>
              <w:top w:val="nil"/>
              <w:left w:val="nil"/>
              <w:bottom w:val="single" w:sz="4" w:space="0" w:color="auto"/>
              <w:right w:val="single" w:sz="4" w:space="0" w:color="auto"/>
            </w:tcBorders>
            <w:shd w:val="clear" w:color="auto" w:fill="auto"/>
            <w:noWrap/>
            <w:vAlign w:val="center"/>
            <w:hideMark/>
          </w:tcPr>
          <w:p w14:paraId="53C14E09"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E0A"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E0B"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E0C"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E0D"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E0E"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0.38</w:t>
            </w:r>
          </w:p>
        </w:tc>
        <w:tc>
          <w:tcPr>
            <w:tcW w:w="378" w:type="dxa"/>
            <w:tcBorders>
              <w:top w:val="nil"/>
              <w:left w:val="nil"/>
              <w:bottom w:val="single" w:sz="4" w:space="0" w:color="auto"/>
              <w:right w:val="single" w:sz="4" w:space="0" w:color="auto"/>
            </w:tcBorders>
            <w:shd w:val="clear" w:color="auto" w:fill="auto"/>
            <w:noWrap/>
            <w:vAlign w:val="center"/>
            <w:hideMark/>
          </w:tcPr>
          <w:p w14:paraId="53C14E0F"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E10"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1.00</w:t>
            </w:r>
          </w:p>
        </w:tc>
        <w:tc>
          <w:tcPr>
            <w:tcW w:w="378" w:type="dxa"/>
            <w:tcBorders>
              <w:top w:val="nil"/>
              <w:left w:val="nil"/>
              <w:bottom w:val="single" w:sz="4" w:space="0" w:color="auto"/>
              <w:right w:val="single" w:sz="4" w:space="0" w:color="auto"/>
            </w:tcBorders>
            <w:shd w:val="clear" w:color="auto" w:fill="auto"/>
            <w:noWrap/>
            <w:vAlign w:val="center"/>
            <w:hideMark/>
          </w:tcPr>
          <w:p w14:paraId="53C14E11"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0.31</w:t>
            </w:r>
          </w:p>
        </w:tc>
        <w:tc>
          <w:tcPr>
            <w:tcW w:w="378" w:type="dxa"/>
            <w:tcBorders>
              <w:top w:val="nil"/>
              <w:left w:val="nil"/>
              <w:bottom w:val="single" w:sz="4" w:space="0" w:color="auto"/>
              <w:right w:val="single" w:sz="4" w:space="0" w:color="auto"/>
            </w:tcBorders>
            <w:shd w:val="clear" w:color="auto" w:fill="auto"/>
            <w:noWrap/>
            <w:vAlign w:val="center"/>
            <w:hideMark/>
          </w:tcPr>
          <w:p w14:paraId="53C14E12"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15.50</w:t>
            </w:r>
          </w:p>
        </w:tc>
        <w:tc>
          <w:tcPr>
            <w:tcW w:w="378" w:type="dxa"/>
            <w:tcBorders>
              <w:top w:val="nil"/>
              <w:left w:val="nil"/>
              <w:bottom w:val="single" w:sz="4" w:space="0" w:color="auto"/>
              <w:right w:val="single" w:sz="4" w:space="0" w:color="auto"/>
            </w:tcBorders>
            <w:shd w:val="clear" w:color="auto" w:fill="auto"/>
            <w:noWrap/>
            <w:vAlign w:val="center"/>
            <w:hideMark/>
          </w:tcPr>
          <w:p w14:paraId="53C14E13"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E14"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E15"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E16"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1.06</w:t>
            </w:r>
          </w:p>
        </w:tc>
      </w:tr>
      <w:tr w:rsidR="007904CB" w:rsidRPr="00657AD4" w14:paraId="53C14E39"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4E18" w14:textId="77777777" w:rsidR="007904CB" w:rsidRPr="007904CB" w:rsidRDefault="007904CB" w:rsidP="00235072">
            <w:pPr>
              <w:spacing w:after="0"/>
              <w:jc w:val="left"/>
              <w:rPr>
                <w:rFonts w:ascii="Arial Narrow" w:hAnsi="Arial Narrow"/>
                <w:sz w:val="18"/>
                <w:szCs w:val="18"/>
                <w:lang w:eastAsia="en-AU"/>
              </w:rPr>
            </w:pPr>
          </w:p>
        </w:tc>
        <w:tc>
          <w:tcPr>
            <w:tcW w:w="1073" w:type="dxa"/>
            <w:vMerge w:val="restart"/>
            <w:tcBorders>
              <w:top w:val="nil"/>
              <w:left w:val="single" w:sz="4" w:space="0" w:color="auto"/>
              <w:right w:val="single" w:sz="4" w:space="0" w:color="auto"/>
            </w:tcBorders>
            <w:shd w:val="clear" w:color="auto" w:fill="auto"/>
            <w:noWrap/>
            <w:vAlign w:val="center"/>
          </w:tcPr>
          <w:p w14:paraId="53C14E19" w14:textId="77777777" w:rsidR="007904CB" w:rsidRPr="007904CB" w:rsidRDefault="007904CB" w:rsidP="00C60606">
            <w:pPr>
              <w:jc w:val="center"/>
              <w:rPr>
                <w:rFonts w:ascii="Arial Narrow" w:hAnsi="Arial Narrow"/>
                <w:sz w:val="18"/>
                <w:szCs w:val="18"/>
              </w:rPr>
            </w:pPr>
            <w:r w:rsidRPr="007904CB">
              <w:rPr>
                <w:rFonts w:ascii="Arial Narrow" w:hAnsi="Arial Narrow"/>
                <w:sz w:val="18"/>
                <w:szCs w:val="18"/>
              </w:rPr>
              <w:t>High West</w:t>
            </w:r>
          </w:p>
        </w:tc>
        <w:tc>
          <w:tcPr>
            <w:tcW w:w="283" w:type="dxa"/>
            <w:tcBorders>
              <w:top w:val="nil"/>
              <w:left w:val="nil"/>
              <w:bottom w:val="single" w:sz="4" w:space="0" w:color="auto"/>
              <w:right w:val="single" w:sz="4" w:space="0" w:color="auto"/>
            </w:tcBorders>
            <w:shd w:val="clear" w:color="auto" w:fill="auto"/>
            <w:noWrap/>
            <w:vAlign w:val="bottom"/>
            <w:hideMark/>
          </w:tcPr>
          <w:p w14:paraId="53C14E1A"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2</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4E1B"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2.69</w:t>
            </w:r>
          </w:p>
        </w:tc>
        <w:tc>
          <w:tcPr>
            <w:tcW w:w="378" w:type="dxa"/>
            <w:tcBorders>
              <w:top w:val="nil"/>
              <w:left w:val="nil"/>
              <w:bottom w:val="single" w:sz="4" w:space="0" w:color="auto"/>
              <w:right w:val="single" w:sz="4" w:space="0" w:color="auto"/>
            </w:tcBorders>
            <w:shd w:val="clear" w:color="auto" w:fill="auto"/>
            <w:noWrap/>
            <w:vAlign w:val="center"/>
            <w:hideMark/>
          </w:tcPr>
          <w:p w14:paraId="53C14E1C"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E1D"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E1E"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E1F"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E20"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0.44</w:t>
            </w:r>
          </w:p>
        </w:tc>
        <w:tc>
          <w:tcPr>
            <w:tcW w:w="378" w:type="dxa"/>
            <w:tcBorders>
              <w:top w:val="nil"/>
              <w:left w:val="nil"/>
              <w:bottom w:val="single" w:sz="4" w:space="0" w:color="auto"/>
              <w:right w:val="single" w:sz="4" w:space="0" w:color="auto"/>
            </w:tcBorders>
            <w:shd w:val="clear" w:color="auto" w:fill="auto"/>
            <w:noWrap/>
            <w:vAlign w:val="center"/>
            <w:hideMark/>
          </w:tcPr>
          <w:p w14:paraId="53C14E21"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4E22"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E23"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4E24"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0.44</w:t>
            </w:r>
          </w:p>
        </w:tc>
        <w:tc>
          <w:tcPr>
            <w:tcW w:w="378" w:type="dxa"/>
            <w:tcBorders>
              <w:top w:val="nil"/>
              <w:left w:val="nil"/>
              <w:bottom w:val="single" w:sz="4" w:space="0" w:color="auto"/>
              <w:right w:val="single" w:sz="4" w:space="0" w:color="auto"/>
            </w:tcBorders>
            <w:shd w:val="clear" w:color="auto" w:fill="auto"/>
            <w:noWrap/>
            <w:vAlign w:val="center"/>
            <w:hideMark/>
          </w:tcPr>
          <w:p w14:paraId="53C14E25"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0.56</w:t>
            </w:r>
          </w:p>
        </w:tc>
        <w:tc>
          <w:tcPr>
            <w:tcW w:w="378" w:type="dxa"/>
            <w:tcBorders>
              <w:top w:val="nil"/>
              <w:left w:val="nil"/>
              <w:bottom w:val="single" w:sz="4" w:space="0" w:color="auto"/>
              <w:right w:val="single" w:sz="4" w:space="0" w:color="auto"/>
            </w:tcBorders>
            <w:shd w:val="clear" w:color="auto" w:fill="auto"/>
            <w:noWrap/>
            <w:vAlign w:val="center"/>
            <w:hideMark/>
          </w:tcPr>
          <w:p w14:paraId="53C14E26"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3.25</w:t>
            </w:r>
          </w:p>
        </w:tc>
        <w:tc>
          <w:tcPr>
            <w:tcW w:w="378" w:type="dxa"/>
            <w:tcBorders>
              <w:top w:val="nil"/>
              <w:left w:val="nil"/>
              <w:bottom w:val="single" w:sz="4" w:space="0" w:color="auto"/>
              <w:right w:val="single" w:sz="4" w:space="0" w:color="auto"/>
            </w:tcBorders>
            <w:shd w:val="clear" w:color="auto" w:fill="auto"/>
            <w:noWrap/>
            <w:vAlign w:val="center"/>
            <w:hideMark/>
          </w:tcPr>
          <w:p w14:paraId="53C14E27"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E28"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0.56</w:t>
            </w:r>
          </w:p>
        </w:tc>
        <w:tc>
          <w:tcPr>
            <w:tcW w:w="378" w:type="dxa"/>
            <w:tcBorders>
              <w:top w:val="nil"/>
              <w:left w:val="nil"/>
              <w:bottom w:val="single" w:sz="4" w:space="0" w:color="auto"/>
              <w:right w:val="single" w:sz="4" w:space="0" w:color="auto"/>
            </w:tcBorders>
            <w:shd w:val="clear" w:color="auto" w:fill="auto"/>
            <w:noWrap/>
            <w:vAlign w:val="center"/>
            <w:hideMark/>
          </w:tcPr>
          <w:p w14:paraId="53C14E29"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E2A"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0.44</w:t>
            </w:r>
          </w:p>
        </w:tc>
        <w:tc>
          <w:tcPr>
            <w:tcW w:w="378" w:type="dxa"/>
            <w:tcBorders>
              <w:top w:val="nil"/>
              <w:left w:val="nil"/>
              <w:bottom w:val="single" w:sz="4" w:space="0" w:color="auto"/>
              <w:right w:val="single" w:sz="4" w:space="0" w:color="auto"/>
            </w:tcBorders>
            <w:shd w:val="clear" w:color="auto" w:fill="auto"/>
            <w:noWrap/>
            <w:vAlign w:val="center"/>
            <w:hideMark/>
          </w:tcPr>
          <w:p w14:paraId="53C14E2B"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E2C"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E2D"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E2E"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0.50</w:t>
            </w:r>
          </w:p>
        </w:tc>
        <w:tc>
          <w:tcPr>
            <w:tcW w:w="378" w:type="dxa"/>
            <w:tcBorders>
              <w:top w:val="nil"/>
              <w:left w:val="nil"/>
              <w:bottom w:val="single" w:sz="4" w:space="0" w:color="auto"/>
              <w:right w:val="single" w:sz="4" w:space="0" w:color="auto"/>
            </w:tcBorders>
            <w:shd w:val="clear" w:color="auto" w:fill="auto"/>
            <w:noWrap/>
            <w:vAlign w:val="center"/>
            <w:hideMark/>
          </w:tcPr>
          <w:p w14:paraId="53C14E2F"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E30"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E31"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E32"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0.88</w:t>
            </w:r>
          </w:p>
        </w:tc>
        <w:tc>
          <w:tcPr>
            <w:tcW w:w="378" w:type="dxa"/>
            <w:tcBorders>
              <w:top w:val="nil"/>
              <w:left w:val="nil"/>
              <w:bottom w:val="single" w:sz="4" w:space="0" w:color="auto"/>
              <w:right w:val="single" w:sz="4" w:space="0" w:color="auto"/>
            </w:tcBorders>
            <w:shd w:val="clear" w:color="auto" w:fill="auto"/>
            <w:noWrap/>
            <w:vAlign w:val="center"/>
            <w:hideMark/>
          </w:tcPr>
          <w:p w14:paraId="53C14E33"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E34"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40.50</w:t>
            </w:r>
          </w:p>
        </w:tc>
        <w:tc>
          <w:tcPr>
            <w:tcW w:w="378" w:type="dxa"/>
            <w:tcBorders>
              <w:top w:val="nil"/>
              <w:left w:val="nil"/>
              <w:bottom w:val="single" w:sz="4" w:space="0" w:color="auto"/>
              <w:right w:val="single" w:sz="4" w:space="0" w:color="auto"/>
            </w:tcBorders>
            <w:shd w:val="clear" w:color="auto" w:fill="auto"/>
            <w:noWrap/>
            <w:vAlign w:val="center"/>
            <w:hideMark/>
          </w:tcPr>
          <w:p w14:paraId="53C14E35"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E36"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4E37"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E38"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0.56</w:t>
            </w:r>
          </w:p>
        </w:tc>
      </w:tr>
      <w:tr w:rsidR="007904CB" w:rsidRPr="00657AD4" w14:paraId="53C14E5B" w14:textId="77777777" w:rsidTr="00C60606">
        <w:trPr>
          <w:cantSplit/>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4E3A" w14:textId="77777777" w:rsidR="007904CB" w:rsidRPr="007904CB" w:rsidRDefault="007904CB" w:rsidP="00235072">
            <w:pPr>
              <w:spacing w:after="0"/>
              <w:jc w:val="left"/>
              <w:rPr>
                <w:rFonts w:ascii="Arial Narrow" w:hAnsi="Arial Narrow"/>
                <w:sz w:val="18"/>
                <w:szCs w:val="18"/>
                <w:lang w:eastAsia="en-AU"/>
              </w:rPr>
            </w:pPr>
          </w:p>
        </w:tc>
        <w:tc>
          <w:tcPr>
            <w:tcW w:w="1073" w:type="dxa"/>
            <w:vMerge/>
            <w:tcBorders>
              <w:left w:val="single" w:sz="4" w:space="0" w:color="auto"/>
              <w:bottom w:val="single" w:sz="4" w:space="0" w:color="auto"/>
              <w:right w:val="single" w:sz="4" w:space="0" w:color="auto"/>
            </w:tcBorders>
            <w:shd w:val="clear" w:color="auto" w:fill="auto"/>
            <w:vAlign w:val="center"/>
          </w:tcPr>
          <w:p w14:paraId="53C14E3B" w14:textId="77777777" w:rsidR="007904CB" w:rsidRPr="007904CB" w:rsidRDefault="007904CB" w:rsidP="00C60606">
            <w:pPr>
              <w:jc w:val="center"/>
              <w:rPr>
                <w:rFonts w:ascii="Arial Narrow" w:hAnsi="Arial Narrow"/>
                <w:sz w:val="18"/>
                <w:szCs w:val="18"/>
              </w:rPr>
            </w:pPr>
          </w:p>
        </w:tc>
        <w:tc>
          <w:tcPr>
            <w:tcW w:w="283" w:type="dxa"/>
            <w:tcBorders>
              <w:top w:val="nil"/>
              <w:left w:val="nil"/>
              <w:bottom w:val="single" w:sz="4" w:space="0" w:color="auto"/>
              <w:right w:val="single" w:sz="4" w:space="0" w:color="auto"/>
            </w:tcBorders>
            <w:shd w:val="clear" w:color="auto" w:fill="auto"/>
            <w:noWrap/>
            <w:vAlign w:val="bottom"/>
            <w:hideMark/>
          </w:tcPr>
          <w:p w14:paraId="53C14E3C"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5</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4E3D"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2.00</w:t>
            </w:r>
          </w:p>
        </w:tc>
        <w:tc>
          <w:tcPr>
            <w:tcW w:w="378" w:type="dxa"/>
            <w:tcBorders>
              <w:top w:val="nil"/>
              <w:left w:val="nil"/>
              <w:bottom w:val="single" w:sz="4" w:space="0" w:color="auto"/>
              <w:right w:val="single" w:sz="4" w:space="0" w:color="auto"/>
            </w:tcBorders>
            <w:shd w:val="clear" w:color="auto" w:fill="auto"/>
            <w:noWrap/>
            <w:vAlign w:val="center"/>
            <w:hideMark/>
          </w:tcPr>
          <w:p w14:paraId="53C14E3E"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E3F"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E40"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E41"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E42"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E43"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0.44</w:t>
            </w:r>
          </w:p>
        </w:tc>
        <w:tc>
          <w:tcPr>
            <w:tcW w:w="378" w:type="dxa"/>
            <w:tcBorders>
              <w:top w:val="nil"/>
              <w:left w:val="nil"/>
              <w:bottom w:val="single" w:sz="4" w:space="0" w:color="auto"/>
              <w:right w:val="single" w:sz="4" w:space="0" w:color="auto"/>
            </w:tcBorders>
            <w:shd w:val="clear" w:color="auto" w:fill="auto"/>
            <w:noWrap/>
            <w:vAlign w:val="center"/>
            <w:hideMark/>
          </w:tcPr>
          <w:p w14:paraId="53C14E44"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E45"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0.31</w:t>
            </w:r>
          </w:p>
        </w:tc>
        <w:tc>
          <w:tcPr>
            <w:tcW w:w="378" w:type="dxa"/>
            <w:tcBorders>
              <w:top w:val="nil"/>
              <w:left w:val="nil"/>
              <w:bottom w:val="single" w:sz="4" w:space="0" w:color="auto"/>
              <w:right w:val="single" w:sz="4" w:space="0" w:color="auto"/>
            </w:tcBorders>
            <w:shd w:val="clear" w:color="auto" w:fill="auto"/>
            <w:noWrap/>
            <w:vAlign w:val="center"/>
            <w:hideMark/>
          </w:tcPr>
          <w:p w14:paraId="53C14E46"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0.81</w:t>
            </w:r>
          </w:p>
        </w:tc>
        <w:tc>
          <w:tcPr>
            <w:tcW w:w="378" w:type="dxa"/>
            <w:tcBorders>
              <w:top w:val="nil"/>
              <w:left w:val="nil"/>
              <w:bottom w:val="single" w:sz="4" w:space="0" w:color="auto"/>
              <w:right w:val="single" w:sz="4" w:space="0" w:color="auto"/>
            </w:tcBorders>
            <w:shd w:val="clear" w:color="auto" w:fill="auto"/>
            <w:noWrap/>
            <w:vAlign w:val="center"/>
            <w:hideMark/>
          </w:tcPr>
          <w:p w14:paraId="53C14E47"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E48"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4.19</w:t>
            </w:r>
          </w:p>
        </w:tc>
        <w:tc>
          <w:tcPr>
            <w:tcW w:w="378" w:type="dxa"/>
            <w:tcBorders>
              <w:top w:val="nil"/>
              <w:left w:val="nil"/>
              <w:bottom w:val="single" w:sz="4" w:space="0" w:color="auto"/>
              <w:right w:val="single" w:sz="4" w:space="0" w:color="auto"/>
            </w:tcBorders>
            <w:shd w:val="clear" w:color="auto" w:fill="auto"/>
            <w:noWrap/>
            <w:vAlign w:val="center"/>
            <w:hideMark/>
          </w:tcPr>
          <w:p w14:paraId="53C14E49"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E4A"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E4B"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E4C"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E4D"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E4E"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4E4F"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0.38</w:t>
            </w:r>
          </w:p>
        </w:tc>
        <w:tc>
          <w:tcPr>
            <w:tcW w:w="378" w:type="dxa"/>
            <w:tcBorders>
              <w:top w:val="nil"/>
              <w:left w:val="nil"/>
              <w:bottom w:val="single" w:sz="4" w:space="0" w:color="auto"/>
              <w:right w:val="single" w:sz="4" w:space="0" w:color="auto"/>
            </w:tcBorders>
            <w:shd w:val="clear" w:color="auto" w:fill="auto"/>
            <w:noWrap/>
            <w:vAlign w:val="center"/>
            <w:hideMark/>
          </w:tcPr>
          <w:p w14:paraId="53C14E50"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1.19</w:t>
            </w:r>
          </w:p>
        </w:tc>
        <w:tc>
          <w:tcPr>
            <w:tcW w:w="378" w:type="dxa"/>
            <w:tcBorders>
              <w:top w:val="nil"/>
              <w:left w:val="nil"/>
              <w:bottom w:val="single" w:sz="4" w:space="0" w:color="auto"/>
              <w:right w:val="single" w:sz="4" w:space="0" w:color="auto"/>
            </w:tcBorders>
            <w:shd w:val="clear" w:color="auto" w:fill="auto"/>
            <w:noWrap/>
            <w:vAlign w:val="center"/>
            <w:hideMark/>
          </w:tcPr>
          <w:p w14:paraId="53C14E51"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E52"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E53"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E54"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0.31</w:t>
            </w:r>
          </w:p>
        </w:tc>
        <w:tc>
          <w:tcPr>
            <w:tcW w:w="378" w:type="dxa"/>
            <w:tcBorders>
              <w:top w:val="nil"/>
              <w:left w:val="nil"/>
              <w:bottom w:val="single" w:sz="4" w:space="0" w:color="auto"/>
              <w:right w:val="single" w:sz="4" w:space="0" w:color="auto"/>
            </w:tcBorders>
            <w:shd w:val="clear" w:color="auto" w:fill="auto"/>
            <w:noWrap/>
            <w:vAlign w:val="center"/>
            <w:hideMark/>
          </w:tcPr>
          <w:p w14:paraId="53C14E55"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E56"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16.25</w:t>
            </w:r>
          </w:p>
        </w:tc>
        <w:tc>
          <w:tcPr>
            <w:tcW w:w="378" w:type="dxa"/>
            <w:tcBorders>
              <w:top w:val="nil"/>
              <w:left w:val="nil"/>
              <w:bottom w:val="single" w:sz="4" w:space="0" w:color="auto"/>
              <w:right w:val="single" w:sz="4" w:space="0" w:color="auto"/>
            </w:tcBorders>
            <w:shd w:val="clear" w:color="auto" w:fill="auto"/>
            <w:noWrap/>
            <w:vAlign w:val="center"/>
            <w:hideMark/>
          </w:tcPr>
          <w:p w14:paraId="53C14E57"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E58"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E59" w14:textId="77777777" w:rsidR="007904CB" w:rsidRPr="00C60606" w:rsidRDefault="007904CB" w:rsidP="00235072">
            <w:pPr>
              <w:jc w:val="center"/>
              <w:rPr>
                <w:rFonts w:ascii="Arial Narrow" w:hAnsi="Arial Narrow"/>
                <w:sz w:val="16"/>
                <w:szCs w:val="16"/>
              </w:rPr>
            </w:pPr>
          </w:p>
        </w:tc>
        <w:tc>
          <w:tcPr>
            <w:tcW w:w="378" w:type="dxa"/>
            <w:tcBorders>
              <w:top w:val="nil"/>
              <w:left w:val="nil"/>
              <w:bottom w:val="single" w:sz="4" w:space="0" w:color="auto"/>
              <w:right w:val="single" w:sz="4" w:space="0" w:color="auto"/>
            </w:tcBorders>
            <w:shd w:val="clear" w:color="auto" w:fill="auto"/>
            <w:noWrap/>
            <w:vAlign w:val="center"/>
            <w:hideMark/>
          </w:tcPr>
          <w:p w14:paraId="53C14E5A" w14:textId="77777777" w:rsidR="007904CB" w:rsidRPr="00C60606" w:rsidRDefault="007904CB" w:rsidP="00235072">
            <w:pPr>
              <w:jc w:val="center"/>
              <w:rPr>
                <w:rFonts w:ascii="Arial Narrow" w:hAnsi="Arial Narrow"/>
                <w:sz w:val="16"/>
                <w:szCs w:val="16"/>
              </w:rPr>
            </w:pPr>
            <w:r w:rsidRPr="00C60606">
              <w:rPr>
                <w:rFonts w:ascii="Arial Narrow" w:hAnsi="Arial Narrow"/>
                <w:sz w:val="16"/>
                <w:szCs w:val="16"/>
              </w:rPr>
              <w:t>1.31</w:t>
            </w:r>
          </w:p>
        </w:tc>
      </w:tr>
      <w:tr w:rsidR="007904CB" w:rsidRPr="00657AD4" w14:paraId="53C14E7D" w14:textId="77777777" w:rsidTr="00C60606">
        <w:trPr>
          <w:trHeight w:hRule="exact" w:val="397"/>
        </w:trPr>
        <w:tc>
          <w:tcPr>
            <w:tcW w:w="389" w:type="dxa"/>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14:paraId="53C14E5C" w14:textId="77777777" w:rsidR="007904CB" w:rsidRPr="007904CB" w:rsidRDefault="008E17A4" w:rsidP="00235072">
            <w:pPr>
              <w:spacing w:after="0"/>
              <w:jc w:val="center"/>
              <w:rPr>
                <w:rFonts w:ascii="Arial Narrow" w:hAnsi="Arial Narrow"/>
                <w:sz w:val="18"/>
                <w:szCs w:val="18"/>
                <w:lang w:eastAsia="en-AU"/>
              </w:rPr>
            </w:pPr>
            <w:r>
              <w:rPr>
                <w:rFonts w:ascii="Arial Narrow" w:hAnsi="Arial Narrow"/>
                <w:sz w:val="18"/>
                <w:szCs w:val="18"/>
                <w:lang w:eastAsia="en-AU"/>
              </w:rPr>
              <w:t xml:space="preserve">Herbert </w:t>
            </w:r>
            <w:r w:rsidR="007904CB" w:rsidRPr="007904CB">
              <w:rPr>
                <w:rFonts w:ascii="Arial Narrow" w:hAnsi="Arial Narrow"/>
                <w:sz w:val="18"/>
                <w:szCs w:val="18"/>
                <w:lang w:eastAsia="en-AU"/>
              </w:rPr>
              <w:t>Tully</w:t>
            </w:r>
          </w:p>
        </w:tc>
        <w:tc>
          <w:tcPr>
            <w:tcW w:w="1073" w:type="dxa"/>
            <w:vMerge w:val="restart"/>
            <w:tcBorders>
              <w:top w:val="nil"/>
              <w:left w:val="single" w:sz="4" w:space="0" w:color="auto"/>
              <w:right w:val="single" w:sz="4" w:space="0" w:color="auto"/>
            </w:tcBorders>
            <w:shd w:val="clear" w:color="auto" w:fill="auto"/>
            <w:noWrap/>
            <w:vAlign w:val="center"/>
          </w:tcPr>
          <w:p w14:paraId="53C14E5D" w14:textId="77777777" w:rsidR="007904CB" w:rsidRPr="007904CB" w:rsidRDefault="007904CB" w:rsidP="00C60606">
            <w:pPr>
              <w:spacing w:after="0"/>
              <w:jc w:val="center"/>
              <w:rPr>
                <w:rFonts w:ascii="Arial Narrow" w:hAnsi="Arial Narrow"/>
                <w:sz w:val="18"/>
                <w:szCs w:val="18"/>
                <w:lang w:eastAsia="en-AU"/>
              </w:rPr>
            </w:pPr>
            <w:r w:rsidRPr="007904CB">
              <w:rPr>
                <w:rFonts w:ascii="Arial Narrow" w:hAnsi="Arial Narrow"/>
                <w:sz w:val="18"/>
                <w:szCs w:val="18"/>
              </w:rPr>
              <w:t>Barnards</w:t>
            </w:r>
          </w:p>
        </w:tc>
        <w:tc>
          <w:tcPr>
            <w:tcW w:w="283" w:type="dxa"/>
            <w:tcBorders>
              <w:top w:val="nil"/>
              <w:left w:val="nil"/>
              <w:bottom w:val="single" w:sz="4" w:space="0" w:color="auto"/>
              <w:right w:val="single" w:sz="4" w:space="0" w:color="auto"/>
            </w:tcBorders>
            <w:shd w:val="clear" w:color="auto" w:fill="auto"/>
            <w:noWrap/>
            <w:vAlign w:val="center"/>
            <w:hideMark/>
          </w:tcPr>
          <w:p w14:paraId="53C14E5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2</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4E5F"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25.06</w:t>
            </w:r>
          </w:p>
        </w:tc>
        <w:tc>
          <w:tcPr>
            <w:tcW w:w="378" w:type="dxa"/>
            <w:tcBorders>
              <w:top w:val="nil"/>
              <w:left w:val="nil"/>
              <w:bottom w:val="single" w:sz="4" w:space="0" w:color="auto"/>
              <w:right w:val="single" w:sz="4" w:space="0" w:color="auto"/>
            </w:tcBorders>
            <w:shd w:val="clear" w:color="auto" w:fill="auto"/>
            <w:noWrap/>
            <w:vAlign w:val="center"/>
            <w:hideMark/>
          </w:tcPr>
          <w:p w14:paraId="53C14E60"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61"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6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0.31</w:t>
            </w:r>
          </w:p>
        </w:tc>
        <w:tc>
          <w:tcPr>
            <w:tcW w:w="378" w:type="dxa"/>
            <w:tcBorders>
              <w:top w:val="nil"/>
              <w:left w:val="nil"/>
              <w:bottom w:val="single" w:sz="4" w:space="0" w:color="auto"/>
              <w:right w:val="single" w:sz="4" w:space="0" w:color="auto"/>
            </w:tcBorders>
            <w:shd w:val="clear" w:color="auto" w:fill="auto"/>
            <w:noWrap/>
            <w:vAlign w:val="center"/>
            <w:hideMark/>
          </w:tcPr>
          <w:p w14:paraId="53C14E63"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64"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65"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E6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4E6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6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E6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6A"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6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6C"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6D"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6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14.00</w:t>
            </w:r>
          </w:p>
        </w:tc>
        <w:tc>
          <w:tcPr>
            <w:tcW w:w="378" w:type="dxa"/>
            <w:tcBorders>
              <w:top w:val="nil"/>
              <w:left w:val="nil"/>
              <w:bottom w:val="single" w:sz="4" w:space="0" w:color="auto"/>
              <w:right w:val="single" w:sz="4" w:space="0" w:color="auto"/>
            </w:tcBorders>
            <w:shd w:val="clear" w:color="auto" w:fill="auto"/>
            <w:noWrap/>
            <w:vAlign w:val="center"/>
            <w:hideMark/>
          </w:tcPr>
          <w:p w14:paraId="53C14E6F"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70"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71"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72"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73"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74"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0.31</w:t>
            </w:r>
          </w:p>
        </w:tc>
        <w:tc>
          <w:tcPr>
            <w:tcW w:w="378" w:type="dxa"/>
            <w:tcBorders>
              <w:top w:val="nil"/>
              <w:left w:val="nil"/>
              <w:bottom w:val="single" w:sz="4" w:space="0" w:color="auto"/>
              <w:right w:val="single" w:sz="4" w:space="0" w:color="auto"/>
            </w:tcBorders>
            <w:shd w:val="clear" w:color="auto" w:fill="auto"/>
            <w:noWrap/>
            <w:vAlign w:val="center"/>
            <w:hideMark/>
          </w:tcPr>
          <w:p w14:paraId="53C14E75"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7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0.69</w:t>
            </w:r>
          </w:p>
        </w:tc>
        <w:tc>
          <w:tcPr>
            <w:tcW w:w="378" w:type="dxa"/>
            <w:tcBorders>
              <w:top w:val="nil"/>
              <w:left w:val="nil"/>
              <w:bottom w:val="single" w:sz="4" w:space="0" w:color="auto"/>
              <w:right w:val="single" w:sz="4" w:space="0" w:color="auto"/>
            </w:tcBorders>
            <w:shd w:val="clear" w:color="auto" w:fill="auto"/>
            <w:noWrap/>
            <w:vAlign w:val="center"/>
            <w:hideMark/>
          </w:tcPr>
          <w:p w14:paraId="53C14E7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7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E7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7A"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4E7B"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0.44</w:t>
            </w:r>
          </w:p>
        </w:tc>
        <w:tc>
          <w:tcPr>
            <w:tcW w:w="378" w:type="dxa"/>
            <w:tcBorders>
              <w:top w:val="nil"/>
              <w:left w:val="nil"/>
              <w:bottom w:val="single" w:sz="4" w:space="0" w:color="auto"/>
              <w:right w:val="single" w:sz="4" w:space="0" w:color="auto"/>
            </w:tcBorders>
            <w:shd w:val="clear" w:color="auto" w:fill="auto"/>
            <w:noWrap/>
            <w:vAlign w:val="center"/>
            <w:hideMark/>
          </w:tcPr>
          <w:p w14:paraId="53C14E7C"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0.25</w:t>
            </w:r>
          </w:p>
        </w:tc>
      </w:tr>
      <w:tr w:rsidR="007904CB" w:rsidRPr="00657AD4" w14:paraId="53C14E9F"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4E7E" w14:textId="77777777" w:rsidR="007904CB" w:rsidRPr="007904CB" w:rsidRDefault="007904CB" w:rsidP="00235072">
            <w:pPr>
              <w:spacing w:after="0"/>
              <w:jc w:val="left"/>
              <w:rPr>
                <w:rFonts w:ascii="Arial Narrow" w:hAnsi="Arial Narrow"/>
                <w:sz w:val="18"/>
                <w:szCs w:val="18"/>
                <w:lang w:eastAsia="en-AU"/>
              </w:rPr>
            </w:pPr>
          </w:p>
        </w:tc>
        <w:tc>
          <w:tcPr>
            <w:tcW w:w="1073" w:type="dxa"/>
            <w:vMerge/>
            <w:tcBorders>
              <w:left w:val="single" w:sz="4" w:space="0" w:color="auto"/>
              <w:bottom w:val="single" w:sz="4" w:space="0" w:color="auto"/>
              <w:right w:val="single" w:sz="4" w:space="0" w:color="auto"/>
            </w:tcBorders>
            <w:shd w:val="clear" w:color="auto" w:fill="auto"/>
            <w:vAlign w:val="center"/>
          </w:tcPr>
          <w:p w14:paraId="53C14E7F" w14:textId="77777777" w:rsidR="007904CB" w:rsidRPr="007904CB" w:rsidRDefault="007904CB" w:rsidP="00C60606">
            <w:pPr>
              <w:spacing w:after="0"/>
              <w:jc w:val="center"/>
              <w:rPr>
                <w:rFonts w:ascii="Arial Narrow" w:hAnsi="Arial Narrow"/>
                <w:sz w:val="18"/>
                <w:szCs w:val="18"/>
                <w:lang w:eastAsia="en-AU"/>
              </w:rPr>
            </w:pPr>
          </w:p>
        </w:tc>
        <w:tc>
          <w:tcPr>
            <w:tcW w:w="283" w:type="dxa"/>
            <w:tcBorders>
              <w:top w:val="nil"/>
              <w:left w:val="nil"/>
              <w:bottom w:val="single" w:sz="4" w:space="0" w:color="auto"/>
              <w:right w:val="single" w:sz="4" w:space="0" w:color="auto"/>
            </w:tcBorders>
            <w:shd w:val="clear" w:color="auto" w:fill="auto"/>
            <w:noWrap/>
            <w:vAlign w:val="center"/>
            <w:hideMark/>
          </w:tcPr>
          <w:p w14:paraId="53C14E80"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5</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4E81"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19.81</w:t>
            </w:r>
          </w:p>
        </w:tc>
        <w:tc>
          <w:tcPr>
            <w:tcW w:w="378" w:type="dxa"/>
            <w:tcBorders>
              <w:top w:val="nil"/>
              <w:left w:val="nil"/>
              <w:bottom w:val="single" w:sz="4" w:space="0" w:color="auto"/>
              <w:right w:val="single" w:sz="4" w:space="0" w:color="auto"/>
            </w:tcBorders>
            <w:shd w:val="clear" w:color="auto" w:fill="auto"/>
            <w:noWrap/>
            <w:vAlign w:val="center"/>
            <w:hideMark/>
          </w:tcPr>
          <w:p w14:paraId="53C14E82"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83"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84"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4E85"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8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0.50</w:t>
            </w:r>
          </w:p>
        </w:tc>
        <w:tc>
          <w:tcPr>
            <w:tcW w:w="378" w:type="dxa"/>
            <w:tcBorders>
              <w:top w:val="nil"/>
              <w:left w:val="nil"/>
              <w:bottom w:val="single" w:sz="4" w:space="0" w:color="auto"/>
              <w:right w:val="single" w:sz="4" w:space="0" w:color="auto"/>
            </w:tcBorders>
            <w:shd w:val="clear" w:color="auto" w:fill="auto"/>
            <w:noWrap/>
            <w:vAlign w:val="center"/>
            <w:hideMark/>
          </w:tcPr>
          <w:p w14:paraId="53C14E87"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4E8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0.38</w:t>
            </w:r>
          </w:p>
        </w:tc>
        <w:tc>
          <w:tcPr>
            <w:tcW w:w="378" w:type="dxa"/>
            <w:tcBorders>
              <w:top w:val="nil"/>
              <w:left w:val="nil"/>
              <w:bottom w:val="single" w:sz="4" w:space="0" w:color="auto"/>
              <w:right w:val="single" w:sz="4" w:space="0" w:color="auto"/>
            </w:tcBorders>
            <w:shd w:val="clear" w:color="auto" w:fill="auto"/>
            <w:noWrap/>
            <w:vAlign w:val="center"/>
            <w:hideMark/>
          </w:tcPr>
          <w:p w14:paraId="53C14E89"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E8A"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E8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8C"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E8D"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8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4E8F"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4E90"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18.25</w:t>
            </w:r>
          </w:p>
        </w:tc>
        <w:tc>
          <w:tcPr>
            <w:tcW w:w="378" w:type="dxa"/>
            <w:tcBorders>
              <w:top w:val="nil"/>
              <w:left w:val="nil"/>
              <w:bottom w:val="single" w:sz="4" w:space="0" w:color="auto"/>
              <w:right w:val="single" w:sz="4" w:space="0" w:color="auto"/>
            </w:tcBorders>
            <w:shd w:val="clear" w:color="auto" w:fill="auto"/>
            <w:noWrap/>
            <w:vAlign w:val="center"/>
            <w:hideMark/>
          </w:tcPr>
          <w:p w14:paraId="53C14E91"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0.31</w:t>
            </w:r>
          </w:p>
        </w:tc>
        <w:tc>
          <w:tcPr>
            <w:tcW w:w="378" w:type="dxa"/>
            <w:tcBorders>
              <w:top w:val="nil"/>
              <w:left w:val="nil"/>
              <w:bottom w:val="single" w:sz="4" w:space="0" w:color="auto"/>
              <w:right w:val="single" w:sz="4" w:space="0" w:color="auto"/>
            </w:tcBorders>
            <w:shd w:val="clear" w:color="auto" w:fill="auto"/>
            <w:noWrap/>
            <w:vAlign w:val="center"/>
            <w:hideMark/>
          </w:tcPr>
          <w:p w14:paraId="53C14E9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0.56</w:t>
            </w:r>
          </w:p>
        </w:tc>
        <w:tc>
          <w:tcPr>
            <w:tcW w:w="378" w:type="dxa"/>
            <w:tcBorders>
              <w:top w:val="nil"/>
              <w:left w:val="nil"/>
              <w:bottom w:val="single" w:sz="4" w:space="0" w:color="auto"/>
              <w:right w:val="single" w:sz="4" w:space="0" w:color="auto"/>
            </w:tcBorders>
            <w:shd w:val="clear" w:color="auto" w:fill="auto"/>
            <w:noWrap/>
            <w:vAlign w:val="center"/>
            <w:hideMark/>
          </w:tcPr>
          <w:p w14:paraId="53C14E93"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94"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95"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9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0.56</w:t>
            </w:r>
          </w:p>
        </w:tc>
        <w:tc>
          <w:tcPr>
            <w:tcW w:w="378" w:type="dxa"/>
            <w:tcBorders>
              <w:top w:val="nil"/>
              <w:left w:val="nil"/>
              <w:bottom w:val="single" w:sz="4" w:space="0" w:color="auto"/>
              <w:right w:val="single" w:sz="4" w:space="0" w:color="auto"/>
            </w:tcBorders>
            <w:shd w:val="clear" w:color="auto" w:fill="auto"/>
            <w:noWrap/>
            <w:vAlign w:val="center"/>
            <w:hideMark/>
          </w:tcPr>
          <w:p w14:paraId="53C14E9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9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0.44</w:t>
            </w:r>
          </w:p>
        </w:tc>
        <w:tc>
          <w:tcPr>
            <w:tcW w:w="378" w:type="dxa"/>
            <w:tcBorders>
              <w:top w:val="nil"/>
              <w:left w:val="nil"/>
              <w:bottom w:val="single" w:sz="4" w:space="0" w:color="auto"/>
              <w:right w:val="single" w:sz="4" w:space="0" w:color="auto"/>
            </w:tcBorders>
            <w:shd w:val="clear" w:color="auto" w:fill="auto"/>
            <w:noWrap/>
            <w:vAlign w:val="center"/>
            <w:hideMark/>
          </w:tcPr>
          <w:p w14:paraId="53C14E9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9A"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0.50</w:t>
            </w:r>
          </w:p>
        </w:tc>
        <w:tc>
          <w:tcPr>
            <w:tcW w:w="378" w:type="dxa"/>
            <w:tcBorders>
              <w:top w:val="nil"/>
              <w:left w:val="nil"/>
              <w:bottom w:val="single" w:sz="4" w:space="0" w:color="auto"/>
              <w:right w:val="single" w:sz="4" w:space="0" w:color="auto"/>
            </w:tcBorders>
            <w:shd w:val="clear" w:color="auto" w:fill="auto"/>
            <w:noWrap/>
            <w:vAlign w:val="center"/>
            <w:hideMark/>
          </w:tcPr>
          <w:p w14:paraId="53C14E9B"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4E9C"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9D"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1.88</w:t>
            </w:r>
          </w:p>
        </w:tc>
        <w:tc>
          <w:tcPr>
            <w:tcW w:w="378" w:type="dxa"/>
            <w:tcBorders>
              <w:top w:val="nil"/>
              <w:left w:val="nil"/>
              <w:bottom w:val="single" w:sz="4" w:space="0" w:color="auto"/>
              <w:right w:val="single" w:sz="4" w:space="0" w:color="auto"/>
            </w:tcBorders>
            <w:shd w:val="clear" w:color="auto" w:fill="auto"/>
            <w:noWrap/>
            <w:vAlign w:val="center"/>
            <w:hideMark/>
          </w:tcPr>
          <w:p w14:paraId="53C14E9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0.44</w:t>
            </w:r>
          </w:p>
        </w:tc>
      </w:tr>
      <w:tr w:rsidR="007904CB" w:rsidRPr="00657AD4" w14:paraId="53C14EC1"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4EA0" w14:textId="77777777" w:rsidR="007904CB" w:rsidRPr="007904CB" w:rsidRDefault="007904CB" w:rsidP="00235072">
            <w:pPr>
              <w:spacing w:after="0"/>
              <w:jc w:val="left"/>
              <w:rPr>
                <w:rFonts w:ascii="Arial Narrow" w:hAnsi="Arial Narrow"/>
                <w:sz w:val="18"/>
                <w:szCs w:val="18"/>
                <w:lang w:eastAsia="en-AU"/>
              </w:rPr>
            </w:pPr>
          </w:p>
        </w:tc>
        <w:tc>
          <w:tcPr>
            <w:tcW w:w="1073" w:type="dxa"/>
            <w:vMerge w:val="restart"/>
            <w:tcBorders>
              <w:top w:val="nil"/>
              <w:left w:val="single" w:sz="4" w:space="0" w:color="auto"/>
              <w:right w:val="single" w:sz="4" w:space="0" w:color="auto"/>
            </w:tcBorders>
            <w:shd w:val="clear" w:color="auto" w:fill="auto"/>
            <w:noWrap/>
            <w:vAlign w:val="center"/>
          </w:tcPr>
          <w:p w14:paraId="53C14EA1" w14:textId="77777777" w:rsidR="007904CB" w:rsidRPr="007904CB" w:rsidRDefault="007904CB" w:rsidP="00C60606">
            <w:pPr>
              <w:spacing w:after="0"/>
              <w:jc w:val="center"/>
              <w:rPr>
                <w:rFonts w:ascii="Arial Narrow" w:hAnsi="Arial Narrow"/>
                <w:sz w:val="18"/>
                <w:szCs w:val="18"/>
                <w:lang w:eastAsia="en-AU"/>
              </w:rPr>
            </w:pPr>
            <w:r w:rsidRPr="007904CB">
              <w:rPr>
                <w:rFonts w:ascii="Arial Narrow" w:hAnsi="Arial Narrow"/>
                <w:sz w:val="18"/>
                <w:szCs w:val="18"/>
              </w:rPr>
              <w:t>Dunk North</w:t>
            </w:r>
          </w:p>
        </w:tc>
        <w:tc>
          <w:tcPr>
            <w:tcW w:w="283" w:type="dxa"/>
            <w:tcBorders>
              <w:top w:val="nil"/>
              <w:left w:val="nil"/>
              <w:bottom w:val="single" w:sz="4" w:space="0" w:color="auto"/>
              <w:right w:val="single" w:sz="4" w:space="0" w:color="auto"/>
            </w:tcBorders>
            <w:shd w:val="clear" w:color="auto" w:fill="auto"/>
            <w:noWrap/>
            <w:vAlign w:val="center"/>
            <w:hideMark/>
          </w:tcPr>
          <w:p w14:paraId="53C14EA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2</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4EA3"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12.81</w:t>
            </w:r>
          </w:p>
        </w:tc>
        <w:tc>
          <w:tcPr>
            <w:tcW w:w="378" w:type="dxa"/>
            <w:tcBorders>
              <w:top w:val="nil"/>
              <w:left w:val="nil"/>
              <w:bottom w:val="single" w:sz="4" w:space="0" w:color="auto"/>
              <w:right w:val="single" w:sz="4" w:space="0" w:color="auto"/>
            </w:tcBorders>
            <w:shd w:val="clear" w:color="auto" w:fill="auto"/>
            <w:noWrap/>
            <w:vAlign w:val="center"/>
            <w:hideMark/>
          </w:tcPr>
          <w:p w14:paraId="53C14EA4"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A5"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A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0.56</w:t>
            </w:r>
          </w:p>
        </w:tc>
        <w:tc>
          <w:tcPr>
            <w:tcW w:w="378" w:type="dxa"/>
            <w:tcBorders>
              <w:top w:val="nil"/>
              <w:left w:val="nil"/>
              <w:bottom w:val="single" w:sz="4" w:space="0" w:color="auto"/>
              <w:right w:val="single" w:sz="4" w:space="0" w:color="auto"/>
            </w:tcBorders>
            <w:shd w:val="clear" w:color="auto" w:fill="auto"/>
            <w:noWrap/>
            <w:vAlign w:val="center"/>
            <w:hideMark/>
          </w:tcPr>
          <w:p w14:paraId="53C14EA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A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0.31</w:t>
            </w:r>
          </w:p>
        </w:tc>
        <w:tc>
          <w:tcPr>
            <w:tcW w:w="378" w:type="dxa"/>
            <w:tcBorders>
              <w:top w:val="nil"/>
              <w:left w:val="nil"/>
              <w:bottom w:val="single" w:sz="4" w:space="0" w:color="auto"/>
              <w:right w:val="single" w:sz="4" w:space="0" w:color="auto"/>
            </w:tcBorders>
            <w:shd w:val="clear" w:color="auto" w:fill="auto"/>
            <w:noWrap/>
            <w:vAlign w:val="center"/>
            <w:hideMark/>
          </w:tcPr>
          <w:p w14:paraId="53C14EA9"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0.44</w:t>
            </w:r>
          </w:p>
        </w:tc>
        <w:tc>
          <w:tcPr>
            <w:tcW w:w="378" w:type="dxa"/>
            <w:tcBorders>
              <w:top w:val="nil"/>
              <w:left w:val="nil"/>
              <w:bottom w:val="single" w:sz="4" w:space="0" w:color="auto"/>
              <w:right w:val="single" w:sz="4" w:space="0" w:color="auto"/>
            </w:tcBorders>
            <w:shd w:val="clear" w:color="auto" w:fill="auto"/>
            <w:noWrap/>
            <w:vAlign w:val="center"/>
            <w:hideMark/>
          </w:tcPr>
          <w:p w14:paraId="53C14EAA"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0.50</w:t>
            </w:r>
          </w:p>
        </w:tc>
        <w:tc>
          <w:tcPr>
            <w:tcW w:w="378" w:type="dxa"/>
            <w:tcBorders>
              <w:top w:val="nil"/>
              <w:left w:val="nil"/>
              <w:bottom w:val="single" w:sz="4" w:space="0" w:color="auto"/>
              <w:right w:val="single" w:sz="4" w:space="0" w:color="auto"/>
            </w:tcBorders>
            <w:shd w:val="clear" w:color="auto" w:fill="auto"/>
            <w:noWrap/>
            <w:vAlign w:val="center"/>
            <w:hideMark/>
          </w:tcPr>
          <w:p w14:paraId="53C14EA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AC"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4EAD"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0.31</w:t>
            </w:r>
          </w:p>
        </w:tc>
        <w:tc>
          <w:tcPr>
            <w:tcW w:w="378" w:type="dxa"/>
            <w:tcBorders>
              <w:top w:val="nil"/>
              <w:left w:val="nil"/>
              <w:bottom w:val="single" w:sz="4" w:space="0" w:color="auto"/>
              <w:right w:val="single" w:sz="4" w:space="0" w:color="auto"/>
            </w:tcBorders>
            <w:shd w:val="clear" w:color="auto" w:fill="auto"/>
            <w:noWrap/>
            <w:vAlign w:val="center"/>
            <w:hideMark/>
          </w:tcPr>
          <w:p w14:paraId="53C14EA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EAF"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B0"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B1"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B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4.06</w:t>
            </w:r>
          </w:p>
        </w:tc>
        <w:tc>
          <w:tcPr>
            <w:tcW w:w="378" w:type="dxa"/>
            <w:tcBorders>
              <w:top w:val="nil"/>
              <w:left w:val="nil"/>
              <w:bottom w:val="single" w:sz="4" w:space="0" w:color="auto"/>
              <w:right w:val="single" w:sz="4" w:space="0" w:color="auto"/>
            </w:tcBorders>
            <w:shd w:val="clear" w:color="auto" w:fill="auto"/>
            <w:noWrap/>
            <w:vAlign w:val="center"/>
            <w:hideMark/>
          </w:tcPr>
          <w:p w14:paraId="53C14EB3"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B4"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B5"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B6"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B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B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EB9"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EBA"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1.38</w:t>
            </w:r>
          </w:p>
        </w:tc>
        <w:tc>
          <w:tcPr>
            <w:tcW w:w="378" w:type="dxa"/>
            <w:tcBorders>
              <w:top w:val="nil"/>
              <w:left w:val="nil"/>
              <w:bottom w:val="single" w:sz="4" w:space="0" w:color="auto"/>
              <w:right w:val="single" w:sz="4" w:space="0" w:color="auto"/>
            </w:tcBorders>
            <w:shd w:val="clear" w:color="auto" w:fill="auto"/>
            <w:noWrap/>
            <w:vAlign w:val="center"/>
            <w:hideMark/>
          </w:tcPr>
          <w:p w14:paraId="53C14EB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BC"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1.06</w:t>
            </w:r>
          </w:p>
        </w:tc>
        <w:tc>
          <w:tcPr>
            <w:tcW w:w="378" w:type="dxa"/>
            <w:tcBorders>
              <w:top w:val="nil"/>
              <w:left w:val="nil"/>
              <w:bottom w:val="single" w:sz="4" w:space="0" w:color="auto"/>
              <w:right w:val="single" w:sz="4" w:space="0" w:color="auto"/>
            </w:tcBorders>
            <w:shd w:val="clear" w:color="auto" w:fill="auto"/>
            <w:noWrap/>
            <w:vAlign w:val="center"/>
            <w:hideMark/>
          </w:tcPr>
          <w:p w14:paraId="53C14EBD"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4EBE"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BF"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2.81</w:t>
            </w:r>
          </w:p>
        </w:tc>
        <w:tc>
          <w:tcPr>
            <w:tcW w:w="378" w:type="dxa"/>
            <w:tcBorders>
              <w:top w:val="nil"/>
              <w:left w:val="nil"/>
              <w:bottom w:val="single" w:sz="4" w:space="0" w:color="auto"/>
              <w:right w:val="single" w:sz="4" w:space="0" w:color="auto"/>
            </w:tcBorders>
            <w:shd w:val="clear" w:color="auto" w:fill="auto"/>
            <w:noWrap/>
            <w:vAlign w:val="center"/>
            <w:hideMark/>
          </w:tcPr>
          <w:p w14:paraId="53C14EC0"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0.25</w:t>
            </w:r>
          </w:p>
        </w:tc>
      </w:tr>
      <w:tr w:rsidR="007904CB" w:rsidRPr="00657AD4" w14:paraId="53C14EE3"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4EC2" w14:textId="77777777" w:rsidR="007904CB" w:rsidRPr="007904CB" w:rsidRDefault="007904CB" w:rsidP="00235072">
            <w:pPr>
              <w:spacing w:after="0"/>
              <w:jc w:val="left"/>
              <w:rPr>
                <w:rFonts w:ascii="Arial Narrow" w:hAnsi="Arial Narrow"/>
                <w:sz w:val="18"/>
                <w:szCs w:val="18"/>
                <w:lang w:eastAsia="en-AU"/>
              </w:rPr>
            </w:pPr>
          </w:p>
        </w:tc>
        <w:tc>
          <w:tcPr>
            <w:tcW w:w="1073" w:type="dxa"/>
            <w:vMerge/>
            <w:tcBorders>
              <w:left w:val="single" w:sz="4" w:space="0" w:color="auto"/>
              <w:bottom w:val="single" w:sz="4" w:space="0" w:color="auto"/>
              <w:right w:val="single" w:sz="4" w:space="0" w:color="auto"/>
            </w:tcBorders>
            <w:shd w:val="clear" w:color="auto" w:fill="auto"/>
            <w:vAlign w:val="center"/>
          </w:tcPr>
          <w:p w14:paraId="53C14EC3" w14:textId="77777777" w:rsidR="007904CB" w:rsidRPr="007904CB" w:rsidRDefault="007904CB" w:rsidP="00C60606">
            <w:pPr>
              <w:spacing w:after="0"/>
              <w:jc w:val="center"/>
              <w:rPr>
                <w:rFonts w:ascii="Arial Narrow" w:hAnsi="Arial Narrow"/>
                <w:sz w:val="18"/>
                <w:szCs w:val="18"/>
                <w:lang w:eastAsia="en-AU"/>
              </w:rPr>
            </w:pPr>
          </w:p>
        </w:tc>
        <w:tc>
          <w:tcPr>
            <w:tcW w:w="283" w:type="dxa"/>
            <w:tcBorders>
              <w:top w:val="nil"/>
              <w:left w:val="nil"/>
              <w:bottom w:val="single" w:sz="4" w:space="0" w:color="auto"/>
              <w:right w:val="single" w:sz="4" w:space="0" w:color="auto"/>
            </w:tcBorders>
            <w:shd w:val="clear" w:color="auto" w:fill="auto"/>
            <w:noWrap/>
            <w:vAlign w:val="center"/>
            <w:hideMark/>
          </w:tcPr>
          <w:p w14:paraId="53C14EC4"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5</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4EC5"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3.63</w:t>
            </w:r>
          </w:p>
        </w:tc>
        <w:tc>
          <w:tcPr>
            <w:tcW w:w="378" w:type="dxa"/>
            <w:tcBorders>
              <w:top w:val="nil"/>
              <w:left w:val="nil"/>
              <w:bottom w:val="single" w:sz="4" w:space="0" w:color="auto"/>
              <w:right w:val="single" w:sz="4" w:space="0" w:color="auto"/>
            </w:tcBorders>
            <w:shd w:val="clear" w:color="auto" w:fill="auto"/>
            <w:noWrap/>
            <w:vAlign w:val="center"/>
            <w:hideMark/>
          </w:tcPr>
          <w:p w14:paraId="53C14EC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EC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C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4EC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CA"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CB"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4ECC"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1.25</w:t>
            </w:r>
          </w:p>
        </w:tc>
        <w:tc>
          <w:tcPr>
            <w:tcW w:w="378" w:type="dxa"/>
            <w:tcBorders>
              <w:top w:val="nil"/>
              <w:left w:val="nil"/>
              <w:bottom w:val="single" w:sz="4" w:space="0" w:color="auto"/>
              <w:right w:val="single" w:sz="4" w:space="0" w:color="auto"/>
            </w:tcBorders>
            <w:shd w:val="clear" w:color="auto" w:fill="auto"/>
            <w:noWrap/>
            <w:vAlign w:val="center"/>
            <w:hideMark/>
          </w:tcPr>
          <w:p w14:paraId="53C14ECD"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EC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ECF"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4ED0"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ED1"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D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ED3"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D4"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5.13</w:t>
            </w:r>
          </w:p>
        </w:tc>
        <w:tc>
          <w:tcPr>
            <w:tcW w:w="378" w:type="dxa"/>
            <w:tcBorders>
              <w:top w:val="nil"/>
              <w:left w:val="nil"/>
              <w:bottom w:val="single" w:sz="4" w:space="0" w:color="auto"/>
              <w:right w:val="single" w:sz="4" w:space="0" w:color="auto"/>
            </w:tcBorders>
            <w:shd w:val="clear" w:color="auto" w:fill="auto"/>
            <w:noWrap/>
            <w:vAlign w:val="center"/>
            <w:hideMark/>
          </w:tcPr>
          <w:p w14:paraId="53C14ED5"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ED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ED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D8"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D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DA"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1.06</w:t>
            </w:r>
          </w:p>
        </w:tc>
        <w:tc>
          <w:tcPr>
            <w:tcW w:w="378" w:type="dxa"/>
            <w:tcBorders>
              <w:top w:val="nil"/>
              <w:left w:val="nil"/>
              <w:bottom w:val="single" w:sz="4" w:space="0" w:color="auto"/>
              <w:right w:val="single" w:sz="4" w:space="0" w:color="auto"/>
            </w:tcBorders>
            <w:shd w:val="clear" w:color="auto" w:fill="auto"/>
            <w:noWrap/>
            <w:vAlign w:val="center"/>
            <w:hideMark/>
          </w:tcPr>
          <w:p w14:paraId="53C14EDB"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EDC"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4EDD"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D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0.75</w:t>
            </w:r>
          </w:p>
        </w:tc>
        <w:tc>
          <w:tcPr>
            <w:tcW w:w="378" w:type="dxa"/>
            <w:tcBorders>
              <w:top w:val="nil"/>
              <w:left w:val="nil"/>
              <w:bottom w:val="single" w:sz="4" w:space="0" w:color="auto"/>
              <w:right w:val="single" w:sz="4" w:space="0" w:color="auto"/>
            </w:tcBorders>
            <w:shd w:val="clear" w:color="auto" w:fill="auto"/>
            <w:noWrap/>
            <w:vAlign w:val="center"/>
            <w:hideMark/>
          </w:tcPr>
          <w:p w14:paraId="53C14EDF"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0.38</w:t>
            </w:r>
          </w:p>
        </w:tc>
        <w:tc>
          <w:tcPr>
            <w:tcW w:w="378" w:type="dxa"/>
            <w:tcBorders>
              <w:top w:val="nil"/>
              <w:left w:val="nil"/>
              <w:bottom w:val="single" w:sz="4" w:space="0" w:color="auto"/>
              <w:right w:val="single" w:sz="4" w:space="0" w:color="auto"/>
            </w:tcBorders>
            <w:shd w:val="clear" w:color="auto" w:fill="auto"/>
            <w:noWrap/>
            <w:vAlign w:val="center"/>
            <w:hideMark/>
          </w:tcPr>
          <w:p w14:paraId="53C14EE0"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E1"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3.63</w:t>
            </w:r>
          </w:p>
        </w:tc>
        <w:tc>
          <w:tcPr>
            <w:tcW w:w="378" w:type="dxa"/>
            <w:tcBorders>
              <w:top w:val="nil"/>
              <w:left w:val="nil"/>
              <w:bottom w:val="single" w:sz="4" w:space="0" w:color="auto"/>
              <w:right w:val="single" w:sz="4" w:space="0" w:color="auto"/>
            </w:tcBorders>
            <w:shd w:val="clear" w:color="auto" w:fill="auto"/>
            <w:noWrap/>
            <w:vAlign w:val="center"/>
            <w:hideMark/>
          </w:tcPr>
          <w:p w14:paraId="53C14EE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1.25</w:t>
            </w:r>
          </w:p>
        </w:tc>
      </w:tr>
      <w:tr w:rsidR="007904CB" w:rsidRPr="00657AD4" w14:paraId="53C14F05"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4EE4" w14:textId="77777777" w:rsidR="007904CB" w:rsidRPr="007904CB" w:rsidRDefault="007904CB" w:rsidP="00235072">
            <w:pPr>
              <w:spacing w:after="0"/>
              <w:jc w:val="left"/>
              <w:rPr>
                <w:rFonts w:ascii="Arial Narrow" w:hAnsi="Arial Narrow"/>
                <w:sz w:val="18"/>
                <w:szCs w:val="18"/>
                <w:lang w:eastAsia="en-AU"/>
              </w:rPr>
            </w:pPr>
          </w:p>
        </w:tc>
        <w:tc>
          <w:tcPr>
            <w:tcW w:w="1073" w:type="dxa"/>
            <w:vMerge w:val="restart"/>
            <w:tcBorders>
              <w:top w:val="nil"/>
              <w:left w:val="single" w:sz="4" w:space="0" w:color="auto"/>
              <w:right w:val="single" w:sz="4" w:space="0" w:color="auto"/>
            </w:tcBorders>
            <w:shd w:val="clear" w:color="auto" w:fill="auto"/>
            <w:noWrap/>
            <w:vAlign w:val="center"/>
          </w:tcPr>
          <w:p w14:paraId="53C14EE5" w14:textId="77777777" w:rsidR="007904CB" w:rsidRPr="007904CB" w:rsidRDefault="007904CB" w:rsidP="00C60606">
            <w:pPr>
              <w:spacing w:after="0"/>
              <w:jc w:val="center"/>
              <w:rPr>
                <w:rFonts w:ascii="Arial Narrow" w:hAnsi="Arial Narrow"/>
                <w:sz w:val="18"/>
                <w:szCs w:val="18"/>
                <w:lang w:eastAsia="en-AU"/>
              </w:rPr>
            </w:pPr>
            <w:r w:rsidRPr="007904CB">
              <w:rPr>
                <w:rFonts w:ascii="Arial Narrow" w:hAnsi="Arial Narrow"/>
                <w:sz w:val="18"/>
                <w:szCs w:val="18"/>
              </w:rPr>
              <w:t>Dunk South</w:t>
            </w:r>
          </w:p>
        </w:tc>
        <w:tc>
          <w:tcPr>
            <w:tcW w:w="283" w:type="dxa"/>
            <w:tcBorders>
              <w:top w:val="nil"/>
              <w:left w:val="nil"/>
              <w:bottom w:val="single" w:sz="4" w:space="0" w:color="auto"/>
              <w:right w:val="single" w:sz="4" w:space="0" w:color="auto"/>
            </w:tcBorders>
            <w:shd w:val="clear" w:color="auto" w:fill="auto"/>
            <w:noWrap/>
            <w:vAlign w:val="center"/>
            <w:hideMark/>
          </w:tcPr>
          <w:p w14:paraId="53C14EE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2</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4EE7"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9.94</w:t>
            </w:r>
          </w:p>
        </w:tc>
        <w:tc>
          <w:tcPr>
            <w:tcW w:w="378" w:type="dxa"/>
            <w:tcBorders>
              <w:top w:val="nil"/>
              <w:left w:val="nil"/>
              <w:bottom w:val="single" w:sz="4" w:space="0" w:color="auto"/>
              <w:right w:val="single" w:sz="4" w:space="0" w:color="auto"/>
            </w:tcBorders>
            <w:shd w:val="clear" w:color="auto" w:fill="auto"/>
            <w:noWrap/>
            <w:vAlign w:val="center"/>
            <w:hideMark/>
          </w:tcPr>
          <w:p w14:paraId="53C14EE8"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E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EA"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1.50</w:t>
            </w:r>
          </w:p>
        </w:tc>
        <w:tc>
          <w:tcPr>
            <w:tcW w:w="378" w:type="dxa"/>
            <w:tcBorders>
              <w:top w:val="nil"/>
              <w:left w:val="nil"/>
              <w:bottom w:val="single" w:sz="4" w:space="0" w:color="auto"/>
              <w:right w:val="single" w:sz="4" w:space="0" w:color="auto"/>
            </w:tcBorders>
            <w:shd w:val="clear" w:color="auto" w:fill="auto"/>
            <w:noWrap/>
            <w:vAlign w:val="center"/>
            <w:hideMark/>
          </w:tcPr>
          <w:p w14:paraId="53C14EE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EC"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ED"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0.38</w:t>
            </w:r>
          </w:p>
        </w:tc>
        <w:tc>
          <w:tcPr>
            <w:tcW w:w="378" w:type="dxa"/>
            <w:tcBorders>
              <w:top w:val="nil"/>
              <w:left w:val="nil"/>
              <w:bottom w:val="single" w:sz="4" w:space="0" w:color="auto"/>
              <w:right w:val="single" w:sz="4" w:space="0" w:color="auto"/>
            </w:tcBorders>
            <w:shd w:val="clear" w:color="auto" w:fill="auto"/>
            <w:noWrap/>
            <w:vAlign w:val="center"/>
            <w:hideMark/>
          </w:tcPr>
          <w:p w14:paraId="53C14EE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4EEF"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EF0"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1.13</w:t>
            </w:r>
          </w:p>
        </w:tc>
        <w:tc>
          <w:tcPr>
            <w:tcW w:w="378" w:type="dxa"/>
            <w:tcBorders>
              <w:top w:val="nil"/>
              <w:left w:val="nil"/>
              <w:bottom w:val="single" w:sz="4" w:space="0" w:color="auto"/>
              <w:right w:val="single" w:sz="4" w:space="0" w:color="auto"/>
            </w:tcBorders>
            <w:shd w:val="clear" w:color="auto" w:fill="auto"/>
            <w:noWrap/>
            <w:vAlign w:val="center"/>
            <w:hideMark/>
          </w:tcPr>
          <w:p w14:paraId="53C14EF1"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F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0.31</w:t>
            </w:r>
          </w:p>
        </w:tc>
        <w:tc>
          <w:tcPr>
            <w:tcW w:w="378" w:type="dxa"/>
            <w:tcBorders>
              <w:top w:val="nil"/>
              <w:left w:val="nil"/>
              <w:bottom w:val="single" w:sz="4" w:space="0" w:color="auto"/>
              <w:right w:val="single" w:sz="4" w:space="0" w:color="auto"/>
            </w:tcBorders>
            <w:shd w:val="clear" w:color="auto" w:fill="auto"/>
            <w:noWrap/>
            <w:vAlign w:val="center"/>
            <w:hideMark/>
          </w:tcPr>
          <w:p w14:paraId="53C14EF3"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F4"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0.38</w:t>
            </w:r>
          </w:p>
        </w:tc>
        <w:tc>
          <w:tcPr>
            <w:tcW w:w="378" w:type="dxa"/>
            <w:tcBorders>
              <w:top w:val="nil"/>
              <w:left w:val="nil"/>
              <w:bottom w:val="single" w:sz="4" w:space="0" w:color="auto"/>
              <w:right w:val="single" w:sz="4" w:space="0" w:color="auto"/>
            </w:tcBorders>
            <w:shd w:val="clear" w:color="auto" w:fill="auto"/>
            <w:noWrap/>
            <w:vAlign w:val="center"/>
            <w:hideMark/>
          </w:tcPr>
          <w:p w14:paraId="53C14EF5"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F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4.94</w:t>
            </w:r>
          </w:p>
        </w:tc>
        <w:tc>
          <w:tcPr>
            <w:tcW w:w="378" w:type="dxa"/>
            <w:tcBorders>
              <w:top w:val="nil"/>
              <w:left w:val="nil"/>
              <w:bottom w:val="single" w:sz="4" w:space="0" w:color="auto"/>
              <w:right w:val="single" w:sz="4" w:space="0" w:color="auto"/>
            </w:tcBorders>
            <w:shd w:val="clear" w:color="auto" w:fill="auto"/>
            <w:noWrap/>
            <w:vAlign w:val="center"/>
            <w:hideMark/>
          </w:tcPr>
          <w:p w14:paraId="53C14EF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F8"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F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FA"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0.50</w:t>
            </w:r>
          </w:p>
        </w:tc>
        <w:tc>
          <w:tcPr>
            <w:tcW w:w="378" w:type="dxa"/>
            <w:tcBorders>
              <w:top w:val="nil"/>
              <w:left w:val="nil"/>
              <w:bottom w:val="single" w:sz="4" w:space="0" w:color="auto"/>
              <w:right w:val="single" w:sz="4" w:space="0" w:color="auto"/>
            </w:tcBorders>
            <w:shd w:val="clear" w:color="auto" w:fill="auto"/>
            <w:noWrap/>
            <w:vAlign w:val="center"/>
            <w:hideMark/>
          </w:tcPr>
          <w:p w14:paraId="53C14EF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FC"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4EFD"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0.38</w:t>
            </w:r>
          </w:p>
        </w:tc>
        <w:tc>
          <w:tcPr>
            <w:tcW w:w="378" w:type="dxa"/>
            <w:tcBorders>
              <w:top w:val="nil"/>
              <w:left w:val="nil"/>
              <w:bottom w:val="single" w:sz="4" w:space="0" w:color="auto"/>
              <w:right w:val="single" w:sz="4" w:space="0" w:color="auto"/>
            </w:tcBorders>
            <w:shd w:val="clear" w:color="auto" w:fill="auto"/>
            <w:noWrap/>
            <w:vAlign w:val="center"/>
            <w:hideMark/>
          </w:tcPr>
          <w:p w14:paraId="53C14EFE"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EFF"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00"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2.81</w:t>
            </w:r>
          </w:p>
        </w:tc>
        <w:tc>
          <w:tcPr>
            <w:tcW w:w="378" w:type="dxa"/>
            <w:tcBorders>
              <w:top w:val="nil"/>
              <w:left w:val="nil"/>
              <w:bottom w:val="single" w:sz="4" w:space="0" w:color="auto"/>
              <w:right w:val="single" w:sz="4" w:space="0" w:color="auto"/>
            </w:tcBorders>
            <w:shd w:val="clear" w:color="auto" w:fill="auto"/>
            <w:noWrap/>
            <w:vAlign w:val="center"/>
            <w:hideMark/>
          </w:tcPr>
          <w:p w14:paraId="53C14F01"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02"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03"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1.50</w:t>
            </w:r>
          </w:p>
        </w:tc>
        <w:tc>
          <w:tcPr>
            <w:tcW w:w="378" w:type="dxa"/>
            <w:tcBorders>
              <w:top w:val="nil"/>
              <w:left w:val="nil"/>
              <w:bottom w:val="single" w:sz="4" w:space="0" w:color="auto"/>
              <w:right w:val="single" w:sz="4" w:space="0" w:color="auto"/>
            </w:tcBorders>
            <w:shd w:val="clear" w:color="auto" w:fill="auto"/>
            <w:noWrap/>
            <w:vAlign w:val="center"/>
            <w:hideMark/>
          </w:tcPr>
          <w:p w14:paraId="53C14F04"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0.81</w:t>
            </w:r>
          </w:p>
        </w:tc>
      </w:tr>
      <w:tr w:rsidR="007904CB" w:rsidRPr="00657AD4" w14:paraId="53C14F27"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4F06" w14:textId="77777777" w:rsidR="007904CB" w:rsidRPr="007904CB" w:rsidRDefault="007904CB" w:rsidP="00235072">
            <w:pPr>
              <w:spacing w:after="0"/>
              <w:jc w:val="left"/>
              <w:rPr>
                <w:rFonts w:ascii="Arial Narrow" w:hAnsi="Arial Narrow"/>
                <w:sz w:val="18"/>
                <w:szCs w:val="18"/>
                <w:lang w:eastAsia="en-AU"/>
              </w:rPr>
            </w:pPr>
          </w:p>
        </w:tc>
        <w:tc>
          <w:tcPr>
            <w:tcW w:w="1073" w:type="dxa"/>
            <w:vMerge/>
            <w:tcBorders>
              <w:left w:val="single" w:sz="4" w:space="0" w:color="auto"/>
              <w:bottom w:val="single" w:sz="4" w:space="0" w:color="auto"/>
              <w:right w:val="single" w:sz="4" w:space="0" w:color="auto"/>
            </w:tcBorders>
            <w:shd w:val="clear" w:color="auto" w:fill="auto"/>
            <w:vAlign w:val="center"/>
          </w:tcPr>
          <w:p w14:paraId="53C14F07" w14:textId="77777777" w:rsidR="007904CB" w:rsidRPr="007904CB" w:rsidRDefault="007904CB" w:rsidP="00C60606">
            <w:pPr>
              <w:spacing w:after="0"/>
              <w:jc w:val="center"/>
              <w:rPr>
                <w:rFonts w:ascii="Arial Narrow" w:hAnsi="Arial Narrow"/>
                <w:sz w:val="18"/>
                <w:szCs w:val="18"/>
                <w:lang w:eastAsia="en-AU"/>
              </w:rPr>
            </w:pPr>
          </w:p>
        </w:tc>
        <w:tc>
          <w:tcPr>
            <w:tcW w:w="283" w:type="dxa"/>
            <w:tcBorders>
              <w:top w:val="nil"/>
              <w:left w:val="nil"/>
              <w:bottom w:val="single" w:sz="4" w:space="0" w:color="auto"/>
              <w:right w:val="single" w:sz="4" w:space="0" w:color="auto"/>
            </w:tcBorders>
            <w:shd w:val="clear" w:color="auto" w:fill="auto"/>
            <w:noWrap/>
            <w:vAlign w:val="center"/>
            <w:hideMark/>
          </w:tcPr>
          <w:p w14:paraId="53C14F0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5</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4F09"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2.81</w:t>
            </w:r>
          </w:p>
        </w:tc>
        <w:tc>
          <w:tcPr>
            <w:tcW w:w="378" w:type="dxa"/>
            <w:tcBorders>
              <w:top w:val="nil"/>
              <w:left w:val="nil"/>
              <w:bottom w:val="single" w:sz="4" w:space="0" w:color="auto"/>
              <w:right w:val="single" w:sz="4" w:space="0" w:color="auto"/>
            </w:tcBorders>
            <w:shd w:val="clear" w:color="auto" w:fill="auto"/>
            <w:noWrap/>
            <w:vAlign w:val="center"/>
            <w:hideMark/>
          </w:tcPr>
          <w:p w14:paraId="53C14F0A"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0B"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F0C"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0.44</w:t>
            </w:r>
          </w:p>
        </w:tc>
        <w:tc>
          <w:tcPr>
            <w:tcW w:w="378" w:type="dxa"/>
            <w:tcBorders>
              <w:top w:val="nil"/>
              <w:left w:val="nil"/>
              <w:bottom w:val="single" w:sz="4" w:space="0" w:color="auto"/>
              <w:right w:val="single" w:sz="4" w:space="0" w:color="auto"/>
            </w:tcBorders>
            <w:shd w:val="clear" w:color="auto" w:fill="auto"/>
            <w:noWrap/>
            <w:vAlign w:val="center"/>
            <w:hideMark/>
          </w:tcPr>
          <w:p w14:paraId="53C14F0D"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0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0.56</w:t>
            </w:r>
          </w:p>
        </w:tc>
        <w:tc>
          <w:tcPr>
            <w:tcW w:w="378" w:type="dxa"/>
            <w:tcBorders>
              <w:top w:val="nil"/>
              <w:left w:val="nil"/>
              <w:bottom w:val="single" w:sz="4" w:space="0" w:color="auto"/>
              <w:right w:val="single" w:sz="4" w:space="0" w:color="auto"/>
            </w:tcBorders>
            <w:shd w:val="clear" w:color="auto" w:fill="auto"/>
            <w:noWrap/>
            <w:vAlign w:val="center"/>
            <w:hideMark/>
          </w:tcPr>
          <w:p w14:paraId="53C14F0F"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3.69</w:t>
            </w:r>
          </w:p>
        </w:tc>
        <w:tc>
          <w:tcPr>
            <w:tcW w:w="378" w:type="dxa"/>
            <w:tcBorders>
              <w:top w:val="nil"/>
              <w:left w:val="nil"/>
              <w:bottom w:val="single" w:sz="4" w:space="0" w:color="auto"/>
              <w:right w:val="single" w:sz="4" w:space="0" w:color="auto"/>
            </w:tcBorders>
            <w:shd w:val="clear" w:color="auto" w:fill="auto"/>
            <w:noWrap/>
            <w:vAlign w:val="center"/>
            <w:hideMark/>
          </w:tcPr>
          <w:p w14:paraId="53C14F10"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0.94</w:t>
            </w:r>
          </w:p>
        </w:tc>
        <w:tc>
          <w:tcPr>
            <w:tcW w:w="378" w:type="dxa"/>
            <w:tcBorders>
              <w:top w:val="nil"/>
              <w:left w:val="nil"/>
              <w:bottom w:val="single" w:sz="4" w:space="0" w:color="auto"/>
              <w:right w:val="single" w:sz="4" w:space="0" w:color="auto"/>
            </w:tcBorders>
            <w:shd w:val="clear" w:color="auto" w:fill="auto"/>
            <w:noWrap/>
            <w:vAlign w:val="center"/>
            <w:hideMark/>
          </w:tcPr>
          <w:p w14:paraId="53C14F11"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F12"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13"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1.38</w:t>
            </w:r>
          </w:p>
        </w:tc>
        <w:tc>
          <w:tcPr>
            <w:tcW w:w="378" w:type="dxa"/>
            <w:tcBorders>
              <w:top w:val="nil"/>
              <w:left w:val="nil"/>
              <w:bottom w:val="single" w:sz="4" w:space="0" w:color="auto"/>
              <w:right w:val="single" w:sz="4" w:space="0" w:color="auto"/>
            </w:tcBorders>
            <w:shd w:val="clear" w:color="auto" w:fill="auto"/>
            <w:noWrap/>
            <w:vAlign w:val="center"/>
            <w:hideMark/>
          </w:tcPr>
          <w:p w14:paraId="53C14F14"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0.69</w:t>
            </w:r>
          </w:p>
        </w:tc>
        <w:tc>
          <w:tcPr>
            <w:tcW w:w="378" w:type="dxa"/>
            <w:tcBorders>
              <w:top w:val="nil"/>
              <w:left w:val="nil"/>
              <w:bottom w:val="single" w:sz="4" w:space="0" w:color="auto"/>
              <w:right w:val="single" w:sz="4" w:space="0" w:color="auto"/>
            </w:tcBorders>
            <w:shd w:val="clear" w:color="auto" w:fill="auto"/>
            <w:noWrap/>
            <w:vAlign w:val="center"/>
            <w:hideMark/>
          </w:tcPr>
          <w:p w14:paraId="53C14F15"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1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0.50</w:t>
            </w:r>
          </w:p>
        </w:tc>
        <w:tc>
          <w:tcPr>
            <w:tcW w:w="378" w:type="dxa"/>
            <w:tcBorders>
              <w:top w:val="nil"/>
              <w:left w:val="nil"/>
              <w:bottom w:val="single" w:sz="4" w:space="0" w:color="auto"/>
              <w:right w:val="single" w:sz="4" w:space="0" w:color="auto"/>
            </w:tcBorders>
            <w:shd w:val="clear" w:color="auto" w:fill="auto"/>
            <w:noWrap/>
            <w:vAlign w:val="center"/>
            <w:hideMark/>
          </w:tcPr>
          <w:p w14:paraId="53C14F17"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1.75</w:t>
            </w:r>
          </w:p>
        </w:tc>
        <w:tc>
          <w:tcPr>
            <w:tcW w:w="378" w:type="dxa"/>
            <w:tcBorders>
              <w:top w:val="nil"/>
              <w:left w:val="nil"/>
              <w:bottom w:val="single" w:sz="4" w:space="0" w:color="auto"/>
              <w:right w:val="single" w:sz="4" w:space="0" w:color="auto"/>
            </w:tcBorders>
            <w:shd w:val="clear" w:color="auto" w:fill="auto"/>
            <w:noWrap/>
            <w:vAlign w:val="center"/>
            <w:hideMark/>
          </w:tcPr>
          <w:p w14:paraId="53C14F1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1.94</w:t>
            </w:r>
          </w:p>
        </w:tc>
        <w:tc>
          <w:tcPr>
            <w:tcW w:w="378" w:type="dxa"/>
            <w:tcBorders>
              <w:top w:val="nil"/>
              <w:left w:val="nil"/>
              <w:bottom w:val="single" w:sz="4" w:space="0" w:color="auto"/>
              <w:right w:val="single" w:sz="4" w:space="0" w:color="auto"/>
            </w:tcBorders>
            <w:shd w:val="clear" w:color="auto" w:fill="auto"/>
            <w:noWrap/>
            <w:vAlign w:val="center"/>
            <w:hideMark/>
          </w:tcPr>
          <w:p w14:paraId="53C14F19"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2.56</w:t>
            </w:r>
          </w:p>
        </w:tc>
        <w:tc>
          <w:tcPr>
            <w:tcW w:w="378" w:type="dxa"/>
            <w:tcBorders>
              <w:top w:val="nil"/>
              <w:left w:val="nil"/>
              <w:bottom w:val="single" w:sz="4" w:space="0" w:color="auto"/>
              <w:right w:val="single" w:sz="4" w:space="0" w:color="auto"/>
            </w:tcBorders>
            <w:shd w:val="clear" w:color="auto" w:fill="auto"/>
            <w:noWrap/>
            <w:vAlign w:val="center"/>
            <w:hideMark/>
          </w:tcPr>
          <w:p w14:paraId="53C14F1A"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1.44</w:t>
            </w:r>
          </w:p>
        </w:tc>
        <w:tc>
          <w:tcPr>
            <w:tcW w:w="378" w:type="dxa"/>
            <w:tcBorders>
              <w:top w:val="nil"/>
              <w:left w:val="nil"/>
              <w:bottom w:val="single" w:sz="4" w:space="0" w:color="auto"/>
              <w:right w:val="single" w:sz="4" w:space="0" w:color="auto"/>
            </w:tcBorders>
            <w:shd w:val="clear" w:color="auto" w:fill="auto"/>
            <w:noWrap/>
            <w:vAlign w:val="center"/>
            <w:hideMark/>
          </w:tcPr>
          <w:p w14:paraId="53C14F1B"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4.19</w:t>
            </w:r>
          </w:p>
        </w:tc>
        <w:tc>
          <w:tcPr>
            <w:tcW w:w="378" w:type="dxa"/>
            <w:tcBorders>
              <w:top w:val="nil"/>
              <w:left w:val="nil"/>
              <w:bottom w:val="single" w:sz="4" w:space="0" w:color="auto"/>
              <w:right w:val="single" w:sz="4" w:space="0" w:color="auto"/>
            </w:tcBorders>
            <w:shd w:val="clear" w:color="auto" w:fill="auto"/>
            <w:noWrap/>
            <w:vAlign w:val="center"/>
            <w:hideMark/>
          </w:tcPr>
          <w:p w14:paraId="53C14F1C"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4F1D"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1.13</w:t>
            </w:r>
          </w:p>
        </w:tc>
        <w:tc>
          <w:tcPr>
            <w:tcW w:w="378" w:type="dxa"/>
            <w:tcBorders>
              <w:top w:val="nil"/>
              <w:left w:val="nil"/>
              <w:bottom w:val="single" w:sz="4" w:space="0" w:color="auto"/>
              <w:right w:val="single" w:sz="4" w:space="0" w:color="auto"/>
            </w:tcBorders>
            <w:shd w:val="clear" w:color="auto" w:fill="auto"/>
            <w:noWrap/>
            <w:vAlign w:val="center"/>
            <w:hideMark/>
          </w:tcPr>
          <w:p w14:paraId="53C14F1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1.00</w:t>
            </w:r>
          </w:p>
        </w:tc>
        <w:tc>
          <w:tcPr>
            <w:tcW w:w="378" w:type="dxa"/>
            <w:tcBorders>
              <w:top w:val="nil"/>
              <w:left w:val="nil"/>
              <w:bottom w:val="single" w:sz="4" w:space="0" w:color="auto"/>
              <w:right w:val="single" w:sz="4" w:space="0" w:color="auto"/>
            </w:tcBorders>
            <w:shd w:val="clear" w:color="auto" w:fill="auto"/>
            <w:noWrap/>
            <w:vAlign w:val="center"/>
            <w:hideMark/>
          </w:tcPr>
          <w:p w14:paraId="53C14F1F"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F20"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0.31</w:t>
            </w:r>
          </w:p>
        </w:tc>
        <w:tc>
          <w:tcPr>
            <w:tcW w:w="378" w:type="dxa"/>
            <w:tcBorders>
              <w:top w:val="nil"/>
              <w:left w:val="nil"/>
              <w:bottom w:val="single" w:sz="4" w:space="0" w:color="auto"/>
              <w:right w:val="single" w:sz="4" w:space="0" w:color="auto"/>
            </w:tcBorders>
            <w:shd w:val="clear" w:color="auto" w:fill="auto"/>
            <w:noWrap/>
            <w:vAlign w:val="center"/>
            <w:hideMark/>
          </w:tcPr>
          <w:p w14:paraId="53C14F21"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0.63</w:t>
            </w:r>
          </w:p>
        </w:tc>
        <w:tc>
          <w:tcPr>
            <w:tcW w:w="378" w:type="dxa"/>
            <w:tcBorders>
              <w:top w:val="nil"/>
              <w:left w:val="nil"/>
              <w:bottom w:val="single" w:sz="4" w:space="0" w:color="auto"/>
              <w:right w:val="single" w:sz="4" w:space="0" w:color="auto"/>
            </w:tcBorders>
            <w:shd w:val="clear" w:color="auto" w:fill="auto"/>
            <w:noWrap/>
            <w:vAlign w:val="center"/>
            <w:hideMark/>
          </w:tcPr>
          <w:p w14:paraId="53C14F2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1.56</w:t>
            </w:r>
          </w:p>
        </w:tc>
        <w:tc>
          <w:tcPr>
            <w:tcW w:w="378" w:type="dxa"/>
            <w:tcBorders>
              <w:top w:val="nil"/>
              <w:left w:val="nil"/>
              <w:bottom w:val="single" w:sz="4" w:space="0" w:color="auto"/>
              <w:right w:val="single" w:sz="4" w:space="0" w:color="auto"/>
            </w:tcBorders>
            <w:shd w:val="clear" w:color="auto" w:fill="auto"/>
            <w:noWrap/>
            <w:vAlign w:val="center"/>
            <w:hideMark/>
          </w:tcPr>
          <w:p w14:paraId="53C14F23"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F24"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25"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5.31</w:t>
            </w:r>
          </w:p>
        </w:tc>
        <w:tc>
          <w:tcPr>
            <w:tcW w:w="378" w:type="dxa"/>
            <w:tcBorders>
              <w:top w:val="nil"/>
              <w:left w:val="nil"/>
              <w:bottom w:val="single" w:sz="4" w:space="0" w:color="auto"/>
              <w:right w:val="single" w:sz="4" w:space="0" w:color="auto"/>
            </w:tcBorders>
            <w:shd w:val="clear" w:color="auto" w:fill="auto"/>
            <w:noWrap/>
            <w:vAlign w:val="center"/>
            <w:hideMark/>
          </w:tcPr>
          <w:p w14:paraId="53C14F2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1.13</w:t>
            </w:r>
          </w:p>
        </w:tc>
      </w:tr>
      <w:tr w:rsidR="007904CB" w:rsidRPr="00657AD4" w14:paraId="53C14F49"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4F28" w14:textId="77777777" w:rsidR="007904CB" w:rsidRPr="007904CB" w:rsidRDefault="007904CB" w:rsidP="00235072">
            <w:pPr>
              <w:spacing w:after="0"/>
              <w:jc w:val="left"/>
              <w:rPr>
                <w:rFonts w:ascii="Arial Narrow" w:hAnsi="Arial Narrow"/>
                <w:sz w:val="18"/>
                <w:szCs w:val="18"/>
                <w:lang w:eastAsia="en-AU"/>
              </w:rPr>
            </w:pPr>
          </w:p>
        </w:tc>
        <w:tc>
          <w:tcPr>
            <w:tcW w:w="1073" w:type="dxa"/>
            <w:vMerge w:val="restart"/>
            <w:tcBorders>
              <w:top w:val="nil"/>
              <w:left w:val="single" w:sz="4" w:space="0" w:color="auto"/>
              <w:right w:val="single" w:sz="4" w:space="0" w:color="auto"/>
            </w:tcBorders>
            <w:shd w:val="clear" w:color="auto" w:fill="auto"/>
            <w:noWrap/>
            <w:vAlign w:val="center"/>
          </w:tcPr>
          <w:p w14:paraId="53C14F29" w14:textId="77777777" w:rsidR="007904CB" w:rsidRPr="007904CB" w:rsidRDefault="007904CB" w:rsidP="00C60606">
            <w:pPr>
              <w:spacing w:after="0"/>
              <w:jc w:val="center"/>
              <w:rPr>
                <w:rFonts w:ascii="Arial Narrow" w:hAnsi="Arial Narrow"/>
                <w:sz w:val="18"/>
                <w:szCs w:val="18"/>
                <w:lang w:eastAsia="en-AU"/>
              </w:rPr>
            </w:pPr>
            <w:r w:rsidRPr="007904CB">
              <w:rPr>
                <w:rFonts w:ascii="Arial Narrow" w:hAnsi="Arial Narrow"/>
                <w:sz w:val="18"/>
                <w:szCs w:val="18"/>
              </w:rPr>
              <w:t>Bedarra</w:t>
            </w:r>
          </w:p>
        </w:tc>
        <w:tc>
          <w:tcPr>
            <w:tcW w:w="283" w:type="dxa"/>
            <w:tcBorders>
              <w:top w:val="nil"/>
              <w:left w:val="nil"/>
              <w:bottom w:val="single" w:sz="4" w:space="0" w:color="auto"/>
              <w:right w:val="single" w:sz="4" w:space="0" w:color="auto"/>
            </w:tcBorders>
            <w:shd w:val="clear" w:color="auto" w:fill="auto"/>
            <w:noWrap/>
            <w:vAlign w:val="center"/>
            <w:hideMark/>
          </w:tcPr>
          <w:p w14:paraId="53C14F2A"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2</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4F2B"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2.19</w:t>
            </w:r>
          </w:p>
        </w:tc>
        <w:tc>
          <w:tcPr>
            <w:tcW w:w="378" w:type="dxa"/>
            <w:tcBorders>
              <w:top w:val="nil"/>
              <w:left w:val="nil"/>
              <w:bottom w:val="single" w:sz="4" w:space="0" w:color="auto"/>
              <w:right w:val="single" w:sz="4" w:space="0" w:color="auto"/>
            </w:tcBorders>
            <w:shd w:val="clear" w:color="auto" w:fill="auto"/>
            <w:noWrap/>
            <w:vAlign w:val="center"/>
            <w:hideMark/>
          </w:tcPr>
          <w:p w14:paraId="53C14F2C"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2D"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2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0.44</w:t>
            </w:r>
          </w:p>
        </w:tc>
        <w:tc>
          <w:tcPr>
            <w:tcW w:w="378" w:type="dxa"/>
            <w:tcBorders>
              <w:top w:val="nil"/>
              <w:left w:val="nil"/>
              <w:bottom w:val="single" w:sz="4" w:space="0" w:color="auto"/>
              <w:right w:val="single" w:sz="4" w:space="0" w:color="auto"/>
            </w:tcBorders>
            <w:shd w:val="clear" w:color="auto" w:fill="auto"/>
            <w:noWrap/>
            <w:vAlign w:val="center"/>
            <w:hideMark/>
          </w:tcPr>
          <w:p w14:paraId="53C14F2F"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30"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31"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0.38</w:t>
            </w:r>
          </w:p>
        </w:tc>
        <w:tc>
          <w:tcPr>
            <w:tcW w:w="378" w:type="dxa"/>
            <w:tcBorders>
              <w:top w:val="nil"/>
              <w:left w:val="nil"/>
              <w:bottom w:val="single" w:sz="4" w:space="0" w:color="auto"/>
              <w:right w:val="single" w:sz="4" w:space="0" w:color="auto"/>
            </w:tcBorders>
            <w:shd w:val="clear" w:color="auto" w:fill="auto"/>
            <w:noWrap/>
            <w:vAlign w:val="center"/>
            <w:hideMark/>
          </w:tcPr>
          <w:p w14:paraId="53C14F3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0.44</w:t>
            </w:r>
          </w:p>
        </w:tc>
        <w:tc>
          <w:tcPr>
            <w:tcW w:w="378" w:type="dxa"/>
            <w:tcBorders>
              <w:top w:val="nil"/>
              <w:left w:val="nil"/>
              <w:bottom w:val="single" w:sz="4" w:space="0" w:color="auto"/>
              <w:right w:val="single" w:sz="4" w:space="0" w:color="auto"/>
            </w:tcBorders>
            <w:shd w:val="clear" w:color="auto" w:fill="auto"/>
            <w:noWrap/>
            <w:vAlign w:val="center"/>
            <w:hideMark/>
          </w:tcPr>
          <w:p w14:paraId="53C14F33"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F34"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F35"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4F3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F3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3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0.44</w:t>
            </w:r>
          </w:p>
        </w:tc>
        <w:tc>
          <w:tcPr>
            <w:tcW w:w="378" w:type="dxa"/>
            <w:tcBorders>
              <w:top w:val="nil"/>
              <w:left w:val="nil"/>
              <w:bottom w:val="single" w:sz="4" w:space="0" w:color="auto"/>
              <w:right w:val="single" w:sz="4" w:space="0" w:color="auto"/>
            </w:tcBorders>
            <w:shd w:val="clear" w:color="auto" w:fill="auto"/>
            <w:noWrap/>
            <w:vAlign w:val="center"/>
            <w:hideMark/>
          </w:tcPr>
          <w:p w14:paraId="53C14F3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3A"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4F3B"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4F3C"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3D"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3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4F3F"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40"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41"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4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0.44</w:t>
            </w:r>
          </w:p>
        </w:tc>
        <w:tc>
          <w:tcPr>
            <w:tcW w:w="378" w:type="dxa"/>
            <w:tcBorders>
              <w:top w:val="nil"/>
              <w:left w:val="nil"/>
              <w:bottom w:val="single" w:sz="4" w:space="0" w:color="auto"/>
              <w:right w:val="single" w:sz="4" w:space="0" w:color="auto"/>
            </w:tcBorders>
            <w:shd w:val="clear" w:color="auto" w:fill="auto"/>
            <w:noWrap/>
            <w:vAlign w:val="center"/>
            <w:hideMark/>
          </w:tcPr>
          <w:p w14:paraId="53C14F43"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F44"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4.06</w:t>
            </w:r>
          </w:p>
        </w:tc>
        <w:tc>
          <w:tcPr>
            <w:tcW w:w="378" w:type="dxa"/>
            <w:tcBorders>
              <w:top w:val="nil"/>
              <w:left w:val="nil"/>
              <w:bottom w:val="single" w:sz="4" w:space="0" w:color="auto"/>
              <w:right w:val="single" w:sz="4" w:space="0" w:color="auto"/>
            </w:tcBorders>
            <w:shd w:val="clear" w:color="auto" w:fill="auto"/>
            <w:noWrap/>
            <w:vAlign w:val="center"/>
            <w:hideMark/>
          </w:tcPr>
          <w:p w14:paraId="53C14F45"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4F4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F47"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0.50</w:t>
            </w:r>
          </w:p>
        </w:tc>
        <w:tc>
          <w:tcPr>
            <w:tcW w:w="378" w:type="dxa"/>
            <w:tcBorders>
              <w:top w:val="nil"/>
              <w:left w:val="nil"/>
              <w:bottom w:val="single" w:sz="4" w:space="0" w:color="auto"/>
              <w:right w:val="single" w:sz="4" w:space="0" w:color="auto"/>
            </w:tcBorders>
            <w:shd w:val="clear" w:color="auto" w:fill="auto"/>
            <w:noWrap/>
            <w:vAlign w:val="center"/>
            <w:hideMark/>
          </w:tcPr>
          <w:p w14:paraId="53C14F4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0.63</w:t>
            </w:r>
          </w:p>
        </w:tc>
      </w:tr>
      <w:tr w:rsidR="007904CB" w:rsidRPr="00657AD4" w14:paraId="53C14F6B"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4F4A" w14:textId="77777777" w:rsidR="007904CB" w:rsidRPr="007904CB" w:rsidRDefault="007904CB" w:rsidP="00235072">
            <w:pPr>
              <w:spacing w:after="0"/>
              <w:jc w:val="left"/>
              <w:rPr>
                <w:rFonts w:ascii="Arial Narrow" w:hAnsi="Arial Narrow"/>
                <w:sz w:val="18"/>
                <w:szCs w:val="18"/>
                <w:lang w:eastAsia="en-AU"/>
              </w:rPr>
            </w:pPr>
          </w:p>
        </w:tc>
        <w:tc>
          <w:tcPr>
            <w:tcW w:w="1073" w:type="dxa"/>
            <w:vMerge/>
            <w:tcBorders>
              <w:left w:val="single" w:sz="4" w:space="0" w:color="auto"/>
              <w:bottom w:val="single" w:sz="4" w:space="0" w:color="auto"/>
              <w:right w:val="single" w:sz="4" w:space="0" w:color="auto"/>
            </w:tcBorders>
            <w:shd w:val="clear" w:color="auto" w:fill="auto"/>
            <w:vAlign w:val="center"/>
          </w:tcPr>
          <w:p w14:paraId="53C14F4B" w14:textId="77777777" w:rsidR="007904CB" w:rsidRPr="007904CB" w:rsidRDefault="007904CB" w:rsidP="00C60606">
            <w:pPr>
              <w:spacing w:after="0"/>
              <w:jc w:val="center"/>
              <w:rPr>
                <w:rFonts w:ascii="Arial Narrow" w:hAnsi="Arial Narrow"/>
                <w:sz w:val="18"/>
                <w:szCs w:val="18"/>
                <w:lang w:eastAsia="en-AU"/>
              </w:rPr>
            </w:pPr>
          </w:p>
        </w:tc>
        <w:tc>
          <w:tcPr>
            <w:tcW w:w="283" w:type="dxa"/>
            <w:tcBorders>
              <w:top w:val="nil"/>
              <w:left w:val="nil"/>
              <w:bottom w:val="single" w:sz="4" w:space="0" w:color="auto"/>
              <w:right w:val="single" w:sz="4" w:space="0" w:color="auto"/>
            </w:tcBorders>
            <w:shd w:val="clear" w:color="auto" w:fill="auto"/>
            <w:noWrap/>
            <w:vAlign w:val="center"/>
            <w:hideMark/>
          </w:tcPr>
          <w:p w14:paraId="53C14F4C"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5</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4F4D"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4F4E"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4F"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50"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0.31</w:t>
            </w:r>
          </w:p>
        </w:tc>
        <w:tc>
          <w:tcPr>
            <w:tcW w:w="378" w:type="dxa"/>
            <w:tcBorders>
              <w:top w:val="nil"/>
              <w:left w:val="nil"/>
              <w:bottom w:val="single" w:sz="4" w:space="0" w:color="auto"/>
              <w:right w:val="single" w:sz="4" w:space="0" w:color="auto"/>
            </w:tcBorders>
            <w:shd w:val="clear" w:color="auto" w:fill="auto"/>
            <w:noWrap/>
            <w:vAlign w:val="center"/>
            <w:hideMark/>
          </w:tcPr>
          <w:p w14:paraId="53C14F51"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52"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53"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4.06</w:t>
            </w:r>
          </w:p>
        </w:tc>
        <w:tc>
          <w:tcPr>
            <w:tcW w:w="378" w:type="dxa"/>
            <w:tcBorders>
              <w:top w:val="nil"/>
              <w:left w:val="nil"/>
              <w:bottom w:val="single" w:sz="4" w:space="0" w:color="auto"/>
              <w:right w:val="single" w:sz="4" w:space="0" w:color="auto"/>
            </w:tcBorders>
            <w:shd w:val="clear" w:color="auto" w:fill="auto"/>
            <w:noWrap/>
            <w:vAlign w:val="center"/>
            <w:hideMark/>
          </w:tcPr>
          <w:p w14:paraId="53C14F54"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F55"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56"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57"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0.38</w:t>
            </w:r>
          </w:p>
        </w:tc>
        <w:tc>
          <w:tcPr>
            <w:tcW w:w="378" w:type="dxa"/>
            <w:tcBorders>
              <w:top w:val="nil"/>
              <w:left w:val="nil"/>
              <w:bottom w:val="single" w:sz="4" w:space="0" w:color="auto"/>
              <w:right w:val="single" w:sz="4" w:space="0" w:color="auto"/>
            </w:tcBorders>
            <w:shd w:val="clear" w:color="auto" w:fill="auto"/>
            <w:noWrap/>
            <w:vAlign w:val="center"/>
            <w:hideMark/>
          </w:tcPr>
          <w:p w14:paraId="53C14F5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3.13</w:t>
            </w:r>
          </w:p>
        </w:tc>
        <w:tc>
          <w:tcPr>
            <w:tcW w:w="378" w:type="dxa"/>
            <w:tcBorders>
              <w:top w:val="nil"/>
              <w:left w:val="nil"/>
              <w:bottom w:val="single" w:sz="4" w:space="0" w:color="auto"/>
              <w:right w:val="single" w:sz="4" w:space="0" w:color="auto"/>
            </w:tcBorders>
            <w:shd w:val="clear" w:color="auto" w:fill="auto"/>
            <w:noWrap/>
            <w:vAlign w:val="center"/>
            <w:hideMark/>
          </w:tcPr>
          <w:p w14:paraId="53C14F5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5A"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1.25</w:t>
            </w:r>
          </w:p>
        </w:tc>
        <w:tc>
          <w:tcPr>
            <w:tcW w:w="378" w:type="dxa"/>
            <w:tcBorders>
              <w:top w:val="nil"/>
              <w:left w:val="nil"/>
              <w:bottom w:val="single" w:sz="4" w:space="0" w:color="auto"/>
              <w:right w:val="single" w:sz="4" w:space="0" w:color="auto"/>
            </w:tcBorders>
            <w:shd w:val="clear" w:color="auto" w:fill="auto"/>
            <w:noWrap/>
            <w:vAlign w:val="center"/>
            <w:hideMark/>
          </w:tcPr>
          <w:p w14:paraId="53C14F5B"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0.56</w:t>
            </w:r>
          </w:p>
        </w:tc>
        <w:tc>
          <w:tcPr>
            <w:tcW w:w="378" w:type="dxa"/>
            <w:tcBorders>
              <w:top w:val="nil"/>
              <w:left w:val="nil"/>
              <w:bottom w:val="single" w:sz="4" w:space="0" w:color="auto"/>
              <w:right w:val="single" w:sz="4" w:space="0" w:color="auto"/>
            </w:tcBorders>
            <w:shd w:val="clear" w:color="auto" w:fill="auto"/>
            <w:noWrap/>
            <w:vAlign w:val="center"/>
            <w:hideMark/>
          </w:tcPr>
          <w:p w14:paraId="53C14F5C"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4F5D"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0.69</w:t>
            </w:r>
          </w:p>
        </w:tc>
        <w:tc>
          <w:tcPr>
            <w:tcW w:w="378" w:type="dxa"/>
            <w:tcBorders>
              <w:top w:val="nil"/>
              <w:left w:val="nil"/>
              <w:bottom w:val="single" w:sz="4" w:space="0" w:color="auto"/>
              <w:right w:val="single" w:sz="4" w:space="0" w:color="auto"/>
            </w:tcBorders>
            <w:shd w:val="clear" w:color="auto" w:fill="auto"/>
            <w:noWrap/>
            <w:vAlign w:val="center"/>
            <w:hideMark/>
          </w:tcPr>
          <w:p w14:paraId="53C14F5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F5F"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0.94</w:t>
            </w:r>
          </w:p>
        </w:tc>
        <w:tc>
          <w:tcPr>
            <w:tcW w:w="378" w:type="dxa"/>
            <w:tcBorders>
              <w:top w:val="nil"/>
              <w:left w:val="nil"/>
              <w:bottom w:val="single" w:sz="4" w:space="0" w:color="auto"/>
              <w:right w:val="single" w:sz="4" w:space="0" w:color="auto"/>
            </w:tcBorders>
            <w:shd w:val="clear" w:color="auto" w:fill="auto"/>
            <w:noWrap/>
            <w:vAlign w:val="center"/>
            <w:hideMark/>
          </w:tcPr>
          <w:p w14:paraId="53C14F60"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F61"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6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0.50</w:t>
            </w:r>
          </w:p>
        </w:tc>
        <w:tc>
          <w:tcPr>
            <w:tcW w:w="378" w:type="dxa"/>
            <w:tcBorders>
              <w:top w:val="nil"/>
              <w:left w:val="nil"/>
              <w:bottom w:val="single" w:sz="4" w:space="0" w:color="auto"/>
              <w:right w:val="single" w:sz="4" w:space="0" w:color="auto"/>
            </w:tcBorders>
            <w:shd w:val="clear" w:color="auto" w:fill="auto"/>
            <w:noWrap/>
            <w:vAlign w:val="center"/>
            <w:hideMark/>
          </w:tcPr>
          <w:p w14:paraId="53C14F63"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64"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F65"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0.44</w:t>
            </w:r>
          </w:p>
        </w:tc>
        <w:tc>
          <w:tcPr>
            <w:tcW w:w="378" w:type="dxa"/>
            <w:tcBorders>
              <w:top w:val="nil"/>
              <w:left w:val="nil"/>
              <w:bottom w:val="single" w:sz="4" w:space="0" w:color="auto"/>
              <w:right w:val="single" w:sz="4" w:space="0" w:color="auto"/>
            </w:tcBorders>
            <w:shd w:val="clear" w:color="auto" w:fill="auto"/>
            <w:noWrap/>
            <w:vAlign w:val="center"/>
            <w:hideMark/>
          </w:tcPr>
          <w:p w14:paraId="53C14F6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3.44</w:t>
            </w:r>
          </w:p>
        </w:tc>
        <w:tc>
          <w:tcPr>
            <w:tcW w:w="378" w:type="dxa"/>
            <w:tcBorders>
              <w:top w:val="nil"/>
              <w:left w:val="nil"/>
              <w:bottom w:val="single" w:sz="4" w:space="0" w:color="auto"/>
              <w:right w:val="single" w:sz="4" w:space="0" w:color="auto"/>
            </w:tcBorders>
            <w:shd w:val="clear" w:color="auto" w:fill="auto"/>
            <w:noWrap/>
            <w:vAlign w:val="center"/>
            <w:hideMark/>
          </w:tcPr>
          <w:p w14:paraId="53C14F6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68"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69"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0.38</w:t>
            </w:r>
          </w:p>
        </w:tc>
        <w:tc>
          <w:tcPr>
            <w:tcW w:w="378" w:type="dxa"/>
            <w:tcBorders>
              <w:top w:val="nil"/>
              <w:left w:val="nil"/>
              <w:bottom w:val="single" w:sz="4" w:space="0" w:color="auto"/>
              <w:right w:val="single" w:sz="4" w:space="0" w:color="auto"/>
            </w:tcBorders>
            <w:shd w:val="clear" w:color="auto" w:fill="auto"/>
            <w:noWrap/>
            <w:vAlign w:val="center"/>
            <w:hideMark/>
          </w:tcPr>
          <w:p w14:paraId="53C14F6A"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0.75</w:t>
            </w:r>
          </w:p>
        </w:tc>
      </w:tr>
      <w:tr w:rsidR="007904CB" w:rsidRPr="00657AD4" w14:paraId="53C14F8D" w14:textId="77777777" w:rsidTr="00C60606">
        <w:trPr>
          <w:trHeight w:hRule="exact" w:val="397"/>
        </w:trPr>
        <w:tc>
          <w:tcPr>
            <w:tcW w:w="389" w:type="dxa"/>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14:paraId="53C14F6C" w14:textId="77777777" w:rsidR="007904CB" w:rsidRPr="007904CB" w:rsidRDefault="007904CB" w:rsidP="00235072">
            <w:pPr>
              <w:spacing w:after="0"/>
              <w:jc w:val="center"/>
              <w:rPr>
                <w:rFonts w:ascii="Arial Narrow" w:hAnsi="Arial Narrow"/>
                <w:sz w:val="18"/>
                <w:szCs w:val="18"/>
                <w:lang w:eastAsia="en-AU"/>
              </w:rPr>
            </w:pPr>
            <w:r w:rsidRPr="007904CB">
              <w:rPr>
                <w:rFonts w:ascii="Arial Narrow" w:hAnsi="Arial Narrow"/>
                <w:sz w:val="18"/>
                <w:szCs w:val="18"/>
                <w:lang w:eastAsia="en-AU"/>
              </w:rPr>
              <w:t>Burdekin</w:t>
            </w:r>
          </w:p>
        </w:tc>
        <w:tc>
          <w:tcPr>
            <w:tcW w:w="1073" w:type="dxa"/>
            <w:vMerge w:val="restart"/>
            <w:tcBorders>
              <w:top w:val="nil"/>
              <w:left w:val="single" w:sz="4" w:space="0" w:color="auto"/>
              <w:right w:val="single" w:sz="4" w:space="0" w:color="auto"/>
            </w:tcBorders>
            <w:shd w:val="clear" w:color="auto" w:fill="auto"/>
            <w:noWrap/>
            <w:vAlign w:val="center"/>
          </w:tcPr>
          <w:p w14:paraId="53C14F6D" w14:textId="77777777" w:rsidR="007904CB" w:rsidRPr="007904CB" w:rsidRDefault="007904CB" w:rsidP="00C60606">
            <w:pPr>
              <w:spacing w:after="0"/>
              <w:jc w:val="center"/>
              <w:rPr>
                <w:rFonts w:ascii="Arial Narrow" w:hAnsi="Arial Narrow"/>
                <w:sz w:val="18"/>
                <w:szCs w:val="18"/>
                <w:lang w:eastAsia="en-AU"/>
              </w:rPr>
            </w:pPr>
            <w:r w:rsidRPr="007904CB">
              <w:rPr>
                <w:rFonts w:ascii="Arial Narrow" w:hAnsi="Arial Narrow"/>
                <w:sz w:val="18"/>
                <w:szCs w:val="18"/>
              </w:rPr>
              <w:t>Palms East</w:t>
            </w:r>
          </w:p>
        </w:tc>
        <w:tc>
          <w:tcPr>
            <w:tcW w:w="283" w:type="dxa"/>
            <w:tcBorders>
              <w:top w:val="nil"/>
              <w:left w:val="nil"/>
              <w:bottom w:val="single" w:sz="4" w:space="0" w:color="auto"/>
              <w:right w:val="single" w:sz="4" w:space="0" w:color="auto"/>
            </w:tcBorders>
            <w:shd w:val="clear" w:color="auto" w:fill="auto"/>
            <w:noWrap/>
            <w:vAlign w:val="center"/>
            <w:hideMark/>
          </w:tcPr>
          <w:p w14:paraId="53C14F6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2</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4F6F"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36.31</w:t>
            </w:r>
          </w:p>
        </w:tc>
        <w:tc>
          <w:tcPr>
            <w:tcW w:w="378" w:type="dxa"/>
            <w:tcBorders>
              <w:top w:val="nil"/>
              <w:left w:val="nil"/>
              <w:bottom w:val="single" w:sz="4" w:space="0" w:color="auto"/>
              <w:right w:val="single" w:sz="4" w:space="0" w:color="auto"/>
            </w:tcBorders>
            <w:shd w:val="clear" w:color="auto" w:fill="auto"/>
            <w:noWrap/>
            <w:vAlign w:val="center"/>
            <w:hideMark/>
          </w:tcPr>
          <w:p w14:paraId="53C14F70"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71"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7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F73"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74"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75"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F7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4F7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78"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79"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0.31</w:t>
            </w:r>
          </w:p>
        </w:tc>
        <w:tc>
          <w:tcPr>
            <w:tcW w:w="378" w:type="dxa"/>
            <w:tcBorders>
              <w:top w:val="nil"/>
              <w:left w:val="nil"/>
              <w:bottom w:val="single" w:sz="4" w:space="0" w:color="auto"/>
              <w:right w:val="single" w:sz="4" w:space="0" w:color="auto"/>
            </w:tcBorders>
            <w:shd w:val="clear" w:color="auto" w:fill="auto"/>
            <w:noWrap/>
            <w:vAlign w:val="center"/>
            <w:hideMark/>
          </w:tcPr>
          <w:p w14:paraId="53C14F7A"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7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7C"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7D"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7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1.31</w:t>
            </w:r>
          </w:p>
        </w:tc>
        <w:tc>
          <w:tcPr>
            <w:tcW w:w="378" w:type="dxa"/>
            <w:tcBorders>
              <w:top w:val="nil"/>
              <w:left w:val="nil"/>
              <w:bottom w:val="single" w:sz="4" w:space="0" w:color="auto"/>
              <w:right w:val="single" w:sz="4" w:space="0" w:color="auto"/>
            </w:tcBorders>
            <w:shd w:val="clear" w:color="auto" w:fill="auto"/>
            <w:noWrap/>
            <w:vAlign w:val="center"/>
            <w:hideMark/>
          </w:tcPr>
          <w:p w14:paraId="53C14F7F"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80"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81"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82"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83"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84"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85"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86"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8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8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0.94</w:t>
            </w:r>
          </w:p>
        </w:tc>
        <w:tc>
          <w:tcPr>
            <w:tcW w:w="378" w:type="dxa"/>
            <w:tcBorders>
              <w:top w:val="nil"/>
              <w:left w:val="nil"/>
              <w:bottom w:val="single" w:sz="4" w:space="0" w:color="auto"/>
              <w:right w:val="single" w:sz="4" w:space="0" w:color="auto"/>
            </w:tcBorders>
            <w:shd w:val="clear" w:color="auto" w:fill="auto"/>
            <w:noWrap/>
            <w:vAlign w:val="center"/>
            <w:hideMark/>
          </w:tcPr>
          <w:p w14:paraId="53C14F8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8A"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8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8C" w14:textId="77777777" w:rsidR="007904CB" w:rsidRPr="00C60606" w:rsidRDefault="007904CB" w:rsidP="00235072">
            <w:pPr>
              <w:spacing w:after="0"/>
              <w:jc w:val="center"/>
              <w:rPr>
                <w:rFonts w:ascii="Arial Narrow" w:hAnsi="Arial Narrow"/>
                <w:sz w:val="16"/>
                <w:szCs w:val="16"/>
                <w:lang w:eastAsia="en-AU"/>
              </w:rPr>
            </w:pPr>
          </w:p>
        </w:tc>
      </w:tr>
      <w:tr w:rsidR="007904CB" w:rsidRPr="00657AD4" w14:paraId="53C14FAF"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4F8E" w14:textId="77777777" w:rsidR="007904CB" w:rsidRPr="007904CB" w:rsidRDefault="007904CB" w:rsidP="00235072">
            <w:pPr>
              <w:spacing w:after="0"/>
              <w:jc w:val="left"/>
              <w:rPr>
                <w:rFonts w:ascii="Arial Narrow" w:hAnsi="Arial Narrow"/>
                <w:sz w:val="18"/>
                <w:szCs w:val="18"/>
                <w:lang w:eastAsia="en-AU"/>
              </w:rPr>
            </w:pPr>
          </w:p>
        </w:tc>
        <w:tc>
          <w:tcPr>
            <w:tcW w:w="1073" w:type="dxa"/>
            <w:vMerge/>
            <w:tcBorders>
              <w:left w:val="single" w:sz="4" w:space="0" w:color="auto"/>
              <w:bottom w:val="single" w:sz="4" w:space="0" w:color="auto"/>
              <w:right w:val="single" w:sz="4" w:space="0" w:color="auto"/>
            </w:tcBorders>
            <w:shd w:val="clear" w:color="auto" w:fill="auto"/>
            <w:vAlign w:val="center"/>
          </w:tcPr>
          <w:p w14:paraId="53C14F8F" w14:textId="77777777" w:rsidR="007904CB" w:rsidRPr="007904CB" w:rsidRDefault="007904CB" w:rsidP="00C60606">
            <w:pPr>
              <w:spacing w:after="0"/>
              <w:jc w:val="center"/>
              <w:rPr>
                <w:rFonts w:ascii="Arial Narrow" w:hAnsi="Arial Narrow"/>
                <w:sz w:val="18"/>
                <w:szCs w:val="18"/>
                <w:lang w:eastAsia="en-AU"/>
              </w:rPr>
            </w:pPr>
          </w:p>
        </w:tc>
        <w:tc>
          <w:tcPr>
            <w:tcW w:w="283" w:type="dxa"/>
            <w:tcBorders>
              <w:top w:val="nil"/>
              <w:left w:val="nil"/>
              <w:bottom w:val="single" w:sz="4" w:space="0" w:color="auto"/>
              <w:right w:val="single" w:sz="4" w:space="0" w:color="auto"/>
            </w:tcBorders>
            <w:shd w:val="clear" w:color="auto" w:fill="auto"/>
            <w:noWrap/>
            <w:vAlign w:val="center"/>
            <w:hideMark/>
          </w:tcPr>
          <w:p w14:paraId="53C14F90"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5</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4F91"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38.66</w:t>
            </w:r>
          </w:p>
        </w:tc>
        <w:tc>
          <w:tcPr>
            <w:tcW w:w="378" w:type="dxa"/>
            <w:tcBorders>
              <w:top w:val="nil"/>
              <w:left w:val="nil"/>
              <w:bottom w:val="single" w:sz="4" w:space="0" w:color="auto"/>
              <w:right w:val="single" w:sz="4" w:space="0" w:color="auto"/>
            </w:tcBorders>
            <w:shd w:val="clear" w:color="auto" w:fill="auto"/>
            <w:noWrap/>
            <w:vAlign w:val="center"/>
            <w:hideMark/>
          </w:tcPr>
          <w:p w14:paraId="53C14F92"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93"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94"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95"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96"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9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9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4F9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9A"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4F9B"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F9C"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4F9D"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9E"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9F"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A0"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1.00</w:t>
            </w:r>
          </w:p>
        </w:tc>
        <w:tc>
          <w:tcPr>
            <w:tcW w:w="378" w:type="dxa"/>
            <w:tcBorders>
              <w:top w:val="nil"/>
              <w:left w:val="nil"/>
              <w:bottom w:val="single" w:sz="4" w:space="0" w:color="auto"/>
              <w:right w:val="single" w:sz="4" w:space="0" w:color="auto"/>
            </w:tcBorders>
            <w:shd w:val="clear" w:color="auto" w:fill="auto"/>
            <w:noWrap/>
            <w:vAlign w:val="center"/>
            <w:hideMark/>
          </w:tcPr>
          <w:p w14:paraId="53C14FA1"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A2"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A3"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A4"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A5"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A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4FA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A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1.31</w:t>
            </w:r>
          </w:p>
        </w:tc>
        <w:tc>
          <w:tcPr>
            <w:tcW w:w="378" w:type="dxa"/>
            <w:tcBorders>
              <w:top w:val="nil"/>
              <w:left w:val="nil"/>
              <w:bottom w:val="single" w:sz="4" w:space="0" w:color="auto"/>
              <w:right w:val="single" w:sz="4" w:space="0" w:color="auto"/>
            </w:tcBorders>
            <w:shd w:val="clear" w:color="auto" w:fill="auto"/>
            <w:noWrap/>
            <w:vAlign w:val="center"/>
            <w:hideMark/>
          </w:tcPr>
          <w:p w14:paraId="53C14FA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AA"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1.19</w:t>
            </w:r>
          </w:p>
        </w:tc>
        <w:tc>
          <w:tcPr>
            <w:tcW w:w="378" w:type="dxa"/>
            <w:tcBorders>
              <w:top w:val="nil"/>
              <w:left w:val="nil"/>
              <w:bottom w:val="single" w:sz="4" w:space="0" w:color="auto"/>
              <w:right w:val="single" w:sz="4" w:space="0" w:color="auto"/>
            </w:tcBorders>
            <w:shd w:val="clear" w:color="auto" w:fill="auto"/>
            <w:noWrap/>
            <w:vAlign w:val="center"/>
            <w:hideMark/>
          </w:tcPr>
          <w:p w14:paraId="53C14FA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AC"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AD"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A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r>
      <w:tr w:rsidR="007904CB" w:rsidRPr="00657AD4" w14:paraId="53C14FD1"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4FB0" w14:textId="77777777" w:rsidR="007904CB" w:rsidRPr="007904CB" w:rsidRDefault="007904CB" w:rsidP="00235072">
            <w:pPr>
              <w:spacing w:after="0"/>
              <w:jc w:val="left"/>
              <w:rPr>
                <w:rFonts w:ascii="Arial Narrow" w:hAnsi="Arial Narrow"/>
                <w:sz w:val="18"/>
                <w:szCs w:val="18"/>
                <w:lang w:eastAsia="en-AU"/>
              </w:rPr>
            </w:pPr>
          </w:p>
        </w:tc>
        <w:tc>
          <w:tcPr>
            <w:tcW w:w="1073" w:type="dxa"/>
            <w:vMerge w:val="restart"/>
            <w:tcBorders>
              <w:top w:val="nil"/>
              <w:left w:val="single" w:sz="4" w:space="0" w:color="auto"/>
              <w:right w:val="single" w:sz="4" w:space="0" w:color="auto"/>
            </w:tcBorders>
            <w:shd w:val="clear" w:color="auto" w:fill="auto"/>
            <w:noWrap/>
            <w:vAlign w:val="center"/>
          </w:tcPr>
          <w:p w14:paraId="53C14FB1" w14:textId="77777777" w:rsidR="007904CB" w:rsidRPr="007904CB" w:rsidRDefault="007904CB" w:rsidP="00C60606">
            <w:pPr>
              <w:spacing w:after="0"/>
              <w:jc w:val="center"/>
              <w:rPr>
                <w:rFonts w:ascii="Arial Narrow" w:hAnsi="Arial Narrow"/>
                <w:sz w:val="18"/>
                <w:szCs w:val="18"/>
                <w:lang w:eastAsia="en-AU"/>
              </w:rPr>
            </w:pPr>
            <w:r w:rsidRPr="007904CB">
              <w:rPr>
                <w:rFonts w:ascii="Arial Narrow" w:hAnsi="Arial Narrow"/>
                <w:sz w:val="18"/>
                <w:szCs w:val="18"/>
              </w:rPr>
              <w:t>Palms West</w:t>
            </w:r>
          </w:p>
        </w:tc>
        <w:tc>
          <w:tcPr>
            <w:tcW w:w="283" w:type="dxa"/>
            <w:tcBorders>
              <w:top w:val="nil"/>
              <w:left w:val="nil"/>
              <w:bottom w:val="single" w:sz="4" w:space="0" w:color="auto"/>
              <w:right w:val="single" w:sz="4" w:space="0" w:color="auto"/>
            </w:tcBorders>
            <w:shd w:val="clear" w:color="auto" w:fill="auto"/>
            <w:noWrap/>
            <w:vAlign w:val="center"/>
            <w:hideMark/>
          </w:tcPr>
          <w:p w14:paraId="53C14FB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2</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4FB3"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1.50</w:t>
            </w:r>
          </w:p>
        </w:tc>
        <w:tc>
          <w:tcPr>
            <w:tcW w:w="378" w:type="dxa"/>
            <w:tcBorders>
              <w:top w:val="nil"/>
              <w:left w:val="nil"/>
              <w:bottom w:val="single" w:sz="4" w:space="0" w:color="auto"/>
              <w:right w:val="single" w:sz="4" w:space="0" w:color="auto"/>
            </w:tcBorders>
            <w:shd w:val="clear" w:color="auto" w:fill="auto"/>
            <w:noWrap/>
            <w:vAlign w:val="center"/>
            <w:hideMark/>
          </w:tcPr>
          <w:p w14:paraId="53C14FB4"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B5"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B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FB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B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4FB9"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FBA"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FB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BC"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BD"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B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FBF"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C0"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C1"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C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0.44</w:t>
            </w:r>
          </w:p>
        </w:tc>
        <w:tc>
          <w:tcPr>
            <w:tcW w:w="378" w:type="dxa"/>
            <w:tcBorders>
              <w:top w:val="nil"/>
              <w:left w:val="nil"/>
              <w:bottom w:val="single" w:sz="4" w:space="0" w:color="auto"/>
              <w:right w:val="single" w:sz="4" w:space="0" w:color="auto"/>
            </w:tcBorders>
            <w:shd w:val="clear" w:color="auto" w:fill="auto"/>
            <w:noWrap/>
            <w:vAlign w:val="center"/>
            <w:hideMark/>
          </w:tcPr>
          <w:p w14:paraId="53C14FC3"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C4"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C5"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FC6"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C7"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FC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4FC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CA"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5.13</w:t>
            </w:r>
          </w:p>
        </w:tc>
        <w:tc>
          <w:tcPr>
            <w:tcW w:w="378" w:type="dxa"/>
            <w:tcBorders>
              <w:top w:val="nil"/>
              <w:left w:val="nil"/>
              <w:bottom w:val="single" w:sz="4" w:space="0" w:color="auto"/>
              <w:right w:val="single" w:sz="4" w:space="0" w:color="auto"/>
            </w:tcBorders>
            <w:shd w:val="clear" w:color="auto" w:fill="auto"/>
            <w:noWrap/>
            <w:vAlign w:val="center"/>
            <w:hideMark/>
          </w:tcPr>
          <w:p w14:paraId="53C14FC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CC"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FCD"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C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FCF"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D0"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0.25</w:t>
            </w:r>
          </w:p>
        </w:tc>
      </w:tr>
      <w:tr w:rsidR="007904CB" w:rsidRPr="00657AD4" w14:paraId="53C14FF3"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4FD2" w14:textId="77777777" w:rsidR="007904CB" w:rsidRPr="007904CB" w:rsidRDefault="007904CB" w:rsidP="00235072">
            <w:pPr>
              <w:spacing w:after="0"/>
              <w:jc w:val="left"/>
              <w:rPr>
                <w:rFonts w:ascii="Arial Narrow" w:hAnsi="Arial Narrow"/>
                <w:sz w:val="18"/>
                <w:szCs w:val="18"/>
                <w:lang w:eastAsia="en-AU"/>
              </w:rPr>
            </w:pPr>
          </w:p>
        </w:tc>
        <w:tc>
          <w:tcPr>
            <w:tcW w:w="1073" w:type="dxa"/>
            <w:vMerge/>
            <w:tcBorders>
              <w:left w:val="single" w:sz="4" w:space="0" w:color="auto"/>
              <w:bottom w:val="single" w:sz="4" w:space="0" w:color="auto"/>
              <w:right w:val="single" w:sz="4" w:space="0" w:color="auto"/>
            </w:tcBorders>
            <w:shd w:val="clear" w:color="auto" w:fill="auto"/>
            <w:vAlign w:val="center"/>
          </w:tcPr>
          <w:p w14:paraId="53C14FD3" w14:textId="77777777" w:rsidR="007904CB" w:rsidRPr="007904CB" w:rsidRDefault="007904CB" w:rsidP="00C60606">
            <w:pPr>
              <w:spacing w:after="0"/>
              <w:jc w:val="center"/>
              <w:rPr>
                <w:rFonts w:ascii="Arial Narrow" w:hAnsi="Arial Narrow"/>
                <w:sz w:val="18"/>
                <w:szCs w:val="18"/>
                <w:lang w:eastAsia="en-AU"/>
              </w:rPr>
            </w:pPr>
          </w:p>
        </w:tc>
        <w:tc>
          <w:tcPr>
            <w:tcW w:w="283" w:type="dxa"/>
            <w:tcBorders>
              <w:top w:val="nil"/>
              <w:left w:val="nil"/>
              <w:bottom w:val="single" w:sz="4" w:space="0" w:color="auto"/>
              <w:right w:val="single" w:sz="4" w:space="0" w:color="auto"/>
            </w:tcBorders>
            <w:shd w:val="clear" w:color="auto" w:fill="auto"/>
            <w:noWrap/>
            <w:vAlign w:val="center"/>
            <w:hideMark/>
          </w:tcPr>
          <w:p w14:paraId="53C14FD4"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5</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4FD5"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1.38</w:t>
            </w:r>
          </w:p>
        </w:tc>
        <w:tc>
          <w:tcPr>
            <w:tcW w:w="378" w:type="dxa"/>
            <w:tcBorders>
              <w:top w:val="nil"/>
              <w:left w:val="nil"/>
              <w:bottom w:val="single" w:sz="4" w:space="0" w:color="auto"/>
              <w:right w:val="single" w:sz="4" w:space="0" w:color="auto"/>
            </w:tcBorders>
            <w:shd w:val="clear" w:color="auto" w:fill="auto"/>
            <w:noWrap/>
            <w:vAlign w:val="center"/>
            <w:hideMark/>
          </w:tcPr>
          <w:p w14:paraId="53C14FD6"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D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D8"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D9"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0.94</w:t>
            </w:r>
          </w:p>
        </w:tc>
        <w:tc>
          <w:tcPr>
            <w:tcW w:w="378" w:type="dxa"/>
            <w:tcBorders>
              <w:top w:val="nil"/>
              <w:left w:val="nil"/>
              <w:bottom w:val="single" w:sz="4" w:space="0" w:color="auto"/>
              <w:right w:val="single" w:sz="4" w:space="0" w:color="auto"/>
            </w:tcBorders>
            <w:shd w:val="clear" w:color="auto" w:fill="auto"/>
            <w:noWrap/>
            <w:vAlign w:val="center"/>
            <w:hideMark/>
          </w:tcPr>
          <w:p w14:paraId="53C14FDA"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4FDB"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0.31</w:t>
            </w:r>
          </w:p>
        </w:tc>
        <w:tc>
          <w:tcPr>
            <w:tcW w:w="378" w:type="dxa"/>
            <w:tcBorders>
              <w:top w:val="nil"/>
              <w:left w:val="nil"/>
              <w:bottom w:val="single" w:sz="4" w:space="0" w:color="auto"/>
              <w:right w:val="single" w:sz="4" w:space="0" w:color="auto"/>
            </w:tcBorders>
            <w:shd w:val="clear" w:color="auto" w:fill="auto"/>
            <w:noWrap/>
            <w:vAlign w:val="center"/>
            <w:hideMark/>
          </w:tcPr>
          <w:p w14:paraId="53C14FDC"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FDD"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FDE"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DF"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FE0"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0.31</w:t>
            </w:r>
          </w:p>
        </w:tc>
        <w:tc>
          <w:tcPr>
            <w:tcW w:w="378" w:type="dxa"/>
            <w:tcBorders>
              <w:top w:val="nil"/>
              <w:left w:val="nil"/>
              <w:bottom w:val="single" w:sz="4" w:space="0" w:color="auto"/>
              <w:right w:val="single" w:sz="4" w:space="0" w:color="auto"/>
            </w:tcBorders>
            <w:shd w:val="clear" w:color="auto" w:fill="auto"/>
            <w:noWrap/>
            <w:vAlign w:val="center"/>
            <w:hideMark/>
          </w:tcPr>
          <w:p w14:paraId="53C14FE1"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E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4FE3"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E4"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0.94</w:t>
            </w:r>
          </w:p>
        </w:tc>
        <w:tc>
          <w:tcPr>
            <w:tcW w:w="378" w:type="dxa"/>
            <w:tcBorders>
              <w:top w:val="nil"/>
              <w:left w:val="nil"/>
              <w:bottom w:val="single" w:sz="4" w:space="0" w:color="auto"/>
              <w:right w:val="single" w:sz="4" w:space="0" w:color="auto"/>
            </w:tcBorders>
            <w:shd w:val="clear" w:color="auto" w:fill="auto"/>
            <w:noWrap/>
            <w:vAlign w:val="center"/>
            <w:hideMark/>
          </w:tcPr>
          <w:p w14:paraId="53C14FE5"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E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0.31</w:t>
            </w:r>
          </w:p>
        </w:tc>
        <w:tc>
          <w:tcPr>
            <w:tcW w:w="378" w:type="dxa"/>
            <w:tcBorders>
              <w:top w:val="nil"/>
              <w:left w:val="nil"/>
              <w:bottom w:val="single" w:sz="4" w:space="0" w:color="auto"/>
              <w:right w:val="single" w:sz="4" w:space="0" w:color="auto"/>
            </w:tcBorders>
            <w:shd w:val="clear" w:color="auto" w:fill="auto"/>
            <w:noWrap/>
            <w:vAlign w:val="center"/>
            <w:hideMark/>
          </w:tcPr>
          <w:p w14:paraId="53C14FE7"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FE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4FE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EA"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4FE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EC"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0.31</w:t>
            </w:r>
          </w:p>
        </w:tc>
        <w:tc>
          <w:tcPr>
            <w:tcW w:w="378" w:type="dxa"/>
            <w:tcBorders>
              <w:top w:val="nil"/>
              <w:left w:val="nil"/>
              <w:bottom w:val="single" w:sz="4" w:space="0" w:color="auto"/>
              <w:right w:val="single" w:sz="4" w:space="0" w:color="auto"/>
            </w:tcBorders>
            <w:shd w:val="clear" w:color="auto" w:fill="auto"/>
            <w:noWrap/>
            <w:vAlign w:val="center"/>
            <w:hideMark/>
          </w:tcPr>
          <w:p w14:paraId="53C14FED"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E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4.88</w:t>
            </w:r>
          </w:p>
        </w:tc>
        <w:tc>
          <w:tcPr>
            <w:tcW w:w="378" w:type="dxa"/>
            <w:tcBorders>
              <w:top w:val="nil"/>
              <w:left w:val="nil"/>
              <w:bottom w:val="single" w:sz="4" w:space="0" w:color="auto"/>
              <w:right w:val="single" w:sz="4" w:space="0" w:color="auto"/>
            </w:tcBorders>
            <w:shd w:val="clear" w:color="auto" w:fill="auto"/>
            <w:noWrap/>
            <w:vAlign w:val="center"/>
            <w:hideMark/>
          </w:tcPr>
          <w:p w14:paraId="53C14FEF"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4FF0"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F1"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F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1.00</w:t>
            </w:r>
          </w:p>
        </w:tc>
      </w:tr>
      <w:tr w:rsidR="00657AD4" w:rsidRPr="00657AD4" w14:paraId="53C15015"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4FF4" w14:textId="77777777" w:rsidR="00235072" w:rsidRPr="007904CB" w:rsidRDefault="00235072" w:rsidP="00235072">
            <w:pPr>
              <w:spacing w:after="0"/>
              <w:jc w:val="left"/>
              <w:rPr>
                <w:rFonts w:ascii="Arial Narrow" w:hAnsi="Arial Narrow"/>
                <w:sz w:val="18"/>
                <w:szCs w:val="18"/>
                <w:lang w:eastAsia="en-AU"/>
              </w:rPr>
            </w:pPr>
          </w:p>
        </w:tc>
        <w:tc>
          <w:tcPr>
            <w:tcW w:w="1073" w:type="dxa"/>
            <w:tcBorders>
              <w:top w:val="nil"/>
              <w:left w:val="nil"/>
              <w:bottom w:val="single" w:sz="4" w:space="0" w:color="auto"/>
              <w:right w:val="single" w:sz="4" w:space="0" w:color="auto"/>
            </w:tcBorders>
            <w:shd w:val="clear" w:color="auto" w:fill="auto"/>
            <w:noWrap/>
            <w:vAlign w:val="center"/>
          </w:tcPr>
          <w:p w14:paraId="53C14FF5" w14:textId="77777777" w:rsidR="00235072" w:rsidRPr="007904CB" w:rsidRDefault="00235072" w:rsidP="00C60606">
            <w:pPr>
              <w:spacing w:after="0"/>
              <w:jc w:val="center"/>
              <w:rPr>
                <w:rFonts w:ascii="Arial Narrow" w:hAnsi="Arial Narrow"/>
                <w:sz w:val="18"/>
                <w:szCs w:val="18"/>
                <w:lang w:eastAsia="en-AU"/>
              </w:rPr>
            </w:pPr>
            <w:r w:rsidRPr="007904CB">
              <w:rPr>
                <w:rFonts w:ascii="Arial Narrow" w:hAnsi="Arial Narrow"/>
                <w:sz w:val="18"/>
                <w:szCs w:val="18"/>
              </w:rPr>
              <w:t>Havannah North</w:t>
            </w:r>
          </w:p>
        </w:tc>
        <w:tc>
          <w:tcPr>
            <w:tcW w:w="283" w:type="dxa"/>
            <w:tcBorders>
              <w:top w:val="nil"/>
              <w:left w:val="nil"/>
              <w:bottom w:val="single" w:sz="4" w:space="0" w:color="auto"/>
              <w:right w:val="single" w:sz="4" w:space="0" w:color="auto"/>
            </w:tcBorders>
            <w:shd w:val="clear" w:color="auto" w:fill="auto"/>
            <w:noWrap/>
            <w:vAlign w:val="center"/>
            <w:hideMark/>
          </w:tcPr>
          <w:p w14:paraId="53C14FF6"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5</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4FF7"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13.06</w:t>
            </w:r>
          </w:p>
        </w:tc>
        <w:tc>
          <w:tcPr>
            <w:tcW w:w="378" w:type="dxa"/>
            <w:tcBorders>
              <w:top w:val="nil"/>
              <w:left w:val="nil"/>
              <w:bottom w:val="single" w:sz="4" w:space="0" w:color="auto"/>
              <w:right w:val="single" w:sz="4" w:space="0" w:color="auto"/>
            </w:tcBorders>
            <w:shd w:val="clear" w:color="auto" w:fill="auto"/>
            <w:noWrap/>
            <w:vAlign w:val="center"/>
            <w:hideMark/>
          </w:tcPr>
          <w:p w14:paraId="53C14FF8" w14:textId="77777777" w:rsidR="00235072" w:rsidRPr="00C60606" w:rsidRDefault="00235072"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F9" w14:textId="77777777" w:rsidR="00235072" w:rsidRPr="00C60606" w:rsidRDefault="00235072"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FA"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0.10</w:t>
            </w:r>
          </w:p>
        </w:tc>
        <w:tc>
          <w:tcPr>
            <w:tcW w:w="378" w:type="dxa"/>
            <w:tcBorders>
              <w:top w:val="nil"/>
              <w:left w:val="nil"/>
              <w:bottom w:val="single" w:sz="4" w:space="0" w:color="auto"/>
              <w:right w:val="single" w:sz="4" w:space="0" w:color="auto"/>
            </w:tcBorders>
            <w:shd w:val="clear" w:color="auto" w:fill="auto"/>
            <w:noWrap/>
            <w:vAlign w:val="center"/>
            <w:hideMark/>
          </w:tcPr>
          <w:p w14:paraId="53C14FFB" w14:textId="77777777" w:rsidR="00235072" w:rsidRPr="00C60606" w:rsidRDefault="00235072"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FC"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0.17</w:t>
            </w:r>
          </w:p>
        </w:tc>
        <w:tc>
          <w:tcPr>
            <w:tcW w:w="378" w:type="dxa"/>
            <w:tcBorders>
              <w:top w:val="nil"/>
              <w:left w:val="nil"/>
              <w:bottom w:val="single" w:sz="4" w:space="0" w:color="auto"/>
              <w:right w:val="single" w:sz="4" w:space="0" w:color="auto"/>
            </w:tcBorders>
            <w:shd w:val="clear" w:color="auto" w:fill="auto"/>
            <w:noWrap/>
            <w:vAlign w:val="center"/>
            <w:hideMark/>
          </w:tcPr>
          <w:p w14:paraId="53C14FFD"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0.16</w:t>
            </w:r>
          </w:p>
        </w:tc>
        <w:tc>
          <w:tcPr>
            <w:tcW w:w="378" w:type="dxa"/>
            <w:tcBorders>
              <w:top w:val="nil"/>
              <w:left w:val="nil"/>
              <w:bottom w:val="single" w:sz="4" w:space="0" w:color="auto"/>
              <w:right w:val="single" w:sz="4" w:space="0" w:color="auto"/>
            </w:tcBorders>
            <w:shd w:val="clear" w:color="auto" w:fill="auto"/>
            <w:noWrap/>
            <w:vAlign w:val="center"/>
            <w:hideMark/>
          </w:tcPr>
          <w:p w14:paraId="53C14FFE" w14:textId="77777777" w:rsidR="00235072" w:rsidRPr="00C60606" w:rsidRDefault="00235072"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4FFF"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0.20</w:t>
            </w:r>
          </w:p>
        </w:tc>
        <w:tc>
          <w:tcPr>
            <w:tcW w:w="378" w:type="dxa"/>
            <w:tcBorders>
              <w:top w:val="nil"/>
              <w:left w:val="nil"/>
              <w:bottom w:val="single" w:sz="4" w:space="0" w:color="auto"/>
              <w:right w:val="single" w:sz="4" w:space="0" w:color="auto"/>
            </w:tcBorders>
            <w:shd w:val="clear" w:color="auto" w:fill="auto"/>
            <w:noWrap/>
            <w:vAlign w:val="center"/>
            <w:hideMark/>
          </w:tcPr>
          <w:p w14:paraId="53C15000"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0.30</w:t>
            </w:r>
          </w:p>
        </w:tc>
        <w:tc>
          <w:tcPr>
            <w:tcW w:w="378" w:type="dxa"/>
            <w:tcBorders>
              <w:top w:val="nil"/>
              <w:left w:val="nil"/>
              <w:bottom w:val="single" w:sz="4" w:space="0" w:color="auto"/>
              <w:right w:val="single" w:sz="4" w:space="0" w:color="auto"/>
            </w:tcBorders>
            <w:shd w:val="clear" w:color="auto" w:fill="auto"/>
            <w:noWrap/>
            <w:vAlign w:val="center"/>
            <w:hideMark/>
          </w:tcPr>
          <w:p w14:paraId="53C15001"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002"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0.10</w:t>
            </w:r>
          </w:p>
        </w:tc>
        <w:tc>
          <w:tcPr>
            <w:tcW w:w="378" w:type="dxa"/>
            <w:tcBorders>
              <w:top w:val="nil"/>
              <w:left w:val="nil"/>
              <w:bottom w:val="single" w:sz="4" w:space="0" w:color="auto"/>
              <w:right w:val="single" w:sz="4" w:space="0" w:color="auto"/>
            </w:tcBorders>
            <w:shd w:val="clear" w:color="auto" w:fill="auto"/>
            <w:noWrap/>
            <w:vAlign w:val="center"/>
            <w:hideMark/>
          </w:tcPr>
          <w:p w14:paraId="53C15003" w14:textId="77777777" w:rsidR="00235072" w:rsidRPr="00C60606" w:rsidRDefault="00235072"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04"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0.03</w:t>
            </w:r>
          </w:p>
        </w:tc>
        <w:tc>
          <w:tcPr>
            <w:tcW w:w="378" w:type="dxa"/>
            <w:tcBorders>
              <w:top w:val="nil"/>
              <w:left w:val="nil"/>
              <w:bottom w:val="single" w:sz="4" w:space="0" w:color="auto"/>
              <w:right w:val="single" w:sz="4" w:space="0" w:color="auto"/>
            </w:tcBorders>
            <w:shd w:val="clear" w:color="auto" w:fill="auto"/>
            <w:noWrap/>
            <w:vAlign w:val="center"/>
            <w:hideMark/>
          </w:tcPr>
          <w:p w14:paraId="53C15005"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006"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2.63</w:t>
            </w:r>
          </w:p>
        </w:tc>
        <w:tc>
          <w:tcPr>
            <w:tcW w:w="378" w:type="dxa"/>
            <w:tcBorders>
              <w:top w:val="nil"/>
              <w:left w:val="nil"/>
              <w:bottom w:val="single" w:sz="4" w:space="0" w:color="auto"/>
              <w:right w:val="single" w:sz="4" w:space="0" w:color="auto"/>
            </w:tcBorders>
            <w:shd w:val="clear" w:color="auto" w:fill="auto"/>
            <w:noWrap/>
            <w:vAlign w:val="center"/>
            <w:hideMark/>
          </w:tcPr>
          <w:p w14:paraId="53C15007"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0.03</w:t>
            </w:r>
          </w:p>
        </w:tc>
        <w:tc>
          <w:tcPr>
            <w:tcW w:w="378" w:type="dxa"/>
            <w:tcBorders>
              <w:top w:val="nil"/>
              <w:left w:val="nil"/>
              <w:bottom w:val="single" w:sz="4" w:space="0" w:color="auto"/>
              <w:right w:val="single" w:sz="4" w:space="0" w:color="auto"/>
            </w:tcBorders>
            <w:shd w:val="clear" w:color="auto" w:fill="auto"/>
            <w:noWrap/>
            <w:vAlign w:val="center"/>
            <w:hideMark/>
          </w:tcPr>
          <w:p w14:paraId="53C15008"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0.03</w:t>
            </w:r>
          </w:p>
        </w:tc>
        <w:tc>
          <w:tcPr>
            <w:tcW w:w="378" w:type="dxa"/>
            <w:tcBorders>
              <w:top w:val="nil"/>
              <w:left w:val="nil"/>
              <w:bottom w:val="single" w:sz="4" w:space="0" w:color="auto"/>
              <w:right w:val="single" w:sz="4" w:space="0" w:color="auto"/>
            </w:tcBorders>
            <w:shd w:val="clear" w:color="auto" w:fill="auto"/>
            <w:noWrap/>
            <w:vAlign w:val="center"/>
            <w:hideMark/>
          </w:tcPr>
          <w:p w14:paraId="53C15009"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0.10</w:t>
            </w:r>
          </w:p>
        </w:tc>
        <w:tc>
          <w:tcPr>
            <w:tcW w:w="378" w:type="dxa"/>
            <w:tcBorders>
              <w:top w:val="nil"/>
              <w:left w:val="nil"/>
              <w:bottom w:val="single" w:sz="4" w:space="0" w:color="auto"/>
              <w:right w:val="single" w:sz="4" w:space="0" w:color="auto"/>
            </w:tcBorders>
            <w:shd w:val="clear" w:color="auto" w:fill="auto"/>
            <w:noWrap/>
            <w:vAlign w:val="center"/>
            <w:hideMark/>
          </w:tcPr>
          <w:p w14:paraId="53C1500A" w14:textId="77777777" w:rsidR="00235072" w:rsidRPr="00C60606" w:rsidRDefault="00235072"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0B"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0.07</w:t>
            </w:r>
          </w:p>
        </w:tc>
        <w:tc>
          <w:tcPr>
            <w:tcW w:w="378" w:type="dxa"/>
            <w:tcBorders>
              <w:top w:val="nil"/>
              <w:left w:val="nil"/>
              <w:bottom w:val="single" w:sz="4" w:space="0" w:color="auto"/>
              <w:right w:val="single" w:sz="4" w:space="0" w:color="auto"/>
            </w:tcBorders>
            <w:shd w:val="clear" w:color="auto" w:fill="auto"/>
            <w:noWrap/>
            <w:vAlign w:val="center"/>
            <w:hideMark/>
          </w:tcPr>
          <w:p w14:paraId="53C1500C"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0.10</w:t>
            </w:r>
          </w:p>
        </w:tc>
        <w:tc>
          <w:tcPr>
            <w:tcW w:w="378" w:type="dxa"/>
            <w:tcBorders>
              <w:top w:val="nil"/>
              <w:left w:val="nil"/>
              <w:bottom w:val="single" w:sz="4" w:space="0" w:color="auto"/>
              <w:right w:val="single" w:sz="4" w:space="0" w:color="auto"/>
            </w:tcBorders>
            <w:shd w:val="clear" w:color="auto" w:fill="auto"/>
            <w:noWrap/>
            <w:vAlign w:val="center"/>
            <w:hideMark/>
          </w:tcPr>
          <w:p w14:paraId="53C1500D" w14:textId="77777777" w:rsidR="00235072" w:rsidRPr="00C60606" w:rsidRDefault="00235072"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0E"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0.03</w:t>
            </w:r>
          </w:p>
        </w:tc>
        <w:tc>
          <w:tcPr>
            <w:tcW w:w="378" w:type="dxa"/>
            <w:tcBorders>
              <w:top w:val="nil"/>
              <w:left w:val="nil"/>
              <w:bottom w:val="single" w:sz="4" w:space="0" w:color="auto"/>
              <w:right w:val="single" w:sz="4" w:space="0" w:color="auto"/>
            </w:tcBorders>
            <w:shd w:val="clear" w:color="auto" w:fill="auto"/>
            <w:noWrap/>
            <w:vAlign w:val="center"/>
            <w:hideMark/>
          </w:tcPr>
          <w:p w14:paraId="53C1500F" w14:textId="77777777" w:rsidR="00235072" w:rsidRPr="00C60606" w:rsidRDefault="00235072"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10"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0.66</w:t>
            </w:r>
          </w:p>
        </w:tc>
        <w:tc>
          <w:tcPr>
            <w:tcW w:w="378" w:type="dxa"/>
            <w:tcBorders>
              <w:top w:val="nil"/>
              <w:left w:val="nil"/>
              <w:bottom w:val="single" w:sz="4" w:space="0" w:color="auto"/>
              <w:right w:val="single" w:sz="4" w:space="0" w:color="auto"/>
            </w:tcBorders>
            <w:shd w:val="clear" w:color="auto" w:fill="auto"/>
            <w:noWrap/>
            <w:vAlign w:val="center"/>
            <w:hideMark/>
          </w:tcPr>
          <w:p w14:paraId="53C15011"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0.03</w:t>
            </w:r>
          </w:p>
        </w:tc>
        <w:tc>
          <w:tcPr>
            <w:tcW w:w="378" w:type="dxa"/>
            <w:tcBorders>
              <w:top w:val="nil"/>
              <w:left w:val="nil"/>
              <w:bottom w:val="single" w:sz="4" w:space="0" w:color="auto"/>
              <w:right w:val="single" w:sz="4" w:space="0" w:color="auto"/>
            </w:tcBorders>
            <w:shd w:val="clear" w:color="auto" w:fill="auto"/>
            <w:noWrap/>
            <w:vAlign w:val="center"/>
            <w:hideMark/>
          </w:tcPr>
          <w:p w14:paraId="53C15012" w14:textId="77777777" w:rsidR="00235072" w:rsidRPr="00C60606" w:rsidRDefault="00235072"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13"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0.23</w:t>
            </w:r>
          </w:p>
        </w:tc>
        <w:tc>
          <w:tcPr>
            <w:tcW w:w="378" w:type="dxa"/>
            <w:tcBorders>
              <w:top w:val="nil"/>
              <w:left w:val="nil"/>
              <w:bottom w:val="single" w:sz="4" w:space="0" w:color="auto"/>
              <w:right w:val="single" w:sz="4" w:space="0" w:color="auto"/>
            </w:tcBorders>
            <w:shd w:val="clear" w:color="auto" w:fill="auto"/>
            <w:noWrap/>
            <w:vAlign w:val="center"/>
            <w:hideMark/>
          </w:tcPr>
          <w:p w14:paraId="53C15014"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0.59</w:t>
            </w:r>
          </w:p>
        </w:tc>
      </w:tr>
      <w:tr w:rsidR="007904CB" w:rsidRPr="00657AD4" w14:paraId="53C15037"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5016" w14:textId="77777777" w:rsidR="007904CB" w:rsidRPr="007904CB" w:rsidRDefault="007904CB" w:rsidP="00235072">
            <w:pPr>
              <w:spacing w:after="0"/>
              <w:jc w:val="left"/>
              <w:rPr>
                <w:rFonts w:ascii="Arial Narrow" w:hAnsi="Arial Narrow"/>
                <w:sz w:val="18"/>
                <w:szCs w:val="18"/>
                <w:lang w:eastAsia="en-AU"/>
              </w:rPr>
            </w:pPr>
          </w:p>
        </w:tc>
        <w:tc>
          <w:tcPr>
            <w:tcW w:w="1073" w:type="dxa"/>
            <w:vMerge w:val="restart"/>
            <w:tcBorders>
              <w:top w:val="nil"/>
              <w:left w:val="single" w:sz="4" w:space="0" w:color="auto"/>
              <w:right w:val="single" w:sz="4" w:space="0" w:color="auto"/>
            </w:tcBorders>
            <w:shd w:val="clear" w:color="auto" w:fill="auto"/>
            <w:noWrap/>
            <w:vAlign w:val="center"/>
          </w:tcPr>
          <w:p w14:paraId="53C15017" w14:textId="77777777" w:rsidR="007904CB" w:rsidRPr="007904CB" w:rsidRDefault="007904CB" w:rsidP="00C60606">
            <w:pPr>
              <w:spacing w:after="0"/>
              <w:jc w:val="center"/>
              <w:rPr>
                <w:rFonts w:ascii="Arial Narrow" w:hAnsi="Arial Narrow"/>
                <w:sz w:val="18"/>
                <w:szCs w:val="18"/>
                <w:lang w:eastAsia="en-AU"/>
              </w:rPr>
            </w:pPr>
            <w:r w:rsidRPr="007904CB">
              <w:rPr>
                <w:rFonts w:ascii="Arial Narrow" w:hAnsi="Arial Narrow"/>
                <w:sz w:val="18"/>
                <w:szCs w:val="18"/>
              </w:rPr>
              <w:t>Havannah</w:t>
            </w:r>
          </w:p>
        </w:tc>
        <w:tc>
          <w:tcPr>
            <w:tcW w:w="283" w:type="dxa"/>
            <w:tcBorders>
              <w:top w:val="nil"/>
              <w:left w:val="nil"/>
              <w:bottom w:val="single" w:sz="4" w:space="0" w:color="auto"/>
              <w:right w:val="single" w:sz="4" w:space="0" w:color="auto"/>
            </w:tcBorders>
            <w:shd w:val="clear" w:color="auto" w:fill="auto"/>
            <w:noWrap/>
            <w:vAlign w:val="center"/>
            <w:hideMark/>
          </w:tcPr>
          <w:p w14:paraId="53C1501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2</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5019"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12.01</w:t>
            </w:r>
          </w:p>
        </w:tc>
        <w:tc>
          <w:tcPr>
            <w:tcW w:w="378" w:type="dxa"/>
            <w:tcBorders>
              <w:top w:val="nil"/>
              <w:left w:val="nil"/>
              <w:bottom w:val="single" w:sz="4" w:space="0" w:color="auto"/>
              <w:right w:val="single" w:sz="4" w:space="0" w:color="auto"/>
            </w:tcBorders>
            <w:shd w:val="clear" w:color="auto" w:fill="auto"/>
            <w:noWrap/>
            <w:vAlign w:val="center"/>
            <w:hideMark/>
          </w:tcPr>
          <w:p w14:paraId="53C1501A"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1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1C"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1D"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1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0.81</w:t>
            </w:r>
          </w:p>
        </w:tc>
        <w:tc>
          <w:tcPr>
            <w:tcW w:w="378" w:type="dxa"/>
            <w:tcBorders>
              <w:top w:val="nil"/>
              <w:left w:val="nil"/>
              <w:bottom w:val="single" w:sz="4" w:space="0" w:color="auto"/>
              <w:right w:val="single" w:sz="4" w:space="0" w:color="auto"/>
            </w:tcBorders>
            <w:shd w:val="clear" w:color="auto" w:fill="auto"/>
            <w:noWrap/>
            <w:vAlign w:val="center"/>
            <w:hideMark/>
          </w:tcPr>
          <w:p w14:paraId="53C1501F"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020"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21"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02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0.75</w:t>
            </w:r>
          </w:p>
        </w:tc>
        <w:tc>
          <w:tcPr>
            <w:tcW w:w="378" w:type="dxa"/>
            <w:tcBorders>
              <w:top w:val="nil"/>
              <w:left w:val="nil"/>
              <w:bottom w:val="single" w:sz="4" w:space="0" w:color="auto"/>
              <w:right w:val="single" w:sz="4" w:space="0" w:color="auto"/>
            </w:tcBorders>
            <w:shd w:val="clear" w:color="auto" w:fill="auto"/>
            <w:noWrap/>
            <w:vAlign w:val="center"/>
            <w:hideMark/>
          </w:tcPr>
          <w:p w14:paraId="53C15023"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024"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5025"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2.00</w:t>
            </w:r>
          </w:p>
        </w:tc>
        <w:tc>
          <w:tcPr>
            <w:tcW w:w="378" w:type="dxa"/>
            <w:tcBorders>
              <w:top w:val="nil"/>
              <w:left w:val="nil"/>
              <w:bottom w:val="single" w:sz="4" w:space="0" w:color="auto"/>
              <w:right w:val="single" w:sz="4" w:space="0" w:color="auto"/>
            </w:tcBorders>
            <w:shd w:val="clear" w:color="auto" w:fill="auto"/>
            <w:noWrap/>
            <w:vAlign w:val="center"/>
            <w:hideMark/>
          </w:tcPr>
          <w:p w14:paraId="53C15026"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27"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02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6.82</w:t>
            </w:r>
          </w:p>
        </w:tc>
        <w:tc>
          <w:tcPr>
            <w:tcW w:w="378" w:type="dxa"/>
            <w:tcBorders>
              <w:top w:val="nil"/>
              <w:left w:val="nil"/>
              <w:bottom w:val="single" w:sz="4" w:space="0" w:color="auto"/>
              <w:right w:val="single" w:sz="4" w:space="0" w:color="auto"/>
            </w:tcBorders>
            <w:shd w:val="clear" w:color="auto" w:fill="auto"/>
            <w:noWrap/>
            <w:vAlign w:val="center"/>
            <w:hideMark/>
          </w:tcPr>
          <w:p w14:paraId="53C1502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2A"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2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2C"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02D"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02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0.94</w:t>
            </w:r>
          </w:p>
        </w:tc>
        <w:tc>
          <w:tcPr>
            <w:tcW w:w="378" w:type="dxa"/>
            <w:tcBorders>
              <w:top w:val="nil"/>
              <w:left w:val="nil"/>
              <w:bottom w:val="single" w:sz="4" w:space="0" w:color="auto"/>
              <w:right w:val="single" w:sz="4" w:space="0" w:color="auto"/>
            </w:tcBorders>
            <w:shd w:val="clear" w:color="auto" w:fill="auto"/>
            <w:noWrap/>
            <w:vAlign w:val="center"/>
            <w:hideMark/>
          </w:tcPr>
          <w:p w14:paraId="53C1502F"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30"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0.44</w:t>
            </w:r>
          </w:p>
        </w:tc>
        <w:tc>
          <w:tcPr>
            <w:tcW w:w="378" w:type="dxa"/>
            <w:tcBorders>
              <w:top w:val="nil"/>
              <w:left w:val="nil"/>
              <w:bottom w:val="single" w:sz="4" w:space="0" w:color="auto"/>
              <w:right w:val="single" w:sz="4" w:space="0" w:color="auto"/>
            </w:tcBorders>
            <w:shd w:val="clear" w:color="auto" w:fill="auto"/>
            <w:noWrap/>
            <w:vAlign w:val="center"/>
            <w:hideMark/>
          </w:tcPr>
          <w:p w14:paraId="53C15031"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3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3.06</w:t>
            </w:r>
          </w:p>
        </w:tc>
        <w:tc>
          <w:tcPr>
            <w:tcW w:w="378" w:type="dxa"/>
            <w:tcBorders>
              <w:top w:val="nil"/>
              <w:left w:val="nil"/>
              <w:bottom w:val="single" w:sz="4" w:space="0" w:color="auto"/>
              <w:right w:val="single" w:sz="4" w:space="0" w:color="auto"/>
            </w:tcBorders>
            <w:shd w:val="clear" w:color="auto" w:fill="auto"/>
            <w:noWrap/>
            <w:vAlign w:val="center"/>
            <w:hideMark/>
          </w:tcPr>
          <w:p w14:paraId="53C15033"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34"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35"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0.44</w:t>
            </w:r>
          </w:p>
        </w:tc>
        <w:tc>
          <w:tcPr>
            <w:tcW w:w="378" w:type="dxa"/>
            <w:tcBorders>
              <w:top w:val="nil"/>
              <w:left w:val="nil"/>
              <w:bottom w:val="single" w:sz="4" w:space="0" w:color="auto"/>
              <w:right w:val="single" w:sz="4" w:space="0" w:color="auto"/>
            </w:tcBorders>
            <w:shd w:val="clear" w:color="auto" w:fill="auto"/>
            <w:noWrap/>
            <w:vAlign w:val="center"/>
            <w:hideMark/>
          </w:tcPr>
          <w:p w14:paraId="53C1503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0.31</w:t>
            </w:r>
          </w:p>
        </w:tc>
      </w:tr>
      <w:tr w:rsidR="007904CB" w:rsidRPr="00657AD4" w14:paraId="53C15059"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5038" w14:textId="77777777" w:rsidR="007904CB" w:rsidRPr="007904CB" w:rsidRDefault="007904CB" w:rsidP="00235072">
            <w:pPr>
              <w:spacing w:after="0"/>
              <w:jc w:val="left"/>
              <w:rPr>
                <w:rFonts w:ascii="Arial Narrow" w:hAnsi="Arial Narrow"/>
                <w:sz w:val="18"/>
                <w:szCs w:val="18"/>
                <w:lang w:eastAsia="en-AU"/>
              </w:rPr>
            </w:pPr>
          </w:p>
        </w:tc>
        <w:tc>
          <w:tcPr>
            <w:tcW w:w="1073" w:type="dxa"/>
            <w:vMerge/>
            <w:tcBorders>
              <w:left w:val="single" w:sz="4" w:space="0" w:color="auto"/>
              <w:bottom w:val="single" w:sz="4" w:space="0" w:color="auto"/>
              <w:right w:val="single" w:sz="4" w:space="0" w:color="auto"/>
            </w:tcBorders>
            <w:shd w:val="clear" w:color="auto" w:fill="auto"/>
            <w:vAlign w:val="center"/>
          </w:tcPr>
          <w:p w14:paraId="53C15039" w14:textId="77777777" w:rsidR="007904CB" w:rsidRPr="007904CB" w:rsidRDefault="007904CB" w:rsidP="00C60606">
            <w:pPr>
              <w:spacing w:after="0"/>
              <w:jc w:val="center"/>
              <w:rPr>
                <w:rFonts w:ascii="Arial Narrow" w:hAnsi="Arial Narrow"/>
                <w:sz w:val="18"/>
                <w:szCs w:val="18"/>
                <w:lang w:eastAsia="en-AU"/>
              </w:rPr>
            </w:pPr>
          </w:p>
        </w:tc>
        <w:tc>
          <w:tcPr>
            <w:tcW w:w="283" w:type="dxa"/>
            <w:tcBorders>
              <w:top w:val="nil"/>
              <w:left w:val="nil"/>
              <w:bottom w:val="single" w:sz="4" w:space="0" w:color="auto"/>
              <w:right w:val="single" w:sz="4" w:space="0" w:color="auto"/>
            </w:tcBorders>
            <w:shd w:val="clear" w:color="auto" w:fill="auto"/>
            <w:noWrap/>
            <w:vAlign w:val="center"/>
            <w:hideMark/>
          </w:tcPr>
          <w:p w14:paraId="53C1503A"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5</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503B"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6.13</w:t>
            </w:r>
          </w:p>
        </w:tc>
        <w:tc>
          <w:tcPr>
            <w:tcW w:w="378" w:type="dxa"/>
            <w:tcBorders>
              <w:top w:val="nil"/>
              <w:left w:val="nil"/>
              <w:bottom w:val="single" w:sz="4" w:space="0" w:color="auto"/>
              <w:right w:val="single" w:sz="4" w:space="0" w:color="auto"/>
            </w:tcBorders>
            <w:shd w:val="clear" w:color="auto" w:fill="auto"/>
            <w:noWrap/>
            <w:vAlign w:val="center"/>
            <w:hideMark/>
          </w:tcPr>
          <w:p w14:paraId="53C1503C"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3D"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03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0.75</w:t>
            </w:r>
          </w:p>
        </w:tc>
        <w:tc>
          <w:tcPr>
            <w:tcW w:w="378" w:type="dxa"/>
            <w:tcBorders>
              <w:top w:val="nil"/>
              <w:left w:val="nil"/>
              <w:bottom w:val="single" w:sz="4" w:space="0" w:color="auto"/>
              <w:right w:val="single" w:sz="4" w:space="0" w:color="auto"/>
            </w:tcBorders>
            <w:shd w:val="clear" w:color="auto" w:fill="auto"/>
            <w:noWrap/>
            <w:vAlign w:val="center"/>
            <w:hideMark/>
          </w:tcPr>
          <w:p w14:paraId="53C1503F"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1.56</w:t>
            </w:r>
          </w:p>
        </w:tc>
        <w:tc>
          <w:tcPr>
            <w:tcW w:w="378" w:type="dxa"/>
            <w:tcBorders>
              <w:top w:val="nil"/>
              <w:left w:val="nil"/>
              <w:bottom w:val="single" w:sz="4" w:space="0" w:color="auto"/>
              <w:right w:val="single" w:sz="4" w:space="0" w:color="auto"/>
            </w:tcBorders>
            <w:shd w:val="clear" w:color="auto" w:fill="auto"/>
            <w:noWrap/>
            <w:vAlign w:val="center"/>
            <w:hideMark/>
          </w:tcPr>
          <w:p w14:paraId="53C15040"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0.88</w:t>
            </w:r>
          </w:p>
        </w:tc>
        <w:tc>
          <w:tcPr>
            <w:tcW w:w="378" w:type="dxa"/>
            <w:tcBorders>
              <w:top w:val="nil"/>
              <w:left w:val="nil"/>
              <w:bottom w:val="single" w:sz="4" w:space="0" w:color="auto"/>
              <w:right w:val="single" w:sz="4" w:space="0" w:color="auto"/>
            </w:tcBorders>
            <w:shd w:val="clear" w:color="auto" w:fill="auto"/>
            <w:noWrap/>
            <w:vAlign w:val="center"/>
            <w:hideMark/>
          </w:tcPr>
          <w:p w14:paraId="53C15041"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0.38</w:t>
            </w:r>
          </w:p>
        </w:tc>
        <w:tc>
          <w:tcPr>
            <w:tcW w:w="378" w:type="dxa"/>
            <w:tcBorders>
              <w:top w:val="nil"/>
              <w:left w:val="nil"/>
              <w:bottom w:val="single" w:sz="4" w:space="0" w:color="auto"/>
              <w:right w:val="single" w:sz="4" w:space="0" w:color="auto"/>
            </w:tcBorders>
            <w:shd w:val="clear" w:color="auto" w:fill="auto"/>
            <w:noWrap/>
            <w:vAlign w:val="center"/>
            <w:hideMark/>
          </w:tcPr>
          <w:p w14:paraId="53C1504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0.44</w:t>
            </w:r>
          </w:p>
        </w:tc>
        <w:tc>
          <w:tcPr>
            <w:tcW w:w="378" w:type="dxa"/>
            <w:tcBorders>
              <w:top w:val="nil"/>
              <w:left w:val="nil"/>
              <w:bottom w:val="single" w:sz="4" w:space="0" w:color="auto"/>
              <w:right w:val="single" w:sz="4" w:space="0" w:color="auto"/>
            </w:tcBorders>
            <w:shd w:val="clear" w:color="auto" w:fill="auto"/>
            <w:noWrap/>
            <w:vAlign w:val="center"/>
            <w:hideMark/>
          </w:tcPr>
          <w:p w14:paraId="53C15043"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2.63</w:t>
            </w:r>
          </w:p>
        </w:tc>
        <w:tc>
          <w:tcPr>
            <w:tcW w:w="378" w:type="dxa"/>
            <w:tcBorders>
              <w:top w:val="nil"/>
              <w:left w:val="nil"/>
              <w:bottom w:val="single" w:sz="4" w:space="0" w:color="auto"/>
              <w:right w:val="single" w:sz="4" w:space="0" w:color="auto"/>
            </w:tcBorders>
            <w:shd w:val="clear" w:color="auto" w:fill="auto"/>
            <w:noWrap/>
            <w:vAlign w:val="center"/>
            <w:hideMark/>
          </w:tcPr>
          <w:p w14:paraId="53C15044"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1.06</w:t>
            </w:r>
          </w:p>
        </w:tc>
        <w:tc>
          <w:tcPr>
            <w:tcW w:w="378" w:type="dxa"/>
            <w:tcBorders>
              <w:top w:val="nil"/>
              <w:left w:val="nil"/>
              <w:bottom w:val="single" w:sz="4" w:space="0" w:color="auto"/>
              <w:right w:val="single" w:sz="4" w:space="0" w:color="auto"/>
            </w:tcBorders>
            <w:shd w:val="clear" w:color="auto" w:fill="auto"/>
            <w:noWrap/>
            <w:vAlign w:val="center"/>
            <w:hideMark/>
          </w:tcPr>
          <w:p w14:paraId="53C15045"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04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0.50</w:t>
            </w:r>
          </w:p>
        </w:tc>
        <w:tc>
          <w:tcPr>
            <w:tcW w:w="378" w:type="dxa"/>
            <w:tcBorders>
              <w:top w:val="nil"/>
              <w:left w:val="nil"/>
              <w:bottom w:val="single" w:sz="4" w:space="0" w:color="auto"/>
              <w:right w:val="single" w:sz="4" w:space="0" w:color="auto"/>
            </w:tcBorders>
            <w:shd w:val="clear" w:color="auto" w:fill="auto"/>
            <w:noWrap/>
            <w:vAlign w:val="center"/>
            <w:hideMark/>
          </w:tcPr>
          <w:p w14:paraId="53C15047"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04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0.38</w:t>
            </w:r>
          </w:p>
        </w:tc>
        <w:tc>
          <w:tcPr>
            <w:tcW w:w="378" w:type="dxa"/>
            <w:tcBorders>
              <w:top w:val="nil"/>
              <w:left w:val="nil"/>
              <w:bottom w:val="single" w:sz="4" w:space="0" w:color="auto"/>
              <w:right w:val="single" w:sz="4" w:space="0" w:color="auto"/>
            </w:tcBorders>
            <w:shd w:val="clear" w:color="auto" w:fill="auto"/>
            <w:noWrap/>
            <w:vAlign w:val="center"/>
            <w:hideMark/>
          </w:tcPr>
          <w:p w14:paraId="53C15049"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2.69</w:t>
            </w:r>
          </w:p>
        </w:tc>
        <w:tc>
          <w:tcPr>
            <w:tcW w:w="378" w:type="dxa"/>
            <w:tcBorders>
              <w:top w:val="nil"/>
              <w:left w:val="nil"/>
              <w:bottom w:val="single" w:sz="4" w:space="0" w:color="auto"/>
              <w:right w:val="single" w:sz="4" w:space="0" w:color="auto"/>
            </w:tcBorders>
            <w:shd w:val="clear" w:color="auto" w:fill="auto"/>
            <w:noWrap/>
            <w:vAlign w:val="center"/>
            <w:hideMark/>
          </w:tcPr>
          <w:p w14:paraId="53C1504A"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3.69</w:t>
            </w:r>
          </w:p>
        </w:tc>
        <w:tc>
          <w:tcPr>
            <w:tcW w:w="378" w:type="dxa"/>
            <w:tcBorders>
              <w:top w:val="nil"/>
              <w:left w:val="nil"/>
              <w:bottom w:val="single" w:sz="4" w:space="0" w:color="auto"/>
              <w:right w:val="single" w:sz="4" w:space="0" w:color="auto"/>
            </w:tcBorders>
            <w:shd w:val="clear" w:color="auto" w:fill="auto"/>
            <w:noWrap/>
            <w:vAlign w:val="center"/>
            <w:hideMark/>
          </w:tcPr>
          <w:p w14:paraId="53C1504B"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0.31</w:t>
            </w:r>
          </w:p>
        </w:tc>
        <w:tc>
          <w:tcPr>
            <w:tcW w:w="378" w:type="dxa"/>
            <w:tcBorders>
              <w:top w:val="nil"/>
              <w:left w:val="nil"/>
              <w:bottom w:val="single" w:sz="4" w:space="0" w:color="auto"/>
              <w:right w:val="single" w:sz="4" w:space="0" w:color="auto"/>
            </w:tcBorders>
            <w:shd w:val="clear" w:color="auto" w:fill="auto"/>
            <w:noWrap/>
            <w:vAlign w:val="center"/>
            <w:hideMark/>
          </w:tcPr>
          <w:p w14:paraId="53C1504C"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1.06</w:t>
            </w:r>
          </w:p>
        </w:tc>
        <w:tc>
          <w:tcPr>
            <w:tcW w:w="378" w:type="dxa"/>
            <w:tcBorders>
              <w:top w:val="nil"/>
              <w:left w:val="nil"/>
              <w:bottom w:val="single" w:sz="4" w:space="0" w:color="auto"/>
              <w:right w:val="single" w:sz="4" w:space="0" w:color="auto"/>
            </w:tcBorders>
            <w:shd w:val="clear" w:color="auto" w:fill="auto"/>
            <w:noWrap/>
            <w:vAlign w:val="center"/>
            <w:hideMark/>
          </w:tcPr>
          <w:p w14:paraId="53C1504D"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0.88</w:t>
            </w:r>
          </w:p>
        </w:tc>
        <w:tc>
          <w:tcPr>
            <w:tcW w:w="378" w:type="dxa"/>
            <w:tcBorders>
              <w:top w:val="nil"/>
              <w:left w:val="nil"/>
              <w:bottom w:val="single" w:sz="4" w:space="0" w:color="auto"/>
              <w:right w:val="single" w:sz="4" w:space="0" w:color="auto"/>
            </w:tcBorders>
            <w:shd w:val="clear" w:color="auto" w:fill="auto"/>
            <w:noWrap/>
            <w:vAlign w:val="center"/>
            <w:hideMark/>
          </w:tcPr>
          <w:p w14:paraId="53C1504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0.38</w:t>
            </w:r>
          </w:p>
        </w:tc>
        <w:tc>
          <w:tcPr>
            <w:tcW w:w="378" w:type="dxa"/>
            <w:tcBorders>
              <w:top w:val="nil"/>
              <w:left w:val="nil"/>
              <w:bottom w:val="single" w:sz="4" w:space="0" w:color="auto"/>
              <w:right w:val="single" w:sz="4" w:space="0" w:color="auto"/>
            </w:tcBorders>
            <w:shd w:val="clear" w:color="auto" w:fill="auto"/>
            <w:noWrap/>
            <w:vAlign w:val="center"/>
            <w:hideMark/>
          </w:tcPr>
          <w:p w14:paraId="53C1504F"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0.75</w:t>
            </w:r>
          </w:p>
        </w:tc>
        <w:tc>
          <w:tcPr>
            <w:tcW w:w="378" w:type="dxa"/>
            <w:tcBorders>
              <w:top w:val="nil"/>
              <w:left w:val="nil"/>
              <w:bottom w:val="single" w:sz="4" w:space="0" w:color="auto"/>
              <w:right w:val="single" w:sz="4" w:space="0" w:color="auto"/>
            </w:tcBorders>
            <w:shd w:val="clear" w:color="auto" w:fill="auto"/>
            <w:noWrap/>
            <w:vAlign w:val="center"/>
            <w:hideMark/>
          </w:tcPr>
          <w:p w14:paraId="53C15050"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0.38</w:t>
            </w:r>
          </w:p>
        </w:tc>
        <w:tc>
          <w:tcPr>
            <w:tcW w:w="378" w:type="dxa"/>
            <w:tcBorders>
              <w:top w:val="nil"/>
              <w:left w:val="nil"/>
              <w:bottom w:val="single" w:sz="4" w:space="0" w:color="auto"/>
              <w:right w:val="single" w:sz="4" w:space="0" w:color="auto"/>
            </w:tcBorders>
            <w:shd w:val="clear" w:color="auto" w:fill="auto"/>
            <w:noWrap/>
            <w:vAlign w:val="center"/>
            <w:hideMark/>
          </w:tcPr>
          <w:p w14:paraId="53C15051"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5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053"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5054"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0.75</w:t>
            </w:r>
          </w:p>
        </w:tc>
        <w:tc>
          <w:tcPr>
            <w:tcW w:w="378" w:type="dxa"/>
            <w:tcBorders>
              <w:top w:val="nil"/>
              <w:left w:val="nil"/>
              <w:bottom w:val="single" w:sz="4" w:space="0" w:color="auto"/>
              <w:right w:val="single" w:sz="4" w:space="0" w:color="auto"/>
            </w:tcBorders>
            <w:shd w:val="clear" w:color="auto" w:fill="auto"/>
            <w:noWrap/>
            <w:vAlign w:val="center"/>
            <w:hideMark/>
          </w:tcPr>
          <w:p w14:paraId="53C15055"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56"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57"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2.69</w:t>
            </w:r>
          </w:p>
        </w:tc>
        <w:tc>
          <w:tcPr>
            <w:tcW w:w="378" w:type="dxa"/>
            <w:tcBorders>
              <w:top w:val="nil"/>
              <w:left w:val="nil"/>
              <w:bottom w:val="single" w:sz="4" w:space="0" w:color="auto"/>
              <w:right w:val="single" w:sz="4" w:space="0" w:color="auto"/>
            </w:tcBorders>
            <w:shd w:val="clear" w:color="auto" w:fill="auto"/>
            <w:noWrap/>
            <w:vAlign w:val="center"/>
            <w:hideMark/>
          </w:tcPr>
          <w:p w14:paraId="53C1505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1.88</w:t>
            </w:r>
          </w:p>
        </w:tc>
      </w:tr>
      <w:tr w:rsidR="007904CB" w:rsidRPr="00657AD4" w14:paraId="53C1507B"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505A" w14:textId="77777777" w:rsidR="007904CB" w:rsidRPr="007904CB" w:rsidRDefault="007904CB" w:rsidP="00235072">
            <w:pPr>
              <w:spacing w:after="0"/>
              <w:jc w:val="left"/>
              <w:rPr>
                <w:rFonts w:ascii="Arial Narrow" w:hAnsi="Arial Narrow"/>
                <w:sz w:val="18"/>
                <w:szCs w:val="18"/>
                <w:lang w:eastAsia="en-AU"/>
              </w:rPr>
            </w:pPr>
          </w:p>
        </w:tc>
        <w:tc>
          <w:tcPr>
            <w:tcW w:w="1073" w:type="dxa"/>
            <w:vMerge w:val="restart"/>
            <w:tcBorders>
              <w:top w:val="nil"/>
              <w:left w:val="nil"/>
              <w:right w:val="single" w:sz="4" w:space="0" w:color="auto"/>
            </w:tcBorders>
            <w:shd w:val="clear" w:color="auto" w:fill="auto"/>
            <w:noWrap/>
            <w:vAlign w:val="center"/>
          </w:tcPr>
          <w:p w14:paraId="53C1505B" w14:textId="77777777" w:rsidR="007904CB" w:rsidRPr="007904CB" w:rsidRDefault="007904CB" w:rsidP="00C60606">
            <w:pPr>
              <w:spacing w:after="0"/>
              <w:jc w:val="center"/>
              <w:rPr>
                <w:rFonts w:ascii="Arial Narrow" w:hAnsi="Arial Narrow"/>
                <w:sz w:val="18"/>
                <w:szCs w:val="18"/>
                <w:lang w:eastAsia="en-AU"/>
              </w:rPr>
            </w:pPr>
            <w:r w:rsidRPr="007904CB">
              <w:rPr>
                <w:rFonts w:ascii="Arial Narrow" w:hAnsi="Arial Narrow"/>
                <w:sz w:val="18"/>
                <w:szCs w:val="18"/>
              </w:rPr>
              <w:t>Pandora</w:t>
            </w:r>
          </w:p>
        </w:tc>
        <w:tc>
          <w:tcPr>
            <w:tcW w:w="283" w:type="dxa"/>
            <w:tcBorders>
              <w:top w:val="nil"/>
              <w:left w:val="nil"/>
              <w:bottom w:val="single" w:sz="4" w:space="0" w:color="auto"/>
              <w:right w:val="single" w:sz="4" w:space="0" w:color="auto"/>
            </w:tcBorders>
            <w:shd w:val="clear" w:color="auto" w:fill="auto"/>
            <w:noWrap/>
            <w:vAlign w:val="center"/>
            <w:hideMark/>
          </w:tcPr>
          <w:p w14:paraId="53C1505C"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5</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505D"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2.06</w:t>
            </w:r>
          </w:p>
        </w:tc>
        <w:tc>
          <w:tcPr>
            <w:tcW w:w="378" w:type="dxa"/>
            <w:tcBorders>
              <w:top w:val="nil"/>
              <w:left w:val="nil"/>
              <w:bottom w:val="single" w:sz="4" w:space="0" w:color="auto"/>
              <w:right w:val="single" w:sz="4" w:space="0" w:color="auto"/>
            </w:tcBorders>
            <w:shd w:val="clear" w:color="auto" w:fill="auto"/>
            <w:noWrap/>
            <w:vAlign w:val="center"/>
            <w:hideMark/>
          </w:tcPr>
          <w:p w14:paraId="53C1505E"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5F"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60"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5061"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62"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63"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64"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065"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66"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67"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06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06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6A"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6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6C"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1.63</w:t>
            </w:r>
          </w:p>
        </w:tc>
        <w:tc>
          <w:tcPr>
            <w:tcW w:w="378" w:type="dxa"/>
            <w:tcBorders>
              <w:top w:val="nil"/>
              <w:left w:val="nil"/>
              <w:bottom w:val="single" w:sz="4" w:space="0" w:color="auto"/>
              <w:right w:val="single" w:sz="4" w:space="0" w:color="auto"/>
            </w:tcBorders>
            <w:shd w:val="clear" w:color="auto" w:fill="auto"/>
            <w:noWrap/>
            <w:vAlign w:val="center"/>
            <w:hideMark/>
          </w:tcPr>
          <w:p w14:paraId="53C1506D"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6E"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6F"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70"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71"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72"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73"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0.81</w:t>
            </w:r>
          </w:p>
        </w:tc>
        <w:tc>
          <w:tcPr>
            <w:tcW w:w="378" w:type="dxa"/>
            <w:tcBorders>
              <w:top w:val="nil"/>
              <w:left w:val="nil"/>
              <w:bottom w:val="single" w:sz="4" w:space="0" w:color="auto"/>
              <w:right w:val="single" w:sz="4" w:space="0" w:color="auto"/>
            </w:tcBorders>
            <w:shd w:val="clear" w:color="auto" w:fill="auto"/>
            <w:noWrap/>
            <w:vAlign w:val="center"/>
            <w:hideMark/>
          </w:tcPr>
          <w:p w14:paraId="53C15074"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75"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7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3.13</w:t>
            </w:r>
          </w:p>
        </w:tc>
        <w:tc>
          <w:tcPr>
            <w:tcW w:w="378" w:type="dxa"/>
            <w:tcBorders>
              <w:top w:val="nil"/>
              <w:left w:val="nil"/>
              <w:bottom w:val="single" w:sz="4" w:space="0" w:color="auto"/>
              <w:right w:val="single" w:sz="4" w:space="0" w:color="auto"/>
            </w:tcBorders>
            <w:shd w:val="clear" w:color="auto" w:fill="auto"/>
            <w:noWrap/>
            <w:vAlign w:val="center"/>
            <w:hideMark/>
          </w:tcPr>
          <w:p w14:paraId="53C1507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78"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79"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07A"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0.50</w:t>
            </w:r>
          </w:p>
        </w:tc>
      </w:tr>
      <w:tr w:rsidR="007904CB" w:rsidRPr="00657AD4" w14:paraId="53C1509D"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507C" w14:textId="77777777" w:rsidR="007904CB" w:rsidRPr="007904CB" w:rsidRDefault="007904CB" w:rsidP="00235072">
            <w:pPr>
              <w:spacing w:after="0"/>
              <w:jc w:val="left"/>
              <w:rPr>
                <w:rFonts w:ascii="Arial Narrow" w:hAnsi="Arial Narrow"/>
                <w:sz w:val="18"/>
                <w:szCs w:val="18"/>
                <w:lang w:eastAsia="en-AU"/>
              </w:rPr>
            </w:pPr>
          </w:p>
        </w:tc>
        <w:tc>
          <w:tcPr>
            <w:tcW w:w="1073" w:type="dxa"/>
            <w:vMerge/>
            <w:tcBorders>
              <w:left w:val="single" w:sz="4" w:space="0" w:color="auto"/>
              <w:bottom w:val="single" w:sz="4" w:space="0" w:color="auto"/>
              <w:right w:val="single" w:sz="4" w:space="0" w:color="auto"/>
            </w:tcBorders>
            <w:shd w:val="clear" w:color="auto" w:fill="auto"/>
            <w:noWrap/>
            <w:vAlign w:val="center"/>
          </w:tcPr>
          <w:p w14:paraId="53C1507D" w14:textId="77777777" w:rsidR="007904CB" w:rsidRPr="007904CB" w:rsidRDefault="007904CB" w:rsidP="00C60606">
            <w:pPr>
              <w:spacing w:after="0"/>
              <w:jc w:val="center"/>
              <w:rPr>
                <w:rFonts w:ascii="Arial Narrow" w:hAnsi="Arial Narrow"/>
                <w:sz w:val="18"/>
                <w:szCs w:val="18"/>
                <w:lang w:eastAsia="en-AU"/>
              </w:rPr>
            </w:pPr>
          </w:p>
        </w:tc>
        <w:tc>
          <w:tcPr>
            <w:tcW w:w="283" w:type="dxa"/>
            <w:tcBorders>
              <w:top w:val="nil"/>
              <w:left w:val="nil"/>
              <w:bottom w:val="single" w:sz="4" w:space="0" w:color="auto"/>
              <w:right w:val="single" w:sz="4" w:space="0" w:color="auto"/>
            </w:tcBorders>
            <w:shd w:val="clear" w:color="auto" w:fill="auto"/>
            <w:noWrap/>
            <w:vAlign w:val="center"/>
            <w:hideMark/>
          </w:tcPr>
          <w:p w14:paraId="53C1507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2</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507F"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2.44</w:t>
            </w:r>
          </w:p>
        </w:tc>
        <w:tc>
          <w:tcPr>
            <w:tcW w:w="378" w:type="dxa"/>
            <w:tcBorders>
              <w:top w:val="nil"/>
              <w:left w:val="nil"/>
              <w:bottom w:val="single" w:sz="4" w:space="0" w:color="auto"/>
              <w:right w:val="single" w:sz="4" w:space="0" w:color="auto"/>
            </w:tcBorders>
            <w:shd w:val="clear" w:color="auto" w:fill="auto"/>
            <w:noWrap/>
            <w:vAlign w:val="center"/>
            <w:hideMark/>
          </w:tcPr>
          <w:p w14:paraId="53C15080"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81"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8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0.31</w:t>
            </w:r>
          </w:p>
        </w:tc>
        <w:tc>
          <w:tcPr>
            <w:tcW w:w="378" w:type="dxa"/>
            <w:tcBorders>
              <w:top w:val="nil"/>
              <w:left w:val="nil"/>
              <w:bottom w:val="single" w:sz="4" w:space="0" w:color="auto"/>
              <w:right w:val="single" w:sz="4" w:space="0" w:color="auto"/>
            </w:tcBorders>
            <w:shd w:val="clear" w:color="auto" w:fill="auto"/>
            <w:noWrap/>
            <w:vAlign w:val="center"/>
            <w:hideMark/>
          </w:tcPr>
          <w:p w14:paraId="53C15083"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3.00</w:t>
            </w:r>
          </w:p>
        </w:tc>
        <w:tc>
          <w:tcPr>
            <w:tcW w:w="378" w:type="dxa"/>
            <w:tcBorders>
              <w:top w:val="nil"/>
              <w:left w:val="nil"/>
              <w:bottom w:val="single" w:sz="4" w:space="0" w:color="auto"/>
              <w:right w:val="single" w:sz="4" w:space="0" w:color="auto"/>
            </w:tcBorders>
            <w:shd w:val="clear" w:color="auto" w:fill="auto"/>
            <w:noWrap/>
            <w:vAlign w:val="center"/>
            <w:hideMark/>
          </w:tcPr>
          <w:p w14:paraId="53C15084"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85"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0.63</w:t>
            </w:r>
          </w:p>
        </w:tc>
        <w:tc>
          <w:tcPr>
            <w:tcW w:w="378" w:type="dxa"/>
            <w:tcBorders>
              <w:top w:val="nil"/>
              <w:left w:val="nil"/>
              <w:bottom w:val="single" w:sz="4" w:space="0" w:color="auto"/>
              <w:right w:val="single" w:sz="4" w:space="0" w:color="auto"/>
            </w:tcBorders>
            <w:shd w:val="clear" w:color="auto" w:fill="auto"/>
            <w:noWrap/>
            <w:vAlign w:val="center"/>
            <w:hideMark/>
          </w:tcPr>
          <w:p w14:paraId="53C1508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5087"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0.38</w:t>
            </w:r>
          </w:p>
        </w:tc>
        <w:tc>
          <w:tcPr>
            <w:tcW w:w="378" w:type="dxa"/>
            <w:tcBorders>
              <w:top w:val="nil"/>
              <w:left w:val="nil"/>
              <w:bottom w:val="single" w:sz="4" w:space="0" w:color="auto"/>
              <w:right w:val="single" w:sz="4" w:space="0" w:color="auto"/>
            </w:tcBorders>
            <w:shd w:val="clear" w:color="auto" w:fill="auto"/>
            <w:noWrap/>
            <w:vAlign w:val="center"/>
            <w:hideMark/>
          </w:tcPr>
          <w:p w14:paraId="53C1508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0.38</w:t>
            </w:r>
          </w:p>
        </w:tc>
        <w:tc>
          <w:tcPr>
            <w:tcW w:w="378" w:type="dxa"/>
            <w:tcBorders>
              <w:top w:val="nil"/>
              <w:left w:val="nil"/>
              <w:bottom w:val="single" w:sz="4" w:space="0" w:color="auto"/>
              <w:right w:val="single" w:sz="4" w:space="0" w:color="auto"/>
            </w:tcBorders>
            <w:shd w:val="clear" w:color="auto" w:fill="auto"/>
            <w:noWrap/>
            <w:vAlign w:val="center"/>
            <w:hideMark/>
          </w:tcPr>
          <w:p w14:paraId="53C1508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8A"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08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8C"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8D"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508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0.69</w:t>
            </w:r>
          </w:p>
        </w:tc>
        <w:tc>
          <w:tcPr>
            <w:tcW w:w="378" w:type="dxa"/>
            <w:tcBorders>
              <w:top w:val="nil"/>
              <w:left w:val="nil"/>
              <w:bottom w:val="single" w:sz="4" w:space="0" w:color="auto"/>
              <w:right w:val="single" w:sz="4" w:space="0" w:color="auto"/>
            </w:tcBorders>
            <w:shd w:val="clear" w:color="auto" w:fill="auto"/>
            <w:noWrap/>
            <w:vAlign w:val="center"/>
            <w:hideMark/>
          </w:tcPr>
          <w:p w14:paraId="53C1508F"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90"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91"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092"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93"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94"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0.69</w:t>
            </w:r>
          </w:p>
        </w:tc>
        <w:tc>
          <w:tcPr>
            <w:tcW w:w="378" w:type="dxa"/>
            <w:tcBorders>
              <w:top w:val="nil"/>
              <w:left w:val="nil"/>
              <w:bottom w:val="single" w:sz="4" w:space="0" w:color="auto"/>
              <w:right w:val="single" w:sz="4" w:space="0" w:color="auto"/>
            </w:tcBorders>
            <w:shd w:val="clear" w:color="auto" w:fill="auto"/>
            <w:noWrap/>
            <w:vAlign w:val="center"/>
            <w:hideMark/>
          </w:tcPr>
          <w:p w14:paraId="53C15095"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9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09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9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09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9A"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9B"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509C"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0.69</w:t>
            </w:r>
          </w:p>
        </w:tc>
      </w:tr>
      <w:tr w:rsidR="00657AD4" w:rsidRPr="00657AD4" w14:paraId="53C150BF"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509E" w14:textId="77777777" w:rsidR="00235072" w:rsidRPr="007904CB" w:rsidRDefault="00235072" w:rsidP="00235072">
            <w:pPr>
              <w:spacing w:after="0"/>
              <w:jc w:val="left"/>
              <w:rPr>
                <w:rFonts w:ascii="Arial Narrow" w:hAnsi="Arial Narrow"/>
                <w:sz w:val="18"/>
                <w:szCs w:val="18"/>
                <w:lang w:eastAsia="en-AU"/>
              </w:rPr>
            </w:pPr>
          </w:p>
        </w:tc>
        <w:tc>
          <w:tcPr>
            <w:tcW w:w="1073" w:type="dxa"/>
            <w:tcBorders>
              <w:top w:val="nil"/>
              <w:left w:val="single" w:sz="4" w:space="0" w:color="auto"/>
              <w:bottom w:val="single" w:sz="4" w:space="0" w:color="auto"/>
              <w:right w:val="single" w:sz="4" w:space="0" w:color="auto"/>
            </w:tcBorders>
            <w:shd w:val="clear" w:color="auto" w:fill="auto"/>
            <w:vAlign w:val="center"/>
          </w:tcPr>
          <w:p w14:paraId="53C1509F" w14:textId="77777777" w:rsidR="00235072" w:rsidRPr="007904CB" w:rsidRDefault="00235072" w:rsidP="00C60606">
            <w:pPr>
              <w:spacing w:after="0"/>
              <w:jc w:val="center"/>
              <w:rPr>
                <w:rFonts w:ascii="Arial Narrow" w:hAnsi="Arial Narrow"/>
                <w:sz w:val="18"/>
                <w:szCs w:val="18"/>
                <w:lang w:eastAsia="en-AU"/>
              </w:rPr>
            </w:pPr>
            <w:r w:rsidRPr="007904CB">
              <w:rPr>
                <w:rFonts w:ascii="Arial Narrow" w:hAnsi="Arial Narrow"/>
                <w:sz w:val="18"/>
                <w:szCs w:val="18"/>
              </w:rPr>
              <w:t>Pandora North</w:t>
            </w:r>
          </w:p>
        </w:tc>
        <w:tc>
          <w:tcPr>
            <w:tcW w:w="283" w:type="dxa"/>
            <w:tcBorders>
              <w:top w:val="nil"/>
              <w:left w:val="nil"/>
              <w:bottom w:val="single" w:sz="4" w:space="0" w:color="auto"/>
              <w:right w:val="single" w:sz="4" w:space="0" w:color="auto"/>
            </w:tcBorders>
            <w:shd w:val="clear" w:color="auto" w:fill="auto"/>
            <w:noWrap/>
            <w:vAlign w:val="center"/>
            <w:hideMark/>
          </w:tcPr>
          <w:p w14:paraId="53C150A0"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5</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50A1"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1.37</w:t>
            </w:r>
          </w:p>
        </w:tc>
        <w:tc>
          <w:tcPr>
            <w:tcW w:w="378" w:type="dxa"/>
            <w:tcBorders>
              <w:top w:val="nil"/>
              <w:left w:val="nil"/>
              <w:bottom w:val="single" w:sz="4" w:space="0" w:color="auto"/>
              <w:right w:val="single" w:sz="4" w:space="0" w:color="auto"/>
            </w:tcBorders>
            <w:shd w:val="clear" w:color="auto" w:fill="auto"/>
            <w:noWrap/>
            <w:vAlign w:val="center"/>
            <w:hideMark/>
          </w:tcPr>
          <w:p w14:paraId="53C150A2"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1.10</w:t>
            </w:r>
          </w:p>
        </w:tc>
        <w:tc>
          <w:tcPr>
            <w:tcW w:w="378" w:type="dxa"/>
            <w:tcBorders>
              <w:top w:val="nil"/>
              <w:left w:val="nil"/>
              <w:bottom w:val="single" w:sz="4" w:space="0" w:color="auto"/>
              <w:right w:val="single" w:sz="4" w:space="0" w:color="auto"/>
            </w:tcBorders>
            <w:shd w:val="clear" w:color="auto" w:fill="auto"/>
            <w:noWrap/>
            <w:vAlign w:val="center"/>
            <w:hideMark/>
          </w:tcPr>
          <w:p w14:paraId="53C150A3"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0.07</w:t>
            </w:r>
          </w:p>
        </w:tc>
        <w:tc>
          <w:tcPr>
            <w:tcW w:w="378" w:type="dxa"/>
            <w:tcBorders>
              <w:top w:val="nil"/>
              <w:left w:val="nil"/>
              <w:bottom w:val="single" w:sz="4" w:space="0" w:color="auto"/>
              <w:right w:val="single" w:sz="4" w:space="0" w:color="auto"/>
            </w:tcBorders>
            <w:shd w:val="clear" w:color="auto" w:fill="auto"/>
            <w:noWrap/>
            <w:vAlign w:val="center"/>
            <w:hideMark/>
          </w:tcPr>
          <w:p w14:paraId="53C150A4"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0.17</w:t>
            </w:r>
          </w:p>
        </w:tc>
        <w:tc>
          <w:tcPr>
            <w:tcW w:w="378" w:type="dxa"/>
            <w:tcBorders>
              <w:top w:val="nil"/>
              <w:left w:val="nil"/>
              <w:bottom w:val="single" w:sz="4" w:space="0" w:color="auto"/>
              <w:right w:val="single" w:sz="4" w:space="0" w:color="auto"/>
            </w:tcBorders>
            <w:shd w:val="clear" w:color="auto" w:fill="auto"/>
            <w:noWrap/>
            <w:vAlign w:val="center"/>
            <w:hideMark/>
          </w:tcPr>
          <w:p w14:paraId="53C150A5"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0.03</w:t>
            </w:r>
          </w:p>
        </w:tc>
        <w:tc>
          <w:tcPr>
            <w:tcW w:w="378" w:type="dxa"/>
            <w:tcBorders>
              <w:top w:val="nil"/>
              <w:left w:val="nil"/>
              <w:bottom w:val="single" w:sz="4" w:space="0" w:color="auto"/>
              <w:right w:val="single" w:sz="4" w:space="0" w:color="auto"/>
            </w:tcBorders>
            <w:shd w:val="clear" w:color="auto" w:fill="auto"/>
            <w:noWrap/>
            <w:vAlign w:val="center"/>
            <w:hideMark/>
          </w:tcPr>
          <w:p w14:paraId="53C150A6"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0.96</w:t>
            </w:r>
          </w:p>
        </w:tc>
        <w:tc>
          <w:tcPr>
            <w:tcW w:w="378" w:type="dxa"/>
            <w:tcBorders>
              <w:top w:val="nil"/>
              <w:left w:val="nil"/>
              <w:bottom w:val="single" w:sz="4" w:space="0" w:color="auto"/>
              <w:right w:val="single" w:sz="4" w:space="0" w:color="auto"/>
            </w:tcBorders>
            <w:shd w:val="clear" w:color="auto" w:fill="auto"/>
            <w:noWrap/>
            <w:vAlign w:val="center"/>
            <w:hideMark/>
          </w:tcPr>
          <w:p w14:paraId="53C150A7"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0.57</w:t>
            </w:r>
          </w:p>
        </w:tc>
        <w:tc>
          <w:tcPr>
            <w:tcW w:w="378" w:type="dxa"/>
            <w:tcBorders>
              <w:top w:val="nil"/>
              <w:left w:val="nil"/>
              <w:bottom w:val="single" w:sz="4" w:space="0" w:color="auto"/>
              <w:right w:val="single" w:sz="4" w:space="0" w:color="auto"/>
            </w:tcBorders>
            <w:shd w:val="clear" w:color="auto" w:fill="auto"/>
            <w:noWrap/>
            <w:vAlign w:val="center"/>
            <w:hideMark/>
          </w:tcPr>
          <w:p w14:paraId="53C150A8"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0.17</w:t>
            </w:r>
          </w:p>
        </w:tc>
        <w:tc>
          <w:tcPr>
            <w:tcW w:w="378" w:type="dxa"/>
            <w:tcBorders>
              <w:top w:val="nil"/>
              <w:left w:val="nil"/>
              <w:bottom w:val="single" w:sz="4" w:space="0" w:color="auto"/>
              <w:right w:val="single" w:sz="4" w:space="0" w:color="auto"/>
            </w:tcBorders>
            <w:shd w:val="clear" w:color="auto" w:fill="auto"/>
            <w:noWrap/>
            <w:vAlign w:val="center"/>
            <w:hideMark/>
          </w:tcPr>
          <w:p w14:paraId="53C150A9"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1.70</w:t>
            </w:r>
          </w:p>
        </w:tc>
        <w:tc>
          <w:tcPr>
            <w:tcW w:w="378" w:type="dxa"/>
            <w:tcBorders>
              <w:top w:val="nil"/>
              <w:left w:val="nil"/>
              <w:bottom w:val="single" w:sz="4" w:space="0" w:color="auto"/>
              <w:right w:val="single" w:sz="4" w:space="0" w:color="auto"/>
            </w:tcBorders>
            <w:shd w:val="clear" w:color="auto" w:fill="auto"/>
            <w:noWrap/>
            <w:vAlign w:val="center"/>
            <w:hideMark/>
          </w:tcPr>
          <w:p w14:paraId="53C150AA"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1.37</w:t>
            </w:r>
          </w:p>
        </w:tc>
        <w:tc>
          <w:tcPr>
            <w:tcW w:w="378" w:type="dxa"/>
            <w:tcBorders>
              <w:top w:val="nil"/>
              <w:left w:val="nil"/>
              <w:bottom w:val="single" w:sz="4" w:space="0" w:color="auto"/>
              <w:right w:val="single" w:sz="4" w:space="0" w:color="auto"/>
            </w:tcBorders>
            <w:shd w:val="clear" w:color="auto" w:fill="auto"/>
            <w:noWrap/>
            <w:vAlign w:val="center"/>
            <w:hideMark/>
          </w:tcPr>
          <w:p w14:paraId="53C150AB"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0.07</w:t>
            </w:r>
          </w:p>
        </w:tc>
        <w:tc>
          <w:tcPr>
            <w:tcW w:w="378" w:type="dxa"/>
            <w:tcBorders>
              <w:top w:val="nil"/>
              <w:left w:val="nil"/>
              <w:bottom w:val="single" w:sz="4" w:space="0" w:color="auto"/>
              <w:right w:val="single" w:sz="4" w:space="0" w:color="auto"/>
            </w:tcBorders>
            <w:shd w:val="clear" w:color="auto" w:fill="auto"/>
            <w:noWrap/>
            <w:vAlign w:val="center"/>
            <w:hideMark/>
          </w:tcPr>
          <w:p w14:paraId="53C150AC"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11.05</w:t>
            </w:r>
          </w:p>
        </w:tc>
        <w:tc>
          <w:tcPr>
            <w:tcW w:w="378" w:type="dxa"/>
            <w:tcBorders>
              <w:top w:val="nil"/>
              <w:left w:val="nil"/>
              <w:bottom w:val="single" w:sz="4" w:space="0" w:color="auto"/>
              <w:right w:val="single" w:sz="4" w:space="0" w:color="auto"/>
            </w:tcBorders>
            <w:shd w:val="clear" w:color="auto" w:fill="auto"/>
            <w:noWrap/>
            <w:vAlign w:val="center"/>
            <w:hideMark/>
          </w:tcPr>
          <w:p w14:paraId="53C150AD"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0.03</w:t>
            </w:r>
          </w:p>
        </w:tc>
        <w:tc>
          <w:tcPr>
            <w:tcW w:w="378" w:type="dxa"/>
            <w:tcBorders>
              <w:top w:val="nil"/>
              <w:left w:val="nil"/>
              <w:bottom w:val="single" w:sz="4" w:space="0" w:color="auto"/>
              <w:right w:val="single" w:sz="4" w:space="0" w:color="auto"/>
            </w:tcBorders>
            <w:shd w:val="clear" w:color="auto" w:fill="auto"/>
            <w:noWrap/>
            <w:vAlign w:val="center"/>
            <w:hideMark/>
          </w:tcPr>
          <w:p w14:paraId="53C150AE"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0.63</w:t>
            </w:r>
          </w:p>
        </w:tc>
        <w:tc>
          <w:tcPr>
            <w:tcW w:w="378" w:type="dxa"/>
            <w:tcBorders>
              <w:top w:val="nil"/>
              <w:left w:val="nil"/>
              <w:bottom w:val="single" w:sz="4" w:space="0" w:color="auto"/>
              <w:right w:val="single" w:sz="4" w:space="0" w:color="auto"/>
            </w:tcBorders>
            <w:shd w:val="clear" w:color="auto" w:fill="auto"/>
            <w:noWrap/>
            <w:vAlign w:val="center"/>
            <w:hideMark/>
          </w:tcPr>
          <w:p w14:paraId="53C150AF"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1.00</w:t>
            </w:r>
          </w:p>
        </w:tc>
        <w:tc>
          <w:tcPr>
            <w:tcW w:w="378" w:type="dxa"/>
            <w:tcBorders>
              <w:top w:val="nil"/>
              <w:left w:val="nil"/>
              <w:bottom w:val="single" w:sz="4" w:space="0" w:color="auto"/>
              <w:right w:val="single" w:sz="4" w:space="0" w:color="auto"/>
            </w:tcBorders>
            <w:shd w:val="clear" w:color="auto" w:fill="auto"/>
            <w:noWrap/>
            <w:vAlign w:val="center"/>
            <w:hideMark/>
          </w:tcPr>
          <w:p w14:paraId="53C150B0"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1.77</w:t>
            </w:r>
          </w:p>
        </w:tc>
        <w:tc>
          <w:tcPr>
            <w:tcW w:w="378" w:type="dxa"/>
            <w:tcBorders>
              <w:top w:val="nil"/>
              <w:left w:val="nil"/>
              <w:bottom w:val="single" w:sz="4" w:space="0" w:color="auto"/>
              <w:right w:val="single" w:sz="4" w:space="0" w:color="auto"/>
            </w:tcBorders>
            <w:shd w:val="clear" w:color="auto" w:fill="auto"/>
            <w:noWrap/>
            <w:vAlign w:val="center"/>
            <w:hideMark/>
          </w:tcPr>
          <w:p w14:paraId="53C150B1"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1.00</w:t>
            </w:r>
          </w:p>
        </w:tc>
        <w:tc>
          <w:tcPr>
            <w:tcW w:w="378" w:type="dxa"/>
            <w:tcBorders>
              <w:top w:val="nil"/>
              <w:left w:val="nil"/>
              <w:bottom w:val="single" w:sz="4" w:space="0" w:color="auto"/>
              <w:right w:val="single" w:sz="4" w:space="0" w:color="auto"/>
            </w:tcBorders>
            <w:shd w:val="clear" w:color="auto" w:fill="auto"/>
            <w:noWrap/>
            <w:vAlign w:val="center"/>
            <w:hideMark/>
          </w:tcPr>
          <w:p w14:paraId="53C150B2"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0.67</w:t>
            </w:r>
          </w:p>
        </w:tc>
        <w:tc>
          <w:tcPr>
            <w:tcW w:w="378" w:type="dxa"/>
            <w:tcBorders>
              <w:top w:val="nil"/>
              <w:left w:val="nil"/>
              <w:bottom w:val="single" w:sz="4" w:space="0" w:color="auto"/>
              <w:right w:val="single" w:sz="4" w:space="0" w:color="auto"/>
            </w:tcBorders>
            <w:shd w:val="clear" w:color="auto" w:fill="auto"/>
            <w:noWrap/>
            <w:vAlign w:val="center"/>
            <w:hideMark/>
          </w:tcPr>
          <w:p w14:paraId="53C150B3"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4.55</w:t>
            </w:r>
          </w:p>
        </w:tc>
        <w:tc>
          <w:tcPr>
            <w:tcW w:w="378" w:type="dxa"/>
            <w:tcBorders>
              <w:top w:val="nil"/>
              <w:left w:val="nil"/>
              <w:bottom w:val="single" w:sz="4" w:space="0" w:color="auto"/>
              <w:right w:val="single" w:sz="4" w:space="0" w:color="auto"/>
            </w:tcBorders>
            <w:shd w:val="clear" w:color="auto" w:fill="auto"/>
            <w:noWrap/>
            <w:vAlign w:val="center"/>
            <w:hideMark/>
          </w:tcPr>
          <w:p w14:paraId="53C150B4"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0.10</w:t>
            </w:r>
          </w:p>
        </w:tc>
        <w:tc>
          <w:tcPr>
            <w:tcW w:w="378" w:type="dxa"/>
            <w:tcBorders>
              <w:top w:val="nil"/>
              <w:left w:val="nil"/>
              <w:bottom w:val="single" w:sz="4" w:space="0" w:color="auto"/>
              <w:right w:val="single" w:sz="4" w:space="0" w:color="auto"/>
            </w:tcBorders>
            <w:shd w:val="clear" w:color="auto" w:fill="auto"/>
            <w:noWrap/>
            <w:vAlign w:val="center"/>
            <w:hideMark/>
          </w:tcPr>
          <w:p w14:paraId="53C150B5"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0.47</w:t>
            </w:r>
          </w:p>
        </w:tc>
        <w:tc>
          <w:tcPr>
            <w:tcW w:w="378" w:type="dxa"/>
            <w:tcBorders>
              <w:top w:val="nil"/>
              <w:left w:val="nil"/>
              <w:bottom w:val="single" w:sz="4" w:space="0" w:color="auto"/>
              <w:right w:val="single" w:sz="4" w:space="0" w:color="auto"/>
            </w:tcBorders>
            <w:shd w:val="clear" w:color="auto" w:fill="auto"/>
            <w:noWrap/>
            <w:vAlign w:val="center"/>
            <w:hideMark/>
          </w:tcPr>
          <w:p w14:paraId="53C150B6"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0.23</w:t>
            </w:r>
          </w:p>
        </w:tc>
        <w:tc>
          <w:tcPr>
            <w:tcW w:w="378" w:type="dxa"/>
            <w:tcBorders>
              <w:top w:val="nil"/>
              <w:left w:val="nil"/>
              <w:bottom w:val="single" w:sz="4" w:space="0" w:color="auto"/>
              <w:right w:val="single" w:sz="4" w:space="0" w:color="auto"/>
            </w:tcBorders>
            <w:shd w:val="clear" w:color="auto" w:fill="auto"/>
            <w:noWrap/>
            <w:vAlign w:val="center"/>
            <w:hideMark/>
          </w:tcPr>
          <w:p w14:paraId="53C150B7" w14:textId="77777777" w:rsidR="00235072" w:rsidRPr="00C60606" w:rsidRDefault="00235072"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B8"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0.10</w:t>
            </w:r>
          </w:p>
        </w:tc>
        <w:tc>
          <w:tcPr>
            <w:tcW w:w="378" w:type="dxa"/>
            <w:tcBorders>
              <w:top w:val="nil"/>
              <w:left w:val="nil"/>
              <w:bottom w:val="single" w:sz="4" w:space="0" w:color="auto"/>
              <w:right w:val="single" w:sz="4" w:space="0" w:color="auto"/>
            </w:tcBorders>
            <w:shd w:val="clear" w:color="auto" w:fill="auto"/>
            <w:noWrap/>
            <w:vAlign w:val="center"/>
            <w:hideMark/>
          </w:tcPr>
          <w:p w14:paraId="53C150B9"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0.27</w:t>
            </w:r>
          </w:p>
        </w:tc>
        <w:tc>
          <w:tcPr>
            <w:tcW w:w="378" w:type="dxa"/>
            <w:tcBorders>
              <w:top w:val="nil"/>
              <w:left w:val="nil"/>
              <w:bottom w:val="single" w:sz="4" w:space="0" w:color="auto"/>
              <w:right w:val="single" w:sz="4" w:space="0" w:color="auto"/>
            </w:tcBorders>
            <w:shd w:val="clear" w:color="auto" w:fill="auto"/>
            <w:noWrap/>
            <w:vAlign w:val="center"/>
            <w:hideMark/>
          </w:tcPr>
          <w:p w14:paraId="53C150BA"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3.54</w:t>
            </w:r>
          </w:p>
        </w:tc>
        <w:tc>
          <w:tcPr>
            <w:tcW w:w="378" w:type="dxa"/>
            <w:tcBorders>
              <w:top w:val="nil"/>
              <w:left w:val="nil"/>
              <w:bottom w:val="single" w:sz="4" w:space="0" w:color="auto"/>
              <w:right w:val="single" w:sz="4" w:space="0" w:color="auto"/>
            </w:tcBorders>
            <w:shd w:val="clear" w:color="auto" w:fill="auto"/>
            <w:noWrap/>
            <w:vAlign w:val="center"/>
            <w:hideMark/>
          </w:tcPr>
          <w:p w14:paraId="53C150BB"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0.03</w:t>
            </w:r>
          </w:p>
        </w:tc>
        <w:tc>
          <w:tcPr>
            <w:tcW w:w="378" w:type="dxa"/>
            <w:tcBorders>
              <w:top w:val="nil"/>
              <w:left w:val="nil"/>
              <w:bottom w:val="single" w:sz="4" w:space="0" w:color="auto"/>
              <w:right w:val="single" w:sz="4" w:space="0" w:color="auto"/>
            </w:tcBorders>
            <w:shd w:val="clear" w:color="auto" w:fill="auto"/>
            <w:noWrap/>
            <w:vAlign w:val="center"/>
            <w:hideMark/>
          </w:tcPr>
          <w:p w14:paraId="53C150BC" w14:textId="77777777" w:rsidR="00235072" w:rsidRPr="00C60606" w:rsidRDefault="00235072"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BD"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6.62</w:t>
            </w:r>
          </w:p>
        </w:tc>
        <w:tc>
          <w:tcPr>
            <w:tcW w:w="378" w:type="dxa"/>
            <w:tcBorders>
              <w:top w:val="nil"/>
              <w:left w:val="nil"/>
              <w:bottom w:val="single" w:sz="4" w:space="0" w:color="auto"/>
              <w:right w:val="single" w:sz="4" w:space="0" w:color="auto"/>
            </w:tcBorders>
            <w:shd w:val="clear" w:color="auto" w:fill="auto"/>
            <w:noWrap/>
            <w:vAlign w:val="center"/>
            <w:hideMark/>
          </w:tcPr>
          <w:p w14:paraId="53C150BE"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2.40</w:t>
            </w:r>
          </w:p>
        </w:tc>
      </w:tr>
      <w:tr w:rsidR="007904CB" w:rsidRPr="00657AD4" w14:paraId="53C150E1"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50C0" w14:textId="77777777" w:rsidR="007904CB" w:rsidRPr="007904CB" w:rsidRDefault="007904CB" w:rsidP="00235072">
            <w:pPr>
              <w:spacing w:after="0"/>
              <w:jc w:val="left"/>
              <w:rPr>
                <w:rFonts w:ascii="Arial Narrow" w:hAnsi="Arial Narrow"/>
                <w:sz w:val="18"/>
                <w:szCs w:val="18"/>
                <w:lang w:eastAsia="en-AU"/>
              </w:rPr>
            </w:pPr>
          </w:p>
        </w:tc>
        <w:tc>
          <w:tcPr>
            <w:tcW w:w="1073" w:type="dxa"/>
            <w:vMerge w:val="restart"/>
            <w:tcBorders>
              <w:top w:val="nil"/>
              <w:left w:val="single" w:sz="4" w:space="0" w:color="auto"/>
              <w:right w:val="single" w:sz="4" w:space="0" w:color="auto"/>
            </w:tcBorders>
            <w:shd w:val="clear" w:color="auto" w:fill="auto"/>
            <w:noWrap/>
            <w:vAlign w:val="center"/>
          </w:tcPr>
          <w:p w14:paraId="53C150C1" w14:textId="77777777" w:rsidR="007904CB" w:rsidRPr="007904CB" w:rsidRDefault="007904CB" w:rsidP="00C60606">
            <w:pPr>
              <w:spacing w:after="0"/>
              <w:jc w:val="center"/>
              <w:rPr>
                <w:rFonts w:ascii="Arial Narrow" w:hAnsi="Arial Narrow"/>
                <w:sz w:val="18"/>
                <w:szCs w:val="18"/>
                <w:lang w:eastAsia="en-AU"/>
              </w:rPr>
            </w:pPr>
            <w:r w:rsidRPr="007904CB">
              <w:rPr>
                <w:rFonts w:ascii="Arial Narrow" w:hAnsi="Arial Narrow"/>
                <w:sz w:val="18"/>
                <w:szCs w:val="18"/>
              </w:rPr>
              <w:t>Lady Elliot</w:t>
            </w:r>
          </w:p>
        </w:tc>
        <w:tc>
          <w:tcPr>
            <w:tcW w:w="283" w:type="dxa"/>
            <w:tcBorders>
              <w:top w:val="nil"/>
              <w:left w:val="nil"/>
              <w:bottom w:val="single" w:sz="4" w:space="0" w:color="auto"/>
              <w:right w:val="single" w:sz="4" w:space="0" w:color="auto"/>
            </w:tcBorders>
            <w:shd w:val="clear" w:color="auto" w:fill="auto"/>
            <w:noWrap/>
            <w:vAlign w:val="center"/>
            <w:hideMark/>
          </w:tcPr>
          <w:p w14:paraId="53C150C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2</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50C3"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9.25</w:t>
            </w:r>
          </w:p>
        </w:tc>
        <w:tc>
          <w:tcPr>
            <w:tcW w:w="378" w:type="dxa"/>
            <w:tcBorders>
              <w:top w:val="nil"/>
              <w:left w:val="nil"/>
              <w:bottom w:val="single" w:sz="4" w:space="0" w:color="auto"/>
              <w:right w:val="single" w:sz="4" w:space="0" w:color="auto"/>
            </w:tcBorders>
            <w:shd w:val="clear" w:color="auto" w:fill="auto"/>
            <w:noWrap/>
            <w:vAlign w:val="center"/>
            <w:hideMark/>
          </w:tcPr>
          <w:p w14:paraId="53C150C4"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C5"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C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50C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C8"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C9"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0CA"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CB"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3.63</w:t>
            </w:r>
          </w:p>
        </w:tc>
        <w:tc>
          <w:tcPr>
            <w:tcW w:w="378" w:type="dxa"/>
            <w:tcBorders>
              <w:top w:val="nil"/>
              <w:left w:val="nil"/>
              <w:bottom w:val="single" w:sz="4" w:space="0" w:color="auto"/>
              <w:right w:val="single" w:sz="4" w:space="0" w:color="auto"/>
            </w:tcBorders>
            <w:shd w:val="clear" w:color="auto" w:fill="auto"/>
            <w:noWrap/>
            <w:vAlign w:val="center"/>
            <w:hideMark/>
          </w:tcPr>
          <w:p w14:paraId="53C150CC"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1.44</w:t>
            </w:r>
          </w:p>
        </w:tc>
        <w:tc>
          <w:tcPr>
            <w:tcW w:w="378" w:type="dxa"/>
            <w:tcBorders>
              <w:top w:val="nil"/>
              <w:left w:val="nil"/>
              <w:bottom w:val="single" w:sz="4" w:space="0" w:color="auto"/>
              <w:right w:val="single" w:sz="4" w:space="0" w:color="auto"/>
            </w:tcBorders>
            <w:shd w:val="clear" w:color="auto" w:fill="auto"/>
            <w:noWrap/>
            <w:vAlign w:val="center"/>
            <w:hideMark/>
          </w:tcPr>
          <w:p w14:paraId="53C150CD"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C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0CF"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D0"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0D1"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0D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5.63</w:t>
            </w:r>
          </w:p>
        </w:tc>
        <w:tc>
          <w:tcPr>
            <w:tcW w:w="378" w:type="dxa"/>
            <w:tcBorders>
              <w:top w:val="nil"/>
              <w:left w:val="nil"/>
              <w:bottom w:val="single" w:sz="4" w:space="0" w:color="auto"/>
              <w:right w:val="single" w:sz="4" w:space="0" w:color="auto"/>
            </w:tcBorders>
            <w:shd w:val="clear" w:color="auto" w:fill="auto"/>
            <w:noWrap/>
            <w:vAlign w:val="center"/>
            <w:hideMark/>
          </w:tcPr>
          <w:p w14:paraId="53C150D3"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D4"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D5"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D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1.88</w:t>
            </w:r>
          </w:p>
        </w:tc>
        <w:tc>
          <w:tcPr>
            <w:tcW w:w="378" w:type="dxa"/>
            <w:tcBorders>
              <w:top w:val="nil"/>
              <w:left w:val="nil"/>
              <w:bottom w:val="single" w:sz="4" w:space="0" w:color="auto"/>
              <w:right w:val="single" w:sz="4" w:space="0" w:color="auto"/>
            </w:tcBorders>
            <w:shd w:val="clear" w:color="auto" w:fill="auto"/>
            <w:noWrap/>
            <w:vAlign w:val="center"/>
            <w:hideMark/>
          </w:tcPr>
          <w:p w14:paraId="53C150D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D8"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D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DA"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D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DC"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0.69</w:t>
            </w:r>
          </w:p>
        </w:tc>
        <w:tc>
          <w:tcPr>
            <w:tcW w:w="378" w:type="dxa"/>
            <w:tcBorders>
              <w:top w:val="nil"/>
              <w:left w:val="nil"/>
              <w:bottom w:val="single" w:sz="4" w:space="0" w:color="auto"/>
              <w:right w:val="single" w:sz="4" w:space="0" w:color="auto"/>
            </w:tcBorders>
            <w:shd w:val="clear" w:color="auto" w:fill="auto"/>
            <w:noWrap/>
            <w:vAlign w:val="center"/>
            <w:hideMark/>
          </w:tcPr>
          <w:p w14:paraId="53C150DD"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DE"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DF"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1.88</w:t>
            </w:r>
          </w:p>
        </w:tc>
        <w:tc>
          <w:tcPr>
            <w:tcW w:w="378" w:type="dxa"/>
            <w:tcBorders>
              <w:top w:val="nil"/>
              <w:left w:val="nil"/>
              <w:bottom w:val="single" w:sz="4" w:space="0" w:color="auto"/>
              <w:right w:val="single" w:sz="4" w:space="0" w:color="auto"/>
            </w:tcBorders>
            <w:shd w:val="clear" w:color="auto" w:fill="auto"/>
            <w:noWrap/>
            <w:vAlign w:val="center"/>
            <w:hideMark/>
          </w:tcPr>
          <w:p w14:paraId="53C150E0"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r>
      <w:tr w:rsidR="007904CB" w:rsidRPr="00657AD4" w14:paraId="53C15103"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50E2" w14:textId="77777777" w:rsidR="007904CB" w:rsidRPr="007904CB" w:rsidRDefault="007904CB" w:rsidP="00235072">
            <w:pPr>
              <w:spacing w:after="0"/>
              <w:jc w:val="left"/>
              <w:rPr>
                <w:rFonts w:ascii="Arial Narrow" w:hAnsi="Arial Narrow"/>
                <w:sz w:val="18"/>
                <w:szCs w:val="18"/>
                <w:lang w:eastAsia="en-AU"/>
              </w:rPr>
            </w:pPr>
          </w:p>
        </w:tc>
        <w:tc>
          <w:tcPr>
            <w:tcW w:w="1073" w:type="dxa"/>
            <w:vMerge/>
            <w:tcBorders>
              <w:left w:val="single" w:sz="4" w:space="0" w:color="auto"/>
              <w:bottom w:val="single" w:sz="4" w:space="0" w:color="auto"/>
              <w:right w:val="single" w:sz="4" w:space="0" w:color="auto"/>
            </w:tcBorders>
            <w:shd w:val="clear" w:color="auto" w:fill="auto"/>
            <w:vAlign w:val="center"/>
          </w:tcPr>
          <w:p w14:paraId="53C150E3" w14:textId="77777777" w:rsidR="007904CB" w:rsidRPr="007904CB" w:rsidRDefault="007904CB" w:rsidP="00C60606">
            <w:pPr>
              <w:spacing w:after="0"/>
              <w:jc w:val="center"/>
              <w:rPr>
                <w:rFonts w:ascii="Arial Narrow" w:hAnsi="Arial Narrow"/>
                <w:sz w:val="18"/>
                <w:szCs w:val="18"/>
                <w:lang w:eastAsia="en-AU"/>
              </w:rPr>
            </w:pPr>
          </w:p>
        </w:tc>
        <w:tc>
          <w:tcPr>
            <w:tcW w:w="283" w:type="dxa"/>
            <w:tcBorders>
              <w:top w:val="nil"/>
              <w:left w:val="nil"/>
              <w:bottom w:val="single" w:sz="4" w:space="0" w:color="auto"/>
              <w:right w:val="single" w:sz="4" w:space="0" w:color="auto"/>
            </w:tcBorders>
            <w:shd w:val="clear" w:color="auto" w:fill="auto"/>
            <w:noWrap/>
            <w:vAlign w:val="center"/>
            <w:hideMark/>
          </w:tcPr>
          <w:p w14:paraId="53C150E4"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5</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50E5"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1.19</w:t>
            </w:r>
          </w:p>
        </w:tc>
        <w:tc>
          <w:tcPr>
            <w:tcW w:w="378" w:type="dxa"/>
            <w:tcBorders>
              <w:top w:val="nil"/>
              <w:left w:val="nil"/>
              <w:bottom w:val="single" w:sz="4" w:space="0" w:color="auto"/>
              <w:right w:val="single" w:sz="4" w:space="0" w:color="auto"/>
            </w:tcBorders>
            <w:shd w:val="clear" w:color="auto" w:fill="auto"/>
            <w:noWrap/>
            <w:vAlign w:val="center"/>
            <w:hideMark/>
          </w:tcPr>
          <w:p w14:paraId="53C150E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1.19</w:t>
            </w:r>
          </w:p>
        </w:tc>
        <w:tc>
          <w:tcPr>
            <w:tcW w:w="378" w:type="dxa"/>
            <w:tcBorders>
              <w:top w:val="nil"/>
              <w:left w:val="nil"/>
              <w:bottom w:val="single" w:sz="4" w:space="0" w:color="auto"/>
              <w:right w:val="single" w:sz="4" w:space="0" w:color="auto"/>
            </w:tcBorders>
            <w:shd w:val="clear" w:color="auto" w:fill="auto"/>
            <w:noWrap/>
            <w:vAlign w:val="center"/>
            <w:hideMark/>
          </w:tcPr>
          <w:p w14:paraId="53C150E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E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50E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EA"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EB"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0.81</w:t>
            </w:r>
          </w:p>
        </w:tc>
        <w:tc>
          <w:tcPr>
            <w:tcW w:w="378" w:type="dxa"/>
            <w:tcBorders>
              <w:top w:val="nil"/>
              <w:left w:val="nil"/>
              <w:bottom w:val="single" w:sz="4" w:space="0" w:color="auto"/>
              <w:right w:val="single" w:sz="4" w:space="0" w:color="auto"/>
            </w:tcBorders>
            <w:shd w:val="clear" w:color="auto" w:fill="auto"/>
            <w:noWrap/>
            <w:vAlign w:val="center"/>
            <w:hideMark/>
          </w:tcPr>
          <w:p w14:paraId="53C150EC"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0.56</w:t>
            </w:r>
          </w:p>
        </w:tc>
        <w:tc>
          <w:tcPr>
            <w:tcW w:w="378" w:type="dxa"/>
            <w:tcBorders>
              <w:top w:val="nil"/>
              <w:left w:val="nil"/>
              <w:bottom w:val="single" w:sz="4" w:space="0" w:color="auto"/>
              <w:right w:val="single" w:sz="4" w:space="0" w:color="auto"/>
            </w:tcBorders>
            <w:shd w:val="clear" w:color="auto" w:fill="auto"/>
            <w:noWrap/>
            <w:vAlign w:val="center"/>
            <w:hideMark/>
          </w:tcPr>
          <w:p w14:paraId="53C150ED"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E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14.69</w:t>
            </w:r>
          </w:p>
        </w:tc>
        <w:tc>
          <w:tcPr>
            <w:tcW w:w="378" w:type="dxa"/>
            <w:tcBorders>
              <w:top w:val="nil"/>
              <w:left w:val="nil"/>
              <w:bottom w:val="single" w:sz="4" w:space="0" w:color="auto"/>
              <w:right w:val="single" w:sz="4" w:space="0" w:color="auto"/>
            </w:tcBorders>
            <w:shd w:val="clear" w:color="auto" w:fill="auto"/>
            <w:noWrap/>
            <w:vAlign w:val="center"/>
            <w:hideMark/>
          </w:tcPr>
          <w:p w14:paraId="53C150EF"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0F0"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3.69</w:t>
            </w:r>
          </w:p>
        </w:tc>
        <w:tc>
          <w:tcPr>
            <w:tcW w:w="378" w:type="dxa"/>
            <w:tcBorders>
              <w:top w:val="nil"/>
              <w:left w:val="nil"/>
              <w:bottom w:val="single" w:sz="4" w:space="0" w:color="auto"/>
              <w:right w:val="single" w:sz="4" w:space="0" w:color="auto"/>
            </w:tcBorders>
            <w:shd w:val="clear" w:color="auto" w:fill="auto"/>
            <w:noWrap/>
            <w:vAlign w:val="center"/>
            <w:hideMark/>
          </w:tcPr>
          <w:p w14:paraId="53C150F1"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F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2.13</w:t>
            </w:r>
          </w:p>
        </w:tc>
        <w:tc>
          <w:tcPr>
            <w:tcW w:w="378" w:type="dxa"/>
            <w:tcBorders>
              <w:top w:val="nil"/>
              <w:left w:val="nil"/>
              <w:bottom w:val="single" w:sz="4" w:space="0" w:color="auto"/>
              <w:right w:val="single" w:sz="4" w:space="0" w:color="auto"/>
            </w:tcBorders>
            <w:shd w:val="clear" w:color="auto" w:fill="auto"/>
            <w:noWrap/>
            <w:vAlign w:val="center"/>
            <w:hideMark/>
          </w:tcPr>
          <w:p w14:paraId="53C150F3"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0.56</w:t>
            </w:r>
          </w:p>
        </w:tc>
        <w:tc>
          <w:tcPr>
            <w:tcW w:w="378" w:type="dxa"/>
            <w:tcBorders>
              <w:top w:val="nil"/>
              <w:left w:val="nil"/>
              <w:bottom w:val="single" w:sz="4" w:space="0" w:color="auto"/>
              <w:right w:val="single" w:sz="4" w:space="0" w:color="auto"/>
            </w:tcBorders>
            <w:shd w:val="clear" w:color="auto" w:fill="auto"/>
            <w:noWrap/>
            <w:vAlign w:val="center"/>
            <w:hideMark/>
          </w:tcPr>
          <w:p w14:paraId="53C150F4"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0.44</w:t>
            </w:r>
          </w:p>
        </w:tc>
        <w:tc>
          <w:tcPr>
            <w:tcW w:w="378" w:type="dxa"/>
            <w:tcBorders>
              <w:top w:val="nil"/>
              <w:left w:val="nil"/>
              <w:bottom w:val="single" w:sz="4" w:space="0" w:color="auto"/>
              <w:right w:val="single" w:sz="4" w:space="0" w:color="auto"/>
            </w:tcBorders>
            <w:shd w:val="clear" w:color="auto" w:fill="auto"/>
            <w:noWrap/>
            <w:vAlign w:val="center"/>
            <w:hideMark/>
          </w:tcPr>
          <w:p w14:paraId="53C150F5"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1.19</w:t>
            </w:r>
          </w:p>
        </w:tc>
        <w:tc>
          <w:tcPr>
            <w:tcW w:w="378" w:type="dxa"/>
            <w:tcBorders>
              <w:top w:val="nil"/>
              <w:left w:val="nil"/>
              <w:bottom w:val="single" w:sz="4" w:space="0" w:color="auto"/>
              <w:right w:val="single" w:sz="4" w:space="0" w:color="auto"/>
            </w:tcBorders>
            <w:shd w:val="clear" w:color="auto" w:fill="auto"/>
            <w:noWrap/>
            <w:vAlign w:val="center"/>
            <w:hideMark/>
          </w:tcPr>
          <w:p w14:paraId="53C150F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1.88</w:t>
            </w:r>
          </w:p>
        </w:tc>
        <w:tc>
          <w:tcPr>
            <w:tcW w:w="378" w:type="dxa"/>
            <w:tcBorders>
              <w:top w:val="nil"/>
              <w:left w:val="nil"/>
              <w:bottom w:val="single" w:sz="4" w:space="0" w:color="auto"/>
              <w:right w:val="single" w:sz="4" w:space="0" w:color="auto"/>
            </w:tcBorders>
            <w:shd w:val="clear" w:color="auto" w:fill="auto"/>
            <w:noWrap/>
            <w:vAlign w:val="center"/>
            <w:hideMark/>
          </w:tcPr>
          <w:p w14:paraId="53C150F7"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2.75</w:t>
            </w:r>
          </w:p>
        </w:tc>
        <w:tc>
          <w:tcPr>
            <w:tcW w:w="378" w:type="dxa"/>
            <w:tcBorders>
              <w:top w:val="nil"/>
              <w:left w:val="nil"/>
              <w:bottom w:val="single" w:sz="4" w:space="0" w:color="auto"/>
              <w:right w:val="single" w:sz="4" w:space="0" w:color="auto"/>
            </w:tcBorders>
            <w:shd w:val="clear" w:color="auto" w:fill="auto"/>
            <w:noWrap/>
            <w:vAlign w:val="center"/>
            <w:hideMark/>
          </w:tcPr>
          <w:p w14:paraId="53C150F8"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F9"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0.44</w:t>
            </w:r>
          </w:p>
        </w:tc>
        <w:tc>
          <w:tcPr>
            <w:tcW w:w="378" w:type="dxa"/>
            <w:tcBorders>
              <w:top w:val="nil"/>
              <w:left w:val="nil"/>
              <w:bottom w:val="single" w:sz="4" w:space="0" w:color="auto"/>
              <w:right w:val="single" w:sz="4" w:space="0" w:color="auto"/>
            </w:tcBorders>
            <w:shd w:val="clear" w:color="auto" w:fill="auto"/>
            <w:noWrap/>
            <w:vAlign w:val="center"/>
            <w:hideMark/>
          </w:tcPr>
          <w:p w14:paraId="53C150FA"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0.44</w:t>
            </w:r>
          </w:p>
        </w:tc>
        <w:tc>
          <w:tcPr>
            <w:tcW w:w="378" w:type="dxa"/>
            <w:tcBorders>
              <w:top w:val="nil"/>
              <w:left w:val="nil"/>
              <w:bottom w:val="single" w:sz="4" w:space="0" w:color="auto"/>
              <w:right w:val="single" w:sz="4" w:space="0" w:color="auto"/>
            </w:tcBorders>
            <w:shd w:val="clear" w:color="auto" w:fill="auto"/>
            <w:noWrap/>
            <w:vAlign w:val="center"/>
            <w:hideMark/>
          </w:tcPr>
          <w:p w14:paraId="53C150F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FC"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0FD"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0.88</w:t>
            </w:r>
          </w:p>
        </w:tc>
        <w:tc>
          <w:tcPr>
            <w:tcW w:w="378" w:type="dxa"/>
            <w:tcBorders>
              <w:top w:val="nil"/>
              <w:left w:val="nil"/>
              <w:bottom w:val="single" w:sz="4" w:space="0" w:color="auto"/>
              <w:right w:val="single" w:sz="4" w:space="0" w:color="auto"/>
            </w:tcBorders>
            <w:shd w:val="clear" w:color="auto" w:fill="auto"/>
            <w:noWrap/>
            <w:vAlign w:val="center"/>
            <w:hideMark/>
          </w:tcPr>
          <w:p w14:paraId="53C150F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2.31</w:t>
            </w:r>
          </w:p>
        </w:tc>
        <w:tc>
          <w:tcPr>
            <w:tcW w:w="378" w:type="dxa"/>
            <w:tcBorders>
              <w:top w:val="nil"/>
              <w:left w:val="nil"/>
              <w:bottom w:val="single" w:sz="4" w:space="0" w:color="auto"/>
              <w:right w:val="single" w:sz="4" w:space="0" w:color="auto"/>
            </w:tcBorders>
            <w:shd w:val="clear" w:color="auto" w:fill="auto"/>
            <w:noWrap/>
            <w:vAlign w:val="center"/>
            <w:hideMark/>
          </w:tcPr>
          <w:p w14:paraId="53C150FF"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5100"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01"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3.38</w:t>
            </w:r>
          </w:p>
        </w:tc>
        <w:tc>
          <w:tcPr>
            <w:tcW w:w="378" w:type="dxa"/>
            <w:tcBorders>
              <w:top w:val="nil"/>
              <w:left w:val="nil"/>
              <w:bottom w:val="single" w:sz="4" w:space="0" w:color="auto"/>
              <w:right w:val="single" w:sz="4" w:space="0" w:color="auto"/>
            </w:tcBorders>
            <w:shd w:val="clear" w:color="auto" w:fill="auto"/>
            <w:noWrap/>
            <w:vAlign w:val="center"/>
            <w:hideMark/>
          </w:tcPr>
          <w:p w14:paraId="53C1510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1.31</w:t>
            </w:r>
          </w:p>
        </w:tc>
      </w:tr>
      <w:tr w:rsidR="007904CB" w:rsidRPr="00657AD4" w14:paraId="53C15125"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5104" w14:textId="77777777" w:rsidR="007904CB" w:rsidRPr="007904CB" w:rsidRDefault="007904CB" w:rsidP="00235072">
            <w:pPr>
              <w:spacing w:after="0"/>
              <w:jc w:val="left"/>
              <w:rPr>
                <w:rFonts w:ascii="Arial Narrow" w:hAnsi="Arial Narrow"/>
                <w:sz w:val="18"/>
                <w:szCs w:val="18"/>
                <w:lang w:eastAsia="en-AU"/>
              </w:rPr>
            </w:pPr>
          </w:p>
        </w:tc>
        <w:tc>
          <w:tcPr>
            <w:tcW w:w="1073" w:type="dxa"/>
            <w:vMerge w:val="restart"/>
            <w:tcBorders>
              <w:top w:val="nil"/>
              <w:left w:val="nil"/>
              <w:right w:val="single" w:sz="4" w:space="0" w:color="auto"/>
            </w:tcBorders>
            <w:shd w:val="clear" w:color="auto" w:fill="auto"/>
            <w:noWrap/>
            <w:vAlign w:val="center"/>
          </w:tcPr>
          <w:p w14:paraId="53C15105" w14:textId="77777777" w:rsidR="007904CB" w:rsidRPr="007904CB" w:rsidRDefault="007904CB" w:rsidP="00C60606">
            <w:pPr>
              <w:spacing w:after="0"/>
              <w:jc w:val="center"/>
              <w:rPr>
                <w:rFonts w:ascii="Arial Narrow" w:hAnsi="Arial Narrow"/>
                <w:sz w:val="18"/>
                <w:szCs w:val="18"/>
                <w:lang w:eastAsia="en-AU"/>
              </w:rPr>
            </w:pPr>
            <w:r w:rsidRPr="007904CB">
              <w:rPr>
                <w:rFonts w:ascii="Arial Narrow" w:hAnsi="Arial Narrow"/>
                <w:sz w:val="18"/>
                <w:szCs w:val="18"/>
              </w:rPr>
              <w:t>Magnetic</w:t>
            </w:r>
          </w:p>
        </w:tc>
        <w:tc>
          <w:tcPr>
            <w:tcW w:w="283" w:type="dxa"/>
            <w:tcBorders>
              <w:top w:val="nil"/>
              <w:left w:val="nil"/>
              <w:bottom w:val="single" w:sz="4" w:space="0" w:color="auto"/>
              <w:right w:val="single" w:sz="4" w:space="0" w:color="auto"/>
            </w:tcBorders>
            <w:shd w:val="clear" w:color="auto" w:fill="auto"/>
            <w:noWrap/>
            <w:vAlign w:val="center"/>
            <w:hideMark/>
          </w:tcPr>
          <w:p w14:paraId="53C1510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2</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5107"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3.13</w:t>
            </w:r>
          </w:p>
        </w:tc>
        <w:tc>
          <w:tcPr>
            <w:tcW w:w="378" w:type="dxa"/>
            <w:tcBorders>
              <w:top w:val="nil"/>
              <w:left w:val="nil"/>
              <w:bottom w:val="single" w:sz="4" w:space="0" w:color="auto"/>
              <w:right w:val="single" w:sz="4" w:space="0" w:color="auto"/>
            </w:tcBorders>
            <w:shd w:val="clear" w:color="auto" w:fill="auto"/>
            <w:noWrap/>
            <w:vAlign w:val="center"/>
            <w:hideMark/>
          </w:tcPr>
          <w:p w14:paraId="53C15108"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0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0A"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0.81</w:t>
            </w:r>
          </w:p>
        </w:tc>
        <w:tc>
          <w:tcPr>
            <w:tcW w:w="378" w:type="dxa"/>
            <w:tcBorders>
              <w:top w:val="nil"/>
              <w:left w:val="nil"/>
              <w:bottom w:val="single" w:sz="4" w:space="0" w:color="auto"/>
              <w:right w:val="single" w:sz="4" w:space="0" w:color="auto"/>
            </w:tcBorders>
            <w:shd w:val="clear" w:color="auto" w:fill="auto"/>
            <w:noWrap/>
            <w:vAlign w:val="center"/>
            <w:hideMark/>
          </w:tcPr>
          <w:p w14:paraId="53C1510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0C"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0.44</w:t>
            </w:r>
          </w:p>
        </w:tc>
        <w:tc>
          <w:tcPr>
            <w:tcW w:w="378" w:type="dxa"/>
            <w:tcBorders>
              <w:top w:val="nil"/>
              <w:left w:val="nil"/>
              <w:bottom w:val="single" w:sz="4" w:space="0" w:color="auto"/>
              <w:right w:val="single" w:sz="4" w:space="0" w:color="auto"/>
            </w:tcBorders>
            <w:shd w:val="clear" w:color="auto" w:fill="auto"/>
            <w:noWrap/>
            <w:vAlign w:val="center"/>
            <w:hideMark/>
          </w:tcPr>
          <w:p w14:paraId="53C1510D"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10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510F"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10"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0.75</w:t>
            </w:r>
          </w:p>
        </w:tc>
        <w:tc>
          <w:tcPr>
            <w:tcW w:w="378" w:type="dxa"/>
            <w:tcBorders>
              <w:top w:val="nil"/>
              <w:left w:val="nil"/>
              <w:bottom w:val="single" w:sz="4" w:space="0" w:color="auto"/>
              <w:right w:val="single" w:sz="4" w:space="0" w:color="auto"/>
            </w:tcBorders>
            <w:shd w:val="clear" w:color="auto" w:fill="auto"/>
            <w:noWrap/>
            <w:vAlign w:val="center"/>
            <w:hideMark/>
          </w:tcPr>
          <w:p w14:paraId="53C15111"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11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0.56</w:t>
            </w:r>
          </w:p>
        </w:tc>
        <w:tc>
          <w:tcPr>
            <w:tcW w:w="378" w:type="dxa"/>
            <w:tcBorders>
              <w:top w:val="nil"/>
              <w:left w:val="nil"/>
              <w:bottom w:val="single" w:sz="4" w:space="0" w:color="auto"/>
              <w:right w:val="single" w:sz="4" w:space="0" w:color="auto"/>
            </w:tcBorders>
            <w:shd w:val="clear" w:color="auto" w:fill="auto"/>
            <w:noWrap/>
            <w:vAlign w:val="center"/>
            <w:hideMark/>
          </w:tcPr>
          <w:p w14:paraId="53C15113"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14"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15"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11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10.94</w:t>
            </w:r>
          </w:p>
        </w:tc>
        <w:tc>
          <w:tcPr>
            <w:tcW w:w="378" w:type="dxa"/>
            <w:tcBorders>
              <w:top w:val="nil"/>
              <w:left w:val="nil"/>
              <w:bottom w:val="single" w:sz="4" w:space="0" w:color="auto"/>
              <w:right w:val="single" w:sz="4" w:space="0" w:color="auto"/>
            </w:tcBorders>
            <w:shd w:val="clear" w:color="auto" w:fill="auto"/>
            <w:noWrap/>
            <w:vAlign w:val="center"/>
            <w:hideMark/>
          </w:tcPr>
          <w:p w14:paraId="53C1511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18"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19"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0.56</w:t>
            </w:r>
          </w:p>
        </w:tc>
        <w:tc>
          <w:tcPr>
            <w:tcW w:w="378" w:type="dxa"/>
            <w:tcBorders>
              <w:top w:val="nil"/>
              <w:left w:val="nil"/>
              <w:bottom w:val="single" w:sz="4" w:space="0" w:color="auto"/>
              <w:right w:val="single" w:sz="4" w:space="0" w:color="auto"/>
            </w:tcBorders>
            <w:shd w:val="clear" w:color="auto" w:fill="auto"/>
            <w:noWrap/>
            <w:vAlign w:val="center"/>
            <w:hideMark/>
          </w:tcPr>
          <w:p w14:paraId="53C1511A"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0.31</w:t>
            </w:r>
          </w:p>
        </w:tc>
        <w:tc>
          <w:tcPr>
            <w:tcW w:w="378" w:type="dxa"/>
            <w:tcBorders>
              <w:top w:val="nil"/>
              <w:left w:val="nil"/>
              <w:bottom w:val="single" w:sz="4" w:space="0" w:color="auto"/>
              <w:right w:val="single" w:sz="4" w:space="0" w:color="auto"/>
            </w:tcBorders>
            <w:shd w:val="clear" w:color="auto" w:fill="auto"/>
            <w:noWrap/>
            <w:vAlign w:val="center"/>
            <w:hideMark/>
          </w:tcPr>
          <w:p w14:paraId="53C1511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1C"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1D"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0.56</w:t>
            </w:r>
          </w:p>
        </w:tc>
        <w:tc>
          <w:tcPr>
            <w:tcW w:w="378" w:type="dxa"/>
            <w:tcBorders>
              <w:top w:val="nil"/>
              <w:left w:val="nil"/>
              <w:bottom w:val="single" w:sz="4" w:space="0" w:color="auto"/>
              <w:right w:val="single" w:sz="4" w:space="0" w:color="auto"/>
            </w:tcBorders>
            <w:shd w:val="clear" w:color="auto" w:fill="auto"/>
            <w:noWrap/>
            <w:vAlign w:val="center"/>
            <w:hideMark/>
          </w:tcPr>
          <w:p w14:paraId="53C1511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0.44</w:t>
            </w:r>
          </w:p>
        </w:tc>
        <w:tc>
          <w:tcPr>
            <w:tcW w:w="378" w:type="dxa"/>
            <w:tcBorders>
              <w:top w:val="nil"/>
              <w:left w:val="nil"/>
              <w:bottom w:val="single" w:sz="4" w:space="0" w:color="auto"/>
              <w:right w:val="single" w:sz="4" w:space="0" w:color="auto"/>
            </w:tcBorders>
            <w:shd w:val="clear" w:color="auto" w:fill="auto"/>
            <w:noWrap/>
            <w:vAlign w:val="center"/>
            <w:hideMark/>
          </w:tcPr>
          <w:p w14:paraId="53C1511F"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20"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1.44</w:t>
            </w:r>
          </w:p>
        </w:tc>
        <w:tc>
          <w:tcPr>
            <w:tcW w:w="378" w:type="dxa"/>
            <w:tcBorders>
              <w:top w:val="nil"/>
              <w:left w:val="nil"/>
              <w:bottom w:val="single" w:sz="4" w:space="0" w:color="auto"/>
              <w:right w:val="single" w:sz="4" w:space="0" w:color="auto"/>
            </w:tcBorders>
            <w:shd w:val="clear" w:color="auto" w:fill="auto"/>
            <w:noWrap/>
            <w:vAlign w:val="center"/>
            <w:hideMark/>
          </w:tcPr>
          <w:p w14:paraId="53C15121"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122"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23"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1.38</w:t>
            </w:r>
          </w:p>
        </w:tc>
        <w:tc>
          <w:tcPr>
            <w:tcW w:w="378" w:type="dxa"/>
            <w:tcBorders>
              <w:top w:val="nil"/>
              <w:left w:val="nil"/>
              <w:bottom w:val="single" w:sz="4" w:space="0" w:color="auto"/>
              <w:right w:val="single" w:sz="4" w:space="0" w:color="auto"/>
            </w:tcBorders>
            <w:shd w:val="clear" w:color="auto" w:fill="auto"/>
            <w:noWrap/>
            <w:vAlign w:val="center"/>
            <w:hideMark/>
          </w:tcPr>
          <w:p w14:paraId="53C15124"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1.13</w:t>
            </w:r>
          </w:p>
        </w:tc>
      </w:tr>
      <w:tr w:rsidR="007904CB" w:rsidRPr="00657AD4" w14:paraId="53C15147"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5126" w14:textId="77777777" w:rsidR="007904CB" w:rsidRPr="007904CB" w:rsidRDefault="007904CB" w:rsidP="00235072">
            <w:pPr>
              <w:spacing w:after="0"/>
              <w:jc w:val="left"/>
              <w:rPr>
                <w:rFonts w:ascii="Arial Narrow" w:hAnsi="Arial Narrow"/>
                <w:sz w:val="18"/>
                <w:szCs w:val="18"/>
                <w:lang w:eastAsia="en-AU"/>
              </w:rPr>
            </w:pPr>
          </w:p>
        </w:tc>
        <w:tc>
          <w:tcPr>
            <w:tcW w:w="1073" w:type="dxa"/>
            <w:vMerge/>
            <w:tcBorders>
              <w:left w:val="single" w:sz="4" w:space="0" w:color="auto"/>
              <w:bottom w:val="single" w:sz="4" w:space="0" w:color="auto"/>
              <w:right w:val="single" w:sz="4" w:space="0" w:color="auto"/>
            </w:tcBorders>
            <w:shd w:val="clear" w:color="auto" w:fill="auto"/>
            <w:noWrap/>
            <w:vAlign w:val="center"/>
          </w:tcPr>
          <w:p w14:paraId="53C15127" w14:textId="77777777" w:rsidR="007904CB" w:rsidRPr="007904CB" w:rsidRDefault="007904CB" w:rsidP="00C60606">
            <w:pPr>
              <w:spacing w:after="0"/>
              <w:jc w:val="center"/>
              <w:rPr>
                <w:rFonts w:ascii="Arial Narrow" w:hAnsi="Arial Narrow"/>
                <w:sz w:val="18"/>
                <w:szCs w:val="18"/>
                <w:lang w:eastAsia="en-AU"/>
              </w:rPr>
            </w:pPr>
          </w:p>
        </w:tc>
        <w:tc>
          <w:tcPr>
            <w:tcW w:w="283" w:type="dxa"/>
            <w:tcBorders>
              <w:top w:val="nil"/>
              <w:left w:val="nil"/>
              <w:bottom w:val="single" w:sz="4" w:space="0" w:color="auto"/>
              <w:right w:val="single" w:sz="4" w:space="0" w:color="auto"/>
            </w:tcBorders>
            <w:shd w:val="clear" w:color="auto" w:fill="auto"/>
            <w:noWrap/>
            <w:vAlign w:val="center"/>
            <w:hideMark/>
          </w:tcPr>
          <w:p w14:paraId="53C1512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2</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5129"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1.75</w:t>
            </w:r>
          </w:p>
        </w:tc>
        <w:tc>
          <w:tcPr>
            <w:tcW w:w="378" w:type="dxa"/>
            <w:tcBorders>
              <w:top w:val="nil"/>
              <w:left w:val="nil"/>
              <w:bottom w:val="single" w:sz="4" w:space="0" w:color="auto"/>
              <w:right w:val="single" w:sz="4" w:space="0" w:color="auto"/>
            </w:tcBorders>
            <w:shd w:val="clear" w:color="auto" w:fill="auto"/>
            <w:noWrap/>
            <w:vAlign w:val="center"/>
            <w:hideMark/>
          </w:tcPr>
          <w:p w14:paraId="53C1512A"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2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2C"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512D"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2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0.31</w:t>
            </w:r>
          </w:p>
        </w:tc>
        <w:tc>
          <w:tcPr>
            <w:tcW w:w="378" w:type="dxa"/>
            <w:tcBorders>
              <w:top w:val="nil"/>
              <w:left w:val="nil"/>
              <w:bottom w:val="single" w:sz="4" w:space="0" w:color="auto"/>
              <w:right w:val="single" w:sz="4" w:space="0" w:color="auto"/>
            </w:tcBorders>
            <w:shd w:val="clear" w:color="auto" w:fill="auto"/>
            <w:noWrap/>
            <w:vAlign w:val="center"/>
            <w:hideMark/>
          </w:tcPr>
          <w:p w14:paraId="53C1512F"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2.75</w:t>
            </w:r>
          </w:p>
        </w:tc>
        <w:tc>
          <w:tcPr>
            <w:tcW w:w="378" w:type="dxa"/>
            <w:tcBorders>
              <w:top w:val="nil"/>
              <w:left w:val="nil"/>
              <w:bottom w:val="single" w:sz="4" w:space="0" w:color="auto"/>
              <w:right w:val="single" w:sz="4" w:space="0" w:color="auto"/>
            </w:tcBorders>
            <w:shd w:val="clear" w:color="auto" w:fill="auto"/>
            <w:noWrap/>
            <w:vAlign w:val="center"/>
            <w:hideMark/>
          </w:tcPr>
          <w:p w14:paraId="53C15130"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0.63</w:t>
            </w:r>
          </w:p>
        </w:tc>
        <w:tc>
          <w:tcPr>
            <w:tcW w:w="378" w:type="dxa"/>
            <w:tcBorders>
              <w:top w:val="nil"/>
              <w:left w:val="nil"/>
              <w:bottom w:val="single" w:sz="4" w:space="0" w:color="auto"/>
              <w:right w:val="single" w:sz="4" w:space="0" w:color="auto"/>
            </w:tcBorders>
            <w:shd w:val="clear" w:color="auto" w:fill="auto"/>
            <w:noWrap/>
            <w:vAlign w:val="center"/>
            <w:hideMark/>
          </w:tcPr>
          <w:p w14:paraId="53C15131"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0.31</w:t>
            </w:r>
          </w:p>
        </w:tc>
        <w:tc>
          <w:tcPr>
            <w:tcW w:w="378" w:type="dxa"/>
            <w:tcBorders>
              <w:top w:val="nil"/>
              <w:left w:val="nil"/>
              <w:bottom w:val="single" w:sz="4" w:space="0" w:color="auto"/>
              <w:right w:val="single" w:sz="4" w:space="0" w:color="auto"/>
            </w:tcBorders>
            <w:shd w:val="clear" w:color="auto" w:fill="auto"/>
            <w:noWrap/>
            <w:vAlign w:val="center"/>
            <w:hideMark/>
          </w:tcPr>
          <w:p w14:paraId="53C1513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0.81</w:t>
            </w:r>
          </w:p>
        </w:tc>
        <w:tc>
          <w:tcPr>
            <w:tcW w:w="378" w:type="dxa"/>
            <w:tcBorders>
              <w:top w:val="nil"/>
              <w:left w:val="nil"/>
              <w:bottom w:val="single" w:sz="4" w:space="0" w:color="auto"/>
              <w:right w:val="single" w:sz="4" w:space="0" w:color="auto"/>
            </w:tcBorders>
            <w:shd w:val="clear" w:color="auto" w:fill="auto"/>
            <w:noWrap/>
            <w:vAlign w:val="center"/>
            <w:hideMark/>
          </w:tcPr>
          <w:p w14:paraId="53C15133"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34"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5.13</w:t>
            </w:r>
          </w:p>
        </w:tc>
        <w:tc>
          <w:tcPr>
            <w:tcW w:w="378" w:type="dxa"/>
            <w:tcBorders>
              <w:top w:val="nil"/>
              <w:left w:val="nil"/>
              <w:bottom w:val="single" w:sz="4" w:space="0" w:color="auto"/>
              <w:right w:val="single" w:sz="4" w:space="0" w:color="auto"/>
            </w:tcBorders>
            <w:shd w:val="clear" w:color="auto" w:fill="auto"/>
            <w:noWrap/>
            <w:vAlign w:val="center"/>
            <w:hideMark/>
          </w:tcPr>
          <w:p w14:paraId="53C15135"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3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137"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3.69</w:t>
            </w:r>
          </w:p>
        </w:tc>
        <w:tc>
          <w:tcPr>
            <w:tcW w:w="378" w:type="dxa"/>
            <w:tcBorders>
              <w:top w:val="nil"/>
              <w:left w:val="nil"/>
              <w:bottom w:val="single" w:sz="4" w:space="0" w:color="auto"/>
              <w:right w:val="single" w:sz="4" w:space="0" w:color="auto"/>
            </w:tcBorders>
            <w:shd w:val="clear" w:color="auto" w:fill="auto"/>
            <w:noWrap/>
            <w:vAlign w:val="center"/>
            <w:hideMark/>
          </w:tcPr>
          <w:p w14:paraId="53C1513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3.13</w:t>
            </w:r>
          </w:p>
        </w:tc>
        <w:tc>
          <w:tcPr>
            <w:tcW w:w="378" w:type="dxa"/>
            <w:tcBorders>
              <w:top w:val="nil"/>
              <w:left w:val="nil"/>
              <w:bottom w:val="single" w:sz="4" w:space="0" w:color="auto"/>
              <w:right w:val="single" w:sz="4" w:space="0" w:color="auto"/>
            </w:tcBorders>
            <w:shd w:val="clear" w:color="auto" w:fill="auto"/>
            <w:noWrap/>
            <w:vAlign w:val="center"/>
            <w:hideMark/>
          </w:tcPr>
          <w:p w14:paraId="53C15139"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13A"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0.88</w:t>
            </w:r>
          </w:p>
        </w:tc>
        <w:tc>
          <w:tcPr>
            <w:tcW w:w="378" w:type="dxa"/>
            <w:tcBorders>
              <w:top w:val="nil"/>
              <w:left w:val="nil"/>
              <w:bottom w:val="single" w:sz="4" w:space="0" w:color="auto"/>
              <w:right w:val="single" w:sz="4" w:space="0" w:color="auto"/>
            </w:tcBorders>
            <w:shd w:val="clear" w:color="auto" w:fill="auto"/>
            <w:noWrap/>
            <w:vAlign w:val="center"/>
            <w:hideMark/>
          </w:tcPr>
          <w:p w14:paraId="53C1513B"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3.88</w:t>
            </w:r>
          </w:p>
        </w:tc>
        <w:tc>
          <w:tcPr>
            <w:tcW w:w="378" w:type="dxa"/>
            <w:tcBorders>
              <w:top w:val="nil"/>
              <w:left w:val="nil"/>
              <w:bottom w:val="single" w:sz="4" w:space="0" w:color="auto"/>
              <w:right w:val="single" w:sz="4" w:space="0" w:color="auto"/>
            </w:tcBorders>
            <w:shd w:val="clear" w:color="auto" w:fill="auto"/>
            <w:noWrap/>
            <w:vAlign w:val="center"/>
            <w:hideMark/>
          </w:tcPr>
          <w:p w14:paraId="53C1513C"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3D"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0.75</w:t>
            </w:r>
          </w:p>
        </w:tc>
        <w:tc>
          <w:tcPr>
            <w:tcW w:w="378" w:type="dxa"/>
            <w:tcBorders>
              <w:top w:val="nil"/>
              <w:left w:val="nil"/>
              <w:bottom w:val="single" w:sz="4" w:space="0" w:color="auto"/>
              <w:right w:val="single" w:sz="4" w:space="0" w:color="auto"/>
            </w:tcBorders>
            <w:shd w:val="clear" w:color="auto" w:fill="auto"/>
            <w:noWrap/>
            <w:vAlign w:val="center"/>
            <w:hideMark/>
          </w:tcPr>
          <w:p w14:paraId="53C1513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1.50</w:t>
            </w:r>
          </w:p>
        </w:tc>
        <w:tc>
          <w:tcPr>
            <w:tcW w:w="378" w:type="dxa"/>
            <w:tcBorders>
              <w:top w:val="nil"/>
              <w:left w:val="nil"/>
              <w:bottom w:val="single" w:sz="4" w:space="0" w:color="auto"/>
              <w:right w:val="single" w:sz="4" w:space="0" w:color="auto"/>
            </w:tcBorders>
            <w:shd w:val="clear" w:color="auto" w:fill="auto"/>
            <w:noWrap/>
            <w:vAlign w:val="center"/>
            <w:hideMark/>
          </w:tcPr>
          <w:p w14:paraId="53C1513F"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5140"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0.56</w:t>
            </w:r>
          </w:p>
        </w:tc>
        <w:tc>
          <w:tcPr>
            <w:tcW w:w="378" w:type="dxa"/>
            <w:tcBorders>
              <w:top w:val="nil"/>
              <w:left w:val="nil"/>
              <w:bottom w:val="single" w:sz="4" w:space="0" w:color="auto"/>
              <w:right w:val="single" w:sz="4" w:space="0" w:color="auto"/>
            </w:tcBorders>
            <w:shd w:val="clear" w:color="auto" w:fill="auto"/>
            <w:noWrap/>
            <w:vAlign w:val="center"/>
            <w:hideMark/>
          </w:tcPr>
          <w:p w14:paraId="53C15141"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2.19</w:t>
            </w:r>
          </w:p>
        </w:tc>
        <w:tc>
          <w:tcPr>
            <w:tcW w:w="378" w:type="dxa"/>
            <w:tcBorders>
              <w:top w:val="nil"/>
              <w:left w:val="nil"/>
              <w:bottom w:val="single" w:sz="4" w:space="0" w:color="auto"/>
              <w:right w:val="single" w:sz="4" w:space="0" w:color="auto"/>
            </w:tcBorders>
            <w:shd w:val="clear" w:color="auto" w:fill="auto"/>
            <w:noWrap/>
            <w:vAlign w:val="center"/>
            <w:hideMark/>
          </w:tcPr>
          <w:p w14:paraId="53C1514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2.13</w:t>
            </w:r>
          </w:p>
        </w:tc>
        <w:tc>
          <w:tcPr>
            <w:tcW w:w="378" w:type="dxa"/>
            <w:tcBorders>
              <w:top w:val="nil"/>
              <w:left w:val="nil"/>
              <w:bottom w:val="single" w:sz="4" w:space="0" w:color="auto"/>
              <w:right w:val="single" w:sz="4" w:space="0" w:color="auto"/>
            </w:tcBorders>
            <w:shd w:val="clear" w:color="auto" w:fill="auto"/>
            <w:noWrap/>
            <w:vAlign w:val="center"/>
            <w:hideMark/>
          </w:tcPr>
          <w:p w14:paraId="53C15143"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144"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45"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1.00</w:t>
            </w:r>
          </w:p>
        </w:tc>
        <w:tc>
          <w:tcPr>
            <w:tcW w:w="378" w:type="dxa"/>
            <w:tcBorders>
              <w:top w:val="nil"/>
              <w:left w:val="nil"/>
              <w:bottom w:val="single" w:sz="4" w:space="0" w:color="auto"/>
              <w:right w:val="single" w:sz="4" w:space="0" w:color="auto"/>
            </w:tcBorders>
            <w:shd w:val="clear" w:color="auto" w:fill="auto"/>
            <w:noWrap/>
            <w:vAlign w:val="center"/>
            <w:hideMark/>
          </w:tcPr>
          <w:p w14:paraId="53C1514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3.25</w:t>
            </w:r>
          </w:p>
        </w:tc>
      </w:tr>
      <w:tr w:rsidR="00657AD4" w:rsidRPr="00657AD4" w14:paraId="53C15169"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5148" w14:textId="77777777" w:rsidR="00235072" w:rsidRPr="007904CB" w:rsidRDefault="00235072" w:rsidP="00235072">
            <w:pPr>
              <w:spacing w:after="0"/>
              <w:jc w:val="left"/>
              <w:rPr>
                <w:rFonts w:ascii="Arial Narrow" w:hAnsi="Arial Narrow"/>
                <w:sz w:val="18"/>
                <w:szCs w:val="18"/>
                <w:lang w:eastAsia="en-AU"/>
              </w:rPr>
            </w:pPr>
          </w:p>
        </w:tc>
        <w:tc>
          <w:tcPr>
            <w:tcW w:w="1073" w:type="dxa"/>
            <w:tcBorders>
              <w:top w:val="nil"/>
              <w:left w:val="single" w:sz="4" w:space="0" w:color="auto"/>
              <w:bottom w:val="single" w:sz="4" w:space="0" w:color="auto"/>
              <w:right w:val="single" w:sz="4" w:space="0" w:color="auto"/>
            </w:tcBorders>
            <w:shd w:val="clear" w:color="auto" w:fill="auto"/>
            <w:vAlign w:val="center"/>
          </w:tcPr>
          <w:p w14:paraId="53C15149" w14:textId="77777777" w:rsidR="00235072" w:rsidRPr="007904CB" w:rsidRDefault="00235072" w:rsidP="00C60606">
            <w:pPr>
              <w:spacing w:after="0"/>
              <w:jc w:val="center"/>
              <w:rPr>
                <w:rFonts w:ascii="Arial Narrow" w:hAnsi="Arial Narrow"/>
                <w:sz w:val="18"/>
                <w:szCs w:val="18"/>
                <w:lang w:eastAsia="en-AU"/>
              </w:rPr>
            </w:pPr>
            <w:r w:rsidRPr="007904CB">
              <w:rPr>
                <w:rFonts w:ascii="Arial Narrow" w:hAnsi="Arial Narrow"/>
                <w:sz w:val="18"/>
                <w:szCs w:val="18"/>
              </w:rPr>
              <w:t>Middle Rf LTMP</w:t>
            </w:r>
          </w:p>
        </w:tc>
        <w:tc>
          <w:tcPr>
            <w:tcW w:w="283" w:type="dxa"/>
            <w:tcBorders>
              <w:top w:val="nil"/>
              <w:left w:val="nil"/>
              <w:bottom w:val="single" w:sz="4" w:space="0" w:color="auto"/>
              <w:right w:val="single" w:sz="4" w:space="0" w:color="auto"/>
            </w:tcBorders>
            <w:shd w:val="clear" w:color="auto" w:fill="auto"/>
            <w:noWrap/>
            <w:vAlign w:val="center"/>
            <w:hideMark/>
          </w:tcPr>
          <w:p w14:paraId="53C1514A"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5</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514B"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1.47</w:t>
            </w:r>
          </w:p>
        </w:tc>
        <w:tc>
          <w:tcPr>
            <w:tcW w:w="378" w:type="dxa"/>
            <w:tcBorders>
              <w:top w:val="nil"/>
              <w:left w:val="nil"/>
              <w:bottom w:val="single" w:sz="4" w:space="0" w:color="auto"/>
              <w:right w:val="single" w:sz="4" w:space="0" w:color="auto"/>
            </w:tcBorders>
            <w:shd w:val="clear" w:color="auto" w:fill="auto"/>
            <w:noWrap/>
            <w:vAlign w:val="center"/>
            <w:hideMark/>
          </w:tcPr>
          <w:p w14:paraId="53C1514C" w14:textId="77777777" w:rsidR="00235072" w:rsidRPr="00C60606" w:rsidRDefault="00235072"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4D" w14:textId="77777777" w:rsidR="00235072" w:rsidRPr="00C60606" w:rsidRDefault="00235072"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4E"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0.07</w:t>
            </w:r>
          </w:p>
        </w:tc>
        <w:tc>
          <w:tcPr>
            <w:tcW w:w="378" w:type="dxa"/>
            <w:tcBorders>
              <w:top w:val="nil"/>
              <w:left w:val="nil"/>
              <w:bottom w:val="single" w:sz="4" w:space="0" w:color="auto"/>
              <w:right w:val="single" w:sz="4" w:space="0" w:color="auto"/>
            </w:tcBorders>
            <w:shd w:val="clear" w:color="auto" w:fill="auto"/>
            <w:noWrap/>
            <w:vAlign w:val="center"/>
            <w:hideMark/>
          </w:tcPr>
          <w:p w14:paraId="53C1514F" w14:textId="77777777" w:rsidR="00235072" w:rsidRPr="00C60606" w:rsidRDefault="00235072"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50"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0.07</w:t>
            </w:r>
          </w:p>
        </w:tc>
        <w:tc>
          <w:tcPr>
            <w:tcW w:w="378" w:type="dxa"/>
            <w:tcBorders>
              <w:top w:val="nil"/>
              <w:left w:val="nil"/>
              <w:bottom w:val="single" w:sz="4" w:space="0" w:color="auto"/>
              <w:right w:val="single" w:sz="4" w:space="0" w:color="auto"/>
            </w:tcBorders>
            <w:shd w:val="clear" w:color="auto" w:fill="auto"/>
            <w:noWrap/>
            <w:vAlign w:val="center"/>
            <w:hideMark/>
          </w:tcPr>
          <w:p w14:paraId="53C15151"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0.91</w:t>
            </w:r>
          </w:p>
        </w:tc>
        <w:tc>
          <w:tcPr>
            <w:tcW w:w="378" w:type="dxa"/>
            <w:tcBorders>
              <w:top w:val="nil"/>
              <w:left w:val="nil"/>
              <w:bottom w:val="single" w:sz="4" w:space="0" w:color="auto"/>
              <w:right w:val="single" w:sz="4" w:space="0" w:color="auto"/>
            </w:tcBorders>
            <w:shd w:val="clear" w:color="auto" w:fill="auto"/>
            <w:noWrap/>
            <w:vAlign w:val="center"/>
            <w:hideMark/>
          </w:tcPr>
          <w:p w14:paraId="53C15152"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0.10</w:t>
            </w:r>
          </w:p>
        </w:tc>
        <w:tc>
          <w:tcPr>
            <w:tcW w:w="378" w:type="dxa"/>
            <w:tcBorders>
              <w:top w:val="nil"/>
              <w:left w:val="nil"/>
              <w:bottom w:val="single" w:sz="4" w:space="0" w:color="auto"/>
              <w:right w:val="single" w:sz="4" w:space="0" w:color="auto"/>
            </w:tcBorders>
            <w:shd w:val="clear" w:color="auto" w:fill="auto"/>
            <w:noWrap/>
            <w:vAlign w:val="center"/>
            <w:hideMark/>
          </w:tcPr>
          <w:p w14:paraId="53C15153"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0.03</w:t>
            </w:r>
          </w:p>
        </w:tc>
        <w:tc>
          <w:tcPr>
            <w:tcW w:w="378" w:type="dxa"/>
            <w:tcBorders>
              <w:top w:val="nil"/>
              <w:left w:val="nil"/>
              <w:bottom w:val="single" w:sz="4" w:space="0" w:color="auto"/>
              <w:right w:val="single" w:sz="4" w:space="0" w:color="auto"/>
            </w:tcBorders>
            <w:shd w:val="clear" w:color="auto" w:fill="auto"/>
            <w:noWrap/>
            <w:vAlign w:val="center"/>
            <w:hideMark/>
          </w:tcPr>
          <w:p w14:paraId="53C15154"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155"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0.07</w:t>
            </w:r>
          </w:p>
        </w:tc>
        <w:tc>
          <w:tcPr>
            <w:tcW w:w="378" w:type="dxa"/>
            <w:tcBorders>
              <w:top w:val="nil"/>
              <w:left w:val="nil"/>
              <w:bottom w:val="single" w:sz="4" w:space="0" w:color="auto"/>
              <w:right w:val="single" w:sz="4" w:space="0" w:color="auto"/>
            </w:tcBorders>
            <w:shd w:val="clear" w:color="auto" w:fill="auto"/>
            <w:noWrap/>
            <w:vAlign w:val="center"/>
            <w:hideMark/>
          </w:tcPr>
          <w:p w14:paraId="53C15156"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15.38</w:t>
            </w:r>
          </w:p>
        </w:tc>
        <w:tc>
          <w:tcPr>
            <w:tcW w:w="378" w:type="dxa"/>
            <w:tcBorders>
              <w:top w:val="nil"/>
              <w:left w:val="nil"/>
              <w:bottom w:val="single" w:sz="4" w:space="0" w:color="auto"/>
              <w:right w:val="single" w:sz="4" w:space="0" w:color="auto"/>
            </w:tcBorders>
            <w:shd w:val="clear" w:color="auto" w:fill="auto"/>
            <w:noWrap/>
            <w:vAlign w:val="center"/>
            <w:hideMark/>
          </w:tcPr>
          <w:p w14:paraId="53C15157"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0.23</w:t>
            </w:r>
          </w:p>
        </w:tc>
        <w:tc>
          <w:tcPr>
            <w:tcW w:w="378" w:type="dxa"/>
            <w:tcBorders>
              <w:top w:val="nil"/>
              <w:left w:val="nil"/>
              <w:bottom w:val="single" w:sz="4" w:space="0" w:color="auto"/>
              <w:right w:val="single" w:sz="4" w:space="0" w:color="auto"/>
            </w:tcBorders>
            <w:shd w:val="clear" w:color="auto" w:fill="auto"/>
            <w:noWrap/>
            <w:vAlign w:val="center"/>
            <w:hideMark/>
          </w:tcPr>
          <w:p w14:paraId="53C15158"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0.24</w:t>
            </w:r>
          </w:p>
        </w:tc>
        <w:tc>
          <w:tcPr>
            <w:tcW w:w="378" w:type="dxa"/>
            <w:tcBorders>
              <w:top w:val="nil"/>
              <w:left w:val="nil"/>
              <w:bottom w:val="single" w:sz="4" w:space="0" w:color="auto"/>
              <w:right w:val="single" w:sz="4" w:space="0" w:color="auto"/>
            </w:tcBorders>
            <w:shd w:val="clear" w:color="auto" w:fill="auto"/>
            <w:noWrap/>
            <w:vAlign w:val="center"/>
            <w:hideMark/>
          </w:tcPr>
          <w:p w14:paraId="53C15159"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0.47</w:t>
            </w:r>
          </w:p>
        </w:tc>
        <w:tc>
          <w:tcPr>
            <w:tcW w:w="378" w:type="dxa"/>
            <w:tcBorders>
              <w:top w:val="nil"/>
              <w:left w:val="nil"/>
              <w:bottom w:val="single" w:sz="4" w:space="0" w:color="auto"/>
              <w:right w:val="single" w:sz="4" w:space="0" w:color="auto"/>
            </w:tcBorders>
            <w:shd w:val="clear" w:color="auto" w:fill="auto"/>
            <w:noWrap/>
            <w:vAlign w:val="center"/>
            <w:hideMark/>
          </w:tcPr>
          <w:p w14:paraId="53C1515A"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5.54</w:t>
            </w:r>
          </w:p>
        </w:tc>
        <w:tc>
          <w:tcPr>
            <w:tcW w:w="378" w:type="dxa"/>
            <w:tcBorders>
              <w:top w:val="nil"/>
              <w:left w:val="nil"/>
              <w:bottom w:val="single" w:sz="4" w:space="0" w:color="auto"/>
              <w:right w:val="single" w:sz="4" w:space="0" w:color="auto"/>
            </w:tcBorders>
            <w:shd w:val="clear" w:color="auto" w:fill="auto"/>
            <w:noWrap/>
            <w:vAlign w:val="center"/>
            <w:hideMark/>
          </w:tcPr>
          <w:p w14:paraId="53C1515B"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0.07</w:t>
            </w:r>
          </w:p>
        </w:tc>
        <w:tc>
          <w:tcPr>
            <w:tcW w:w="378" w:type="dxa"/>
            <w:tcBorders>
              <w:top w:val="nil"/>
              <w:left w:val="nil"/>
              <w:bottom w:val="single" w:sz="4" w:space="0" w:color="auto"/>
              <w:right w:val="single" w:sz="4" w:space="0" w:color="auto"/>
            </w:tcBorders>
            <w:shd w:val="clear" w:color="auto" w:fill="auto"/>
            <w:noWrap/>
            <w:vAlign w:val="center"/>
            <w:hideMark/>
          </w:tcPr>
          <w:p w14:paraId="53C1515C"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0.20</w:t>
            </w:r>
          </w:p>
        </w:tc>
        <w:tc>
          <w:tcPr>
            <w:tcW w:w="378" w:type="dxa"/>
            <w:tcBorders>
              <w:top w:val="nil"/>
              <w:left w:val="nil"/>
              <w:bottom w:val="single" w:sz="4" w:space="0" w:color="auto"/>
              <w:right w:val="single" w:sz="4" w:space="0" w:color="auto"/>
            </w:tcBorders>
            <w:shd w:val="clear" w:color="auto" w:fill="auto"/>
            <w:noWrap/>
            <w:vAlign w:val="center"/>
            <w:hideMark/>
          </w:tcPr>
          <w:p w14:paraId="53C1515D"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4.27</w:t>
            </w:r>
          </w:p>
        </w:tc>
        <w:tc>
          <w:tcPr>
            <w:tcW w:w="378" w:type="dxa"/>
            <w:tcBorders>
              <w:top w:val="nil"/>
              <w:left w:val="nil"/>
              <w:bottom w:val="single" w:sz="4" w:space="0" w:color="auto"/>
              <w:right w:val="single" w:sz="4" w:space="0" w:color="auto"/>
            </w:tcBorders>
            <w:shd w:val="clear" w:color="auto" w:fill="auto"/>
            <w:noWrap/>
            <w:vAlign w:val="center"/>
            <w:hideMark/>
          </w:tcPr>
          <w:p w14:paraId="53C1515E"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15F"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0.41</w:t>
            </w:r>
          </w:p>
        </w:tc>
        <w:tc>
          <w:tcPr>
            <w:tcW w:w="378" w:type="dxa"/>
            <w:tcBorders>
              <w:top w:val="nil"/>
              <w:left w:val="nil"/>
              <w:bottom w:val="single" w:sz="4" w:space="0" w:color="auto"/>
              <w:right w:val="single" w:sz="4" w:space="0" w:color="auto"/>
            </w:tcBorders>
            <w:shd w:val="clear" w:color="auto" w:fill="auto"/>
            <w:noWrap/>
            <w:vAlign w:val="center"/>
            <w:hideMark/>
          </w:tcPr>
          <w:p w14:paraId="53C15160"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0.24</w:t>
            </w:r>
          </w:p>
        </w:tc>
        <w:tc>
          <w:tcPr>
            <w:tcW w:w="378" w:type="dxa"/>
            <w:tcBorders>
              <w:top w:val="nil"/>
              <w:left w:val="nil"/>
              <w:bottom w:val="single" w:sz="4" w:space="0" w:color="auto"/>
              <w:right w:val="single" w:sz="4" w:space="0" w:color="auto"/>
            </w:tcBorders>
            <w:shd w:val="clear" w:color="auto" w:fill="auto"/>
            <w:noWrap/>
            <w:vAlign w:val="center"/>
            <w:hideMark/>
          </w:tcPr>
          <w:p w14:paraId="53C15161" w14:textId="77777777" w:rsidR="00235072" w:rsidRPr="00C60606" w:rsidRDefault="00235072"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62"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163"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0.23</w:t>
            </w:r>
          </w:p>
        </w:tc>
        <w:tc>
          <w:tcPr>
            <w:tcW w:w="378" w:type="dxa"/>
            <w:tcBorders>
              <w:top w:val="nil"/>
              <w:left w:val="nil"/>
              <w:bottom w:val="single" w:sz="4" w:space="0" w:color="auto"/>
              <w:right w:val="single" w:sz="4" w:space="0" w:color="auto"/>
            </w:tcBorders>
            <w:shd w:val="clear" w:color="auto" w:fill="auto"/>
            <w:noWrap/>
            <w:vAlign w:val="center"/>
            <w:hideMark/>
          </w:tcPr>
          <w:p w14:paraId="53C15164"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1.31</w:t>
            </w:r>
          </w:p>
        </w:tc>
        <w:tc>
          <w:tcPr>
            <w:tcW w:w="378" w:type="dxa"/>
            <w:tcBorders>
              <w:top w:val="nil"/>
              <w:left w:val="nil"/>
              <w:bottom w:val="single" w:sz="4" w:space="0" w:color="auto"/>
              <w:right w:val="single" w:sz="4" w:space="0" w:color="auto"/>
            </w:tcBorders>
            <w:shd w:val="clear" w:color="auto" w:fill="auto"/>
            <w:noWrap/>
            <w:vAlign w:val="center"/>
            <w:hideMark/>
          </w:tcPr>
          <w:p w14:paraId="53C15165" w14:textId="77777777" w:rsidR="00235072" w:rsidRPr="00C60606" w:rsidRDefault="00235072"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66"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0.03</w:t>
            </w:r>
          </w:p>
        </w:tc>
        <w:tc>
          <w:tcPr>
            <w:tcW w:w="378" w:type="dxa"/>
            <w:tcBorders>
              <w:top w:val="nil"/>
              <w:left w:val="nil"/>
              <w:bottom w:val="single" w:sz="4" w:space="0" w:color="auto"/>
              <w:right w:val="single" w:sz="4" w:space="0" w:color="auto"/>
            </w:tcBorders>
            <w:shd w:val="clear" w:color="auto" w:fill="auto"/>
            <w:noWrap/>
            <w:vAlign w:val="center"/>
            <w:hideMark/>
          </w:tcPr>
          <w:p w14:paraId="53C15167"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0.37</w:t>
            </w:r>
          </w:p>
        </w:tc>
        <w:tc>
          <w:tcPr>
            <w:tcW w:w="378" w:type="dxa"/>
            <w:tcBorders>
              <w:top w:val="nil"/>
              <w:left w:val="nil"/>
              <w:bottom w:val="single" w:sz="4" w:space="0" w:color="auto"/>
              <w:right w:val="single" w:sz="4" w:space="0" w:color="auto"/>
            </w:tcBorders>
            <w:shd w:val="clear" w:color="auto" w:fill="auto"/>
            <w:noWrap/>
            <w:vAlign w:val="center"/>
            <w:hideMark/>
          </w:tcPr>
          <w:p w14:paraId="53C15168"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1.21</w:t>
            </w:r>
          </w:p>
        </w:tc>
      </w:tr>
      <w:tr w:rsidR="00657AD4" w:rsidRPr="00657AD4" w14:paraId="53C1518B" w14:textId="77777777" w:rsidTr="00C60606">
        <w:trPr>
          <w:trHeight w:hRule="exact" w:val="397"/>
        </w:trPr>
        <w:tc>
          <w:tcPr>
            <w:tcW w:w="389" w:type="dxa"/>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14:paraId="53C1516A" w14:textId="77777777" w:rsidR="00235072" w:rsidRPr="007904CB" w:rsidRDefault="005F2B5B" w:rsidP="00235072">
            <w:pPr>
              <w:spacing w:after="0"/>
              <w:jc w:val="center"/>
              <w:rPr>
                <w:rFonts w:ascii="Arial Narrow" w:hAnsi="Arial Narrow"/>
                <w:sz w:val="18"/>
                <w:szCs w:val="18"/>
                <w:lang w:eastAsia="en-AU"/>
              </w:rPr>
            </w:pPr>
            <w:r>
              <w:rPr>
                <w:rFonts w:ascii="Arial Narrow" w:hAnsi="Arial Narrow"/>
                <w:sz w:val="18"/>
                <w:szCs w:val="18"/>
                <w:lang w:eastAsia="en-AU"/>
              </w:rPr>
              <w:t>Mackay-Whitsunday</w:t>
            </w:r>
          </w:p>
        </w:tc>
        <w:tc>
          <w:tcPr>
            <w:tcW w:w="1073" w:type="dxa"/>
            <w:tcBorders>
              <w:top w:val="nil"/>
              <w:left w:val="nil"/>
              <w:bottom w:val="single" w:sz="4" w:space="0" w:color="auto"/>
              <w:right w:val="single" w:sz="4" w:space="0" w:color="auto"/>
            </w:tcBorders>
            <w:shd w:val="clear" w:color="auto" w:fill="auto"/>
            <w:noWrap/>
            <w:vAlign w:val="center"/>
          </w:tcPr>
          <w:p w14:paraId="53C1516B" w14:textId="77777777" w:rsidR="00235072" w:rsidRPr="007904CB" w:rsidRDefault="00235072" w:rsidP="00C60606">
            <w:pPr>
              <w:spacing w:after="0"/>
              <w:jc w:val="center"/>
              <w:rPr>
                <w:rFonts w:ascii="Arial Narrow" w:hAnsi="Arial Narrow"/>
                <w:sz w:val="18"/>
                <w:szCs w:val="18"/>
                <w:lang w:eastAsia="en-AU"/>
              </w:rPr>
            </w:pPr>
            <w:r w:rsidRPr="007904CB">
              <w:rPr>
                <w:rFonts w:ascii="Arial Narrow" w:hAnsi="Arial Narrow"/>
                <w:sz w:val="18"/>
                <w:szCs w:val="18"/>
              </w:rPr>
              <w:t>Hayman</w:t>
            </w:r>
          </w:p>
        </w:tc>
        <w:tc>
          <w:tcPr>
            <w:tcW w:w="283" w:type="dxa"/>
            <w:tcBorders>
              <w:top w:val="nil"/>
              <w:left w:val="nil"/>
              <w:bottom w:val="single" w:sz="4" w:space="0" w:color="auto"/>
              <w:right w:val="single" w:sz="4" w:space="0" w:color="auto"/>
            </w:tcBorders>
            <w:shd w:val="clear" w:color="auto" w:fill="auto"/>
            <w:noWrap/>
            <w:vAlign w:val="center"/>
            <w:hideMark/>
          </w:tcPr>
          <w:p w14:paraId="53C1516C"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5</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516D" w14:textId="77777777" w:rsidR="00235072" w:rsidRPr="00C60606" w:rsidRDefault="00235072"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6E" w14:textId="77777777" w:rsidR="00235072" w:rsidRPr="00C60606" w:rsidRDefault="00235072"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6F" w14:textId="77777777" w:rsidR="00235072" w:rsidRPr="00C60606" w:rsidRDefault="00235072"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70"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0.03</w:t>
            </w:r>
          </w:p>
        </w:tc>
        <w:tc>
          <w:tcPr>
            <w:tcW w:w="378" w:type="dxa"/>
            <w:tcBorders>
              <w:top w:val="nil"/>
              <w:left w:val="nil"/>
              <w:bottom w:val="single" w:sz="4" w:space="0" w:color="auto"/>
              <w:right w:val="single" w:sz="4" w:space="0" w:color="auto"/>
            </w:tcBorders>
            <w:shd w:val="clear" w:color="auto" w:fill="auto"/>
            <w:noWrap/>
            <w:vAlign w:val="center"/>
            <w:hideMark/>
          </w:tcPr>
          <w:p w14:paraId="53C15171"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0.93</w:t>
            </w:r>
          </w:p>
        </w:tc>
        <w:tc>
          <w:tcPr>
            <w:tcW w:w="378" w:type="dxa"/>
            <w:tcBorders>
              <w:top w:val="nil"/>
              <w:left w:val="nil"/>
              <w:bottom w:val="single" w:sz="4" w:space="0" w:color="auto"/>
              <w:right w:val="single" w:sz="4" w:space="0" w:color="auto"/>
            </w:tcBorders>
            <w:shd w:val="clear" w:color="auto" w:fill="auto"/>
            <w:noWrap/>
            <w:vAlign w:val="center"/>
            <w:hideMark/>
          </w:tcPr>
          <w:p w14:paraId="53C15172"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0.24</w:t>
            </w:r>
          </w:p>
        </w:tc>
        <w:tc>
          <w:tcPr>
            <w:tcW w:w="378" w:type="dxa"/>
            <w:tcBorders>
              <w:top w:val="nil"/>
              <w:left w:val="nil"/>
              <w:bottom w:val="single" w:sz="4" w:space="0" w:color="auto"/>
              <w:right w:val="single" w:sz="4" w:space="0" w:color="auto"/>
            </w:tcBorders>
            <w:shd w:val="clear" w:color="auto" w:fill="auto"/>
            <w:noWrap/>
            <w:vAlign w:val="center"/>
            <w:hideMark/>
          </w:tcPr>
          <w:p w14:paraId="53C15173"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0.53</w:t>
            </w:r>
          </w:p>
        </w:tc>
        <w:tc>
          <w:tcPr>
            <w:tcW w:w="378" w:type="dxa"/>
            <w:tcBorders>
              <w:top w:val="nil"/>
              <w:left w:val="nil"/>
              <w:bottom w:val="single" w:sz="4" w:space="0" w:color="auto"/>
              <w:right w:val="single" w:sz="4" w:space="0" w:color="auto"/>
            </w:tcBorders>
            <w:shd w:val="clear" w:color="auto" w:fill="auto"/>
            <w:noWrap/>
            <w:vAlign w:val="center"/>
            <w:hideMark/>
          </w:tcPr>
          <w:p w14:paraId="53C15174"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0.20</w:t>
            </w:r>
          </w:p>
        </w:tc>
        <w:tc>
          <w:tcPr>
            <w:tcW w:w="378" w:type="dxa"/>
            <w:tcBorders>
              <w:top w:val="nil"/>
              <w:left w:val="nil"/>
              <w:bottom w:val="single" w:sz="4" w:space="0" w:color="auto"/>
              <w:right w:val="single" w:sz="4" w:space="0" w:color="auto"/>
            </w:tcBorders>
            <w:shd w:val="clear" w:color="auto" w:fill="auto"/>
            <w:noWrap/>
            <w:vAlign w:val="center"/>
            <w:hideMark/>
          </w:tcPr>
          <w:p w14:paraId="53C15175"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176" w14:textId="77777777" w:rsidR="00235072" w:rsidRPr="00C60606" w:rsidRDefault="00235072"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77"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0.23</w:t>
            </w:r>
          </w:p>
        </w:tc>
        <w:tc>
          <w:tcPr>
            <w:tcW w:w="378" w:type="dxa"/>
            <w:tcBorders>
              <w:top w:val="nil"/>
              <w:left w:val="nil"/>
              <w:bottom w:val="single" w:sz="4" w:space="0" w:color="auto"/>
              <w:right w:val="single" w:sz="4" w:space="0" w:color="auto"/>
            </w:tcBorders>
            <w:shd w:val="clear" w:color="auto" w:fill="auto"/>
            <w:noWrap/>
            <w:vAlign w:val="center"/>
            <w:hideMark/>
          </w:tcPr>
          <w:p w14:paraId="53C15178"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0.30</w:t>
            </w:r>
          </w:p>
        </w:tc>
        <w:tc>
          <w:tcPr>
            <w:tcW w:w="378" w:type="dxa"/>
            <w:tcBorders>
              <w:top w:val="nil"/>
              <w:left w:val="nil"/>
              <w:bottom w:val="single" w:sz="4" w:space="0" w:color="auto"/>
              <w:right w:val="single" w:sz="4" w:space="0" w:color="auto"/>
            </w:tcBorders>
            <w:shd w:val="clear" w:color="auto" w:fill="auto"/>
            <w:noWrap/>
            <w:vAlign w:val="center"/>
            <w:hideMark/>
          </w:tcPr>
          <w:p w14:paraId="53C15179" w14:textId="77777777" w:rsidR="00235072" w:rsidRPr="00C60606" w:rsidRDefault="00235072"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7A"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0.17</w:t>
            </w:r>
          </w:p>
        </w:tc>
        <w:tc>
          <w:tcPr>
            <w:tcW w:w="378" w:type="dxa"/>
            <w:tcBorders>
              <w:top w:val="nil"/>
              <w:left w:val="nil"/>
              <w:bottom w:val="single" w:sz="4" w:space="0" w:color="auto"/>
              <w:right w:val="single" w:sz="4" w:space="0" w:color="auto"/>
            </w:tcBorders>
            <w:shd w:val="clear" w:color="auto" w:fill="auto"/>
            <w:noWrap/>
            <w:vAlign w:val="center"/>
            <w:hideMark/>
          </w:tcPr>
          <w:p w14:paraId="53C1517B" w14:textId="77777777" w:rsidR="00235072" w:rsidRPr="00C60606" w:rsidRDefault="00235072"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7C"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1.00</w:t>
            </w:r>
          </w:p>
        </w:tc>
        <w:tc>
          <w:tcPr>
            <w:tcW w:w="378" w:type="dxa"/>
            <w:tcBorders>
              <w:top w:val="nil"/>
              <w:left w:val="nil"/>
              <w:bottom w:val="single" w:sz="4" w:space="0" w:color="auto"/>
              <w:right w:val="single" w:sz="4" w:space="0" w:color="auto"/>
            </w:tcBorders>
            <w:shd w:val="clear" w:color="auto" w:fill="auto"/>
            <w:noWrap/>
            <w:vAlign w:val="center"/>
            <w:hideMark/>
          </w:tcPr>
          <w:p w14:paraId="53C1517D" w14:textId="77777777" w:rsidR="00235072" w:rsidRPr="00C60606" w:rsidRDefault="00235072"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7E"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0.03</w:t>
            </w:r>
          </w:p>
        </w:tc>
        <w:tc>
          <w:tcPr>
            <w:tcW w:w="378" w:type="dxa"/>
            <w:tcBorders>
              <w:top w:val="nil"/>
              <w:left w:val="nil"/>
              <w:bottom w:val="single" w:sz="4" w:space="0" w:color="auto"/>
              <w:right w:val="single" w:sz="4" w:space="0" w:color="auto"/>
            </w:tcBorders>
            <w:shd w:val="clear" w:color="auto" w:fill="auto"/>
            <w:noWrap/>
            <w:vAlign w:val="center"/>
            <w:hideMark/>
          </w:tcPr>
          <w:p w14:paraId="53C1517F"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0.66</w:t>
            </w:r>
          </w:p>
        </w:tc>
        <w:tc>
          <w:tcPr>
            <w:tcW w:w="378" w:type="dxa"/>
            <w:tcBorders>
              <w:top w:val="nil"/>
              <w:left w:val="nil"/>
              <w:bottom w:val="single" w:sz="4" w:space="0" w:color="auto"/>
              <w:right w:val="single" w:sz="4" w:space="0" w:color="auto"/>
            </w:tcBorders>
            <w:shd w:val="clear" w:color="auto" w:fill="auto"/>
            <w:noWrap/>
            <w:vAlign w:val="center"/>
            <w:hideMark/>
          </w:tcPr>
          <w:p w14:paraId="53C15180"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0.10</w:t>
            </w:r>
          </w:p>
        </w:tc>
        <w:tc>
          <w:tcPr>
            <w:tcW w:w="378" w:type="dxa"/>
            <w:tcBorders>
              <w:top w:val="nil"/>
              <w:left w:val="nil"/>
              <w:bottom w:val="single" w:sz="4" w:space="0" w:color="auto"/>
              <w:right w:val="single" w:sz="4" w:space="0" w:color="auto"/>
            </w:tcBorders>
            <w:shd w:val="clear" w:color="auto" w:fill="auto"/>
            <w:noWrap/>
            <w:vAlign w:val="center"/>
            <w:hideMark/>
          </w:tcPr>
          <w:p w14:paraId="53C15181" w14:textId="77777777" w:rsidR="00235072" w:rsidRPr="00C60606" w:rsidRDefault="00235072"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82"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0.43</w:t>
            </w:r>
          </w:p>
        </w:tc>
        <w:tc>
          <w:tcPr>
            <w:tcW w:w="378" w:type="dxa"/>
            <w:tcBorders>
              <w:top w:val="nil"/>
              <w:left w:val="nil"/>
              <w:bottom w:val="single" w:sz="4" w:space="0" w:color="auto"/>
              <w:right w:val="single" w:sz="4" w:space="0" w:color="auto"/>
            </w:tcBorders>
            <w:shd w:val="clear" w:color="auto" w:fill="auto"/>
            <w:noWrap/>
            <w:vAlign w:val="center"/>
            <w:hideMark/>
          </w:tcPr>
          <w:p w14:paraId="53C15183" w14:textId="77777777" w:rsidR="00235072" w:rsidRPr="00C60606" w:rsidRDefault="00235072"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84" w14:textId="77777777" w:rsidR="00235072" w:rsidRPr="00C60606" w:rsidRDefault="00235072"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85" w14:textId="77777777" w:rsidR="00235072" w:rsidRPr="00C60606" w:rsidRDefault="00235072"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86"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0.30</w:t>
            </w:r>
          </w:p>
        </w:tc>
        <w:tc>
          <w:tcPr>
            <w:tcW w:w="378" w:type="dxa"/>
            <w:tcBorders>
              <w:top w:val="nil"/>
              <w:left w:val="nil"/>
              <w:bottom w:val="single" w:sz="4" w:space="0" w:color="auto"/>
              <w:right w:val="single" w:sz="4" w:space="0" w:color="auto"/>
            </w:tcBorders>
            <w:shd w:val="clear" w:color="auto" w:fill="auto"/>
            <w:noWrap/>
            <w:vAlign w:val="center"/>
            <w:hideMark/>
          </w:tcPr>
          <w:p w14:paraId="53C15187" w14:textId="77777777" w:rsidR="00235072" w:rsidRPr="00C60606" w:rsidRDefault="00235072"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88" w14:textId="77777777" w:rsidR="00235072" w:rsidRPr="00C60606" w:rsidRDefault="00235072"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89" w14:textId="77777777" w:rsidR="00235072" w:rsidRPr="00C60606" w:rsidRDefault="00235072"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8A"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0.30</w:t>
            </w:r>
          </w:p>
        </w:tc>
      </w:tr>
      <w:tr w:rsidR="00657AD4" w:rsidRPr="00657AD4" w14:paraId="53C151AD"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518C" w14:textId="77777777" w:rsidR="00235072" w:rsidRPr="007904CB" w:rsidRDefault="00235072" w:rsidP="00235072">
            <w:pPr>
              <w:spacing w:after="0"/>
              <w:jc w:val="left"/>
              <w:rPr>
                <w:rFonts w:ascii="Arial Narrow" w:hAnsi="Arial Narrow"/>
                <w:sz w:val="18"/>
                <w:szCs w:val="18"/>
                <w:lang w:eastAsia="en-AU"/>
              </w:rPr>
            </w:pPr>
          </w:p>
        </w:tc>
        <w:tc>
          <w:tcPr>
            <w:tcW w:w="1073" w:type="dxa"/>
            <w:tcBorders>
              <w:top w:val="nil"/>
              <w:left w:val="nil"/>
              <w:bottom w:val="single" w:sz="4" w:space="0" w:color="auto"/>
              <w:right w:val="single" w:sz="4" w:space="0" w:color="auto"/>
            </w:tcBorders>
            <w:shd w:val="clear" w:color="auto" w:fill="auto"/>
            <w:noWrap/>
            <w:vAlign w:val="center"/>
          </w:tcPr>
          <w:p w14:paraId="53C1518D" w14:textId="77777777" w:rsidR="00235072" w:rsidRPr="007904CB" w:rsidRDefault="00235072" w:rsidP="00C60606">
            <w:pPr>
              <w:spacing w:after="0"/>
              <w:jc w:val="center"/>
              <w:rPr>
                <w:rFonts w:ascii="Arial Narrow" w:hAnsi="Arial Narrow"/>
                <w:sz w:val="18"/>
                <w:szCs w:val="18"/>
                <w:lang w:eastAsia="en-AU"/>
              </w:rPr>
            </w:pPr>
            <w:r w:rsidRPr="007904CB">
              <w:rPr>
                <w:rFonts w:ascii="Arial Narrow" w:hAnsi="Arial Narrow"/>
                <w:sz w:val="18"/>
                <w:szCs w:val="18"/>
              </w:rPr>
              <w:t>Langford</w:t>
            </w:r>
          </w:p>
        </w:tc>
        <w:tc>
          <w:tcPr>
            <w:tcW w:w="283" w:type="dxa"/>
            <w:tcBorders>
              <w:top w:val="nil"/>
              <w:left w:val="nil"/>
              <w:bottom w:val="single" w:sz="4" w:space="0" w:color="auto"/>
              <w:right w:val="single" w:sz="4" w:space="0" w:color="auto"/>
            </w:tcBorders>
            <w:shd w:val="clear" w:color="auto" w:fill="auto"/>
            <w:noWrap/>
            <w:vAlign w:val="center"/>
            <w:hideMark/>
          </w:tcPr>
          <w:p w14:paraId="53C1518E"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5</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518F"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0.03</w:t>
            </w:r>
          </w:p>
        </w:tc>
        <w:tc>
          <w:tcPr>
            <w:tcW w:w="378" w:type="dxa"/>
            <w:tcBorders>
              <w:top w:val="nil"/>
              <w:left w:val="nil"/>
              <w:bottom w:val="single" w:sz="4" w:space="0" w:color="auto"/>
              <w:right w:val="single" w:sz="4" w:space="0" w:color="auto"/>
            </w:tcBorders>
            <w:shd w:val="clear" w:color="auto" w:fill="auto"/>
            <w:noWrap/>
            <w:vAlign w:val="center"/>
            <w:hideMark/>
          </w:tcPr>
          <w:p w14:paraId="53C15190" w14:textId="77777777" w:rsidR="00235072" w:rsidRPr="00C60606" w:rsidRDefault="00235072"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91" w14:textId="77777777" w:rsidR="00235072" w:rsidRPr="00C60606" w:rsidRDefault="00235072"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92"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0.07</w:t>
            </w:r>
          </w:p>
        </w:tc>
        <w:tc>
          <w:tcPr>
            <w:tcW w:w="378" w:type="dxa"/>
            <w:tcBorders>
              <w:top w:val="nil"/>
              <w:left w:val="nil"/>
              <w:bottom w:val="single" w:sz="4" w:space="0" w:color="auto"/>
              <w:right w:val="single" w:sz="4" w:space="0" w:color="auto"/>
            </w:tcBorders>
            <w:shd w:val="clear" w:color="auto" w:fill="auto"/>
            <w:noWrap/>
            <w:vAlign w:val="center"/>
            <w:hideMark/>
          </w:tcPr>
          <w:p w14:paraId="53C15193"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0.20</w:t>
            </w:r>
          </w:p>
        </w:tc>
        <w:tc>
          <w:tcPr>
            <w:tcW w:w="378" w:type="dxa"/>
            <w:tcBorders>
              <w:top w:val="nil"/>
              <w:left w:val="nil"/>
              <w:bottom w:val="single" w:sz="4" w:space="0" w:color="auto"/>
              <w:right w:val="single" w:sz="4" w:space="0" w:color="auto"/>
            </w:tcBorders>
            <w:shd w:val="clear" w:color="auto" w:fill="auto"/>
            <w:noWrap/>
            <w:vAlign w:val="center"/>
            <w:hideMark/>
          </w:tcPr>
          <w:p w14:paraId="53C15194"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0.17</w:t>
            </w:r>
          </w:p>
        </w:tc>
        <w:tc>
          <w:tcPr>
            <w:tcW w:w="378" w:type="dxa"/>
            <w:tcBorders>
              <w:top w:val="nil"/>
              <w:left w:val="nil"/>
              <w:bottom w:val="single" w:sz="4" w:space="0" w:color="auto"/>
              <w:right w:val="single" w:sz="4" w:space="0" w:color="auto"/>
            </w:tcBorders>
            <w:shd w:val="clear" w:color="auto" w:fill="auto"/>
            <w:noWrap/>
            <w:vAlign w:val="center"/>
            <w:hideMark/>
          </w:tcPr>
          <w:p w14:paraId="53C15195"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1.09</w:t>
            </w:r>
          </w:p>
        </w:tc>
        <w:tc>
          <w:tcPr>
            <w:tcW w:w="378" w:type="dxa"/>
            <w:tcBorders>
              <w:top w:val="nil"/>
              <w:left w:val="nil"/>
              <w:bottom w:val="single" w:sz="4" w:space="0" w:color="auto"/>
              <w:right w:val="single" w:sz="4" w:space="0" w:color="auto"/>
            </w:tcBorders>
            <w:shd w:val="clear" w:color="auto" w:fill="auto"/>
            <w:noWrap/>
            <w:vAlign w:val="center"/>
            <w:hideMark/>
          </w:tcPr>
          <w:p w14:paraId="53C15196"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0.27</w:t>
            </w:r>
          </w:p>
        </w:tc>
        <w:tc>
          <w:tcPr>
            <w:tcW w:w="378" w:type="dxa"/>
            <w:tcBorders>
              <w:top w:val="nil"/>
              <w:left w:val="nil"/>
              <w:bottom w:val="single" w:sz="4" w:space="0" w:color="auto"/>
              <w:right w:val="single" w:sz="4" w:space="0" w:color="auto"/>
            </w:tcBorders>
            <w:shd w:val="clear" w:color="auto" w:fill="auto"/>
            <w:noWrap/>
            <w:vAlign w:val="center"/>
            <w:hideMark/>
          </w:tcPr>
          <w:p w14:paraId="53C15197"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0.03</w:t>
            </w:r>
          </w:p>
        </w:tc>
        <w:tc>
          <w:tcPr>
            <w:tcW w:w="378" w:type="dxa"/>
            <w:tcBorders>
              <w:top w:val="nil"/>
              <w:left w:val="nil"/>
              <w:bottom w:val="single" w:sz="4" w:space="0" w:color="auto"/>
              <w:right w:val="single" w:sz="4" w:space="0" w:color="auto"/>
            </w:tcBorders>
            <w:shd w:val="clear" w:color="auto" w:fill="auto"/>
            <w:noWrap/>
            <w:vAlign w:val="center"/>
            <w:hideMark/>
          </w:tcPr>
          <w:p w14:paraId="53C15198"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0.03</w:t>
            </w:r>
          </w:p>
        </w:tc>
        <w:tc>
          <w:tcPr>
            <w:tcW w:w="378" w:type="dxa"/>
            <w:tcBorders>
              <w:top w:val="nil"/>
              <w:left w:val="nil"/>
              <w:bottom w:val="single" w:sz="4" w:space="0" w:color="auto"/>
              <w:right w:val="single" w:sz="4" w:space="0" w:color="auto"/>
            </w:tcBorders>
            <w:shd w:val="clear" w:color="auto" w:fill="auto"/>
            <w:noWrap/>
            <w:vAlign w:val="center"/>
            <w:hideMark/>
          </w:tcPr>
          <w:p w14:paraId="53C15199"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0.49</w:t>
            </w:r>
          </w:p>
        </w:tc>
        <w:tc>
          <w:tcPr>
            <w:tcW w:w="378" w:type="dxa"/>
            <w:tcBorders>
              <w:top w:val="nil"/>
              <w:left w:val="nil"/>
              <w:bottom w:val="single" w:sz="4" w:space="0" w:color="auto"/>
              <w:right w:val="single" w:sz="4" w:space="0" w:color="auto"/>
            </w:tcBorders>
            <w:shd w:val="clear" w:color="auto" w:fill="auto"/>
            <w:noWrap/>
            <w:vAlign w:val="center"/>
            <w:hideMark/>
          </w:tcPr>
          <w:p w14:paraId="53C1519A"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3.86</w:t>
            </w:r>
          </w:p>
        </w:tc>
        <w:tc>
          <w:tcPr>
            <w:tcW w:w="378" w:type="dxa"/>
            <w:tcBorders>
              <w:top w:val="nil"/>
              <w:left w:val="nil"/>
              <w:bottom w:val="single" w:sz="4" w:space="0" w:color="auto"/>
              <w:right w:val="single" w:sz="4" w:space="0" w:color="auto"/>
            </w:tcBorders>
            <w:shd w:val="clear" w:color="auto" w:fill="auto"/>
            <w:noWrap/>
            <w:vAlign w:val="center"/>
            <w:hideMark/>
          </w:tcPr>
          <w:p w14:paraId="53C1519B" w14:textId="77777777" w:rsidR="00235072" w:rsidRPr="00C60606" w:rsidRDefault="00235072"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9C"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0.46</w:t>
            </w:r>
          </w:p>
        </w:tc>
        <w:tc>
          <w:tcPr>
            <w:tcW w:w="378" w:type="dxa"/>
            <w:tcBorders>
              <w:top w:val="nil"/>
              <w:left w:val="nil"/>
              <w:bottom w:val="single" w:sz="4" w:space="0" w:color="auto"/>
              <w:right w:val="single" w:sz="4" w:space="0" w:color="auto"/>
            </w:tcBorders>
            <w:shd w:val="clear" w:color="auto" w:fill="auto"/>
            <w:noWrap/>
            <w:vAlign w:val="center"/>
            <w:hideMark/>
          </w:tcPr>
          <w:p w14:paraId="53C1519D" w14:textId="77777777" w:rsidR="00235072" w:rsidRPr="00C60606" w:rsidRDefault="00235072"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9E"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0.59</w:t>
            </w:r>
          </w:p>
        </w:tc>
        <w:tc>
          <w:tcPr>
            <w:tcW w:w="378" w:type="dxa"/>
            <w:tcBorders>
              <w:top w:val="nil"/>
              <w:left w:val="nil"/>
              <w:bottom w:val="single" w:sz="4" w:space="0" w:color="auto"/>
              <w:right w:val="single" w:sz="4" w:space="0" w:color="auto"/>
            </w:tcBorders>
            <w:shd w:val="clear" w:color="auto" w:fill="auto"/>
            <w:noWrap/>
            <w:vAlign w:val="center"/>
            <w:hideMark/>
          </w:tcPr>
          <w:p w14:paraId="53C1519F" w14:textId="77777777" w:rsidR="00235072" w:rsidRPr="00C60606" w:rsidRDefault="00235072"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A0" w14:textId="77777777" w:rsidR="00235072" w:rsidRPr="00C60606" w:rsidRDefault="00235072"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A1"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0.33</w:t>
            </w:r>
          </w:p>
        </w:tc>
        <w:tc>
          <w:tcPr>
            <w:tcW w:w="378" w:type="dxa"/>
            <w:tcBorders>
              <w:top w:val="nil"/>
              <w:left w:val="nil"/>
              <w:bottom w:val="single" w:sz="4" w:space="0" w:color="auto"/>
              <w:right w:val="single" w:sz="4" w:space="0" w:color="auto"/>
            </w:tcBorders>
            <w:shd w:val="clear" w:color="auto" w:fill="auto"/>
            <w:noWrap/>
            <w:vAlign w:val="center"/>
            <w:hideMark/>
          </w:tcPr>
          <w:p w14:paraId="53C151A2"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0.46</w:t>
            </w:r>
          </w:p>
        </w:tc>
        <w:tc>
          <w:tcPr>
            <w:tcW w:w="378" w:type="dxa"/>
            <w:tcBorders>
              <w:top w:val="nil"/>
              <w:left w:val="nil"/>
              <w:bottom w:val="single" w:sz="4" w:space="0" w:color="auto"/>
              <w:right w:val="single" w:sz="4" w:space="0" w:color="auto"/>
            </w:tcBorders>
            <w:shd w:val="clear" w:color="auto" w:fill="auto"/>
            <w:noWrap/>
            <w:vAlign w:val="center"/>
            <w:hideMark/>
          </w:tcPr>
          <w:p w14:paraId="53C151A3" w14:textId="77777777" w:rsidR="00235072" w:rsidRPr="00C60606" w:rsidRDefault="00235072"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A4"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0.03</w:t>
            </w:r>
          </w:p>
        </w:tc>
        <w:tc>
          <w:tcPr>
            <w:tcW w:w="378" w:type="dxa"/>
            <w:tcBorders>
              <w:top w:val="nil"/>
              <w:left w:val="nil"/>
              <w:bottom w:val="single" w:sz="4" w:space="0" w:color="auto"/>
              <w:right w:val="single" w:sz="4" w:space="0" w:color="auto"/>
            </w:tcBorders>
            <w:shd w:val="clear" w:color="auto" w:fill="auto"/>
            <w:noWrap/>
            <w:vAlign w:val="center"/>
            <w:hideMark/>
          </w:tcPr>
          <w:p w14:paraId="53C151A5" w14:textId="77777777" w:rsidR="00235072" w:rsidRPr="00C60606" w:rsidRDefault="00235072"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A6"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0.07</w:t>
            </w:r>
          </w:p>
        </w:tc>
        <w:tc>
          <w:tcPr>
            <w:tcW w:w="378" w:type="dxa"/>
            <w:tcBorders>
              <w:top w:val="nil"/>
              <w:left w:val="nil"/>
              <w:bottom w:val="single" w:sz="4" w:space="0" w:color="auto"/>
              <w:right w:val="single" w:sz="4" w:space="0" w:color="auto"/>
            </w:tcBorders>
            <w:shd w:val="clear" w:color="auto" w:fill="auto"/>
            <w:noWrap/>
            <w:vAlign w:val="center"/>
            <w:hideMark/>
          </w:tcPr>
          <w:p w14:paraId="53C151A7" w14:textId="77777777" w:rsidR="00235072" w:rsidRPr="00C60606" w:rsidRDefault="00235072"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A8"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1.27</w:t>
            </w:r>
          </w:p>
        </w:tc>
        <w:tc>
          <w:tcPr>
            <w:tcW w:w="378" w:type="dxa"/>
            <w:tcBorders>
              <w:top w:val="nil"/>
              <w:left w:val="nil"/>
              <w:bottom w:val="single" w:sz="4" w:space="0" w:color="auto"/>
              <w:right w:val="single" w:sz="4" w:space="0" w:color="auto"/>
            </w:tcBorders>
            <w:shd w:val="clear" w:color="auto" w:fill="auto"/>
            <w:noWrap/>
            <w:vAlign w:val="center"/>
            <w:hideMark/>
          </w:tcPr>
          <w:p w14:paraId="53C151A9" w14:textId="77777777" w:rsidR="00235072" w:rsidRPr="00C60606" w:rsidRDefault="00235072"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AA" w14:textId="77777777" w:rsidR="00235072" w:rsidRPr="00C60606" w:rsidRDefault="00235072"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AB"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0.03</w:t>
            </w:r>
          </w:p>
        </w:tc>
        <w:tc>
          <w:tcPr>
            <w:tcW w:w="378" w:type="dxa"/>
            <w:tcBorders>
              <w:top w:val="nil"/>
              <w:left w:val="nil"/>
              <w:bottom w:val="single" w:sz="4" w:space="0" w:color="auto"/>
              <w:right w:val="single" w:sz="4" w:space="0" w:color="auto"/>
            </w:tcBorders>
            <w:shd w:val="clear" w:color="auto" w:fill="auto"/>
            <w:noWrap/>
            <w:vAlign w:val="center"/>
            <w:hideMark/>
          </w:tcPr>
          <w:p w14:paraId="53C151AC"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1.09</w:t>
            </w:r>
          </w:p>
        </w:tc>
      </w:tr>
      <w:tr w:rsidR="00657AD4" w:rsidRPr="00657AD4" w14:paraId="53C151CF"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51AE" w14:textId="77777777" w:rsidR="00235072" w:rsidRPr="007904CB" w:rsidRDefault="00235072" w:rsidP="00235072">
            <w:pPr>
              <w:spacing w:after="0"/>
              <w:jc w:val="left"/>
              <w:rPr>
                <w:rFonts w:ascii="Arial Narrow" w:hAnsi="Arial Narrow"/>
                <w:sz w:val="18"/>
                <w:szCs w:val="18"/>
                <w:lang w:eastAsia="en-AU"/>
              </w:rPr>
            </w:pPr>
          </w:p>
        </w:tc>
        <w:tc>
          <w:tcPr>
            <w:tcW w:w="1073" w:type="dxa"/>
            <w:tcBorders>
              <w:top w:val="nil"/>
              <w:left w:val="nil"/>
              <w:bottom w:val="single" w:sz="4" w:space="0" w:color="auto"/>
              <w:right w:val="single" w:sz="4" w:space="0" w:color="auto"/>
            </w:tcBorders>
            <w:shd w:val="clear" w:color="auto" w:fill="auto"/>
            <w:noWrap/>
            <w:vAlign w:val="center"/>
          </w:tcPr>
          <w:p w14:paraId="53C151AF" w14:textId="77777777" w:rsidR="00235072" w:rsidRPr="007904CB" w:rsidRDefault="00235072" w:rsidP="00C60606">
            <w:pPr>
              <w:spacing w:after="0"/>
              <w:jc w:val="center"/>
              <w:rPr>
                <w:rFonts w:ascii="Arial Narrow" w:hAnsi="Arial Narrow"/>
                <w:sz w:val="18"/>
                <w:szCs w:val="18"/>
                <w:lang w:eastAsia="en-AU"/>
              </w:rPr>
            </w:pPr>
            <w:r w:rsidRPr="007904CB">
              <w:rPr>
                <w:rFonts w:ascii="Arial Narrow" w:hAnsi="Arial Narrow"/>
                <w:sz w:val="18"/>
                <w:szCs w:val="18"/>
              </w:rPr>
              <w:t>Border</w:t>
            </w:r>
          </w:p>
        </w:tc>
        <w:tc>
          <w:tcPr>
            <w:tcW w:w="283" w:type="dxa"/>
            <w:tcBorders>
              <w:top w:val="nil"/>
              <w:left w:val="nil"/>
              <w:bottom w:val="single" w:sz="4" w:space="0" w:color="auto"/>
              <w:right w:val="single" w:sz="4" w:space="0" w:color="auto"/>
            </w:tcBorders>
            <w:shd w:val="clear" w:color="auto" w:fill="auto"/>
            <w:noWrap/>
            <w:vAlign w:val="center"/>
            <w:hideMark/>
          </w:tcPr>
          <w:p w14:paraId="53C151B0"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5</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51B1"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0.63</w:t>
            </w:r>
          </w:p>
        </w:tc>
        <w:tc>
          <w:tcPr>
            <w:tcW w:w="378" w:type="dxa"/>
            <w:tcBorders>
              <w:top w:val="nil"/>
              <w:left w:val="nil"/>
              <w:bottom w:val="single" w:sz="4" w:space="0" w:color="auto"/>
              <w:right w:val="single" w:sz="4" w:space="0" w:color="auto"/>
            </w:tcBorders>
            <w:shd w:val="clear" w:color="auto" w:fill="auto"/>
            <w:noWrap/>
            <w:vAlign w:val="center"/>
            <w:hideMark/>
          </w:tcPr>
          <w:p w14:paraId="53C151B2"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0.10</w:t>
            </w:r>
          </w:p>
        </w:tc>
        <w:tc>
          <w:tcPr>
            <w:tcW w:w="378" w:type="dxa"/>
            <w:tcBorders>
              <w:top w:val="nil"/>
              <w:left w:val="nil"/>
              <w:bottom w:val="single" w:sz="4" w:space="0" w:color="auto"/>
              <w:right w:val="single" w:sz="4" w:space="0" w:color="auto"/>
            </w:tcBorders>
            <w:shd w:val="clear" w:color="auto" w:fill="auto"/>
            <w:noWrap/>
            <w:vAlign w:val="center"/>
            <w:hideMark/>
          </w:tcPr>
          <w:p w14:paraId="53C151B3"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0.03</w:t>
            </w:r>
          </w:p>
        </w:tc>
        <w:tc>
          <w:tcPr>
            <w:tcW w:w="378" w:type="dxa"/>
            <w:tcBorders>
              <w:top w:val="nil"/>
              <w:left w:val="nil"/>
              <w:bottom w:val="single" w:sz="4" w:space="0" w:color="auto"/>
              <w:right w:val="single" w:sz="4" w:space="0" w:color="auto"/>
            </w:tcBorders>
            <w:shd w:val="clear" w:color="auto" w:fill="auto"/>
            <w:noWrap/>
            <w:vAlign w:val="center"/>
            <w:hideMark/>
          </w:tcPr>
          <w:p w14:paraId="53C151B4"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0.03</w:t>
            </w:r>
          </w:p>
        </w:tc>
        <w:tc>
          <w:tcPr>
            <w:tcW w:w="378" w:type="dxa"/>
            <w:tcBorders>
              <w:top w:val="nil"/>
              <w:left w:val="nil"/>
              <w:bottom w:val="single" w:sz="4" w:space="0" w:color="auto"/>
              <w:right w:val="single" w:sz="4" w:space="0" w:color="auto"/>
            </w:tcBorders>
            <w:shd w:val="clear" w:color="auto" w:fill="auto"/>
            <w:noWrap/>
            <w:vAlign w:val="center"/>
            <w:hideMark/>
          </w:tcPr>
          <w:p w14:paraId="53C151B5"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0.50</w:t>
            </w:r>
          </w:p>
        </w:tc>
        <w:tc>
          <w:tcPr>
            <w:tcW w:w="378" w:type="dxa"/>
            <w:tcBorders>
              <w:top w:val="nil"/>
              <w:left w:val="nil"/>
              <w:bottom w:val="single" w:sz="4" w:space="0" w:color="auto"/>
              <w:right w:val="single" w:sz="4" w:space="0" w:color="auto"/>
            </w:tcBorders>
            <w:shd w:val="clear" w:color="auto" w:fill="auto"/>
            <w:noWrap/>
            <w:vAlign w:val="center"/>
            <w:hideMark/>
          </w:tcPr>
          <w:p w14:paraId="53C151B6"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0.33</w:t>
            </w:r>
          </w:p>
        </w:tc>
        <w:tc>
          <w:tcPr>
            <w:tcW w:w="378" w:type="dxa"/>
            <w:tcBorders>
              <w:top w:val="nil"/>
              <w:left w:val="nil"/>
              <w:bottom w:val="single" w:sz="4" w:space="0" w:color="auto"/>
              <w:right w:val="single" w:sz="4" w:space="0" w:color="auto"/>
            </w:tcBorders>
            <w:shd w:val="clear" w:color="auto" w:fill="auto"/>
            <w:noWrap/>
            <w:vAlign w:val="center"/>
            <w:hideMark/>
          </w:tcPr>
          <w:p w14:paraId="53C151B7"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1.20</w:t>
            </w:r>
          </w:p>
        </w:tc>
        <w:tc>
          <w:tcPr>
            <w:tcW w:w="378" w:type="dxa"/>
            <w:tcBorders>
              <w:top w:val="nil"/>
              <w:left w:val="nil"/>
              <w:bottom w:val="single" w:sz="4" w:space="0" w:color="auto"/>
              <w:right w:val="single" w:sz="4" w:space="0" w:color="auto"/>
            </w:tcBorders>
            <w:shd w:val="clear" w:color="auto" w:fill="auto"/>
            <w:noWrap/>
            <w:vAlign w:val="center"/>
            <w:hideMark/>
          </w:tcPr>
          <w:p w14:paraId="53C151B8"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0.33</w:t>
            </w:r>
          </w:p>
        </w:tc>
        <w:tc>
          <w:tcPr>
            <w:tcW w:w="378" w:type="dxa"/>
            <w:tcBorders>
              <w:top w:val="nil"/>
              <w:left w:val="nil"/>
              <w:bottom w:val="single" w:sz="4" w:space="0" w:color="auto"/>
              <w:right w:val="single" w:sz="4" w:space="0" w:color="auto"/>
            </w:tcBorders>
            <w:shd w:val="clear" w:color="auto" w:fill="auto"/>
            <w:noWrap/>
            <w:vAlign w:val="center"/>
            <w:hideMark/>
          </w:tcPr>
          <w:p w14:paraId="53C151B9"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0.03</w:t>
            </w:r>
          </w:p>
        </w:tc>
        <w:tc>
          <w:tcPr>
            <w:tcW w:w="378" w:type="dxa"/>
            <w:tcBorders>
              <w:top w:val="nil"/>
              <w:left w:val="nil"/>
              <w:bottom w:val="single" w:sz="4" w:space="0" w:color="auto"/>
              <w:right w:val="single" w:sz="4" w:space="0" w:color="auto"/>
            </w:tcBorders>
            <w:shd w:val="clear" w:color="auto" w:fill="auto"/>
            <w:noWrap/>
            <w:vAlign w:val="center"/>
            <w:hideMark/>
          </w:tcPr>
          <w:p w14:paraId="53C151BA" w14:textId="77777777" w:rsidR="00235072" w:rsidRPr="00C60606" w:rsidRDefault="00235072"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BB"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0.33</w:t>
            </w:r>
          </w:p>
        </w:tc>
        <w:tc>
          <w:tcPr>
            <w:tcW w:w="378" w:type="dxa"/>
            <w:tcBorders>
              <w:top w:val="nil"/>
              <w:left w:val="nil"/>
              <w:bottom w:val="single" w:sz="4" w:space="0" w:color="auto"/>
              <w:right w:val="single" w:sz="4" w:space="0" w:color="auto"/>
            </w:tcBorders>
            <w:shd w:val="clear" w:color="auto" w:fill="auto"/>
            <w:noWrap/>
            <w:vAlign w:val="center"/>
            <w:hideMark/>
          </w:tcPr>
          <w:p w14:paraId="53C151BC"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9.35</w:t>
            </w:r>
          </w:p>
        </w:tc>
        <w:tc>
          <w:tcPr>
            <w:tcW w:w="378" w:type="dxa"/>
            <w:tcBorders>
              <w:top w:val="nil"/>
              <w:left w:val="nil"/>
              <w:bottom w:val="single" w:sz="4" w:space="0" w:color="auto"/>
              <w:right w:val="single" w:sz="4" w:space="0" w:color="auto"/>
            </w:tcBorders>
            <w:shd w:val="clear" w:color="auto" w:fill="auto"/>
            <w:noWrap/>
            <w:vAlign w:val="center"/>
            <w:hideMark/>
          </w:tcPr>
          <w:p w14:paraId="53C151BD" w14:textId="77777777" w:rsidR="00235072" w:rsidRPr="00C60606" w:rsidRDefault="00235072"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BE"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0.70</w:t>
            </w:r>
          </w:p>
        </w:tc>
        <w:tc>
          <w:tcPr>
            <w:tcW w:w="378" w:type="dxa"/>
            <w:tcBorders>
              <w:top w:val="nil"/>
              <w:left w:val="nil"/>
              <w:bottom w:val="single" w:sz="4" w:space="0" w:color="auto"/>
              <w:right w:val="single" w:sz="4" w:space="0" w:color="auto"/>
            </w:tcBorders>
            <w:shd w:val="clear" w:color="auto" w:fill="auto"/>
            <w:noWrap/>
            <w:vAlign w:val="center"/>
            <w:hideMark/>
          </w:tcPr>
          <w:p w14:paraId="53C151BF"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0.10</w:t>
            </w:r>
          </w:p>
        </w:tc>
        <w:tc>
          <w:tcPr>
            <w:tcW w:w="378" w:type="dxa"/>
            <w:tcBorders>
              <w:top w:val="nil"/>
              <w:left w:val="nil"/>
              <w:bottom w:val="single" w:sz="4" w:space="0" w:color="auto"/>
              <w:right w:val="single" w:sz="4" w:space="0" w:color="auto"/>
            </w:tcBorders>
            <w:shd w:val="clear" w:color="auto" w:fill="auto"/>
            <w:noWrap/>
            <w:vAlign w:val="center"/>
            <w:hideMark/>
          </w:tcPr>
          <w:p w14:paraId="53C151C0"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0.60</w:t>
            </w:r>
          </w:p>
        </w:tc>
        <w:tc>
          <w:tcPr>
            <w:tcW w:w="378" w:type="dxa"/>
            <w:tcBorders>
              <w:top w:val="nil"/>
              <w:left w:val="nil"/>
              <w:bottom w:val="single" w:sz="4" w:space="0" w:color="auto"/>
              <w:right w:val="single" w:sz="4" w:space="0" w:color="auto"/>
            </w:tcBorders>
            <w:shd w:val="clear" w:color="auto" w:fill="auto"/>
            <w:noWrap/>
            <w:vAlign w:val="center"/>
            <w:hideMark/>
          </w:tcPr>
          <w:p w14:paraId="53C151C1"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0.27</w:t>
            </w:r>
          </w:p>
        </w:tc>
        <w:tc>
          <w:tcPr>
            <w:tcW w:w="378" w:type="dxa"/>
            <w:tcBorders>
              <w:top w:val="nil"/>
              <w:left w:val="nil"/>
              <w:bottom w:val="single" w:sz="4" w:space="0" w:color="auto"/>
              <w:right w:val="single" w:sz="4" w:space="0" w:color="auto"/>
            </w:tcBorders>
            <w:shd w:val="clear" w:color="auto" w:fill="auto"/>
            <w:noWrap/>
            <w:vAlign w:val="center"/>
            <w:hideMark/>
          </w:tcPr>
          <w:p w14:paraId="53C151C2"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0.03</w:t>
            </w:r>
          </w:p>
        </w:tc>
        <w:tc>
          <w:tcPr>
            <w:tcW w:w="378" w:type="dxa"/>
            <w:tcBorders>
              <w:top w:val="nil"/>
              <w:left w:val="nil"/>
              <w:bottom w:val="single" w:sz="4" w:space="0" w:color="auto"/>
              <w:right w:val="single" w:sz="4" w:space="0" w:color="auto"/>
            </w:tcBorders>
            <w:shd w:val="clear" w:color="auto" w:fill="auto"/>
            <w:noWrap/>
            <w:vAlign w:val="center"/>
            <w:hideMark/>
          </w:tcPr>
          <w:p w14:paraId="53C151C3"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0.53</w:t>
            </w:r>
          </w:p>
        </w:tc>
        <w:tc>
          <w:tcPr>
            <w:tcW w:w="378" w:type="dxa"/>
            <w:tcBorders>
              <w:top w:val="nil"/>
              <w:left w:val="nil"/>
              <w:bottom w:val="single" w:sz="4" w:space="0" w:color="auto"/>
              <w:right w:val="single" w:sz="4" w:space="0" w:color="auto"/>
            </w:tcBorders>
            <w:shd w:val="clear" w:color="auto" w:fill="auto"/>
            <w:noWrap/>
            <w:vAlign w:val="center"/>
            <w:hideMark/>
          </w:tcPr>
          <w:p w14:paraId="53C151C4"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0.20</w:t>
            </w:r>
          </w:p>
        </w:tc>
        <w:tc>
          <w:tcPr>
            <w:tcW w:w="378" w:type="dxa"/>
            <w:tcBorders>
              <w:top w:val="nil"/>
              <w:left w:val="nil"/>
              <w:bottom w:val="single" w:sz="4" w:space="0" w:color="auto"/>
              <w:right w:val="single" w:sz="4" w:space="0" w:color="auto"/>
            </w:tcBorders>
            <w:shd w:val="clear" w:color="auto" w:fill="auto"/>
            <w:noWrap/>
            <w:vAlign w:val="center"/>
            <w:hideMark/>
          </w:tcPr>
          <w:p w14:paraId="53C151C5"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0.30</w:t>
            </w:r>
          </w:p>
        </w:tc>
        <w:tc>
          <w:tcPr>
            <w:tcW w:w="378" w:type="dxa"/>
            <w:tcBorders>
              <w:top w:val="nil"/>
              <w:left w:val="nil"/>
              <w:bottom w:val="single" w:sz="4" w:space="0" w:color="auto"/>
              <w:right w:val="single" w:sz="4" w:space="0" w:color="auto"/>
            </w:tcBorders>
            <w:shd w:val="clear" w:color="auto" w:fill="auto"/>
            <w:noWrap/>
            <w:vAlign w:val="center"/>
            <w:hideMark/>
          </w:tcPr>
          <w:p w14:paraId="53C151C6"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0.10</w:t>
            </w:r>
          </w:p>
        </w:tc>
        <w:tc>
          <w:tcPr>
            <w:tcW w:w="378" w:type="dxa"/>
            <w:tcBorders>
              <w:top w:val="nil"/>
              <w:left w:val="nil"/>
              <w:bottom w:val="single" w:sz="4" w:space="0" w:color="auto"/>
              <w:right w:val="single" w:sz="4" w:space="0" w:color="auto"/>
            </w:tcBorders>
            <w:shd w:val="clear" w:color="auto" w:fill="auto"/>
            <w:noWrap/>
            <w:vAlign w:val="center"/>
            <w:hideMark/>
          </w:tcPr>
          <w:p w14:paraId="53C151C7" w14:textId="77777777" w:rsidR="00235072" w:rsidRPr="00C60606" w:rsidRDefault="00235072"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C8"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0.10</w:t>
            </w:r>
          </w:p>
        </w:tc>
        <w:tc>
          <w:tcPr>
            <w:tcW w:w="378" w:type="dxa"/>
            <w:tcBorders>
              <w:top w:val="nil"/>
              <w:left w:val="nil"/>
              <w:bottom w:val="single" w:sz="4" w:space="0" w:color="auto"/>
              <w:right w:val="single" w:sz="4" w:space="0" w:color="auto"/>
            </w:tcBorders>
            <w:shd w:val="clear" w:color="auto" w:fill="auto"/>
            <w:noWrap/>
            <w:vAlign w:val="center"/>
            <w:hideMark/>
          </w:tcPr>
          <w:p w14:paraId="53C151C9"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0.17</w:t>
            </w:r>
          </w:p>
        </w:tc>
        <w:tc>
          <w:tcPr>
            <w:tcW w:w="378" w:type="dxa"/>
            <w:tcBorders>
              <w:top w:val="nil"/>
              <w:left w:val="nil"/>
              <w:bottom w:val="single" w:sz="4" w:space="0" w:color="auto"/>
              <w:right w:val="single" w:sz="4" w:space="0" w:color="auto"/>
            </w:tcBorders>
            <w:shd w:val="clear" w:color="auto" w:fill="auto"/>
            <w:noWrap/>
            <w:vAlign w:val="center"/>
            <w:hideMark/>
          </w:tcPr>
          <w:p w14:paraId="53C151CA"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3.16</w:t>
            </w:r>
          </w:p>
        </w:tc>
        <w:tc>
          <w:tcPr>
            <w:tcW w:w="378" w:type="dxa"/>
            <w:tcBorders>
              <w:top w:val="nil"/>
              <w:left w:val="nil"/>
              <w:bottom w:val="single" w:sz="4" w:space="0" w:color="auto"/>
              <w:right w:val="single" w:sz="4" w:space="0" w:color="auto"/>
            </w:tcBorders>
            <w:shd w:val="clear" w:color="auto" w:fill="auto"/>
            <w:noWrap/>
            <w:vAlign w:val="center"/>
            <w:hideMark/>
          </w:tcPr>
          <w:p w14:paraId="53C151CB" w14:textId="77777777" w:rsidR="00235072" w:rsidRPr="00C60606" w:rsidRDefault="00235072"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CC"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0.10</w:t>
            </w:r>
          </w:p>
        </w:tc>
        <w:tc>
          <w:tcPr>
            <w:tcW w:w="378" w:type="dxa"/>
            <w:tcBorders>
              <w:top w:val="nil"/>
              <w:left w:val="nil"/>
              <w:bottom w:val="single" w:sz="4" w:space="0" w:color="auto"/>
              <w:right w:val="single" w:sz="4" w:space="0" w:color="auto"/>
            </w:tcBorders>
            <w:shd w:val="clear" w:color="auto" w:fill="auto"/>
            <w:noWrap/>
            <w:vAlign w:val="center"/>
            <w:hideMark/>
          </w:tcPr>
          <w:p w14:paraId="53C151CD"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0.03</w:t>
            </w:r>
          </w:p>
        </w:tc>
        <w:tc>
          <w:tcPr>
            <w:tcW w:w="378" w:type="dxa"/>
            <w:tcBorders>
              <w:top w:val="nil"/>
              <w:left w:val="nil"/>
              <w:bottom w:val="single" w:sz="4" w:space="0" w:color="auto"/>
              <w:right w:val="single" w:sz="4" w:space="0" w:color="auto"/>
            </w:tcBorders>
            <w:shd w:val="clear" w:color="auto" w:fill="auto"/>
            <w:noWrap/>
            <w:vAlign w:val="center"/>
            <w:hideMark/>
          </w:tcPr>
          <w:p w14:paraId="53C151CE" w14:textId="77777777" w:rsidR="00235072" w:rsidRPr="00C60606" w:rsidRDefault="00235072" w:rsidP="00235072">
            <w:pPr>
              <w:spacing w:after="0"/>
              <w:jc w:val="center"/>
              <w:rPr>
                <w:rFonts w:ascii="Arial Narrow" w:hAnsi="Arial Narrow"/>
                <w:sz w:val="16"/>
                <w:szCs w:val="16"/>
                <w:lang w:eastAsia="en-AU"/>
              </w:rPr>
            </w:pPr>
            <w:r w:rsidRPr="00C60606">
              <w:rPr>
                <w:rFonts w:ascii="Arial Narrow" w:hAnsi="Arial Narrow"/>
                <w:sz w:val="16"/>
                <w:szCs w:val="16"/>
              </w:rPr>
              <w:t>0.83</w:t>
            </w:r>
          </w:p>
        </w:tc>
      </w:tr>
      <w:tr w:rsidR="007904CB" w:rsidRPr="00657AD4" w14:paraId="53C151F1"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51D0" w14:textId="77777777" w:rsidR="007904CB" w:rsidRPr="007904CB" w:rsidRDefault="007904CB" w:rsidP="00235072">
            <w:pPr>
              <w:spacing w:after="0"/>
              <w:jc w:val="left"/>
              <w:rPr>
                <w:rFonts w:ascii="Arial Narrow" w:hAnsi="Arial Narrow"/>
                <w:sz w:val="18"/>
                <w:szCs w:val="18"/>
                <w:lang w:eastAsia="en-AU"/>
              </w:rPr>
            </w:pPr>
          </w:p>
        </w:tc>
        <w:tc>
          <w:tcPr>
            <w:tcW w:w="1073" w:type="dxa"/>
            <w:vMerge w:val="restart"/>
            <w:tcBorders>
              <w:top w:val="nil"/>
              <w:left w:val="single" w:sz="4" w:space="0" w:color="auto"/>
              <w:right w:val="single" w:sz="4" w:space="0" w:color="auto"/>
            </w:tcBorders>
            <w:shd w:val="clear" w:color="auto" w:fill="auto"/>
            <w:noWrap/>
            <w:vAlign w:val="center"/>
          </w:tcPr>
          <w:p w14:paraId="53C151D1" w14:textId="77777777" w:rsidR="007904CB" w:rsidRPr="007904CB" w:rsidRDefault="007904CB" w:rsidP="00C60606">
            <w:pPr>
              <w:spacing w:after="0"/>
              <w:jc w:val="center"/>
              <w:rPr>
                <w:rFonts w:ascii="Arial Narrow" w:hAnsi="Arial Narrow"/>
                <w:sz w:val="18"/>
                <w:szCs w:val="18"/>
                <w:lang w:eastAsia="en-AU"/>
              </w:rPr>
            </w:pPr>
            <w:r w:rsidRPr="007904CB">
              <w:rPr>
                <w:rFonts w:ascii="Arial Narrow" w:hAnsi="Arial Narrow"/>
                <w:sz w:val="18"/>
                <w:szCs w:val="18"/>
              </w:rPr>
              <w:t>Hook</w:t>
            </w:r>
          </w:p>
        </w:tc>
        <w:tc>
          <w:tcPr>
            <w:tcW w:w="283" w:type="dxa"/>
            <w:tcBorders>
              <w:top w:val="nil"/>
              <w:left w:val="nil"/>
              <w:bottom w:val="single" w:sz="4" w:space="0" w:color="auto"/>
              <w:right w:val="single" w:sz="4" w:space="0" w:color="auto"/>
            </w:tcBorders>
            <w:shd w:val="clear" w:color="auto" w:fill="auto"/>
            <w:noWrap/>
            <w:vAlign w:val="center"/>
            <w:hideMark/>
          </w:tcPr>
          <w:p w14:paraId="53C151D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2</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51D3"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D4"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D5"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D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1D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D8"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D9"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1DA"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1D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DC"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DD"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1D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1DF"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E0"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E1"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E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1.63</w:t>
            </w:r>
          </w:p>
        </w:tc>
        <w:tc>
          <w:tcPr>
            <w:tcW w:w="378" w:type="dxa"/>
            <w:tcBorders>
              <w:top w:val="nil"/>
              <w:left w:val="nil"/>
              <w:bottom w:val="single" w:sz="4" w:space="0" w:color="auto"/>
              <w:right w:val="single" w:sz="4" w:space="0" w:color="auto"/>
            </w:tcBorders>
            <w:shd w:val="clear" w:color="auto" w:fill="auto"/>
            <w:noWrap/>
            <w:vAlign w:val="center"/>
            <w:hideMark/>
          </w:tcPr>
          <w:p w14:paraId="53C151E3"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E4"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E5"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51E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1E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E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1E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EA"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E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EC"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0.50</w:t>
            </w:r>
          </w:p>
        </w:tc>
        <w:tc>
          <w:tcPr>
            <w:tcW w:w="378" w:type="dxa"/>
            <w:tcBorders>
              <w:top w:val="nil"/>
              <w:left w:val="nil"/>
              <w:bottom w:val="single" w:sz="4" w:space="0" w:color="auto"/>
              <w:right w:val="single" w:sz="4" w:space="0" w:color="auto"/>
            </w:tcBorders>
            <w:shd w:val="clear" w:color="auto" w:fill="auto"/>
            <w:noWrap/>
            <w:vAlign w:val="center"/>
            <w:hideMark/>
          </w:tcPr>
          <w:p w14:paraId="53C151ED"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EE"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EF"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51F0"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0.44</w:t>
            </w:r>
          </w:p>
        </w:tc>
      </w:tr>
      <w:tr w:rsidR="007904CB" w:rsidRPr="00657AD4" w14:paraId="53C15213"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51F2" w14:textId="77777777" w:rsidR="007904CB" w:rsidRPr="007904CB" w:rsidRDefault="007904CB" w:rsidP="00235072">
            <w:pPr>
              <w:spacing w:after="0"/>
              <w:jc w:val="left"/>
              <w:rPr>
                <w:rFonts w:ascii="Arial Narrow" w:hAnsi="Arial Narrow"/>
                <w:sz w:val="18"/>
                <w:szCs w:val="18"/>
                <w:lang w:eastAsia="en-AU"/>
              </w:rPr>
            </w:pPr>
          </w:p>
        </w:tc>
        <w:tc>
          <w:tcPr>
            <w:tcW w:w="1073" w:type="dxa"/>
            <w:vMerge/>
            <w:tcBorders>
              <w:left w:val="single" w:sz="4" w:space="0" w:color="auto"/>
              <w:bottom w:val="single" w:sz="4" w:space="0" w:color="auto"/>
              <w:right w:val="single" w:sz="4" w:space="0" w:color="auto"/>
            </w:tcBorders>
            <w:shd w:val="clear" w:color="auto" w:fill="auto"/>
            <w:vAlign w:val="center"/>
          </w:tcPr>
          <w:p w14:paraId="53C151F3" w14:textId="77777777" w:rsidR="007904CB" w:rsidRPr="007904CB" w:rsidRDefault="007904CB" w:rsidP="00C60606">
            <w:pPr>
              <w:spacing w:after="0"/>
              <w:jc w:val="center"/>
              <w:rPr>
                <w:rFonts w:ascii="Arial Narrow" w:hAnsi="Arial Narrow"/>
                <w:sz w:val="18"/>
                <w:szCs w:val="18"/>
                <w:lang w:eastAsia="en-AU"/>
              </w:rPr>
            </w:pPr>
          </w:p>
        </w:tc>
        <w:tc>
          <w:tcPr>
            <w:tcW w:w="283" w:type="dxa"/>
            <w:tcBorders>
              <w:top w:val="nil"/>
              <w:left w:val="nil"/>
              <w:bottom w:val="single" w:sz="4" w:space="0" w:color="auto"/>
              <w:right w:val="single" w:sz="4" w:space="0" w:color="auto"/>
            </w:tcBorders>
            <w:shd w:val="clear" w:color="auto" w:fill="auto"/>
            <w:noWrap/>
            <w:vAlign w:val="center"/>
            <w:hideMark/>
          </w:tcPr>
          <w:p w14:paraId="53C151F4"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5</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51F5"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1F6"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F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F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1F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FA"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1FB"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0.81</w:t>
            </w:r>
          </w:p>
        </w:tc>
        <w:tc>
          <w:tcPr>
            <w:tcW w:w="378" w:type="dxa"/>
            <w:tcBorders>
              <w:top w:val="nil"/>
              <w:left w:val="nil"/>
              <w:bottom w:val="single" w:sz="4" w:space="0" w:color="auto"/>
              <w:right w:val="single" w:sz="4" w:space="0" w:color="auto"/>
            </w:tcBorders>
            <w:shd w:val="clear" w:color="auto" w:fill="auto"/>
            <w:noWrap/>
            <w:vAlign w:val="center"/>
            <w:hideMark/>
          </w:tcPr>
          <w:p w14:paraId="53C151FC"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0.38</w:t>
            </w:r>
          </w:p>
        </w:tc>
        <w:tc>
          <w:tcPr>
            <w:tcW w:w="378" w:type="dxa"/>
            <w:tcBorders>
              <w:top w:val="nil"/>
              <w:left w:val="nil"/>
              <w:bottom w:val="single" w:sz="4" w:space="0" w:color="auto"/>
              <w:right w:val="single" w:sz="4" w:space="0" w:color="auto"/>
            </w:tcBorders>
            <w:shd w:val="clear" w:color="auto" w:fill="auto"/>
            <w:noWrap/>
            <w:vAlign w:val="center"/>
            <w:hideMark/>
          </w:tcPr>
          <w:p w14:paraId="53C151FD"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FE"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1FF"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00"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1.19</w:t>
            </w:r>
          </w:p>
        </w:tc>
        <w:tc>
          <w:tcPr>
            <w:tcW w:w="378" w:type="dxa"/>
            <w:tcBorders>
              <w:top w:val="nil"/>
              <w:left w:val="nil"/>
              <w:bottom w:val="single" w:sz="4" w:space="0" w:color="auto"/>
              <w:right w:val="single" w:sz="4" w:space="0" w:color="auto"/>
            </w:tcBorders>
            <w:shd w:val="clear" w:color="auto" w:fill="auto"/>
            <w:noWrap/>
            <w:vAlign w:val="center"/>
            <w:hideMark/>
          </w:tcPr>
          <w:p w14:paraId="53C15201"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0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203"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204"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2.31</w:t>
            </w:r>
          </w:p>
        </w:tc>
        <w:tc>
          <w:tcPr>
            <w:tcW w:w="378" w:type="dxa"/>
            <w:tcBorders>
              <w:top w:val="nil"/>
              <w:left w:val="nil"/>
              <w:bottom w:val="single" w:sz="4" w:space="0" w:color="auto"/>
              <w:right w:val="single" w:sz="4" w:space="0" w:color="auto"/>
            </w:tcBorders>
            <w:shd w:val="clear" w:color="auto" w:fill="auto"/>
            <w:noWrap/>
            <w:vAlign w:val="center"/>
            <w:hideMark/>
          </w:tcPr>
          <w:p w14:paraId="53C15205"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06"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07"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0.38</w:t>
            </w:r>
          </w:p>
        </w:tc>
        <w:tc>
          <w:tcPr>
            <w:tcW w:w="378" w:type="dxa"/>
            <w:tcBorders>
              <w:top w:val="nil"/>
              <w:left w:val="nil"/>
              <w:bottom w:val="single" w:sz="4" w:space="0" w:color="auto"/>
              <w:right w:val="single" w:sz="4" w:space="0" w:color="auto"/>
            </w:tcBorders>
            <w:shd w:val="clear" w:color="auto" w:fill="auto"/>
            <w:noWrap/>
            <w:vAlign w:val="center"/>
            <w:hideMark/>
          </w:tcPr>
          <w:p w14:paraId="53C1520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20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0A"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520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0C"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0D"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0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11.00</w:t>
            </w:r>
          </w:p>
        </w:tc>
        <w:tc>
          <w:tcPr>
            <w:tcW w:w="378" w:type="dxa"/>
            <w:tcBorders>
              <w:top w:val="nil"/>
              <w:left w:val="nil"/>
              <w:bottom w:val="single" w:sz="4" w:space="0" w:color="auto"/>
              <w:right w:val="single" w:sz="4" w:space="0" w:color="auto"/>
            </w:tcBorders>
            <w:shd w:val="clear" w:color="auto" w:fill="auto"/>
            <w:noWrap/>
            <w:vAlign w:val="center"/>
            <w:hideMark/>
          </w:tcPr>
          <w:p w14:paraId="53C1520F"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210"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11"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521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0.50</w:t>
            </w:r>
          </w:p>
        </w:tc>
      </w:tr>
      <w:tr w:rsidR="007904CB" w:rsidRPr="00657AD4" w14:paraId="53C15235"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5214" w14:textId="77777777" w:rsidR="007904CB" w:rsidRPr="007904CB" w:rsidRDefault="007904CB" w:rsidP="00235072">
            <w:pPr>
              <w:spacing w:after="0"/>
              <w:jc w:val="left"/>
              <w:rPr>
                <w:rFonts w:ascii="Arial Narrow" w:hAnsi="Arial Narrow"/>
                <w:sz w:val="18"/>
                <w:szCs w:val="18"/>
                <w:lang w:eastAsia="en-AU"/>
              </w:rPr>
            </w:pPr>
          </w:p>
        </w:tc>
        <w:tc>
          <w:tcPr>
            <w:tcW w:w="1073" w:type="dxa"/>
            <w:vMerge w:val="restart"/>
            <w:tcBorders>
              <w:top w:val="nil"/>
              <w:left w:val="single" w:sz="4" w:space="0" w:color="auto"/>
              <w:right w:val="single" w:sz="4" w:space="0" w:color="auto"/>
            </w:tcBorders>
            <w:shd w:val="clear" w:color="auto" w:fill="auto"/>
            <w:noWrap/>
            <w:vAlign w:val="center"/>
          </w:tcPr>
          <w:p w14:paraId="53C15215" w14:textId="77777777" w:rsidR="007904CB" w:rsidRPr="007904CB" w:rsidRDefault="007904CB" w:rsidP="00C60606">
            <w:pPr>
              <w:spacing w:after="0"/>
              <w:jc w:val="center"/>
              <w:rPr>
                <w:rFonts w:ascii="Arial Narrow" w:hAnsi="Arial Narrow"/>
                <w:sz w:val="18"/>
                <w:szCs w:val="18"/>
                <w:lang w:eastAsia="en-AU"/>
              </w:rPr>
            </w:pPr>
            <w:r w:rsidRPr="007904CB">
              <w:rPr>
                <w:rFonts w:ascii="Arial Narrow" w:hAnsi="Arial Narrow"/>
                <w:sz w:val="18"/>
                <w:szCs w:val="18"/>
              </w:rPr>
              <w:t>Double Cone</w:t>
            </w:r>
          </w:p>
        </w:tc>
        <w:tc>
          <w:tcPr>
            <w:tcW w:w="283" w:type="dxa"/>
            <w:tcBorders>
              <w:top w:val="nil"/>
              <w:left w:val="nil"/>
              <w:bottom w:val="single" w:sz="4" w:space="0" w:color="auto"/>
              <w:right w:val="single" w:sz="4" w:space="0" w:color="auto"/>
            </w:tcBorders>
            <w:shd w:val="clear" w:color="auto" w:fill="auto"/>
            <w:noWrap/>
            <w:vAlign w:val="center"/>
            <w:hideMark/>
          </w:tcPr>
          <w:p w14:paraId="53C1521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2</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521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18"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1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1A"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1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1C"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0.31</w:t>
            </w:r>
          </w:p>
        </w:tc>
        <w:tc>
          <w:tcPr>
            <w:tcW w:w="378" w:type="dxa"/>
            <w:tcBorders>
              <w:top w:val="nil"/>
              <w:left w:val="nil"/>
              <w:bottom w:val="single" w:sz="4" w:space="0" w:color="auto"/>
              <w:right w:val="single" w:sz="4" w:space="0" w:color="auto"/>
            </w:tcBorders>
            <w:shd w:val="clear" w:color="auto" w:fill="auto"/>
            <w:noWrap/>
            <w:vAlign w:val="center"/>
            <w:hideMark/>
          </w:tcPr>
          <w:p w14:paraId="53C1521D"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21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21F"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20"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21"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2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223"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24"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225"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22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22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28"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2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2A"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2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2C"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22D"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2E"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2F"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30"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0.38</w:t>
            </w:r>
          </w:p>
        </w:tc>
        <w:tc>
          <w:tcPr>
            <w:tcW w:w="378" w:type="dxa"/>
            <w:tcBorders>
              <w:top w:val="nil"/>
              <w:left w:val="nil"/>
              <w:bottom w:val="single" w:sz="4" w:space="0" w:color="auto"/>
              <w:right w:val="single" w:sz="4" w:space="0" w:color="auto"/>
            </w:tcBorders>
            <w:shd w:val="clear" w:color="auto" w:fill="auto"/>
            <w:noWrap/>
            <w:vAlign w:val="center"/>
            <w:hideMark/>
          </w:tcPr>
          <w:p w14:paraId="53C15231"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32"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33"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5234" w14:textId="77777777" w:rsidR="007904CB" w:rsidRPr="00C60606" w:rsidRDefault="007904CB" w:rsidP="00235072">
            <w:pPr>
              <w:spacing w:after="0"/>
              <w:jc w:val="center"/>
              <w:rPr>
                <w:rFonts w:ascii="Arial Narrow" w:hAnsi="Arial Narrow"/>
                <w:sz w:val="16"/>
                <w:szCs w:val="16"/>
                <w:lang w:eastAsia="en-AU"/>
              </w:rPr>
            </w:pPr>
          </w:p>
        </w:tc>
      </w:tr>
      <w:tr w:rsidR="007904CB" w:rsidRPr="00657AD4" w14:paraId="53C15257"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5236" w14:textId="77777777" w:rsidR="007904CB" w:rsidRPr="007904CB" w:rsidRDefault="007904CB" w:rsidP="00235072">
            <w:pPr>
              <w:spacing w:after="0"/>
              <w:jc w:val="left"/>
              <w:rPr>
                <w:rFonts w:ascii="Arial Narrow" w:hAnsi="Arial Narrow"/>
                <w:sz w:val="18"/>
                <w:szCs w:val="18"/>
                <w:lang w:eastAsia="en-AU"/>
              </w:rPr>
            </w:pPr>
          </w:p>
        </w:tc>
        <w:tc>
          <w:tcPr>
            <w:tcW w:w="1073" w:type="dxa"/>
            <w:vMerge/>
            <w:tcBorders>
              <w:left w:val="single" w:sz="4" w:space="0" w:color="auto"/>
              <w:bottom w:val="single" w:sz="4" w:space="0" w:color="auto"/>
              <w:right w:val="single" w:sz="4" w:space="0" w:color="auto"/>
            </w:tcBorders>
            <w:shd w:val="clear" w:color="auto" w:fill="auto"/>
            <w:vAlign w:val="center"/>
          </w:tcPr>
          <w:p w14:paraId="53C15237" w14:textId="77777777" w:rsidR="007904CB" w:rsidRPr="007904CB" w:rsidRDefault="007904CB" w:rsidP="00C60606">
            <w:pPr>
              <w:spacing w:after="0"/>
              <w:jc w:val="center"/>
              <w:rPr>
                <w:rFonts w:ascii="Arial Narrow" w:hAnsi="Arial Narrow"/>
                <w:sz w:val="18"/>
                <w:szCs w:val="18"/>
                <w:lang w:eastAsia="en-AU"/>
              </w:rPr>
            </w:pPr>
          </w:p>
        </w:tc>
        <w:tc>
          <w:tcPr>
            <w:tcW w:w="283" w:type="dxa"/>
            <w:tcBorders>
              <w:top w:val="nil"/>
              <w:left w:val="nil"/>
              <w:bottom w:val="single" w:sz="4" w:space="0" w:color="auto"/>
              <w:right w:val="single" w:sz="4" w:space="0" w:color="auto"/>
            </w:tcBorders>
            <w:shd w:val="clear" w:color="auto" w:fill="auto"/>
            <w:noWrap/>
            <w:vAlign w:val="center"/>
            <w:hideMark/>
          </w:tcPr>
          <w:p w14:paraId="53C1523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5</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5239"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23A"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3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3C"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3D"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3E"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3F"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40"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41"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4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0.88</w:t>
            </w:r>
          </w:p>
        </w:tc>
        <w:tc>
          <w:tcPr>
            <w:tcW w:w="378" w:type="dxa"/>
            <w:tcBorders>
              <w:top w:val="nil"/>
              <w:left w:val="nil"/>
              <w:bottom w:val="single" w:sz="4" w:space="0" w:color="auto"/>
              <w:right w:val="single" w:sz="4" w:space="0" w:color="auto"/>
            </w:tcBorders>
            <w:shd w:val="clear" w:color="auto" w:fill="auto"/>
            <w:noWrap/>
            <w:vAlign w:val="center"/>
            <w:hideMark/>
          </w:tcPr>
          <w:p w14:paraId="53C15243"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0.31</w:t>
            </w:r>
          </w:p>
        </w:tc>
        <w:tc>
          <w:tcPr>
            <w:tcW w:w="378" w:type="dxa"/>
            <w:tcBorders>
              <w:top w:val="nil"/>
              <w:left w:val="nil"/>
              <w:bottom w:val="single" w:sz="4" w:space="0" w:color="auto"/>
              <w:right w:val="single" w:sz="4" w:space="0" w:color="auto"/>
            </w:tcBorders>
            <w:shd w:val="clear" w:color="auto" w:fill="auto"/>
            <w:noWrap/>
            <w:vAlign w:val="center"/>
            <w:hideMark/>
          </w:tcPr>
          <w:p w14:paraId="53C15244"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14.19</w:t>
            </w:r>
          </w:p>
        </w:tc>
        <w:tc>
          <w:tcPr>
            <w:tcW w:w="378" w:type="dxa"/>
            <w:tcBorders>
              <w:top w:val="nil"/>
              <w:left w:val="nil"/>
              <w:bottom w:val="single" w:sz="4" w:space="0" w:color="auto"/>
              <w:right w:val="single" w:sz="4" w:space="0" w:color="auto"/>
            </w:tcBorders>
            <w:shd w:val="clear" w:color="auto" w:fill="auto"/>
            <w:noWrap/>
            <w:vAlign w:val="center"/>
            <w:hideMark/>
          </w:tcPr>
          <w:p w14:paraId="53C15245"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4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0.38</w:t>
            </w:r>
          </w:p>
        </w:tc>
        <w:tc>
          <w:tcPr>
            <w:tcW w:w="378" w:type="dxa"/>
            <w:tcBorders>
              <w:top w:val="nil"/>
              <w:left w:val="nil"/>
              <w:bottom w:val="single" w:sz="4" w:space="0" w:color="auto"/>
              <w:right w:val="single" w:sz="4" w:space="0" w:color="auto"/>
            </w:tcBorders>
            <w:shd w:val="clear" w:color="auto" w:fill="auto"/>
            <w:noWrap/>
            <w:vAlign w:val="center"/>
            <w:hideMark/>
          </w:tcPr>
          <w:p w14:paraId="53C15247"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24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524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4A"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24B"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24C"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4D"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24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24F"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50"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51"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25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1.00</w:t>
            </w:r>
          </w:p>
        </w:tc>
        <w:tc>
          <w:tcPr>
            <w:tcW w:w="378" w:type="dxa"/>
            <w:tcBorders>
              <w:top w:val="nil"/>
              <w:left w:val="nil"/>
              <w:bottom w:val="single" w:sz="4" w:space="0" w:color="auto"/>
              <w:right w:val="single" w:sz="4" w:space="0" w:color="auto"/>
            </w:tcBorders>
            <w:shd w:val="clear" w:color="auto" w:fill="auto"/>
            <w:noWrap/>
            <w:vAlign w:val="center"/>
            <w:hideMark/>
          </w:tcPr>
          <w:p w14:paraId="53C15253"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54"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55"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25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0.38</w:t>
            </w:r>
          </w:p>
        </w:tc>
      </w:tr>
      <w:tr w:rsidR="007904CB" w:rsidRPr="00657AD4" w14:paraId="53C15279"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5258" w14:textId="77777777" w:rsidR="007904CB" w:rsidRPr="007904CB" w:rsidRDefault="007904CB" w:rsidP="00235072">
            <w:pPr>
              <w:spacing w:after="0"/>
              <w:jc w:val="left"/>
              <w:rPr>
                <w:rFonts w:ascii="Arial Narrow" w:hAnsi="Arial Narrow"/>
                <w:sz w:val="18"/>
                <w:szCs w:val="18"/>
                <w:lang w:eastAsia="en-AU"/>
              </w:rPr>
            </w:pPr>
          </w:p>
        </w:tc>
        <w:tc>
          <w:tcPr>
            <w:tcW w:w="1073" w:type="dxa"/>
            <w:vMerge w:val="restart"/>
            <w:tcBorders>
              <w:top w:val="nil"/>
              <w:left w:val="single" w:sz="4" w:space="0" w:color="auto"/>
              <w:right w:val="single" w:sz="4" w:space="0" w:color="auto"/>
            </w:tcBorders>
            <w:shd w:val="clear" w:color="auto" w:fill="auto"/>
            <w:noWrap/>
            <w:vAlign w:val="center"/>
          </w:tcPr>
          <w:p w14:paraId="53C15259" w14:textId="77777777" w:rsidR="007904CB" w:rsidRPr="007904CB" w:rsidRDefault="007904CB" w:rsidP="00C60606">
            <w:pPr>
              <w:spacing w:after="0"/>
              <w:jc w:val="center"/>
              <w:rPr>
                <w:rFonts w:ascii="Arial Narrow" w:hAnsi="Arial Narrow"/>
                <w:sz w:val="18"/>
                <w:szCs w:val="18"/>
                <w:lang w:eastAsia="en-AU"/>
              </w:rPr>
            </w:pPr>
            <w:r w:rsidRPr="007904CB">
              <w:rPr>
                <w:rFonts w:ascii="Arial Narrow" w:hAnsi="Arial Narrow"/>
                <w:sz w:val="18"/>
                <w:szCs w:val="18"/>
              </w:rPr>
              <w:t>Daydream</w:t>
            </w:r>
          </w:p>
        </w:tc>
        <w:tc>
          <w:tcPr>
            <w:tcW w:w="283" w:type="dxa"/>
            <w:tcBorders>
              <w:top w:val="nil"/>
              <w:left w:val="nil"/>
              <w:bottom w:val="single" w:sz="4" w:space="0" w:color="auto"/>
              <w:right w:val="single" w:sz="4" w:space="0" w:color="auto"/>
            </w:tcBorders>
            <w:shd w:val="clear" w:color="auto" w:fill="auto"/>
            <w:noWrap/>
            <w:vAlign w:val="center"/>
            <w:hideMark/>
          </w:tcPr>
          <w:p w14:paraId="53C1525A"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2</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525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5C"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5D"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5E"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5F"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60"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61"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6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263"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64"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65"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66"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6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68"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6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6A"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26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6C"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26D"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6E"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6F"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70"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71"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72"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73"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74"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5275"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76"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7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78" w14:textId="77777777" w:rsidR="007904CB" w:rsidRPr="00C60606" w:rsidRDefault="007904CB" w:rsidP="00235072">
            <w:pPr>
              <w:spacing w:after="0"/>
              <w:jc w:val="center"/>
              <w:rPr>
                <w:rFonts w:ascii="Arial Narrow" w:hAnsi="Arial Narrow"/>
                <w:sz w:val="16"/>
                <w:szCs w:val="16"/>
                <w:lang w:eastAsia="en-AU"/>
              </w:rPr>
            </w:pPr>
          </w:p>
        </w:tc>
      </w:tr>
      <w:tr w:rsidR="007904CB" w:rsidRPr="00657AD4" w14:paraId="53C1529B"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527A" w14:textId="77777777" w:rsidR="007904CB" w:rsidRPr="007904CB" w:rsidRDefault="007904CB" w:rsidP="00235072">
            <w:pPr>
              <w:spacing w:after="0"/>
              <w:jc w:val="left"/>
              <w:rPr>
                <w:rFonts w:ascii="Arial Narrow" w:hAnsi="Arial Narrow"/>
                <w:sz w:val="18"/>
                <w:szCs w:val="18"/>
                <w:lang w:eastAsia="en-AU"/>
              </w:rPr>
            </w:pPr>
          </w:p>
        </w:tc>
        <w:tc>
          <w:tcPr>
            <w:tcW w:w="1073" w:type="dxa"/>
            <w:vMerge/>
            <w:tcBorders>
              <w:left w:val="single" w:sz="4" w:space="0" w:color="auto"/>
              <w:bottom w:val="single" w:sz="4" w:space="0" w:color="auto"/>
              <w:right w:val="single" w:sz="4" w:space="0" w:color="auto"/>
            </w:tcBorders>
            <w:shd w:val="clear" w:color="auto" w:fill="auto"/>
            <w:vAlign w:val="center"/>
          </w:tcPr>
          <w:p w14:paraId="53C1527B" w14:textId="77777777" w:rsidR="007904CB" w:rsidRPr="007904CB" w:rsidRDefault="007904CB" w:rsidP="00C60606">
            <w:pPr>
              <w:spacing w:after="0"/>
              <w:jc w:val="center"/>
              <w:rPr>
                <w:rFonts w:ascii="Arial Narrow" w:hAnsi="Arial Narrow"/>
                <w:sz w:val="18"/>
                <w:szCs w:val="18"/>
                <w:lang w:eastAsia="en-AU"/>
              </w:rPr>
            </w:pPr>
          </w:p>
        </w:tc>
        <w:tc>
          <w:tcPr>
            <w:tcW w:w="283" w:type="dxa"/>
            <w:tcBorders>
              <w:top w:val="nil"/>
              <w:left w:val="nil"/>
              <w:bottom w:val="single" w:sz="4" w:space="0" w:color="auto"/>
              <w:right w:val="single" w:sz="4" w:space="0" w:color="auto"/>
            </w:tcBorders>
            <w:shd w:val="clear" w:color="auto" w:fill="auto"/>
            <w:noWrap/>
            <w:vAlign w:val="center"/>
            <w:hideMark/>
          </w:tcPr>
          <w:p w14:paraId="53C1527C"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5</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527D"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27E"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7F"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80"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81"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8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0.44</w:t>
            </w:r>
          </w:p>
        </w:tc>
        <w:tc>
          <w:tcPr>
            <w:tcW w:w="378" w:type="dxa"/>
            <w:tcBorders>
              <w:top w:val="nil"/>
              <w:left w:val="nil"/>
              <w:bottom w:val="single" w:sz="4" w:space="0" w:color="auto"/>
              <w:right w:val="single" w:sz="4" w:space="0" w:color="auto"/>
            </w:tcBorders>
            <w:shd w:val="clear" w:color="auto" w:fill="auto"/>
            <w:noWrap/>
            <w:vAlign w:val="center"/>
            <w:hideMark/>
          </w:tcPr>
          <w:p w14:paraId="53C15283"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284"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285"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86"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87"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5288"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8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8A"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8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8C"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1.31</w:t>
            </w:r>
          </w:p>
        </w:tc>
        <w:tc>
          <w:tcPr>
            <w:tcW w:w="378" w:type="dxa"/>
            <w:tcBorders>
              <w:top w:val="nil"/>
              <w:left w:val="nil"/>
              <w:bottom w:val="single" w:sz="4" w:space="0" w:color="auto"/>
              <w:right w:val="single" w:sz="4" w:space="0" w:color="auto"/>
            </w:tcBorders>
            <w:shd w:val="clear" w:color="auto" w:fill="auto"/>
            <w:noWrap/>
            <w:vAlign w:val="center"/>
            <w:hideMark/>
          </w:tcPr>
          <w:p w14:paraId="53C1528D"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8E"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8F"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290"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91"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92"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93"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94"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95"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9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0.63</w:t>
            </w:r>
          </w:p>
        </w:tc>
        <w:tc>
          <w:tcPr>
            <w:tcW w:w="378" w:type="dxa"/>
            <w:tcBorders>
              <w:top w:val="nil"/>
              <w:left w:val="nil"/>
              <w:bottom w:val="single" w:sz="4" w:space="0" w:color="auto"/>
              <w:right w:val="single" w:sz="4" w:space="0" w:color="auto"/>
            </w:tcBorders>
            <w:shd w:val="clear" w:color="auto" w:fill="auto"/>
            <w:noWrap/>
            <w:vAlign w:val="center"/>
            <w:hideMark/>
          </w:tcPr>
          <w:p w14:paraId="53C1529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98"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9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9A"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0.38</w:t>
            </w:r>
          </w:p>
        </w:tc>
      </w:tr>
      <w:tr w:rsidR="007904CB" w:rsidRPr="00657AD4" w14:paraId="53C152BD"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529C" w14:textId="77777777" w:rsidR="007904CB" w:rsidRPr="007904CB" w:rsidRDefault="007904CB" w:rsidP="00235072">
            <w:pPr>
              <w:spacing w:after="0"/>
              <w:jc w:val="left"/>
              <w:rPr>
                <w:rFonts w:ascii="Arial Narrow" w:hAnsi="Arial Narrow"/>
                <w:sz w:val="18"/>
                <w:szCs w:val="18"/>
                <w:lang w:eastAsia="en-AU"/>
              </w:rPr>
            </w:pPr>
          </w:p>
        </w:tc>
        <w:tc>
          <w:tcPr>
            <w:tcW w:w="1073" w:type="dxa"/>
            <w:vMerge w:val="restart"/>
            <w:tcBorders>
              <w:top w:val="nil"/>
              <w:left w:val="single" w:sz="4" w:space="0" w:color="auto"/>
              <w:right w:val="single" w:sz="4" w:space="0" w:color="auto"/>
            </w:tcBorders>
            <w:shd w:val="clear" w:color="auto" w:fill="auto"/>
            <w:noWrap/>
            <w:vAlign w:val="center"/>
          </w:tcPr>
          <w:p w14:paraId="53C1529D" w14:textId="77777777" w:rsidR="007904CB" w:rsidRPr="007904CB" w:rsidRDefault="007904CB" w:rsidP="00C60606">
            <w:pPr>
              <w:spacing w:after="0"/>
              <w:jc w:val="center"/>
              <w:rPr>
                <w:rFonts w:ascii="Arial Narrow" w:hAnsi="Arial Narrow"/>
                <w:sz w:val="18"/>
                <w:szCs w:val="18"/>
                <w:lang w:eastAsia="en-AU"/>
              </w:rPr>
            </w:pPr>
            <w:r w:rsidRPr="007904CB">
              <w:rPr>
                <w:rFonts w:ascii="Arial Narrow" w:hAnsi="Arial Narrow"/>
                <w:sz w:val="18"/>
                <w:szCs w:val="18"/>
              </w:rPr>
              <w:t>Dent</w:t>
            </w:r>
          </w:p>
        </w:tc>
        <w:tc>
          <w:tcPr>
            <w:tcW w:w="283" w:type="dxa"/>
            <w:tcBorders>
              <w:top w:val="nil"/>
              <w:left w:val="nil"/>
              <w:bottom w:val="single" w:sz="4" w:space="0" w:color="auto"/>
              <w:right w:val="single" w:sz="4" w:space="0" w:color="auto"/>
            </w:tcBorders>
            <w:shd w:val="clear" w:color="auto" w:fill="auto"/>
            <w:noWrap/>
            <w:vAlign w:val="center"/>
            <w:hideMark/>
          </w:tcPr>
          <w:p w14:paraId="53C1529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2</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529F"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3.75</w:t>
            </w:r>
          </w:p>
        </w:tc>
        <w:tc>
          <w:tcPr>
            <w:tcW w:w="378" w:type="dxa"/>
            <w:tcBorders>
              <w:top w:val="nil"/>
              <w:left w:val="nil"/>
              <w:bottom w:val="single" w:sz="4" w:space="0" w:color="auto"/>
              <w:right w:val="single" w:sz="4" w:space="0" w:color="auto"/>
            </w:tcBorders>
            <w:shd w:val="clear" w:color="auto" w:fill="auto"/>
            <w:noWrap/>
            <w:vAlign w:val="center"/>
            <w:hideMark/>
          </w:tcPr>
          <w:p w14:paraId="53C152A0"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A1"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A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2A3"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A4"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A5"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2A6"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A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A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52A9"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2AA"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5.00</w:t>
            </w:r>
          </w:p>
        </w:tc>
        <w:tc>
          <w:tcPr>
            <w:tcW w:w="378" w:type="dxa"/>
            <w:tcBorders>
              <w:top w:val="nil"/>
              <w:left w:val="nil"/>
              <w:bottom w:val="single" w:sz="4" w:space="0" w:color="auto"/>
              <w:right w:val="single" w:sz="4" w:space="0" w:color="auto"/>
            </w:tcBorders>
            <w:shd w:val="clear" w:color="auto" w:fill="auto"/>
            <w:noWrap/>
            <w:vAlign w:val="center"/>
            <w:hideMark/>
          </w:tcPr>
          <w:p w14:paraId="53C152A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AC"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1.38</w:t>
            </w:r>
          </w:p>
        </w:tc>
        <w:tc>
          <w:tcPr>
            <w:tcW w:w="378" w:type="dxa"/>
            <w:tcBorders>
              <w:top w:val="nil"/>
              <w:left w:val="nil"/>
              <w:bottom w:val="single" w:sz="4" w:space="0" w:color="auto"/>
              <w:right w:val="single" w:sz="4" w:space="0" w:color="auto"/>
            </w:tcBorders>
            <w:shd w:val="clear" w:color="auto" w:fill="auto"/>
            <w:noWrap/>
            <w:vAlign w:val="center"/>
            <w:hideMark/>
          </w:tcPr>
          <w:p w14:paraId="53C152AD"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0.69</w:t>
            </w:r>
          </w:p>
        </w:tc>
        <w:tc>
          <w:tcPr>
            <w:tcW w:w="378" w:type="dxa"/>
            <w:tcBorders>
              <w:top w:val="nil"/>
              <w:left w:val="nil"/>
              <w:bottom w:val="single" w:sz="4" w:space="0" w:color="auto"/>
              <w:right w:val="single" w:sz="4" w:space="0" w:color="auto"/>
            </w:tcBorders>
            <w:shd w:val="clear" w:color="auto" w:fill="auto"/>
            <w:noWrap/>
            <w:vAlign w:val="center"/>
            <w:hideMark/>
          </w:tcPr>
          <w:p w14:paraId="53C152A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2AF"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B0"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52B1"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2B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0.56</w:t>
            </w:r>
          </w:p>
        </w:tc>
        <w:tc>
          <w:tcPr>
            <w:tcW w:w="378" w:type="dxa"/>
            <w:tcBorders>
              <w:top w:val="nil"/>
              <w:left w:val="nil"/>
              <w:bottom w:val="single" w:sz="4" w:space="0" w:color="auto"/>
              <w:right w:val="single" w:sz="4" w:space="0" w:color="auto"/>
            </w:tcBorders>
            <w:shd w:val="clear" w:color="auto" w:fill="auto"/>
            <w:noWrap/>
            <w:vAlign w:val="center"/>
            <w:hideMark/>
          </w:tcPr>
          <w:p w14:paraId="53C152B3"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0.63</w:t>
            </w:r>
          </w:p>
        </w:tc>
        <w:tc>
          <w:tcPr>
            <w:tcW w:w="378" w:type="dxa"/>
            <w:tcBorders>
              <w:top w:val="nil"/>
              <w:left w:val="nil"/>
              <w:bottom w:val="single" w:sz="4" w:space="0" w:color="auto"/>
              <w:right w:val="single" w:sz="4" w:space="0" w:color="auto"/>
            </w:tcBorders>
            <w:shd w:val="clear" w:color="auto" w:fill="auto"/>
            <w:noWrap/>
            <w:vAlign w:val="center"/>
            <w:hideMark/>
          </w:tcPr>
          <w:p w14:paraId="53C152B4"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2B5"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B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2B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B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5.38</w:t>
            </w:r>
          </w:p>
        </w:tc>
        <w:tc>
          <w:tcPr>
            <w:tcW w:w="378" w:type="dxa"/>
            <w:tcBorders>
              <w:top w:val="nil"/>
              <w:left w:val="nil"/>
              <w:bottom w:val="single" w:sz="4" w:space="0" w:color="auto"/>
              <w:right w:val="single" w:sz="4" w:space="0" w:color="auto"/>
            </w:tcBorders>
            <w:shd w:val="clear" w:color="auto" w:fill="auto"/>
            <w:noWrap/>
            <w:vAlign w:val="center"/>
            <w:hideMark/>
          </w:tcPr>
          <w:p w14:paraId="53C152B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BA"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BB"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0.75</w:t>
            </w:r>
          </w:p>
        </w:tc>
        <w:tc>
          <w:tcPr>
            <w:tcW w:w="378" w:type="dxa"/>
            <w:tcBorders>
              <w:top w:val="nil"/>
              <w:left w:val="nil"/>
              <w:bottom w:val="single" w:sz="4" w:space="0" w:color="auto"/>
              <w:right w:val="single" w:sz="4" w:space="0" w:color="auto"/>
            </w:tcBorders>
            <w:shd w:val="clear" w:color="auto" w:fill="auto"/>
            <w:noWrap/>
            <w:vAlign w:val="center"/>
            <w:hideMark/>
          </w:tcPr>
          <w:p w14:paraId="53C152BC"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0.63</w:t>
            </w:r>
          </w:p>
        </w:tc>
      </w:tr>
      <w:tr w:rsidR="007904CB" w:rsidRPr="00657AD4" w14:paraId="53C152DF"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52BE" w14:textId="77777777" w:rsidR="007904CB" w:rsidRPr="007904CB" w:rsidRDefault="007904CB" w:rsidP="00235072">
            <w:pPr>
              <w:spacing w:after="0"/>
              <w:jc w:val="left"/>
              <w:rPr>
                <w:rFonts w:ascii="Arial Narrow" w:hAnsi="Arial Narrow"/>
                <w:sz w:val="18"/>
                <w:szCs w:val="18"/>
                <w:lang w:eastAsia="en-AU"/>
              </w:rPr>
            </w:pPr>
          </w:p>
        </w:tc>
        <w:tc>
          <w:tcPr>
            <w:tcW w:w="1073" w:type="dxa"/>
            <w:vMerge/>
            <w:tcBorders>
              <w:left w:val="single" w:sz="4" w:space="0" w:color="auto"/>
              <w:bottom w:val="single" w:sz="4" w:space="0" w:color="auto"/>
              <w:right w:val="single" w:sz="4" w:space="0" w:color="auto"/>
            </w:tcBorders>
            <w:shd w:val="clear" w:color="auto" w:fill="auto"/>
            <w:vAlign w:val="center"/>
          </w:tcPr>
          <w:p w14:paraId="53C152BF" w14:textId="77777777" w:rsidR="007904CB" w:rsidRPr="007904CB" w:rsidRDefault="007904CB" w:rsidP="00C60606">
            <w:pPr>
              <w:spacing w:after="0"/>
              <w:jc w:val="center"/>
              <w:rPr>
                <w:rFonts w:ascii="Arial Narrow" w:hAnsi="Arial Narrow"/>
                <w:sz w:val="18"/>
                <w:szCs w:val="18"/>
                <w:lang w:eastAsia="en-AU"/>
              </w:rPr>
            </w:pPr>
          </w:p>
        </w:tc>
        <w:tc>
          <w:tcPr>
            <w:tcW w:w="283" w:type="dxa"/>
            <w:tcBorders>
              <w:top w:val="nil"/>
              <w:left w:val="nil"/>
              <w:bottom w:val="single" w:sz="4" w:space="0" w:color="auto"/>
              <w:right w:val="single" w:sz="4" w:space="0" w:color="auto"/>
            </w:tcBorders>
            <w:shd w:val="clear" w:color="auto" w:fill="auto"/>
            <w:noWrap/>
            <w:vAlign w:val="center"/>
            <w:hideMark/>
          </w:tcPr>
          <w:p w14:paraId="53C152C0"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5</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52C1"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4.50</w:t>
            </w:r>
          </w:p>
        </w:tc>
        <w:tc>
          <w:tcPr>
            <w:tcW w:w="378" w:type="dxa"/>
            <w:tcBorders>
              <w:top w:val="nil"/>
              <w:left w:val="nil"/>
              <w:bottom w:val="single" w:sz="4" w:space="0" w:color="auto"/>
              <w:right w:val="single" w:sz="4" w:space="0" w:color="auto"/>
            </w:tcBorders>
            <w:shd w:val="clear" w:color="auto" w:fill="auto"/>
            <w:noWrap/>
            <w:vAlign w:val="center"/>
            <w:hideMark/>
          </w:tcPr>
          <w:p w14:paraId="53C152C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2C3"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C4"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C5"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C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52C7"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2C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52C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CA"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2.19</w:t>
            </w:r>
          </w:p>
        </w:tc>
        <w:tc>
          <w:tcPr>
            <w:tcW w:w="378" w:type="dxa"/>
            <w:tcBorders>
              <w:top w:val="nil"/>
              <w:left w:val="nil"/>
              <w:bottom w:val="single" w:sz="4" w:space="0" w:color="auto"/>
              <w:right w:val="single" w:sz="4" w:space="0" w:color="auto"/>
            </w:tcBorders>
            <w:shd w:val="clear" w:color="auto" w:fill="auto"/>
            <w:noWrap/>
            <w:vAlign w:val="center"/>
            <w:hideMark/>
          </w:tcPr>
          <w:p w14:paraId="53C152C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CC"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10.38</w:t>
            </w:r>
          </w:p>
        </w:tc>
        <w:tc>
          <w:tcPr>
            <w:tcW w:w="378" w:type="dxa"/>
            <w:tcBorders>
              <w:top w:val="nil"/>
              <w:left w:val="nil"/>
              <w:bottom w:val="single" w:sz="4" w:space="0" w:color="auto"/>
              <w:right w:val="single" w:sz="4" w:space="0" w:color="auto"/>
            </w:tcBorders>
            <w:shd w:val="clear" w:color="auto" w:fill="auto"/>
            <w:noWrap/>
            <w:vAlign w:val="center"/>
            <w:hideMark/>
          </w:tcPr>
          <w:p w14:paraId="53C152CD"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C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0.63</w:t>
            </w:r>
          </w:p>
        </w:tc>
        <w:tc>
          <w:tcPr>
            <w:tcW w:w="378" w:type="dxa"/>
            <w:tcBorders>
              <w:top w:val="nil"/>
              <w:left w:val="nil"/>
              <w:bottom w:val="single" w:sz="4" w:space="0" w:color="auto"/>
              <w:right w:val="single" w:sz="4" w:space="0" w:color="auto"/>
            </w:tcBorders>
            <w:shd w:val="clear" w:color="auto" w:fill="auto"/>
            <w:noWrap/>
            <w:vAlign w:val="center"/>
            <w:hideMark/>
          </w:tcPr>
          <w:p w14:paraId="53C152CF"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0.63</w:t>
            </w:r>
          </w:p>
        </w:tc>
        <w:tc>
          <w:tcPr>
            <w:tcW w:w="378" w:type="dxa"/>
            <w:tcBorders>
              <w:top w:val="nil"/>
              <w:left w:val="nil"/>
              <w:bottom w:val="single" w:sz="4" w:space="0" w:color="auto"/>
              <w:right w:val="single" w:sz="4" w:space="0" w:color="auto"/>
            </w:tcBorders>
            <w:shd w:val="clear" w:color="auto" w:fill="auto"/>
            <w:noWrap/>
            <w:vAlign w:val="center"/>
            <w:hideMark/>
          </w:tcPr>
          <w:p w14:paraId="53C152D0"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0.38</w:t>
            </w:r>
          </w:p>
        </w:tc>
        <w:tc>
          <w:tcPr>
            <w:tcW w:w="378" w:type="dxa"/>
            <w:tcBorders>
              <w:top w:val="nil"/>
              <w:left w:val="nil"/>
              <w:bottom w:val="single" w:sz="4" w:space="0" w:color="auto"/>
              <w:right w:val="single" w:sz="4" w:space="0" w:color="auto"/>
            </w:tcBorders>
            <w:shd w:val="clear" w:color="auto" w:fill="auto"/>
            <w:noWrap/>
            <w:vAlign w:val="center"/>
            <w:hideMark/>
          </w:tcPr>
          <w:p w14:paraId="53C152D1"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52D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0.94</w:t>
            </w:r>
          </w:p>
        </w:tc>
        <w:tc>
          <w:tcPr>
            <w:tcW w:w="378" w:type="dxa"/>
            <w:tcBorders>
              <w:top w:val="nil"/>
              <w:left w:val="nil"/>
              <w:bottom w:val="single" w:sz="4" w:space="0" w:color="auto"/>
              <w:right w:val="single" w:sz="4" w:space="0" w:color="auto"/>
            </w:tcBorders>
            <w:shd w:val="clear" w:color="auto" w:fill="auto"/>
            <w:noWrap/>
            <w:vAlign w:val="center"/>
            <w:hideMark/>
          </w:tcPr>
          <w:p w14:paraId="53C152D3"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2.94</w:t>
            </w:r>
          </w:p>
        </w:tc>
        <w:tc>
          <w:tcPr>
            <w:tcW w:w="378" w:type="dxa"/>
            <w:tcBorders>
              <w:top w:val="nil"/>
              <w:left w:val="nil"/>
              <w:bottom w:val="single" w:sz="4" w:space="0" w:color="auto"/>
              <w:right w:val="single" w:sz="4" w:space="0" w:color="auto"/>
            </w:tcBorders>
            <w:shd w:val="clear" w:color="auto" w:fill="auto"/>
            <w:noWrap/>
            <w:vAlign w:val="center"/>
            <w:hideMark/>
          </w:tcPr>
          <w:p w14:paraId="53C152D4"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0.38</w:t>
            </w:r>
          </w:p>
        </w:tc>
        <w:tc>
          <w:tcPr>
            <w:tcW w:w="378" w:type="dxa"/>
            <w:tcBorders>
              <w:top w:val="nil"/>
              <w:left w:val="nil"/>
              <w:bottom w:val="single" w:sz="4" w:space="0" w:color="auto"/>
              <w:right w:val="single" w:sz="4" w:space="0" w:color="auto"/>
            </w:tcBorders>
            <w:shd w:val="clear" w:color="auto" w:fill="auto"/>
            <w:noWrap/>
            <w:vAlign w:val="center"/>
            <w:hideMark/>
          </w:tcPr>
          <w:p w14:paraId="53C152D5"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0.44</w:t>
            </w:r>
          </w:p>
        </w:tc>
        <w:tc>
          <w:tcPr>
            <w:tcW w:w="378" w:type="dxa"/>
            <w:tcBorders>
              <w:top w:val="nil"/>
              <w:left w:val="nil"/>
              <w:bottom w:val="single" w:sz="4" w:space="0" w:color="auto"/>
              <w:right w:val="single" w:sz="4" w:space="0" w:color="auto"/>
            </w:tcBorders>
            <w:shd w:val="clear" w:color="auto" w:fill="auto"/>
            <w:noWrap/>
            <w:vAlign w:val="center"/>
            <w:hideMark/>
          </w:tcPr>
          <w:p w14:paraId="53C152D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2D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D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52D9"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2DA"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1.81</w:t>
            </w:r>
          </w:p>
        </w:tc>
        <w:tc>
          <w:tcPr>
            <w:tcW w:w="378" w:type="dxa"/>
            <w:tcBorders>
              <w:top w:val="nil"/>
              <w:left w:val="nil"/>
              <w:bottom w:val="single" w:sz="4" w:space="0" w:color="auto"/>
              <w:right w:val="single" w:sz="4" w:space="0" w:color="auto"/>
            </w:tcBorders>
            <w:shd w:val="clear" w:color="auto" w:fill="auto"/>
            <w:noWrap/>
            <w:vAlign w:val="center"/>
            <w:hideMark/>
          </w:tcPr>
          <w:p w14:paraId="53C152D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DC"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DD"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52D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1.44</w:t>
            </w:r>
          </w:p>
        </w:tc>
      </w:tr>
      <w:tr w:rsidR="007904CB" w:rsidRPr="00657AD4" w14:paraId="53C15301"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52E0" w14:textId="77777777" w:rsidR="007904CB" w:rsidRPr="007904CB" w:rsidRDefault="007904CB" w:rsidP="00235072">
            <w:pPr>
              <w:spacing w:after="0"/>
              <w:jc w:val="left"/>
              <w:rPr>
                <w:rFonts w:ascii="Arial Narrow" w:hAnsi="Arial Narrow"/>
                <w:sz w:val="18"/>
                <w:szCs w:val="18"/>
                <w:lang w:eastAsia="en-AU"/>
              </w:rPr>
            </w:pPr>
          </w:p>
        </w:tc>
        <w:tc>
          <w:tcPr>
            <w:tcW w:w="1073" w:type="dxa"/>
            <w:vMerge w:val="restart"/>
            <w:tcBorders>
              <w:top w:val="nil"/>
              <w:left w:val="single" w:sz="4" w:space="0" w:color="auto"/>
              <w:right w:val="single" w:sz="4" w:space="0" w:color="auto"/>
            </w:tcBorders>
            <w:shd w:val="clear" w:color="auto" w:fill="auto"/>
            <w:noWrap/>
            <w:vAlign w:val="center"/>
          </w:tcPr>
          <w:p w14:paraId="53C152E1" w14:textId="77777777" w:rsidR="007904CB" w:rsidRPr="007904CB" w:rsidRDefault="007904CB" w:rsidP="00C60606">
            <w:pPr>
              <w:spacing w:after="0"/>
              <w:jc w:val="center"/>
              <w:rPr>
                <w:rFonts w:ascii="Arial Narrow" w:hAnsi="Arial Narrow"/>
                <w:sz w:val="18"/>
                <w:szCs w:val="18"/>
                <w:lang w:eastAsia="en-AU"/>
              </w:rPr>
            </w:pPr>
            <w:r w:rsidRPr="007904CB">
              <w:rPr>
                <w:rFonts w:ascii="Arial Narrow" w:hAnsi="Arial Narrow"/>
                <w:sz w:val="18"/>
                <w:szCs w:val="18"/>
              </w:rPr>
              <w:t>Shute Harbour</w:t>
            </w:r>
          </w:p>
        </w:tc>
        <w:tc>
          <w:tcPr>
            <w:tcW w:w="283" w:type="dxa"/>
            <w:tcBorders>
              <w:top w:val="nil"/>
              <w:left w:val="nil"/>
              <w:bottom w:val="single" w:sz="4" w:space="0" w:color="auto"/>
              <w:right w:val="single" w:sz="4" w:space="0" w:color="auto"/>
            </w:tcBorders>
            <w:shd w:val="clear" w:color="auto" w:fill="auto"/>
            <w:noWrap/>
            <w:vAlign w:val="center"/>
            <w:hideMark/>
          </w:tcPr>
          <w:p w14:paraId="53C152E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2</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52E3"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25.00</w:t>
            </w:r>
          </w:p>
        </w:tc>
        <w:tc>
          <w:tcPr>
            <w:tcW w:w="378" w:type="dxa"/>
            <w:tcBorders>
              <w:top w:val="nil"/>
              <w:left w:val="nil"/>
              <w:bottom w:val="single" w:sz="4" w:space="0" w:color="auto"/>
              <w:right w:val="single" w:sz="4" w:space="0" w:color="auto"/>
            </w:tcBorders>
            <w:shd w:val="clear" w:color="auto" w:fill="auto"/>
            <w:noWrap/>
            <w:vAlign w:val="center"/>
            <w:hideMark/>
          </w:tcPr>
          <w:p w14:paraId="53C152E4"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E5"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2E6"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E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E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2E9"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52EA"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2E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EC"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2ED"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2E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3.75</w:t>
            </w:r>
          </w:p>
        </w:tc>
        <w:tc>
          <w:tcPr>
            <w:tcW w:w="378" w:type="dxa"/>
            <w:tcBorders>
              <w:top w:val="nil"/>
              <w:left w:val="nil"/>
              <w:bottom w:val="single" w:sz="4" w:space="0" w:color="auto"/>
              <w:right w:val="single" w:sz="4" w:space="0" w:color="auto"/>
            </w:tcBorders>
            <w:shd w:val="clear" w:color="auto" w:fill="auto"/>
            <w:noWrap/>
            <w:vAlign w:val="center"/>
            <w:hideMark/>
          </w:tcPr>
          <w:p w14:paraId="53C152EF"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F0"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0.75</w:t>
            </w:r>
          </w:p>
        </w:tc>
        <w:tc>
          <w:tcPr>
            <w:tcW w:w="378" w:type="dxa"/>
            <w:tcBorders>
              <w:top w:val="nil"/>
              <w:left w:val="nil"/>
              <w:bottom w:val="single" w:sz="4" w:space="0" w:color="auto"/>
              <w:right w:val="single" w:sz="4" w:space="0" w:color="auto"/>
            </w:tcBorders>
            <w:shd w:val="clear" w:color="auto" w:fill="auto"/>
            <w:noWrap/>
            <w:vAlign w:val="center"/>
            <w:hideMark/>
          </w:tcPr>
          <w:p w14:paraId="53C152F1"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52F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3.38</w:t>
            </w:r>
          </w:p>
        </w:tc>
        <w:tc>
          <w:tcPr>
            <w:tcW w:w="378" w:type="dxa"/>
            <w:tcBorders>
              <w:top w:val="nil"/>
              <w:left w:val="nil"/>
              <w:bottom w:val="single" w:sz="4" w:space="0" w:color="auto"/>
              <w:right w:val="single" w:sz="4" w:space="0" w:color="auto"/>
            </w:tcBorders>
            <w:shd w:val="clear" w:color="auto" w:fill="auto"/>
            <w:noWrap/>
            <w:vAlign w:val="center"/>
            <w:hideMark/>
          </w:tcPr>
          <w:p w14:paraId="53C152F3"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2F4"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52F5"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0.44</w:t>
            </w:r>
          </w:p>
        </w:tc>
        <w:tc>
          <w:tcPr>
            <w:tcW w:w="378" w:type="dxa"/>
            <w:tcBorders>
              <w:top w:val="nil"/>
              <w:left w:val="nil"/>
              <w:bottom w:val="single" w:sz="4" w:space="0" w:color="auto"/>
              <w:right w:val="single" w:sz="4" w:space="0" w:color="auto"/>
            </w:tcBorders>
            <w:shd w:val="clear" w:color="auto" w:fill="auto"/>
            <w:noWrap/>
            <w:vAlign w:val="center"/>
            <w:hideMark/>
          </w:tcPr>
          <w:p w14:paraId="53C152F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0.63</w:t>
            </w:r>
          </w:p>
        </w:tc>
        <w:tc>
          <w:tcPr>
            <w:tcW w:w="378" w:type="dxa"/>
            <w:tcBorders>
              <w:top w:val="nil"/>
              <w:left w:val="nil"/>
              <w:bottom w:val="single" w:sz="4" w:space="0" w:color="auto"/>
              <w:right w:val="single" w:sz="4" w:space="0" w:color="auto"/>
            </w:tcBorders>
            <w:shd w:val="clear" w:color="auto" w:fill="auto"/>
            <w:noWrap/>
            <w:vAlign w:val="center"/>
            <w:hideMark/>
          </w:tcPr>
          <w:p w14:paraId="53C152F7"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0.38</w:t>
            </w:r>
          </w:p>
        </w:tc>
        <w:tc>
          <w:tcPr>
            <w:tcW w:w="378" w:type="dxa"/>
            <w:tcBorders>
              <w:top w:val="nil"/>
              <w:left w:val="nil"/>
              <w:bottom w:val="single" w:sz="4" w:space="0" w:color="auto"/>
              <w:right w:val="single" w:sz="4" w:space="0" w:color="auto"/>
            </w:tcBorders>
            <w:shd w:val="clear" w:color="auto" w:fill="auto"/>
            <w:noWrap/>
            <w:vAlign w:val="center"/>
            <w:hideMark/>
          </w:tcPr>
          <w:p w14:paraId="53C152F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2F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FA"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0.44</w:t>
            </w:r>
          </w:p>
        </w:tc>
        <w:tc>
          <w:tcPr>
            <w:tcW w:w="378" w:type="dxa"/>
            <w:tcBorders>
              <w:top w:val="nil"/>
              <w:left w:val="nil"/>
              <w:bottom w:val="single" w:sz="4" w:space="0" w:color="auto"/>
              <w:right w:val="single" w:sz="4" w:space="0" w:color="auto"/>
            </w:tcBorders>
            <w:shd w:val="clear" w:color="auto" w:fill="auto"/>
            <w:noWrap/>
            <w:vAlign w:val="center"/>
            <w:hideMark/>
          </w:tcPr>
          <w:p w14:paraId="53C152F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FC"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0.50</w:t>
            </w:r>
          </w:p>
        </w:tc>
        <w:tc>
          <w:tcPr>
            <w:tcW w:w="378" w:type="dxa"/>
            <w:tcBorders>
              <w:top w:val="nil"/>
              <w:left w:val="nil"/>
              <w:bottom w:val="single" w:sz="4" w:space="0" w:color="auto"/>
              <w:right w:val="single" w:sz="4" w:space="0" w:color="auto"/>
            </w:tcBorders>
            <w:shd w:val="clear" w:color="auto" w:fill="auto"/>
            <w:noWrap/>
            <w:vAlign w:val="center"/>
            <w:hideMark/>
          </w:tcPr>
          <w:p w14:paraId="53C152FD"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FE"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2FF"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00"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0.94</w:t>
            </w:r>
          </w:p>
        </w:tc>
      </w:tr>
      <w:tr w:rsidR="007904CB" w:rsidRPr="00657AD4" w14:paraId="53C15323"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5302" w14:textId="77777777" w:rsidR="007904CB" w:rsidRPr="007904CB" w:rsidRDefault="007904CB" w:rsidP="00235072">
            <w:pPr>
              <w:spacing w:after="0"/>
              <w:jc w:val="left"/>
              <w:rPr>
                <w:rFonts w:ascii="Arial Narrow" w:hAnsi="Arial Narrow"/>
                <w:sz w:val="18"/>
                <w:szCs w:val="18"/>
                <w:lang w:eastAsia="en-AU"/>
              </w:rPr>
            </w:pPr>
          </w:p>
        </w:tc>
        <w:tc>
          <w:tcPr>
            <w:tcW w:w="1073" w:type="dxa"/>
            <w:vMerge/>
            <w:tcBorders>
              <w:left w:val="single" w:sz="4" w:space="0" w:color="auto"/>
              <w:bottom w:val="single" w:sz="4" w:space="0" w:color="auto"/>
              <w:right w:val="single" w:sz="4" w:space="0" w:color="auto"/>
            </w:tcBorders>
            <w:shd w:val="clear" w:color="auto" w:fill="auto"/>
            <w:vAlign w:val="center"/>
          </w:tcPr>
          <w:p w14:paraId="53C15303" w14:textId="77777777" w:rsidR="007904CB" w:rsidRPr="007904CB" w:rsidRDefault="007904CB" w:rsidP="00C60606">
            <w:pPr>
              <w:spacing w:after="0"/>
              <w:jc w:val="center"/>
              <w:rPr>
                <w:rFonts w:ascii="Arial Narrow" w:hAnsi="Arial Narrow"/>
                <w:sz w:val="18"/>
                <w:szCs w:val="18"/>
                <w:lang w:eastAsia="en-AU"/>
              </w:rPr>
            </w:pPr>
          </w:p>
        </w:tc>
        <w:tc>
          <w:tcPr>
            <w:tcW w:w="283" w:type="dxa"/>
            <w:tcBorders>
              <w:top w:val="nil"/>
              <w:left w:val="nil"/>
              <w:bottom w:val="single" w:sz="4" w:space="0" w:color="auto"/>
              <w:right w:val="single" w:sz="4" w:space="0" w:color="auto"/>
            </w:tcBorders>
            <w:shd w:val="clear" w:color="auto" w:fill="auto"/>
            <w:noWrap/>
            <w:vAlign w:val="center"/>
            <w:hideMark/>
          </w:tcPr>
          <w:p w14:paraId="53C15304"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5</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5305"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4.00</w:t>
            </w:r>
          </w:p>
        </w:tc>
        <w:tc>
          <w:tcPr>
            <w:tcW w:w="378" w:type="dxa"/>
            <w:tcBorders>
              <w:top w:val="nil"/>
              <w:left w:val="nil"/>
              <w:bottom w:val="single" w:sz="4" w:space="0" w:color="auto"/>
              <w:right w:val="single" w:sz="4" w:space="0" w:color="auto"/>
            </w:tcBorders>
            <w:shd w:val="clear" w:color="auto" w:fill="auto"/>
            <w:noWrap/>
            <w:vAlign w:val="center"/>
            <w:hideMark/>
          </w:tcPr>
          <w:p w14:paraId="53C1530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307"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308"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0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0A"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30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0C"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30D"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30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0.38</w:t>
            </w:r>
          </w:p>
        </w:tc>
        <w:tc>
          <w:tcPr>
            <w:tcW w:w="378" w:type="dxa"/>
            <w:tcBorders>
              <w:top w:val="nil"/>
              <w:left w:val="nil"/>
              <w:bottom w:val="single" w:sz="4" w:space="0" w:color="auto"/>
              <w:right w:val="single" w:sz="4" w:space="0" w:color="auto"/>
            </w:tcBorders>
            <w:shd w:val="clear" w:color="auto" w:fill="auto"/>
            <w:noWrap/>
            <w:vAlign w:val="center"/>
            <w:hideMark/>
          </w:tcPr>
          <w:p w14:paraId="53C1530F"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10"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2.13</w:t>
            </w:r>
          </w:p>
        </w:tc>
        <w:tc>
          <w:tcPr>
            <w:tcW w:w="378" w:type="dxa"/>
            <w:tcBorders>
              <w:top w:val="nil"/>
              <w:left w:val="nil"/>
              <w:bottom w:val="single" w:sz="4" w:space="0" w:color="auto"/>
              <w:right w:val="single" w:sz="4" w:space="0" w:color="auto"/>
            </w:tcBorders>
            <w:shd w:val="clear" w:color="auto" w:fill="auto"/>
            <w:noWrap/>
            <w:vAlign w:val="center"/>
            <w:hideMark/>
          </w:tcPr>
          <w:p w14:paraId="53C15311"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0.31</w:t>
            </w:r>
          </w:p>
        </w:tc>
        <w:tc>
          <w:tcPr>
            <w:tcW w:w="378" w:type="dxa"/>
            <w:tcBorders>
              <w:top w:val="nil"/>
              <w:left w:val="nil"/>
              <w:bottom w:val="single" w:sz="4" w:space="0" w:color="auto"/>
              <w:right w:val="single" w:sz="4" w:space="0" w:color="auto"/>
            </w:tcBorders>
            <w:shd w:val="clear" w:color="auto" w:fill="auto"/>
            <w:noWrap/>
            <w:vAlign w:val="center"/>
            <w:hideMark/>
          </w:tcPr>
          <w:p w14:paraId="53C1531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1.50</w:t>
            </w:r>
          </w:p>
        </w:tc>
        <w:tc>
          <w:tcPr>
            <w:tcW w:w="378" w:type="dxa"/>
            <w:tcBorders>
              <w:top w:val="nil"/>
              <w:left w:val="nil"/>
              <w:bottom w:val="single" w:sz="4" w:space="0" w:color="auto"/>
              <w:right w:val="single" w:sz="4" w:space="0" w:color="auto"/>
            </w:tcBorders>
            <w:shd w:val="clear" w:color="auto" w:fill="auto"/>
            <w:noWrap/>
            <w:vAlign w:val="center"/>
            <w:hideMark/>
          </w:tcPr>
          <w:p w14:paraId="53C15313"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5314"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2.44</w:t>
            </w:r>
          </w:p>
        </w:tc>
        <w:tc>
          <w:tcPr>
            <w:tcW w:w="378" w:type="dxa"/>
            <w:tcBorders>
              <w:top w:val="nil"/>
              <w:left w:val="nil"/>
              <w:bottom w:val="single" w:sz="4" w:space="0" w:color="auto"/>
              <w:right w:val="single" w:sz="4" w:space="0" w:color="auto"/>
            </w:tcBorders>
            <w:shd w:val="clear" w:color="auto" w:fill="auto"/>
            <w:noWrap/>
            <w:vAlign w:val="center"/>
            <w:hideMark/>
          </w:tcPr>
          <w:p w14:paraId="53C15315"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1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0.56</w:t>
            </w:r>
          </w:p>
        </w:tc>
        <w:tc>
          <w:tcPr>
            <w:tcW w:w="378" w:type="dxa"/>
            <w:tcBorders>
              <w:top w:val="nil"/>
              <w:left w:val="nil"/>
              <w:bottom w:val="single" w:sz="4" w:space="0" w:color="auto"/>
              <w:right w:val="single" w:sz="4" w:space="0" w:color="auto"/>
            </w:tcBorders>
            <w:shd w:val="clear" w:color="auto" w:fill="auto"/>
            <w:noWrap/>
            <w:vAlign w:val="center"/>
            <w:hideMark/>
          </w:tcPr>
          <w:p w14:paraId="53C15317"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0.75</w:t>
            </w:r>
          </w:p>
        </w:tc>
        <w:tc>
          <w:tcPr>
            <w:tcW w:w="378" w:type="dxa"/>
            <w:tcBorders>
              <w:top w:val="nil"/>
              <w:left w:val="nil"/>
              <w:bottom w:val="single" w:sz="4" w:space="0" w:color="auto"/>
              <w:right w:val="single" w:sz="4" w:space="0" w:color="auto"/>
            </w:tcBorders>
            <w:shd w:val="clear" w:color="auto" w:fill="auto"/>
            <w:noWrap/>
            <w:vAlign w:val="center"/>
            <w:hideMark/>
          </w:tcPr>
          <w:p w14:paraId="53C1531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5319"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531A"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531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1C"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0.31</w:t>
            </w:r>
          </w:p>
        </w:tc>
        <w:tc>
          <w:tcPr>
            <w:tcW w:w="378" w:type="dxa"/>
            <w:tcBorders>
              <w:top w:val="nil"/>
              <w:left w:val="nil"/>
              <w:bottom w:val="single" w:sz="4" w:space="0" w:color="auto"/>
              <w:right w:val="single" w:sz="4" w:space="0" w:color="auto"/>
            </w:tcBorders>
            <w:shd w:val="clear" w:color="auto" w:fill="auto"/>
            <w:noWrap/>
            <w:vAlign w:val="center"/>
            <w:hideMark/>
          </w:tcPr>
          <w:p w14:paraId="53C1531D"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1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1.00</w:t>
            </w:r>
          </w:p>
        </w:tc>
        <w:tc>
          <w:tcPr>
            <w:tcW w:w="378" w:type="dxa"/>
            <w:tcBorders>
              <w:top w:val="nil"/>
              <w:left w:val="nil"/>
              <w:bottom w:val="single" w:sz="4" w:space="0" w:color="auto"/>
              <w:right w:val="single" w:sz="4" w:space="0" w:color="auto"/>
            </w:tcBorders>
            <w:shd w:val="clear" w:color="auto" w:fill="auto"/>
            <w:noWrap/>
            <w:vAlign w:val="center"/>
            <w:hideMark/>
          </w:tcPr>
          <w:p w14:paraId="53C1531F"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20"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21"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2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0.63</w:t>
            </w:r>
          </w:p>
        </w:tc>
      </w:tr>
      <w:tr w:rsidR="007904CB" w:rsidRPr="00657AD4" w14:paraId="53C15345"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5324" w14:textId="77777777" w:rsidR="007904CB" w:rsidRPr="007904CB" w:rsidRDefault="007904CB" w:rsidP="00235072">
            <w:pPr>
              <w:spacing w:after="0"/>
              <w:jc w:val="left"/>
              <w:rPr>
                <w:rFonts w:ascii="Arial Narrow" w:hAnsi="Arial Narrow"/>
                <w:sz w:val="18"/>
                <w:szCs w:val="18"/>
                <w:lang w:eastAsia="en-AU"/>
              </w:rPr>
            </w:pPr>
          </w:p>
        </w:tc>
        <w:tc>
          <w:tcPr>
            <w:tcW w:w="1073" w:type="dxa"/>
            <w:vMerge w:val="restart"/>
            <w:tcBorders>
              <w:top w:val="nil"/>
              <w:left w:val="single" w:sz="4" w:space="0" w:color="auto"/>
              <w:right w:val="single" w:sz="4" w:space="0" w:color="auto"/>
            </w:tcBorders>
            <w:shd w:val="clear" w:color="auto" w:fill="auto"/>
            <w:noWrap/>
            <w:vAlign w:val="center"/>
          </w:tcPr>
          <w:p w14:paraId="53C15325" w14:textId="77777777" w:rsidR="007904CB" w:rsidRPr="007904CB" w:rsidRDefault="007904CB" w:rsidP="00C60606">
            <w:pPr>
              <w:spacing w:after="0"/>
              <w:jc w:val="center"/>
              <w:rPr>
                <w:rFonts w:ascii="Arial Narrow" w:hAnsi="Arial Narrow"/>
                <w:sz w:val="18"/>
                <w:szCs w:val="18"/>
                <w:lang w:eastAsia="en-AU"/>
              </w:rPr>
            </w:pPr>
            <w:r w:rsidRPr="007904CB">
              <w:rPr>
                <w:rFonts w:ascii="Arial Narrow" w:hAnsi="Arial Narrow"/>
                <w:sz w:val="18"/>
                <w:szCs w:val="18"/>
              </w:rPr>
              <w:t>Pine</w:t>
            </w:r>
          </w:p>
        </w:tc>
        <w:tc>
          <w:tcPr>
            <w:tcW w:w="283" w:type="dxa"/>
            <w:tcBorders>
              <w:top w:val="nil"/>
              <w:left w:val="nil"/>
              <w:bottom w:val="single" w:sz="4" w:space="0" w:color="auto"/>
              <w:right w:val="single" w:sz="4" w:space="0" w:color="auto"/>
            </w:tcBorders>
            <w:shd w:val="clear" w:color="auto" w:fill="auto"/>
            <w:noWrap/>
            <w:vAlign w:val="center"/>
            <w:hideMark/>
          </w:tcPr>
          <w:p w14:paraId="53C1532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2</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5327"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0.63</w:t>
            </w:r>
          </w:p>
        </w:tc>
        <w:tc>
          <w:tcPr>
            <w:tcW w:w="378" w:type="dxa"/>
            <w:tcBorders>
              <w:top w:val="nil"/>
              <w:left w:val="nil"/>
              <w:bottom w:val="single" w:sz="4" w:space="0" w:color="auto"/>
              <w:right w:val="single" w:sz="4" w:space="0" w:color="auto"/>
            </w:tcBorders>
            <w:shd w:val="clear" w:color="auto" w:fill="auto"/>
            <w:noWrap/>
            <w:vAlign w:val="center"/>
            <w:hideMark/>
          </w:tcPr>
          <w:p w14:paraId="53C15328"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2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2A"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2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2C"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2D"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2E"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2F"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30"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5.38</w:t>
            </w:r>
          </w:p>
        </w:tc>
        <w:tc>
          <w:tcPr>
            <w:tcW w:w="378" w:type="dxa"/>
            <w:tcBorders>
              <w:top w:val="nil"/>
              <w:left w:val="nil"/>
              <w:bottom w:val="single" w:sz="4" w:space="0" w:color="auto"/>
              <w:right w:val="single" w:sz="4" w:space="0" w:color="auto"/>
            </w:tcBorders>
            <w:shd w:val="clear" w:color="auto" w:fill="auto"/>
            <w:noWrap/>
            <w:vAlign w:val="center"/>
            <w:hideMark/>
          </w:tcPr>
          <w:p w14:paraId="53C15331"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3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333"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34"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35"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3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0.50</w:t>
            </w:r>
          </w:p>
        </w:tc>
        <w:tc>
          <w:tcPr>
            <w:tcW w:w="378" w:type="dxa"/>
            <w:tcBorders>
              <w:top w:val="nil"/>
              <w:left w:val="nil"/>
              <w:bottom w:val="single" w:sz="4" w:space="0" w:color="auto"/>
              <w:right w:val="single" w:sz="4" w:space="0" w:color="auto"/>
            </w:tcBorders>
            <w:shd w:val="clear" w:color="auto" w:fill="auto"/>
            <w:noWrap/>
            <w:vAlign w:val="center"/>
            <w:hideMark/>
          </w:tcPr>
          <w:p w14:paraId="53C15337"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33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339"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33A"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3B"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33C"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3D"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3E"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3F"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340"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0.50</w:t>
            </w:r>
          </w:p>
        </w:tc>
        <w:tc>
          <w:tcPr>
            <w:tcW w:w="378" w:type="dxa"/>
            <w:tcBorders>
              <w:top w:val="nil"/>
              <w:left w:val="nil"/>
              <w:bottom w:val="single" w:sz="4" w:space="0" w:color="auto"/>
              <w:right w:val="single" w:sz="4" w:space="0" w:color="auto"/>
            </w:tcBorders>
            <w:shd w:val="clear" w:color="auto" w:fill="auto"/>
            <w:noWrap/>
            <w:vAlign w:val="center"/>
            <w:hideMark/>
          </w:tcPr>
          <w:p w14:paraId="53C15341"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42"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43"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44"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0.38</w:t>
            </w:r>
          </w:p>
        </w:tc>
      </w:tr>
      <w:tr w:rsidR="007904CB" w:rsidRPr="00657AD4" w14:paraId="53C15367"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5346" w14:textId="77777777" w:rsidR="007904CB" w:rsidRPr="007904CB" w:rsidRDefault="007904CB" w:rsidP="00235072">
            <w:pPr>
              <w:spacing w:after="0"/>
              <w:jc w:val="left"/>
              <w:rPr>
                <w:rFonts w:ascii="Arial Narrow" w:hAnsi="Arial Narrow"/>
                <w:sz w:val="18"/>
                <w:szCs w:val="18"/>
                <w:lang w:eastAsia="en-AU"/>
              </w:rPr>
            </w:pPr>
          </w:p>
        </w:tc>
        <w:tc>
          <w:tcPr>
            <w:tcW w:w="1073" w:type="dxa"/>
            <w:vMerge/>
            <w:tcBorders>
              <w:left w:val="single" w:sz="4" w:space="0" w:color="auto"/>
              <w:bottom w:val="single" w:sz="4" w:space="0" w:color="auto"/>
              <w:right w:val="single" w:sz="4" w:space="0" w:color="auto"/>
            </w:tcBorders>
            <w:shd w:val="clear" w:color="auto" w:fill="auto"/>
            <w:vAlign w:val="center"/>
          </w:tcPr>
          <w:p w14:paraId="53C15347" w14:textId="77777777" w:rsidR="007904CB" w:rsidRPr="007904CB" w:rsidRDefault="007904CB" w:rsidP="00C60606">
            <w:pPr>
              <w:spacing w:after="0"/>
              <w:jc w:val="center"/>
              <w:rPr>
                <w:rFonts w:ascii="Arial Narrow" w:hAnsi="Arial Narrow"/>
                <w:sz w:val="18"/>
                <w:szCs w:val="18"/>
                <w:lang w:eastAsia="en-AU"/>
              </w:rPr>
            </w:pPr>
          </w:p>
        </w:tc>
        <w:tc>
          <w:tcPr>
            <w:tcW w:w="283" w:type="dxa"/>
            <w:tcBorders>
              <w:top w:val="nil"/>
              <w:left w:val="nil"/>
              <w:bottom w:val="single" w:sz="4" w:space="0" w:color="auto"/>
              <w:right w:val="single" w:sz="4" w:space="0" w:color="auto"/>
            </w:tcBorders>
            <w:shd w:val="clear" w:color="auto" w:fill="auto"/>
            <w:noWrap/>
            <w:vAlign w:val="center"/>
            <w:hideMark/>
          </w:tcPr>
          <w:p w14:paraId="53C1534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5</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5349"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34A"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4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4C"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34D"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4E"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4F"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5350"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351"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535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2.50</w:t>
            </w:r>
          </w:p>
        </w:tc>
        <w:tc>
          <w:tcPr>
            <w:tcW w:w="378" w:type="dxa"/>
            <w:tcBorders>
              <w:top w:val="nil"/>
              <w:left w:val="nil"/>
              <w:bottom w:val="single" w:sz="4" w:space="0" w:color="auto"/>
              <w:right w:val="single" w:sz="4" w:space="0" w:color="auto"/>
            </w:tcBorders>
            <w:shd w:val="clear" w:color="auto" w:fill="auto"/>
            <w:noWrap/>
            <w:vAlign w:val="center"/>
            <w:hideMark/>
          </w:tcPr>
          <w:p w14:paraId="53C15353"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54"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1.06</w:t>
            </w:r>
          </w:p>
        </w:tc>
        <w:tc>
          <w:tcPr>
            <w:tcW w:w="378" w:type="dxa"/>
            <w:tcBorders>
              <w:top w:val="nil"/>
              <w:left w:val="nil"/>
              <w:bottom w:val="single" w:sz="4" w:space="0" w:color="auto"/>
              <w:right w:val="single" w:sz="4" w:space="0" w:color="auto"/>
            </w:tcBorders>
            <w:shd w:val="clear" w:color="auto" w:fill="auto"/>
            <w:noWrap/>
            <w:vAlign w:val="center"/>
            <w:hideMark/>
          </w:tcPr>
          <w:p w14:paraId="53C15355"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5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0.81</w:t>
            </w:r>
          </w:p>
        </w:tc>
        <w:tc>
          <w:tcPr>
            <w:tcW w:w="378" w:type="dxa"/>
            <w:tcBorders>
              <w:top w:val="nil"/>
              <w:left w:val="nil"/>
              <w:bottom w:val="single" w:sz="4" w:space="0" w:color="auto"/>
              <w:right w:val="single" w:sz="4" w:space="0" w:color="auto"/>
            </w:tcBorders>
            <w:shd w:val="clear" w:color="auto" w:fill="auto"/>
            <w:noWrap/>
            <w:vAlign w:val="center"/>
            <w:hideMark/>
          </w:tcPr>
          <w:p w14:paraId="53C15357"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35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0.69</w:t>
            </w:r>
          </w:p>
        </w:tc>
        <w:tc>
          <w:tcPr>
            <w:tcW w:w="378" w:type="dxa"/>
            <w:tcBorders>
              <w:top w:val="nil"/>
              <w:left w:val="nil"/>
              <w:bottom w:val="single" w:sz="4" w:space="0" w:color="auto"/>
              <w:right w:val="single" w:sz="4" w:space="0" w:color="auto"/>
            </w:tcBorders>
            <w:shd w:val="clear" w:color="auto" w:fill="auto"/>
            <w:noWrap/>
            <w:vAlign w:val="center"/>
            <w:hideMark/>
          </w:tcPr>
          <w:p w14:paraId="53C15359"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0.69</w:t>
            </w:r>
          </w:p>
        </w:tc>
        <w:tc>
          <w:tcPr>
            <w:tcW w:w="378" w:type="dxa"/>
            <w:tcBorders>
              <w:top w:val="nil"/>
              <w:left w:val="nil"/>
              <w:bottom w:val="single" w:sz="4" w:space="0" w:color="auto"/>
              <w:right w:val="single" w:sz="4" w:space="0" w:color="auto"/>
            </w:tcBorders>
            <w:shd w:val="clear" w:color="auto" w:fill="auto"/>
            <w:noWrap/>
            <w:vAlign w:val="center"/>
            <w:hideMark/>
          </w:tcPr>
          <w:p w14:paraId="53C1535A"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1.19</w:t>
            </w:r>
          </w:p>
        </w:tc>
        <w:tc>
          <w:tcPr>
            <w:tcW w:w="378" w:type="dxa"/>
            <w:tcBorders>
              <w:top w:val="nil"/>
              <w:left w:val="nil"/>
              <w:bottom w:val="single" w:sz="4" w:space="0" w:color="auto"/>
              <w:right w:val="single" w:sz="4" w:space="0" w:color="auto"/>
            </w:tcBorders>
            <w:shd w:val="clear" w:color="auto" w:fill="auto"/>
            <w:noWrap/>
            <w:vAlign w:val="center"/>
            <w:hideMark/>
          </w:tcPr>
          <w:p w14:paraId="53C1535B"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1.44</w:t>
            </w:r>
          </w:p>
        </w:tc>
        <w:tc>
          <w:tcPr>
            <w:tcW w:w="378" w:type="dxa"/>
            <w:tcBorders>
              <w:top w:val="nil"/>
              <w:left w:val="nil"/>
              <w:bottom w:val="single" w:sz="4" w:space="0" w:color="auto"/>
              <w:right w:val="single" w:sz="4" w:space="0" w:color="auto"/>
            </w:tcBorders>
            <w:shd w:val="clear" w:color="auto" w:fill="auto"/>
            <w:noWrap/>
            <w:vAlign w:val="center"/>
            <w:hideMark/>
          </w:tcPr>
          <w:p w14:paraId="53C1535C"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5D"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1.13</w:t>
            </w:r>
          </w:p>
        </w:tc>
        <w:tc>
          <w:tcPr>
            <w:tcW w:w="378" w:type="dxa"/>
            <w:tcBorders>
              <w:top w:val="nil"/>
              <w:left w:val="nil"/>
              <w:bottom w:val="single" w:sz="4" w:space="0" w:color="auto"/>
              <w:right w:val="single" w:sz="4" w:space="0" w:color="auto"/>
            </w:tcBorders>
            <w:shd w:val="clear" w:color="auto" w:fill="auto"/>
            <w:noWrap/>
            <w:vAlign w:val="center"/>
            <w:hideMark/>
          </w:tcPr>
          <w:p w14:paraId="53C1535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0.31</w:t>
            </w:r>
          </w:p>
        </w:tc>
        <w:tc>
          <w:tcPr>
            <w:tcW w:w="378" w:type="dxa"/>
            <w:tcBorders>
              <w:top w:val="nil"/>
              <w:left w:val="nil"/>
              <w:bottom w:val="single" w:sz="4" w:space="0" w:color="auto"/>
              <w:right w:val="single" w:sz="4" w:space="0" w:color="auto"/>
            </w:tcBorders>
            <w:shd w:val="clear" w:color="auto" w:fill="auto"/>
            <w:noWrap/>
            <w:vAlign w:val="center"/>
            <w:hideMark/>
          </w:tcPr>
          <w:p w14:paraId="53C1535F"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60"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61"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0.63</w:t>
            </w:r>
          </w:p>
        </w:tc>
        <w:tc>
          <w:tcPr>
            <w:tcW w:w="378" w:type="dxa"/>
            <w:tcBorders>
              <w:top w:val="nil"/>
              <w:left w:val="nil"/>
              <w:bottom w:val="single" w:sz="4" w:space="0" w:color="auto"/>
              <w:right w:val="single" w:sz="4" w:space="0" w:color="auto"/>
            </w:tcBorders>
            <w:shd w:val="clear" w:color="auto" w:fill="auto"/>
            <w:noWrap/>
            <w:vAlign w:val="center"/>
            <w:hideMark/>
          </w:tcPr>
          <w:p w14:paraId="53C1536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363"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64"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65"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36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1.06</w:t>
            </w:r>
          </w:p>
        </w:tc>
      </w:tr>
      <w:tr w:rsidR="007904CB" w:rsidRPr="00657AD4" w14:paraId="53C15389"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5368" w14:textId="77777777" w:rsidR="007904CB" w:rsidRPr="007904CB" w:rsidRDefault="007904CB" w:rsidP="00235072">
            <w:pPr>
              <w:spacing w:after="0"/>
              <w:jc w:val="left"/>
              <w:rPr>
                <w:rFonts w:ascii="Arial Narrow" w:hAnsi="Arial Narrow"/>
                <w:sz w:val="18"/>
                <w:szCs w:val="18"/>
                <w:lang w:eastAsia="en-AU"/>
              </w:rPr>
            </w:pPr>
          </w:p>
        </w:tc>
        <w:tc>
          <w:tcPr>
            <w:tcW w:w="1073" w:type="dxa"/>
            <w:vMerge w:val="restart"/>
            <w:tcBorders>
              <w:top w:val="nil"/>
              <w:left w:val="single" w:sz="4" w:space="0" w:color="auto"/>
              <w:right w:val="single" w:sz="4" w:space="0" w:color="auto"/>
            </w:tcBorders>
            <w:shd w:val="clear" w:color="auto" w:fill="auto"/>
            <w:noWrap/>
            <w:vAlign w:val="center"/>
          </w:tcPr>
          <w:p w14:paraId="53C15369" w14:textId="77777777" w:rsidR="007904CB" w:rsidRPr="007904CB" w:rsidRDefault="007904CB" w:rsidP="00C60606">
            <w:pPr>
              <w:spacing w:after="0"/>
              <w:jc w:val="center"/>
              <w:rPr>
                <w:rFonts w:ascii="Arial Narrow" w:hAnsi="Arial Narrow"/>
                <w:sz w:val="18"/>
                <w:szCs w:val="18"/>
                <w:lang w:eastAsia="en-AU"/>
              </w:rPr>
            </w:pPr>
            <w:r w:rsidRPr="007904CB">
              <w:rPr>
                <w:rFonts w:ascii="Arial Narrow" w:hAnsi="Arial Narrow"/>
                <w:sz w:val="18"/>
                <w:szCs w:val="18"/>
              </w:rPr>
              <w:t>Seaforth</w:t>
            </w:r>
          </w:p>
        </w:tc>
        <w:tc>
          <w:tcPr>
            <w:tcW w:w="283" w:type="dxa"/>
            <w:tcBorders>
              <w:top w:val="nil"/>
              <w:left w:val="nil"/>
              <w:bottom w:val="single" w:sz="4" w:space="0" w:color="auto"/>
              <w:right w:val="single" w:sz="4" w:space="0" w:color="auto"/>
            </w:tcBorders>
            <w:shd w:val="clear" w:color="auto" w:fill="auto"/>
            <w:noWrap/>
            <w:vAlign w:val="center"/>
            <w:hideMark/>
          </w:tcPr>
          <w:p w14:paraId="53C1536A"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2</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536B"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0.69</w:t>
            </w:r>
          </w:p>
        </w:tc>
        <w:tc>
          <w:tcPr>
            <w:tcW w:w="378" w:type="dxa"/>
            <w:tcBorders>
              <w:top w:val="nil"/>
              <w:left w:val="nil"/>
              <w:bottom w:val="single" w:sz="4" w:space="0" w:color="auto"/>
              <w:right w:val="single" w:sz="4" w:space="0" w:color="auto"/>
            </w:tcBorders>
            <w:shd w:val="clear" w:color="auto" w:fill="auto"/>
            <w:noWrap/>
            <w:vAlign w:val="center"/>
            <w:hideMark/>
          </w:tcPr>
          <w:p w14:paraId="53C1536C"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6D"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6E"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6F"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70"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371"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0.75</w:t>
            </w:r>
          </w:p>
        </w:tc>
        <w:tc>
          <w:tcPr>
            <w:tcW w:w="378" w:type="dxa"/>
            <w:tcBorders>
              <w:top w:val="nil"/>
              <w:left w:val="nil"/>
              <w:bottom w:val="single" w:sz="4" w:space="0" w:color="auto"/>
              <w:right w:val="single" w:sz="4" w:space="0" w:color="auto"/>
            </w:tcBorders>
            <w:shd w:val="clear" w:color="auto" w:fill="auto"/>
            <w:noWrap/>
            <w:vAlign w:val="center"/>
            <w:hideMark/>
          </w:tcPr>
          <w:p w14:paraId="53C1537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0.56</w:t>
            </w:r>
          </w:p>
        </w:tc>
        <w:tc>
          <w:tcPr>
            <w:tcW w:w="378" w:type="dxa"/>
            <w:tcBorders>
              <w:top w:val="nil"/>
              <w:left w:val="nil"/>
              <w:bottom w:val="single" w:sz="4" w:space="0" w:color="auto"/>
              <w:right w:val="single" w:sz="4" w:space="0" w:color="auto"/>
            </w:tcBorders>
            <w:shd w:val="clear" w:color="auto" w:fill="auto"/>
            <w:noWrap/>
            <w:vAlign w:val="center"/>
            <w:hideMark/>
          </w:tcPr>
          <w:p w14:paraId="53C15373"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74"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375"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37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37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7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0.38</w:t>
            </w:r>
          </w:p>
        </w:tc>
        <w:tc>
          <w:tcPr>
            <w:tcW w:w="378" w:type="dxa"/>
            <w:tcBorders>
              <w:top w:val="nil"/>
              <w:left w:val="nil"/>
              <w:bottom w:val="single" w:sz="4" w:space="0" w:color="auto"/>
              <w:right w:val="single" w:sz="4" w:space="0" w:color="auto"/>
            </w:tcBorders>
            <w:shd w:val="clear" w:color="auto" w:fill="auto"/>
            <w:noWrap/>
            <w:vAlign w:val="center"/>
            <w:hideMark/>
          </w:tcPr>
          <w:p w14:paraId="53C15379"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37A"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7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7C"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7D"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0.44</w:t>
            </w:r>
          </w:p>
        </w:tc>
        <w:tc>
          <w:tcPr>
            <w:tcW w:w="378" w:type="dxa"/>
            <w:tcBorders>
              <w:top w:val="nil"/>
              <w:left w:val="nil"/>
              <w:bottom w:val="single" w:sz="4" w:space="0" w:color="auto"/>
              <w:right w:val="single" w:sz="4" w:space="0" w:color="auto"/>
            </w:tcBorders>
            <w:shd w:val="clear" w:color="auto" w:fill="auto"/>
            <w:noWrap/>
            <w:vAlign w:val="center"/>
            <w:hideMark/>
          </w:tcPr>
          <w:p w14:paraId="53C1537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2.88</w:t>
            </w:r>
          </w:p>
        </w:tc>
        <w:tc>
          <w:tcPr>
            <w:tcW w:w="378" w:type="dxa"/>
            <w:tcBorders>
              <w:top w:val="nil"/>
              <w:left w:val="nil"/>
              <w:bottom w:val="single" w:sz="4" w:space="0" w:color="auto"/>
              <w:right w:val="single" w:sz="4" w:space="0" w:color="auto"/>
            </w:tcBorders>
            <w:shd w:val="clear" w:color="auto" w:fill="auto"/>
            <w:noWrap/>
            <w:vAlign w:val="center"/>
            <w:hideMark/>
          </w:tcPr>
          <w:p w14:paraId="53C1537F"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80"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81"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8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5383"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84"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5.57</w:t>
            </w:r>
          </w:p>
        </w:tc>
        <w:tc>
          <w:tcPr>
            <w:tcW w:w="378" w:type="dxa"/>
            <w:tcBorders>
              <w:top w:val="nil"/>
              <w:left w:val="nil"/>
              <w:bottom w:val="single" w:sz="4" w:space="0" w:color="auto"/>
              <w:right w:val="single" w:sz="4" w:space="0" w:color="auto"/>
            </w:tcBorders>
            <w:shd w:val="clear" w:color="auto" w:fill="auto"/>
            <w:noWrap/>
            <w:vAlign w:val="center"/>
            <w:hideMark/>
          </w:tcPr>
          <w:p w14:paraId="53C15385"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86"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87"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0.63</w:t>
            </w:r>
          </w:p>
        </w:tc>
        <w:tc>
          <w:tcPr>
            <w:tcW w:w="378" w:type="dxa"/>
            <w:tcBorders>
              <w:top w:val="nil"/>
              <w:left w:val="nil"/>
              <w:bottom w:val="single" w:sz="4" w:space="0" w:color="auto"/>
              <w:right w:val="single" w:sz="4" w:space="0" w:color="auto"/>
            </w:tcBorders>
            <w:shd w:val="clear" w:color="auto" w:fill="auto"/>
            <w:noWrap/>
            <w:vAlign w:val="center"/>
            <w:hideMark/>
          </w:tcPr>
          <w:p w14:paraId="53C1538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0.75</w:t>
            </w:r>
          </w:p>
        </w:tc>
      </w:tr>
      <w:tr w:rsidR="007904CB" w:rsidRPr="00657AD4" w14:paraId="53C153AB"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538A" w14:textId="77777777" w:rsidR="007904CB" w:rsidRPr="007904CB" w:rsidRDefault="007904CB" w:rsidP="00235072">
            <w:pPr>
              <w:spacing w:after="0"/>
              <w:jc w:val="left"/>
              <w:rPr>
                <w:rFonts w:ascii="Arial Narrow" w:hAnsi="Arial Narrow"/>
                <w:sz w:val="18"/>
                <w:szCs w:val="18"/>
                <w:lang w:eastAsia="en-AU"/>
              </w:rPr>
            </w:pPr>
          </w:p>
        </w:tc>
        <w:tc>
          <w:tcPr>
            <w:tcW w:w="1073" w:type="dxa"/>
            <w:vMerge/>
            <w:tcBorders>
              <w:left w:val="single" w:sz="4" w:space="0" w:color="auto"/>
              <w:bottom w:val="single" w:sz="4" w:space="0" w:color="auto"/>
              <w:right w:val="single" w:sz="4" w:space="0" w:color="auto"/>
            </w:tcBorders>
            <w:shd w:val="clear" w:color="auto" w:fill="auto"/>
            <w:vAlign w:val="center"/>
          </w:tcPr>
          <w:p w14:paraId="53C1538B" w14:textId="77777777" w:rsidR="007904CB" w:rsidRPr="007904CB" w:rsidRDefault="007904CB" w:rsidP="00C60606">
            <w:pPr>
              <w:spacing w:after="0"/>
              <w:jc w:val="center"/>
              <w:rPr>
                <w:rFonts w:ascii="Arial Narrow" w:hAnsi="Arial Narrow"/>
                <w:sz w:val="18"/>
                <w:szCs w:val="18"/>
                <w:lang w:eastAsia="en-AU"/>
              </w:rPr>
            </w:pPr>
          </w:p>
        </w:tc>
        <w:tc>
          <w:tcPr>
            <w:tcW w:w="283" w:type="dxa"/>
            <w:tcBorders>
              <w:top w:val="nil"/>
              <w:left w:val="nil"/>
              <w:bottom w:val="single" w:sz="4" w:space="0" w:color="auto"/>
              <w:right w:val="single" w:sz="4" w:space="0" w:color="auto"/>
            </w:tcBorders>
            <w:shd w:val="clear" w:color="auto" w:fill="auto"/>
            <w:noWrap/>
            <w:vAlign w:val="center"/>
            <w:hideMark/>
          </w:tcPr>
          <w:p w14:paraId="53C1538C"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5</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538D"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0.31</w:t>
            </w:r>
          </w:p>
        </w:tc>
        <w:tc>
          <w:tcPr>
            <w:tcW w:w="378" w:type="dxa"/>
            <w:tcBorders>
              <w:top w:val="nil"/>
              <w:left w:val="nil"/>
              <w:bottom w:val="single" w:sz="4" w:space="0" w:color="auto"/>
              <w:right w:val="single" w:sz="4" w:space="0" w:color="auto"/>
            </w:tcBorders>
            <w:shd w:val="clear" w:color="auto" w:fill="auto"/>
            <w:noWrap/>
            <w:vAlign w:val="center"/>
            <w:hideMark/>
          </w:tcPr>
          <w:p w14:paraId="53C1538E"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8F"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5390"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391"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0.56</w:t>
            </w:r>
          </w:p>
        </w:tc>
        <w:tc>
          <w:tcPr>
            <w:tcW w:w="378" w:type="dxa"/>
            <w:tcBorders>
              <w:top w:val="nil"/>
              <w:left w:val="nil"/>
              <w:bottom w:val="single" w:sz="4" w:space="0" w:color="auto"/>
              <w:right w:val="single" w:sz="4" w:space="0" w:color="auto"/>
            </w:tcBorders>
            <w:shd w:val="clear" w:color="auto" w:fill="auto"/>
            <w:noWrap/>
            <w:vAlign w:val="center"/>
            <w:hideMark/>
          </w:tcPr>
          <w:p w14:paraId="53C15392"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93"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0.31</w:t>
            </w:r>
          </w:p>
        </w:tc>
        <w:tc>
          <w:tcPr>
            <w:tcW w:w="378" w:type="dxa"/>
            <w:tcBorders>
              <w:top w:val="nil"/>
              <w:left w:val="nil"/>
              <w:bottom w:val="single" w:sz="4" w:space="0" w:color="auto"/>
              <w:right w:val="single" w:sz="4" w:space="0" w:color="auto"/>
            </w:tcBorders>
            <w:shd w:val="clear" w:color="auto" w:fill="auto"/>
            <w:noWrap/>
            <w:vAlign w:val="center"/>
            <w:hideMark/>
          </w:tcPr>
          <w:p w14:paraId="53C15394"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5395"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539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397"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39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5.50</w:t>
            </w:r>
          </w:p>
        </w:tc>
        <w:tc>
          <w:tcPr>
            <w:tcW w:w="378" w:type="dxa"/>
            <w:tcBorders>
              <w:top w:val="nil"/>
              <w:left w:val="nil"/>
              <w:bottom w:val="single" w:sz="4" w:space="0" w:color="auto"/>
              <w:right w:val="single" w:sz="4" w:space="0" w:color="auto"/>
            </w:tcBorders>
            <w:shd w:val="clear" w:color="auto" w:fill="auto"/>
            <w:noWrap/>
            <w:vAlign w:val="center"/>
            <w:hideMark/>
          </w:tcPr>
          <w:p w14:paraId="53C1539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9A"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539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9C"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539D"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9E"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9F"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3A0"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0.69</w:t>
            </w:r>
          </w:p>
        </w:tc>
        <w:tc>
          <w:tcPr>
            <w:tcW w:w="378" w:type="dxa"/>
            <w:tcBorders>
              <w:top w:val="nil"/>
              <w:left w:val="nil"/>
              <w:bottom w:val="single" w:sz="4" w:space="0" w:color="auto"/>
              <w:right w:val="single" w:sz="4" w:space="0" w:color="auto"/>
            </w:tcBorders>
            <w:shd w:val="clear" w:color="auto" w:fill="auto"/>
            <w:noWrap/>
            <w:vAlign w:val="center"/>
            <w:hideMark/>
          </w:tcPr>
          <w:p w14:paraId="53C153A1"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3A2"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A3"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A4"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A5"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A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1.38</w:t>
            </w:r>
          </w:p>
        </w:tc>
        <w:tc>
          <w:tcPr>
            <w:tcW w:w="378" w:type="dxa"/>
            <w:tcBorders>
              <w:top w:val="nil"/>
              <w:left w:val="nil"/>
              <w:bottom w:val="single" w:sz="4" w:space="0" w:color="auto"/>
              <w:right w:val="single" w:sz="4" w:space="0" w:color="auto"/>
            </w:tcBorders>
            <w:shd w:val="clear" w:color="auto" w:fill="auto"/>
            <w:noWrap/>
            <w:vAlign w:val="center"/>
            <w:hideMark/>
          </w:tcPr>
          <w:p w14:paraId="53C153A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A8"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A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AA"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0.69</w:t>
            </w:r>
          </w:p>
        </w:tc>
      </w:tr>
      <w:tr w:rsidR="007904CB" w:rsidRPr="00657AD4" w14:paraId="53C153CD" w14:textId="77777777" w:rsidTr="00C60606">
        <w:trPr>
          <w:trHeight w:hRule="exact" w:val="397"/>
        </w:trPr>
        <w:tc>
          <w:tcPr>
            <w:tcW w:w="389" w:type="dxa"/>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14:paraId="53C153AC" w14:textId="77777777" w:rsidR="007904CB" w:rsidRPr="007904CB" w:rsidRDefault="007904CB" w:rsidP="00235072">
            <w:pPr>
              <w:spacing w:after="0"/>
              <w:jc w:val="center"/>
              <w:rPr>
                <w:rFonts w:ascii="Arial Narrow" w:hAnsi="Arial Narrow"/>
                <w:sz w:val="18"/>
                <w:szCs w:val="18"/>
                <w:lang w:eastAsia="en-AU"/>
              </w:rPr>
            </w:pPr>
            <w:r w:rsidRPr="007904CB">
              <w:rPr>
                <w:rFonts w:ascii="Arial Narrow" w:hAnsi="Arial Narrow"/>
                <w:sz w:val="18"/>
                <w:szCs w:val="18"/>
                <w:lang w:eastAsia="en-AU"/>
              </w:rPr>
              <w:t>Fitzroy</w:t>
            </w:r>
          </w:p>
        </w:tc>
        <w:tc>
          <w:tcPr>
            <w:tcW w:w="1073" w:type="dxa"/>
            <w:vMerge w:val="restart"/>
            <w:tcBorders>
              <w:top w:val="single" w:sz="4" w:space="0" w:color="auto"/>
              <w:left w:val="nil"/>
              <w:right w:val="single" w:sz="4" w:space="0" w:color="auto"/>
            </w:tcBorders>
            <w:shd w:val="clear" w:color="auto" w:fill="auto"/>
            <w:noWrap/>
            <w:vAlign w:val="center"/>
          </w:tcPr>
          <w:p w14:paraId="53C153AD" w14:textId="77777777" w:rsidR="007904CB" w:rsidRPr="007904CB" w:rsidRDefault="007904CB" w:rsidP="00C60606">
            <w:pPr>
              <w:spacing w:after="0"/>
              <w:jc w:val="center"/>
              <w:rPr>
                <w:rFonts w:ascii="Arial Narrow" w:hAnsi="Arial Narrow"/>
                <w:sz w:val="18"/>
                <w:szCs w:val="18"/>
                <w:lang w:eastAsia="en-AU"/>
              </w:rPr>
            </w:pPr>
            <w:r w:rsidRPr="007904CB">
              <w:rPr>
                <w:rFonts w:ascii="Arial Narrow" w:hAnsi="Arial Narrow"/>
                <w:sz w:val="18"/>
                <w:szCs w:val="18"/>
              </w:rPr>
              <w:t>Barren</w:t>
            </w:r>
          </w:p>
        </w:tc>
        <w:tc>
          <w:tcPr>
            <w:tcW w:w="283" w:type="dxa"/>
            <w:tcBorders>
              <w:top w:val="nil"/>
              <w:left w:val="nil"/>
              <w:bottom w:val="single" w:sz="4" w:space="0" w:color="auto"/>
              <w:right w:val="single" w:sz="4" w:space="0" w:color="auto"/>
            </w:tcBorders>
            <w:shd w:val="clear" w:color="auto" w:fill="auto"/>
            <w:noWrap/>
            <w:vAlign w:val="center"/>
            <w:hideMark/>
          </w:tcPr>
          <w:p w14:paraId="53C153A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2</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53AF"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23.03</w:t>
            </w:r>
          </w:p>
        </w:tc>
        <w:tc>
          <w:tcPr>
            <w:tcW w:w="378" w:type="dxa"/>
            <w:tcBorders>
              <w:top w:val="nil"/>
              <w:left w:val="nil"/>
              <w:bottom w:val="single" w:sz="4" w:space="0" w:color="auto"/>
              <w:right w:val="single" w:sz="4" w:space="0" w:color="auto"/>
            </w:tcBorders>
            <w:shd w:val="clear" w:color="auto" w:fill="auto"/>
            <w:noWrap/>
            <w:vAlign w:val="center"/>
            <w:hideMark/>
          </w:tcPr>
          <w:p w14:paraId="53C153B0"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B1"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B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0.44</w:t>
            </w:r>
          </w:p>
        </w:tc>
        <w:tc>
          <w:tcPr>
            <w:tcW w:w="378" w:type="dxa"/>
            <w:tcBorders>
              <w:top w:val="nil"/>
              <w:left w:val="nil"/>
              <w:bottom w:val="single" w:sz="4" w:space="0" w:color="auto"/>
              <w:right w:val="single" w:sz="4" w:space="0" w:color="auto"/>
            </w:tcBorders>
            <w:shd w:val="clear" w:color="auto" w:fill="auto"/>
            <w:noWrap/>
            <w:vAlign w:val="center"/>
            <w:hideMark/>
          </w:tcPr>
          <w:p w14:paraId="53C153B3"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B4"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B5"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3B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3B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B8"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B9"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3BA"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BB"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1.82</w:t>
            </w:r>
          </w:p>
        </w:tc>
        <w:tc>
          <w:tcPr>
            <w:tcW w:w="378" w:type="dxa"/>
            <w:tcBorders>
              <w:top w:val="nil"/>
              <w:left w:val="nil"/>
              <w:bottom w:val="single" w:sz="4" w:space="0" w:color="auto"/>
              <w:right w:val="single" w:sz="4" w:space="0" w:color="auto"/>
            </w:tcBorders>
            <w:shd w:val="clear" w:color="auto" w:fill="auto"/>
            <w:noWrap/>
            <w:vAlign w:val="center"/>
            <w:hideMark/>
          </w:tcPr>
          <w:p w14:paraId="53C153BC"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53BD"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B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8.81</w:t>
            </w:r>
          </w:p>
        </w:tc>
        <w:tc>
          <w:tcPr>
            <w:tcW w:w="378" w:type="dxa"/>
            <w:tcBorders>
              <w:top w:val="nil"/>
              <w:left w:val="nil"/>
              <w:bottom w:val="single" w:sz="4" w:space="0" w:color="auto"/>
              <w:right w:val="single" w:sz="4" w:space="0" w:color="auto"/>
            </w:tcBorders>
            <w:shd w:val="clear" w:color="auto" w:fill="auto"/>
            <w:noWrap/>
            <w:vAlign w:val="center"/>
            <w:hideMark/>
          </w:tcPr>
          <w:p w14:paraId="53C153BF"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C0"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C1"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C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3C3"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C4"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C5"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C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0.50</w:t>
            </w:r>
          </w:p>
        </w:tc>
        <w:tc>
          <w:tcPr>
            <w:tcW w:w="378" w:type="dxa"/>
            <w:tcBorders>
              <w:top w:val="nil"/>
              <w:left w:val="nil"/>
              <w:bottom w:val="single" w:sz="4" w:space="0" w:color="auto"/>
              <w:right w:val="single" w:sz="4" w:space="0" w:color="auto"/>
            </w:tcBorders>
            <w:shd w:val="clear" w:color="auto" w:fill="auto"/>
            <w:noWrap/>
            <w:vAlign w:val="center"/>
            <w:hideMark/>
          </w:tcPr>
          <w:p w14:paraId="53C153C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C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0.38</w:t>
            </w:r>
          </w:p>
        </w:tc>
        <w:tc>
          <w:tcPr>
            <w:tcW w:w="378" w:type="dxa"/>
            <w:tcBorders>
              <w:top w:val="nil"/>
              <w:left w:val="nil"/>
              <w:bottom w:val="single" w:sz="4" w:space="0" w:color="auto"/>
              <w:right w:val="single" w:sz="4" w:space="0" w:color="auto"/>
            </w:tcBorders>
            <w:shd w:val="clear" w:color="auto" w:fill="auto"/>
            <w:noWrap/>
            <w:vAlign w:val="center"/>
            <w:hideMark/>
          </w:tcPr>
          <w:p w14:paraId="53C153C9"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3CA"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C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CC"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0.58</w:t>
            </w:r>
          </w:p>
        </w:tc>
      </w:tr>
      <w:tr w:rsidR="007904CB" w:rsidRPr="00657AD4" w14:paraId="53C153EF"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53CE" w14:textId="77777777" w:rsidR="007904CB" w:rsidRPr="007904CB" w:rsidRDefault="007904CB" w:rsidP="00235072">
            <w:pPr>
              <w:spacing w:after="0"/>
              <w:jc w:val="left"/>
              <w:rPr>
                <w:rFonts w:ascii="Arial Narrow" w:hAnsi="Arial Narrow"/>
                <w:sz w:val="18"/>
                <w:szCs w:val="18"/>
                <w:lang w:eastAsia="en-AU"/>
              </w:rPr>
            </w:pPr>
          </w:p>
        </w:tc>
        <w:tc>
          <w:tcPr>
            <w:tcW w:w="1073" w:type="dxa"/>
            <w:vMerge/>
            <w:tcBorders>
              <w:left w:val="single" w:sz="4" w:space="0" w:color="auto"/>
              <w:bottom w:val="single" w:sz="4" w:space="0" w:color="auto"/>
              <w:right w:val="single" w:sz="4" w:space="0" w:color="auto"/>
            </w:tcBorders>
            <w:shd w:val="clear" w:color="auto" w:fill="auto"/>
            <w:noWrap/>
            <w:vAlign w:val="center"/>
          </w:tcPr>
          <w:p w14:paraId="53C153CF" w14:textId="77777777" w:rsidR="007904CB" w:rsidRPr="007904CB" w:rsidRDefault="007904CB" w:rsidP="00C60606">
            <w:pPr>
              <w:spacing w:after="0"/>
              <w:jc w:val="center"/>
              <w:rPr>
                <w:rFonts w:ascii="Arial Narrow" w:hAnsi="Arial Narrow"/>
                <w:sz w:val="18"/>
                <w:szCs w:val="18"/>
                <w:lang w:eastAsia="en-AU"/>
              </w:rPr>
            </w:pPr>
          </w:p>
        </w:tc>
        <w:tc>
          <w:tcPr>
            <w:tcW w:w="283" w:type="dxa"/>
            <w:tcBorders>
              <w:top w:val="nil"/>
              <w:left w:val="nil"/>
              <w:bottom w:val="single" w:sz="4" w:space="0" w:color="auto"/>
              <w:right w:val="single" w:sz="4" w:space="0" w:color="auto"/>
            </w:tcBorders>
            <w:shd w:val="clear" w:color="auto" w:fill="auto"/>
            <w:noWrap/>
            <w:vAlign w:val="center"/>
            <w:hideMark/>
          </w:tcPr>
          <w:p w14:paraId="53C153D0"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5</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53D1"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59.97</w:t>
            </w:r>
          </w:p>
        </w:tc>
        <w:tc>
          <w:tcPr>
            <w:tcW w:w="378" w:type="dxa"/>
            <w:tcBorders>
              <w:top w:val="nil"/>
              <w:left w:val="nil"/>
              <w:bottom w:val="single" w:sz="4" w:space="0" w:color="auto"/>
              <w:right w:val="single" w:sz="4" w:space="0" w:color="auto"/>
            </w:tcBorders>
            <w:shd w:val="clear" w:color="auto" w:fill="auto"/>
            <w:noWrap/>
            <w:vAlign w:val="center"/>
            <w:hideMark/>
          </w:tcPr>
          <w:p w14:paraId="53C153D2"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D3"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D4"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D5"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D6"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D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D8"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D9"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3DA"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D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DC"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DD"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DE"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DF"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E0"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3.94</w:t>
            </w:r>
          </w:p>
        </w:tc>
        <w:tc>
          <w:tcPr>
            <w:tcW w:w="378" w:type="dxa"/>
            <w:tcBorders>
              <w:top w:val="nil"/>
              <w:left w:val="nil"/>
              <w:bottom w:val="single" w:sz="4" w:space="0" w:color="auto"/>
              <w:right w:val="single" w:sz="4" w:space="0" w:color="auto"/>
            </w:tcBorders>
            <w:shd w:val="clear" w:color="auto" w:fill="auto"/>
            <w:noWrap/>
            <w:vAlign w:val="center"/>
            <w:hideMark/>
          </w:tcPr>
          <w:p w14:paraId="53C153E1"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E2"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E3"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E4"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E5"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E6"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E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E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3E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EA"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E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EC"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ED"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EE" w14:textId="77777777" w:rsidR="007904CB" w:rsidRPr="00C60606" w:rsidRDefault="007904CB" w:rsidP="00235072">
            <w:pPr>
              <w:spacing w:after="0"/>
              <w:jc w:val="center"/>
              <w:rPr>
                <w:rFonts w:ascii="Arial Narrow" w:hAnsi="Arial Narrow"/>
                <w:sz w:val="16"/>
                <w:szCs w:val="16"/>
                <w:lang w:eastAsia="en-AU"/>
              </w:rPr>
            </w:pPr>
          </w:p>
        </w:tc>
      </w:tr>
      <w:tr w:rsidR="007904CB" w:rsidRPr="00657AD4" w14:paraId="53C15411"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53F0" w14:textId="77777777" w:rsidR="007904CB" w:rsidRPr="007904CB" w:rsidRDefault="007904CB" w:rsidP="00235072">
            <w:pPr>
              <w:spacing w:after="0"/>
              <w:jc w:val="left"/>
              <w:rPr>
                <w:rFonts w:ascii="Arial Narrow" w:hAnsi="Arial Narrow"/>
                <w:sz w:val="18"/>
                <w:szCs w:val="18"/>
                <w:lang w:eastAsia="en-AU"/>
              </w:rPr>
            </w:pPr>
          </w:p>
        </w:tc>
        <w:tc>
          <w:tcPr>
            <w:tcW w:w="1073" w:type="dxa"/>
            <w:vMerge w:val="restart"/>
            <w:tcBorders>
              <w:top w:val="single" w:sz="4" w:space="0" w:color="auto"/>
              <w:left w:val="single" w:sz="4" w:space="0" w:color="auto"/>
              <w:right w:val="single" w:sz="4" w:space="0" w:color="auto"/>
            </w:tcBorders>
            <w:shd w:val="clear" w:color="auto" w:fill="auto"/>
            <w:vAlign w:val="center"/>
          </w:tcPr>
          <w:p w14:paraId="53C153F1" w14:textId="77777777" w:rsidR="007904CB" w:rsidRPr="007904CB" w:rsidRDefault="007904CB" w:rsidP="00C60606">
            <w:pPr>
              <w:spacing w:after="0"/>
              <w:jc w:val="center"/>
              <w:rPr>
                <w:rFonts w:ascii="Arial Narrow" w:hAnsi="Arial Narrow"/>
                <w:sz w:val="18"/>
                <w:szCs w:val="18"/>
                <w:lang w:eastAsia="en-AU"/>
              </w:rPr>
            </w:pPr>
            <w:r w:rsidRPr="007904CB">
              <w:rPr>
                <w:rFonts w:ascii="Arial Narrow" w:hAnsi="Arial Narrow"/>
                <w:sz w:val="18"/>
                <w:szCs w:val="18"/>
              </w:rPr>
              <w:t>North Keppel</w:t>
            </w:r>
          </w:p>
        </w:tc>
        <w:tc>
          <w:tcPr>
            <w:tcW w:w="283" w:type="dxa"/>
            <w:tcBorders>
              <w:top w:val="nil"/>
              <w:left w:val="nil"/>
              <w:bottom w:val="single" w:sz="4" w:space="0" w:color="auto"/>
              <w:right w:val="single" w:sz="4" w:space="0" w:color="auto"/>
            </w:tcBorders>
            <w:shd w:val="clear" w:color="auto" w:fill="auto"/>
            <w:noWrap/>
            <w:vAlign w:val="center"/>
            <w:hideMark/>
          </w:tcPr>
          <w:p w14:paraId="53C153F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2</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53F3"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36.88</w:t>
            </w:r>
          </w:p>
        </w:tc>
        <w:tc>
          <w:tcPr>
            <w:tcW w:w="378" w:type="dxa"/>
            <w:tcBorders>
              <w:top w:val="nil"/>
              <w:left w:val="nil"/>
              <w:bottom w:val="single" w:sz="4" w:space="0" w:color="auto"/>
              <w:right w:val="single" w:sz="4" w:space="0" w:color="auto"/>
            </w:tcBorders>
            <w:shd w:val="clear" w:color="auto" w:fill="auto"/>
            <w:noWrap/>
            <w:vAlign w:val="center"/>
            <w:hideMark/>
          </w:tcPr>
          <w:p w14:paraId="53C153F4"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F5"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F6"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F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F8"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F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FA"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FB"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53FC"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FD"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FE"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3FF"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00"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01"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0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0.75</w:t>
            </w:r>
          </w:p>
        </w:tc>
        <w:tc>
          <w:tcPr>
            <w:tcW w:w="378" w:type="dxa"/>
            <w:tcBorders>
              <w:top w:val="nil"/>
              <w:left w:val="nil"/>
              <w:bottom w:val="single" w:sz="4" w:space="0" w:color="auto"/>
              <w:right w:val="single" w:sz="4" w:space="0" w:color="auto"/>
            </w:tcBorders>
            <w:shd w:val="clear" w:color="auto" w:fill="auto"/>
            <w:noWrap/>
            <w:vAlign w:val="center"/>
            <w:hideMark/>
          </w:tcPr>
          <w:p w14:paraId="53C15403"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04"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05"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06"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0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08"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0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0A"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40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0C"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0D"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0E"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0F"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10" w14:textId="77777777" w:rsidR="007904CB" w:rsidRPr="00C60606" w:rsidRDefault="007904CB" w:rsidP="00235072">
            <w:pPr>
              <w:spacing w:after="0"/>
              <w:jc w:val="center"/>
              <w:rPr>
                <w:rFonts w:ascii="Arial Narrow" w:hAnsi="Arial Narrow"/>
                <w:sz w:val="16"/>
                <w:szCs w:val="16"/>
                <w:lang w:eastAsia="en-AU"/>
              </w:rPr>
            </w:pPr>
          </w:p>
        </w:tc>
      </w:tr>
      <w:tr w:rsidR="007904CB" w:rsidRPr="00657AD4" w14:paraId="53C15433"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5412" w14:textId="77777777" w:rsidR="007904CB" w:rsidRPr="007904CB" w:rsidRDefault="007904CB" w:rsidP="00235072">
            <w:pPr>
              <w:spacing w:after="0"/>
              <w:jc w:val="left"/>
              <w:rPr>
                <w:rFonts w:ascii="Arial Narrow" w:hAnsi="Arial Narrow"/>
                <w:sz w:val="18"/>
                <w:szCs w:val="18"/>
                <w:lang w:eastAsia="en-AU"/>
              </w:rPr>
            </w:pPr>
          </w:p>
        </w:tc>
        <w:tc>
          <w:tcPr>
            <w:tcW w:w="1073" w:type="dxa"/>
            <w:vMerge/>
            <w:tcBorders>
              <w:left w:val="single" w:sz="4" w:space="0" w:color="auto"/>
              <w:bottom w:val="single" w:sz="4" w:space="0" w:color="auto"/>
              <w:right w:val="single" w:sz="4" w:space="0" w:color="auto"/>
            </w:tcBorders>
            <w:shd w:val="clear" w:color="auto" w:fill="auto"/>
            <w:noWrap/>
            <w:vAlign w:val="center"/>
          </w:tcPr>
          <w:p w14:paraId="53C15413" w14:textId="77777777" w:rsidR="007904CB" w:rsidRPr="007904CB" w:rsidRDefault="007904CB" w:rsidP="00C60606">
            <w:pPr>
              <w:spacing w:after="0"/>
              <w:jc w:val="center"/>
              <w:rPr>
                <w:rFonts w:ascii="Arial Narrow" w:hAnsi="Arial Narrow"/>
                <w:sz w:val="18"/>
                <w:szCs w:val="18"/>
                <w:lang w:eastAsia="en-AU"/>
              </w:rPr>
            </w:pPr>
          </w:p>
        </w:tc>
        <w:tc>
          <w:tcPr>
            <w:tcW w:w="283" w:type="dxa"/>
            <w:tcBorders>
              <w:top w:val="nil"/>
              <w:left w:val="nil"/>
              <w:bottom w:val="single" w:sz="4" w:space="0" w:color="auto"/>
              <w:right w:val="single" w:sz="4" w:space="0" w:color="auto"/>
            </w:tcBorders>
            <w:shd w:val="clear" w:color="auto" w:fill="auto"/>
            <w:noWrap/>
            <w:vAlign w:val="center"/>
            <w:hideMark/>
          </w:tcPr>
          <w:p w14:paraId="53C15414"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5</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5415"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18.00</w:t>
            </w:r>
          </w:p>
        </w:tc>
        <w:tc>
          <w:tcPr>
            <w:tcW w:w="378" w:type="dxa"/>
            <w:tcBorders>
              <w:top w:val="nil"/>
              <w:left w:val="nil"/>
              <w:bottom w:val="single" w:sz="4" w:space="0" w:color="auto"/>
              <w:right w:val="single" w:sz="4" w:space="0" w:color="auto"/>
            </w:tcBorders>
            <w:shd w:val="clear" w:color="auto" w:fill="auto"/>
            <w:noWrap/>
            <w:vAlign w:val="center"/>
            <w:hideMark/>
          </w:tcPr>
          <w:p w14:paraId="53C15416"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1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18"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1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1A"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1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1C"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1D"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541E"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1F"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20"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21"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2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5423"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24"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2.81</w:t>
            </w:r>
          </w:p>
        </w:tc>
        <w:tc>
          <w:tcPr>
            <w:tcW w:w="378" w:type="dxa"/>
            <w:tcBorders>
              <w:top w:val="nil"/>
              <w:left w:val="nil"/>
              <w:bottom w:val="single" w:sz="4" w:space="0" w:color="auto"/>
              <w:right w:val="single" w:sz="4" w:space="0" w:color="auto"/>
            </w:tcBorders>
            <w:shd w:val="clear" w:color="auto" w:fill="auto"/>
            <w:noWrap/>
            <w:vAlign w:val="center"/>
            <w:hideMark/>
          </w:tcPr>
          <w:p w14:paraId="53C15425"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2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42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28"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2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2A"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42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2C"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542D"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2E"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2F"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5430"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31"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43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r>
      <w:tr w:rsidR="007904CB" w:rsidRPr="00657AD4" w14:paraId="53C15455"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5434" w14:textId="77777777" w:rsidR="007904CB" w:rsidRPr="007904CB" w:rsidRDefault="007904CB" w:rsidP="00235072">
            <w:pPr>
              <w:spacing w:after="0"/>
              <w:jc w:val="left"/>
              <w:rPr>
                <w:rFonts w:ascii="Arial Narrow" w:hAnsi="Arial Narrow"/>
                <w:sz w:val="18"/>
                <w:szCs w:val="18"/>
                <w:lang w:eastAsia="en-AU"/>
              </w:rPr>
            </w:pPr>
          </w:p>
        </w:tc>
        <w:tc>
          <w:tcPr>
            <w:tcW w:w="1073" w:type="dxa"/>
            <w:vMerge w:val="restart"/>
            <w:tcBorders>
              <w:top w:val="nil"/>
              <w:left w:val="single" w:sz="4" w:space="0" w:color="auto"/>
              <w:right w:val="single" w:sz="4" w:space="0" w:color="auto"/>
            </w:tcBorders>
            <w:shd w:val="clear" w:color="auto" w:fill="auto"/>
            <w:vAlign w:val="center"/>
          </w:tcPr>
          <w:p w14:paraId="53C15435" w14:textId="77777777" w:rsidR="007904CB" w:rsidRPr="007904CB" w:rsidRDefault="007904CB" w:rsidP="00C60606">
            <w:pPr>
              <w:spacing w:after="0"/>
              <w:jc w:val="center"/>
              <w:rPr>
                <w:rFonts w:ascii="Arial Narrow" w:hAnsi="Arial Narrow"/>
                <w:sz w:val="18"/>
                <w:szCs w:val="18"/>
                <w:lang w:eastAsia="en-AU"/>
              </w:rPr>
            </w:pPr>
            <w:r w:rsidRPr="007904CB">
              <w:rPr>
                <w:rFonts w:ascii="Arial Narrow" w:hAnsi="Arial Narrow"/>
                <w:sz w:val="18"/>
                <w:szCs w:val="18"/>
              </w:rPr>
              <w:t>Middle</w:t>
            </w:r>
          </w:p>
        </w:tc>
        <w:tc>
          <w:tcPr>
            <w:tcW w:w="283" w:type="dxa"/>
            <w:tcBorders>
              <w:top w:val="nil"/>
              <w:left w:val="nil"/>
              <w:bottom w:val="single" w:sz="4" w:space="0" w:color="auto"/>
              <w:right w:val="single" w:sz="4" w:space="0" w:color="auto"/>
            </w:tcBorders>
            <w:shd w:val="clear" w:color="auto" w:fill="auto"/>
            <w:noWrap/>
            <w:vAlign w:val="center"/>
            <w:hideMark/>
          </w:tcPr>
          <w:p w14:paraId="53C1543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2</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5437"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29.00</w:t>
            </w:r>
          </w:p>
        </w:tc>
        <w:tc>
          <w:tcPr>
            <w:tcW w:w="378" w:type="dxa"/>
            <w:tcBorders>
              <w:top w:val="nil"/>
              <w:left w:val="nil"/>
              <w:bottom w:val="single" w:sz="4" w:space="0" w:color="auto"/>
              <w:right w:val="single" w:sz="4" w:space="0" w:color="auto"/>
            </w:tcBorders>
            <w:shd w:val="clear" w:color="auto" w:fill="auto"/>
            <w:noWrap/>
            <w:vAlign w:val="center"/>
            <w:hideMark/>
          </w:tcPr>
          <w:p w14:paraId="53C15438"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3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3A"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3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3C"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3D"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3E"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3F"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0.31</w:t>
            </w:r>
          </w:p>
        </w:tc>
        <w:tc>
          <w:tcPr>
            <w:tcW w:w="378" w:type="dxa"/>
            <w:tcBorders>
              <w:top w:val="nil"/>
              <w:left w:val="nil"/>
              <w:bottom w:val="single" w:sz="4" w:space="0" w:color="auto"/>
              <w:right w:val="single" w:sz="4" w:space="0" w:color="auto"/>
            </w:tcBorders>
            <w:shd w:val="clear" w:color="auto" w:fill="auto"/>
            <w:noWrap/>
            <w:vAlign w:val="center"/>
            <w:hideMark/>
          </w:tcPr>
          <w:p w14:paraId="53C15440"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41"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442"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43"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44"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45"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4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1.88</w:t>
            </w:r>
          </w:p>
        </w:tc>
        <w:tc>
          <w:tcPr>
            <w:tcW w:w="378" w:type="dxa"/>
            <w:tcBorders>
              <w:top w:val="nil"/>
              <w:left w:val="nil"/>
              <w:bottom w:val="single" w:sz="4" w:space="0" w:color="auto"/>
              <w:right w:val="single" w:sz="4" w:space="0" w:color="auto"/>
            </w:tcBorders>
            <w:shd w:val="clear" w:color="auto" w:fill="auto"/>
            <w:noWrap/>
            <w:vAlign w:val="center"/>
            <w:hideMark/>
          </w:tcPr>
          <w:p w14:paraId="53C1544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48"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4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4A"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4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4C"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0.31</w:t>
            </w:r>
          </w:p>
        </w:tc>
        <w:tc>
          <w:tcPr>
            <w:tcW w:w="378" w:type="dxa"/>
            <w:tcBorders>
              <w:top w:val="nil"/>
              <w:left w:val="nil"/>
              <w:bottom w:val="single" w:sz="4" w:space="0" w:color="auto"/>
              <w:right w:val="single" w:sz="4" w:space="0" w:color="auto"/>
            </w:tcBorders>
            <w:shd w:val="clear" w:color="auto" w:fill="auto"/>
            <w:noWrap/>
            <w:vAlign w:val="center"/>
            <w:hideMark/>
          </w:tcPr>
          <w:p w14:paraId="53C1544D"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4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0.81</w:t>
            </w:r>
          </w:p>
        </w:tc>
        <w:tc>
          <w:tcPr>
            <w:tcW w:w="378" w:type="dxa"/>
            <w:tcBorders>
              <w:top w:val="nil"/>
              <w:left w:val="nil"/>
              <w:bottom w:val="single" w:sz="4" w:space="0" w:color="auto"/>
              <w:right w:val="single" w:sz="4" w:space="0" w:color="auto"/>
            </w:tcBorders>
            <w:shd w:val="clear" w:color="auto" w:fill="auto"/>
            <w:noWrap/>
            <w:vAlign w:val="center"/>
            <w:hideMark/>
          </w:tcPr>
          <w:p w14:paraId="53C1544F"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50"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0.63</w:t>
            </w:r>
          </w:p>
        </w:tc>
        <w:tc>
          <w:tcPr>
            <w:tcW w:w="378" w:type="dxa"/>
            <w:tcBorders>
              <w:top w:val="nil"/>
              <w:left w:val="nil"/>
              <w:bottom w:val="single" w:sz="4" w:space="0" w:color="auto"/>
              <w:right w:val="single" w:sz="4" w:space="0" w:color="auto"/>
            </w:tcBorders>
            <w:shd w:val="clear" w:color="auto" w:fill="auto"/>
            <w:noWrap/>
            <w:vAlign w:val="center"/>
            <w:hideMark/>
          </w:tcPr>
          <w:p w14:paraId="53C15451"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52"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53"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54" w14:textId="77777777" w:rsidR="007904CB" w:rsidRPr="00C60606" w:rsidRDefault="007904CB" w:rsidP="00235072">
            <w:pPr>
              <w:spacing w:after="0"/>
              <w:jc w:val="center"/>
              <w:rPr>
                <w:rFonts w:ascii="Arial Narrow" w:hAnsi="Arial Narrow"/>
                <w:sz w:val="16"/>
                <w:szCs w:val="16"/>
                <w:lang w:eastAsia="en-AU"/>
              </w:rPr>
            </w:pPr>
          </w:p>
        </w:tc>
      </w:tr>
      <w:tr w:rsidR="007904CB" w:rsidRPr="00657AD4" w14:paraId="53C15477"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5456" w14:textId="77777777" w:rsidR="007904CB" w:rsidRPr="007904CB" w:rsidRDefault="007904CB" w:rsidP="00235072">
            <w:pPr>
              <w:spacing w:after="0"/>
              <w:jc w:val="left"/>
              <w:rPr>
                <w:rFonts w:ascii="Arial Narrow" w:hAnsi="Arial Narrow"/>
                <w:sz w:val="18"/>
                <w:szCs w:val="18"/>
                <w:lang w:eastAsia="en-AU"/>
              </w:rPr>
            </w:pPr>
          </w:p>
        </w:tc>
        <w:tc>
          <w:tcPr>
            <w:tcW w:w="1073" w:type="dxa"/>
            <w:vMerge/>
            <w:tcBorders>
              <w:left w:val="single" w:sz="4" w:space="0" w:color="auto"/>
              <w:bottom w:val="single" w:sz="4" w:space="0" w:color="auto"/>
              <w:right w:val="single" w:sz="4" w:space="0" w:color="auto"/>
            </w:tcBorders>
            <w:shd w:val="clear" w:color="auto" w:fill="auto"/>
            <w:noWrap/>
            <w:vAlign w:val="center"/>
          </w:tcPr>
          <w:p w14:paraId="53C15457" w14:textId="77777777" w:rsidR="007904CB" w:rsidRPr="007904CB" w:rsidRDefault="007904CB" w:rsidP="00C60606">
            <w:pPr>
              <w:spacing w:after="0"/>
              <w:jc w:val="center"/>
              <w:rPr>
                <w:rFonts w:ascii="Arial Narrow" w:hAnsi="Arial Narrow"/>
                <w:sz w:val="18"/>
                <w:szCs w:val="18"/>
                <w:lang w:eastAsia="en-AU"/>
              </w:rPr>
            </w:pPr>
          </w:p>
        </w:tc>
        <w:tc>
          <w:tcPr>
            <w:tcW w:w="283" w:type="dxa"/>
            <w:tcBorders>
              <w:top w:val="nil"/>
              <w:left w:val="nil"/>
              <w:bottom w:val="single" w:sz="4" w:space="0" w:color="auto"/>
              <w:right w:val="single" w:sz="4" w:space="0" w:color="auto"/>
            </w:tcBorders>
            <w:shd w:val="clear" w:color="auto" w:fill="auto"/>
            <w:noWrap/>
            <w:vAlign w:val="center"/>
            <w:hideMark/>
          </w:tcPr>
          <w:p w14:paraId="53C1545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5</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5459"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11.13</w:t>
            </w:r>
          </w:p>
        </w:tc>
        <w:tc>
          <w:tcPr>
            <w:tcW w:w="378" w:type="dxa"/>
            <w:tcBorders>
              <w:top w:val="nil"/>
              <w:left w:val="nil"/>
              <w:bottom w:val="single" w:sz="4" w:space="0" w:color="auto"/>
              <w:right w:val="single" w:sz="4" w:space="0" w:color="auto"/>
            </w:tcBorders>
            <w:shd w:val="clear" w:color="auto" w:fill="auto"/>
            <w:noWrap/>
            <w:vAlign w:val="center"/>
            <w:hideMark/>
          </w:tcPr>
          <w:p w14:paraId="53C1545A"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5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5C"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5D"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5E"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5F"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60"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61"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0.50</w:t>
            </w:r>
          </w:p>
        </w:tc>
        <w:tc>
          <w:tcPr>
            <w:tcW w:w="378" w:type="dxa"/>
            <w:tcBorders>
              <w:top w:val="nil"/>
              <w:left w:val="nil"/>
              <w:bottom w:val="single" w:sz="4" w:space="0" w:color="auto"/>
              <w:right w:val="single" w:sz="4" w:space="0" w:color="auto"/>
            </w:tcBorders>
            <w:shd w:val="clear" w:color="auto" w:fill="auto"/>
            <w:noWrap/>
            <w:vAlign w:val="center"/>
            <w:hideMark/>
          </w:tcPr>
          <w:p w14:paraId="53C15462"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63"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64"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65"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66"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6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6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2.25</w:t>
            </w:r>
          </w:p>
        </w:tc>
        <w:tc>
          <w:tcPr>
            <w:tcW w:w="378" w:type="dxa"/>
            <w:tcBorders>
              <w:top w:val="nil"/>
              <w:left w:val="nil"/>
              <w:bottom w:val="single" w:sz="4" w:space="0" w:color="auto"/>
              <w:right w:val="single" w:sz="4" w:space="0" w:color="auto"/>
            </w:tcBorders>
            <w:shd w:val="clear" w:color="auto" w:fill="auto"/>
            <w:noWrap/>
            <w:vAlign w:val="center"/>
            <w:hideMark/>
          </w:tcPr>
          <w:p w14:paraId="53C1546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6A"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6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6C"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6D"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6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46F"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70"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1.25</w:t>
            </w:r>
          </w:p>
        </w:tc>
        <w:tc>
          <w:tcPr>
            <w:tcW w:w="378" w:type="dxa"/>
            <w:tcBorders>
              <w:top w:val="nil"/>
              <w:left w:val="nil"/>
              <w:bottom w:val="single" w:sz="4" w:space="0" w:color="auto"/>
              <w:right w:val="single" w:sz="4" w:space="0" w:color="auto"/>
            </w:tcBorders>
            <w:shd w:val="clear" w:color="auto" w:fill="auto"/>
            <w:noWrap/>
            <w:vAlign w:val="center"/>
            <w:hideMark/>
          </w:tcPr>
          <w:p w14:paraId="53C15471"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7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473"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474"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75"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76" w14:textId="77777777" w:rsidR="007904CB" w:rsidRPr="00C60606" w:rsidRDefault="007904CB" w:rsidP="00235072">
            <w:pPr>
              <w:spacing w:after="0"/>
              <w:jc w:val="center"/>
              <w:rPr>
                <w:rFonts w:ascii="Arial Narrow" w:hAnsi="Arial Narrow"/>
                <w:sz w:val="16"/>
                <w:szCs w:val="16"/>
                <w:lang w:eastAsia="en-AU"/>
              </w:rPr>
            </w:pPr>
          </w:p>
        </w:tc>
      </w:tr>
      <w:tr w:rsidR="007904CB" w:rsidRPr="00657AD4" w14:paraId="53C1549A"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5478" w14:textId="77777777" w:rsidR="007904CB" w:rsidRPr="007904CB" w:rsidRDefault="007904CB" w:rsidP="00235072">
            <w:pPr>
              <w:spacing w:after="0"/>
              <w:jc w:val="left"/>
              <w:rPr>
                <w:rFonts w:ascii="Arial Narrow" w:hAnsi="Arial Narrow"/>
                <w:sz w:val="18"/>
                <w:szCs w:val="18"/>
                <w:lang w:eastAsia="en-AU"/>
              </w:rPr>
            </w:pPr>
          </w:p>
        </w:tc>
        <w:tc>
          <w:tcPr>
            <w:tcW w:w="1073" w:type="dxa"/>
            <w:vMerge w:val="restart"/>
            <w:tcBorders>
              <w:top w:val="single" w:sz="4" w:space="0" w:color="auto"/>
              <w:left w:val="single" w:sz="4" w:space="0" w:color="auto"/>
              <w:right w:val="single" w:sz="4" w:space="0" w:color="auto"/>
            </w:tcBorders>
            <w:shd w:val="clear" w:color="auto" w:fill="auto"/>
            <w:noWrap/>
            <w:vAlign w:val="center"/>
          </w:tcPr>
          <w:p w14:paraId="53C15479" w14:textId="77777777" w:rsidR="007904CB" w:rsidRPr="007904CB" w:rsidRDefault="007904CB" w:rsidP="00C60606">
            <w:pPr>
              <w:spacing w:after="0"/>
              <w:jc w:val="center"/>
              <w:rPr>
                <w:rFonts w:ascii="Arial Narrow" w:hAnsi="Arial Narrow"/>
                <w:sz w:val="18"/>
                <w:szCs w:val="18"/>
                <w:lang w:eastAsia="en-AU"/>
              </w:rPr>
            </w:pPr>
            <w:r w:rsidRPr="007904CB">
              <w:rPr>
                <w:rFonts w:ascii="Arial Narrow" w:hAnsi="Arial Narrow"/>
                <w:sz w:val="18"/>
                <w:szCs w:val="18"/>
              </w:rPr>
              <w:t>Keppels Sout</w:t>
            </w:r>
            <w:r w:rsidR="00C60606">
              <w:rPr>
                <w:rFonts w:ascii="Arial Narrow" w:hAnsi="Arial Narrow"/>
                <w:sz w:val="18"/>
                <w:szCs w:val="18"/>
              </w:rPr>
              <w:t>h</w:t>
            </w:r>
          </w:p>
          <w:p w14:paraId="53C1547A" w14:textId="77777777" w:rsidR="007904CB" w:rsidRPr="007904CB" w:rsidRDefault="007904CB" w:rsidP="00C60606">
            <w:pPr>
              <w:spacing w:after="0"/>
              <w:jc w:val="center"/>
              <w:rPr>
                <w:rFonts w:ascii="Arial Narrow" w:hAnsi="Arial Narrow"/>
                <w:sz w:val="18"/>
                <w:szCs w:val="18"/>
                <w:lang w:eastAsia="en-AU"/>
              </w:rPr>
            </w:pPr>
          </w:p>
        </w:tc>
        <w:tc>
          <w:tcPr>
            <w:tcW w:w="283" w:type="dxa"/>
            <w:tcBorders>
              <w:top w:val="nil"/>
              <w:left w:val="nil"/>
              <w:bottom w:val="single" w:sz="4" w:space="0" w:color="auto"/>
              <w:right w:val="single" w:sz="4" w:space="0" w:color="auto"/>
            </w:tcBorders>
            <w:shd w:val="clear" w:color="auto" w:fill="auto"/>
            <w:noWrap/>
            <w:vAlign w:val="center"/>
            <w:hideMark/>
          </w:tcPr>
          <w:p w14:paraId="53C1547B"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2</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547C"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17.24</w:t>
            </w:r>
          </w:p>
        </w:tc>
        <w:tc>
          <w:tcPr>
            <w:tcW w:w="378" w:type="dxa"/>
            <w:tcBorders>
              <w:top w:val="nil"/>
              <w:left w:val="nil"/>
              <w:bottom w:val="single" w:sz="4" w:space="0" w:color="auto"/>
              <w:right w:val="single" w:sz="4" w:space="0" w:color="auto"/>
            </w:tcBorders>
            <w:shd w:val="clear" w:color="auto" w:fill="auto"/>
            <w:noWrap/>
            <w:vAlign w:val="center"/>
            <w:hideMark/>
          </w:tcPr>
          <w:p w14:paraId="53C1547D"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7E"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7F"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5480"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81"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82"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83"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84"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485"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86"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8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88"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8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8A"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8B"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4.89</w:t>
            </w:r>
          </w:p>
        </w:tc>
        <w:tc>
          <w:tcPr>
            <w:tcW w:w="378" w:type="dxa"/>
            <w:tcBorders>
              <w:top w:val="nil"/>
              <w:left w:val="nil"/>
              <w:bottom w:val="single" w:sz="4" w:space="0" w:color="auto"/>
              <w:right w:val="single" w:sz="4" w:space="0" w:color="auto"/>
            </w:tcBorders>
            <w:shd w:val="clear" w:color="auto" w:fill="auto"/>
            <w:noWrap/>
            <w:vAlign w:val="center"/>
            <w:hideMark/>
          </w:tcPr>
          <w:p w14:paraId="53C1548C"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8D"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8E"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8F"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90"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91"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492"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93"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2.88</w:t>
            </w:r>
          </w:p>
        </w:tc>
        <w:tc>
          <w:tcPr>
            <w:tcW w:w="378" w:type="dxa"/>
            <w:tcBorders>
              <w:top w:val="nil"/>
              <w:left w:val="nil"/>
              <w:bottom w:val="single" w:sz="4" w:space="0" w:color="auto"/>
              <w:right w:val="single" w:sz="4" w:space="0" w:color="auto"/>
            </w:tcBorders>
            <w:shd w:val="clear" w:color="auto" w:fill="auto"/>
            <w:noWrap/>
            <w:vAlign w:val="center"/>
            <w:hideMark/>
          </w:tcPr>
          <w:p w14:paraId="53C15494"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95"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496"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9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98"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99"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r>
      <w:tr w:rsidR="007904CB" w:rsidRPr="00657AD4" w14:paraId="53C154BC"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549B" w14:textId="77777777" w:rsidR="007904CB" w:rsidRPr="007904CB" w:rsidRDefault="007904CB" w:rsidP="00235072">
            <w:pPr>
              <w:spacing w:after="0"/>
              <w:jc w:val="left"/>
              <w:rPr>
                <w:rFonts w:ascii="Arial Narrow" w:hAnsi="Arial Narrow"/>
                <w:sz w:val="18"/>
                <w:szCs w:val="18"/>
                <w:lang w:eastAsia="en-AU"/>
              </w:rPr>
            </w:pPr>
          </w:p>
        </w:tc>
        <w:tc>
          <w:tcPr>
            <w:tcW w:w="1073" w:type="dxa"/>
            <w:vMerge/>
            <w:tcBorders>
              <w:left w:val="single" w:sz="4" w:space="0" w:color="auto"/>
              <w:bottom w:val="single" w:sz="4" w:space="0" w:color="auto"/>
              <w:right w:val="single" w:sz="4" w:space="0" w:color="auto"/>
            </w:tcBorders>
            <w:shd w:val="clear" w:color="auto" w:fill="auto"/>
            <w:vAlign w:val="center"/>
          </w:tcPr>
          <w:p w14:paraId="53C1549C" w14:textId="77777777" w:rsidR="007904CB" w:rsidRPr="007904CB" w:rsidRDefault="007904CB" w:rsidP="00C60606">
            <w:pPr>
              <w:spacing w:after="0"/>
              <w:jc w:val="center"/>
              <w:rPr>
                <w:rFonts w:ascii="Arial Narrow" w:hAnsi="Arial Narrow"/>
                <w:sz w:val="18"/>
                <w:szCs w:val="18"/>
                <w:lang w:eastAsia="en-AU"/>
              </w:rPr>
            </w:pPr>
          </w:p>
        </w:tc>
        <w:tc>
          <w:tcPr>
            <w:tcW w:w="283" w:type="dxa"/>
            <w:tcBorders>
              <w:top w:val="nil"/>
              <w:left w:val="nil"/>
              <w:bottom w:val="single" w:sz="4" w:space="0" w:color="auto"/>
              <w:right w:val="single" w:sz="4" w:space="0" w:color="auto"/>
            </w:tcBorders>
            <w:shd w:val="clear" w:color="auto" w:fill="auto"/>
            <w:noWrap/>
            <w:vAlign w:val="center"/>
            <w:hideMark/>
          </w:tcPr>
          <w:p w14:paraId="53C1549D"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5</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549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28.31</w:t>
            </w:r>
          </w:p>
        </w:tc>
        <w:tc>
          <w:tcPr>
            <w:tcW w:w="378" w:type="dxa"/>
            <w:tcBorders>
              <w:top w:val="nil"/>
              <w:left w:val="nil"/>
              <w:bottom w:val="single" w:sz="4" w:space="0" w:color="auto"/>
              <w:right w:val="single" w:sz="4" w:space="0" w:color="auto"/>
            </w:tcBorders>
            <w:shd w:val="clear" w:color="auto" w:fill="auto"/>
            <w:noWrap/>
            <w:vAlign w:val="center"/>
            <w:hideMark/>
          </w:tcPr>
          <w:p w14:paraId="53C1549F"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A0"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A1"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A2"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A3"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A4"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A5"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A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4A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A8"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A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AA"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A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AC"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AD"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1.44</w:t>
            </w:r>
          </w:p>
        </w:tc>
        <w:tc>
          <w:tcPr>
            <w:tcW w:w="378" w:type="dxa"/>
            <w:tcBorders>
              <w:top w:val="nil"/>
              <w:left w:val="nil"/>
              <w:bottom w:val="single" w:sz="4" w:space="0" w:color="auto"/>
              <w:right w:val="single" w:sz="4" w:space="0" w:color="auto"/>
            </w:tcBorders>
            <w:shd w:val="clear" w:color="auto" w:fill="auto"/>
            <w:noWrap/>
            <w:vAlign w:val="center"/>
            <w:hideMark/>
          </w:tcPr>
          <w:p w14:paraId="53C154AE"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AF"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B0"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B1"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B2"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B3"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B4"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B5"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0.31</w:t>
            </w:r>
          </w:p>
        </w:tc>
        <w:tc>
          <w:tcPr>
            <w:tcW w:w="378" w:type="dxa"/>
            <w:tcBorders>
              <w:top w:val="nil"/>
              <w:left w:val="nil"/>
              <w:bottom w:val="single" w:sz="4" w:space="0" w:color="auto"/>
              <w:right w:val="single" w:sz="4" w:space="0" w:color="auto"/>
            </w:tcBorders>
            <w:shd w:val="clear" w:color="auto" w:fill="auto"/>
            <w:noWrap/>
            <w:vAlign w:val="center"/>
            <w:hideMark/>
          </w:tcPr>
          <w:p w14:paraId="53C154B6"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B7"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0.31</w:t>
            </w:r>
          </w:p>
        </w:tc>
        <w:tc>
          <w:tcPr>
            <w:tcW w:w="378" w:type="dxa"/>
            <w:tcBorders>
              <w:top w:val="nil"/>
              <w:left w:val="nil"/>
              <w:bottom w:val="single" w:sz="4" w:space="0" w:color="auto"/>
              <w:right w:val="single" w:sz="4" w:space="0" w:color="auto"/>
            </w:tcBorders>
            <w:shd w:val="clear" w:color="auto" w:fill="auto"/>
            <w:noWrap/>
            <w:vAlign w:val="center"/>
            <w:hideMark/>
          </w:tcPr>
          <w:p w14:paraId="53C154B8"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B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BA"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4BB"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r>
      <w:tr w:rsidR="007904CB" w:rsidRPr="00657AD4" w14:paraId="53C154DE"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54BD" w14:textId="77777777" w:rsidR="007904CB" w:rsidRPr="007904CB" w:rsidRDefault="007904CB" w:rsidP="00235072">
            <w:pPr>
              <w:spacing w:after="0"/>
              <w:jc w:val="left"/>
              <w:rPr>
                <w:rFonts w:ascii="Arial Narrow" w:hAnsi="Arial Narrow"/>
                <w:sz w:val="18"/>
                <w:szCs w:val="18"/>
                <w:lang w:eastAsia="en-AU"/>
              </w:rPr>
            </w:pPr>
          </w:p>
        </w:tc>
        <w:tc>
          <w:tcPr>
            <w:tcW w:w="1073" w:type="dxa"/>
            <w:vMerge w:val="restart"/>
            <w:tcBorders>
              <w:top w:val="nil"/>
              <w:left w:val="single" w:sz="4" w:space="0" w:color="auto"/>
              <w:right w:val="single" w:sz="4" w:space="0" w:color="auto"/>
            </w:tcBorders>
            <w:shd w:val="clear" w:color="auto" w:fill="auto"/>
            <w:noWrap/>
            <w:vAlign w:val="center"/>
          </w:tcPr>
          <w:p w14:paraId="53C154BE" w14:textId="77777777" w:rsidR="007904CB" w:rsidRPr="007904CB" w:rsidRDefault="007904CB" w:rsidP="00C60606">
            <w:pPr>
              <w:spacing w:after="0"/>
              <w:jc w:val="center"/>
              <w:rPr>
                <w:rFonts w:ascii="Arial Narrow" w:hAnsi="Arial Narrow"/>
                <w:sz w:val="18"/>
                <w:szCs w:val="18"/>
                <w:lang w:eastAsia="en-AU"/>
              </w:rPr>
            </w:pPr>
            <w:r w:rsidRPr="007904CB">
              <w:rPr>
                <w:rFonts w:ascii="Arial Narrow" w:hAnsi="Arial Narrow"/>
                <w:sz w:val="18"/>
                <w:szCs w:val="18"/>
              </w:rPr>
              <w:t>Pelican</w:t>
            </w:r>
          </w:p>
        </w:tc>
        <w:tc>
          <w:tcPr>
            <w:tcW w:w="283" w:type="dxa"/>
            <w:tcBorders>
              <w:top w:val="nil"/>
              <w:left w:val="nil"/>
              <w:bottom w:val="single" w:sz="4" w:space="0" w:color="auto"/>
              <w:right w:val="single" w:sz="4" w:space="0" w:color="auto"/>
            </w:tcBorders>
            <w:shd w:val="clear" w:color="auto" w:fill="auto"/>
            <w:noWrap/>
            <w:vAlign w:val="center"/>
            <w:hideMark/>
          </w:tcPr>
          <w:p w14:paraId="53C154BF"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2</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54C0"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C1"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C2"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C3"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4C4"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C5"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C6"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C7"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4C8"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C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CA"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C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CC"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CD"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CE"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CF"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4D0"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D1"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D2"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D3"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D4"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D5"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D6"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54D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D8"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D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DA"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4D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DC"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DD" w14:textId="77777777" w:rsidR="007904CB" w:rsidRPr="00C60606" w:rsidRDefault="007904CB" w:rsidP="00235072">
            <w:pPr>
              <w:spacing w:after="0"/>
              <w:jc w:val="center"/>
              <w:rPr>
                <w:rFonts w:ascii="Arial Narrow" w:hAnsi="Arial Narrow"/>
                <w:sz w:val="16"/>
                <w:szCs w:val="16"/>
                <w:lang w:eastAsia="en-AU"/>
              </w:rPr>
            </w:pPr>
          </w:p>
        </w:tc>
      </w:tr>
      <w:tr w:rsidR="007904CB" w:rsidRPr="00657AD4" w14:paraId="53C15500"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54DF" w14:textId="77777777" w:rsidR="007904CB" w:rsidRPr="007904CB" w:rsidRDefault="007904CB" w:rsidP="00235072">
            <w:pPr>
              <w:spacing w:after="0"/>
              <w:jc w:val="left"/>
              <w:rPr>
                <w:rFonts w:ascii="Arial Narrow" w:hAnsi="Arial Narrow"/>
                <w:sz w:val="18"/>
                <w:szCs w:val="18"/>
                <w:lang w:eastAsia="en-AU"/>
              </w:rPr>
            </w:pPr>
          </w:p>
        </w:tc>
        <w:tc>
          <w:tcPr>
            <w:tcW w:w="1073" w:type="dxa"/>
            <w:vMerge/>
            <w:tcBorders>
              <w:left w:val="single" w:sz="4" w:space="0" w:color="auto"/>
              <w:bottom w:val="single" w:sz="4" w:space="0" w:color="auto"/>
              <w:right w:val="single" w:sz="4" w:space="0" w:color="auto"/>
            </w:tcBorders>
            <w:shd w:val="clear" w:color="auto" w:fill="auto"/>
            <w:vAlign w:val="center"/>
          </w:tcPr>
          <w:p w14:paraId="53C154E0" w14:textId="77777777" w:rsidR="007904CB" w:rsidRPr="007904CB" w:rsidRDefault="007904CB" w:rsidP="00C60606">
            <w:pPr>
              <w:spacing w:after="0"/>
              <w:jc w:val="center"/>
              <w:rPr>
                <w:rFonts w:ascii="Arial Narrow" w:hAnsi="Arial Narrow"/>
                <w:sz w:val="18"/>
                <w:szCs w:val="18"/>
                <w:lang w:eastAsia="en-AU"/>
              </w:rPr>
            </w:pPr>
          </w:p>
        </w:tc>
        <w:tc>
          <w:tcPr>
            <w:tcW w:w="283" w:type="dxa"/>
            <w:tcBorders>
              <w:top w:val="nil"/>
              <w:left w:val="nil"/>
              <w:bottom w:val="single" w:sz="4" w:space="0" w:color="auto"/>
              <w:right w:val="single" w:sz="4" w:space="0" w:color="auto"/>
            </w:tcBorders>
            <w:shd w:val="clear" w:color="auto" w:fill="auto"/>
            <w:noWrap/>
            <w:vAlign w:val="center"/>
            <w:hideMark/>
          </w:tcPr>
          <w:p w14:paraId="53C154E1"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5</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54E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4E3"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3.00</w:t>
            </w:r>
          </w:p>
        </w:tc>
        <w:tc>
          <w:tcPr>
            <w:tcW w:w="378" w:type="dxa"/>
            <w:tcBorders>
              <w:top w:val="nil"/>
              <w:left w:val="nil"/>
              <w:bottom w:val="single" w:sz="4" w:space="0" w:color="auto"/>
              <w:right w:val="single" w:sz="4" w:space="0" w:color="auto"/>
            </w:tcBorders>
            <w:shd w:val="clear" w:color="auto" w:fill="auto"/>
            <w:noWrap/>
            <w:vAlign w:val="center"/>
            <w:hideMark/>
          </w:tcPr>
          <w:p w14:paraId="53C154E4"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E5"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0.56</w:t>
            </w:r>
          </w:p>
        </w:tc>
        <w:tc>
          <w:tcPr>
            <w:tcW w:w="378" w:type="dxa"/>
            <w:tcBorders>
              <w:top w:val="nil"/>
              <w:left w:val="nil"/>
              <w:bottom w:val="single" w:sz="4" w:space="0" w:color="auto"/>
              <w:right w:val="single" w:sz="4" w:space="0" w:color="auto"/>
            </w:tcBorders>
            <w:shd w:val="clear" w:color="auto" w:fill="auto"/>
            <w:noWrap/>
            <w:vAlign w:val="center"/>
            <w:hideMark/>
          </w:tcPr>
          <w:p w14:paraId="53C154E6"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E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E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4E9"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2.81</w:t>
            </w:r>
          </w:p>
        </w:tc>
        <w:tc>
          <w:tcPr>
            <w:tcW w:w="378" w:type="dxa"/>
            <w:tcBorders>
              <w:top w:val="nil"/>
              <w:left w:val="nil"/>
              <w:bottom w:val="single" w:sz="4" w:space="0" w:color="auto"/>
              <w:right w:val="single" w:sz="4" w:space="0" w:color="auto"/>
            </w:tcBorders>
            <w:shd w:val="clear" w:color="auto" w:fill="auto"/>
            <w:noWrap/>
            <w:vAlign w:val="center"/>
            <w:hideMark/>
          </w:tcPr>
          <w:p w14:paraId="53C154EA"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E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EC"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1.13</w:t>
            </w:r>
          </w:p>
        </w:tc>
        <w:tc>
          <w:tcPr>
            <w:tcW w:w="378" w:type="dxa"/>
            <w:tcBorders>
              <w:top w:val="nil"/>
              <w:left w:val="nil"/>
              <w:bottom w:val="single" w:sz="4" w:space="0" w:color="auto"/>
              <w:right w:val="single" w:sz="4" w:space="0" w:color="auto"/>
            </w:tcBorders>
            <w:shd w:val="clear" w:color="auto" w:fill="auto"/>
            <w:noWrap/>
            <w:vAlign w:val="center"/>
            <w:hideMark/>
          </w:tcPr>
          <w:p w14:paraId="53C154ED"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0.44</w:t>
            </w:r>
          </w:p>
        </w:tc>
        <w:tc>
          <w:tcPr>
            <w:tcW w:w="378" w:type="dxa"/>
            <w:tcBorders>
              <w:top w:val="nil"/>
              <w:left w:val="nil"/>
              <w:bottom w:val="single" w:sz="4" w:space="0" w:color="auto"/>
              <w:right w:val="single" w:sz="4" w:space="0" w:color="auto"/>
            </w:tcBorders>
            <w:shd w:val="clear" w:color="auto" w:fill="auto"/>
            <w:noWrap/>
            <w:vAlign w:val="center"/>
            <w:hideMark/>
          </w:tcPr>
          <w:p w14:paraId="53C154EE"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EF"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0.31</w:t>
            </w:r>
          </w:p>
        </w:tc>
        <w:tc>
          <w:tcPr>
            <w:tcW w:w="378" w:type="dxa"/>
            <w:tcBorders>
              <w:top w:val="nil"/>
              <w:left w:val="nil"/>
              <w:bottom w:val="single" w:sz="4" w:space="0" w:color="auto"/>
              <w:right w:val="single" w:sz="4" w:space="0" w:color="auto"/>
            </w:tcBorders>
            <w:shd w:val="clear" w:color="auto" w:fill="auto"/>
            <w:noWrap/>
            <w:vAlign w:val="center"/>
            <w:hideMark/>
          </w:tcPr>
          <w:p w14:paraId="53C154F0"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F1"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54F2"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F3"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F4"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F5"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F6"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F7"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0.63</w:t>
            </w:r>
          </w:p>
        </w:tc>
        <w:tc>
          <w:tcPr>
            <w:tcW w:w="378" w:type="dxa"/>
            <w:tcBorders>
              <w:top w:val="nil"/>
              <w:left w:val="nil"/>
              <w:bottom w:val="single" w:sz="4" w:space="0" w:color="auto"/>
              <w:right w:val="single" w:sz="4" w:space="0" w:color="auto"/>
            </w:tcBorders>
            <w:shd w:val="clear" w:color="auto" w:fill="auto"/>
            <w:noWrap/>
            <w:vAlign w:val="center"/>
            <w:hideMark/>
          </w:tcPr>
          <w:p w14:paraId="53C154F8"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0.19</w:t>
            </w:r>
          </w:p>
        </w:tc>
        <w:tc>
          <w:tcPr>
            <w:tcW w:w="378" w:type="dxa"/>
            <w:tcBorders>
              <w:top w:val="nil"/>
              <w:left w:val="nil"/>
              <w:bottom w:val="single" w:sz="4" w:space="0" w:color="auto"/>
              <w:right w:val="single" w:sz="4" w:space="0" w:color="auto"/>
            </w:tcBorders>
            <w:shd w:val="clear" w:color="auto" w:fill="auto"/>
            <w:noWrap/>
            <w:vAlign w:val="center"/>
            <w:hideMark/>
          </w:tcPr>
          <w:p w14:paraId="53C154F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FA"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F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FC"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0.81</w:t>
            </w:r>
          </w:p>
        </w:tc>
        <w:tc>
          <w:tcPr>
            <w:tcW w:w="378" w:type="dxa"/>
            <w:tcBorders>
              <w:top w:val="nil"/>
              <w:left w:val="nil"/>
              <w:bottom w:val="single" w:sz="4" w:space="0" w:color="auto"/>
              <w:right w:val="single" w:sz="4" w:space="0" w:color="auto"/>
            </w:tcBorders>
            <w:shd w:val="clear" w:color="auto" w:fill="auto"/>
            <w:noWrap/>
            <w:vAlign w:val="center"/>
            <w:hideMark/>
          </w:tcPr>
          <w:p w14:paraId="53C154FD"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4F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1.69</w:t>
            </w:r>
          </w:p>
        </w:tc>
        <w:tc>
          <w:tcPr>
            <w:tcW w:w="378" w:type="dxa"/>
            <w:tcBorders>
              <w:top w:val="nil"/>
              <w:left w:val="nil"/>
              <w:bottom w:val="single" w:sz="4" w:space="0" w:color="auto"/>
              <w:right w:val="single" w:sz="4" w:space="0" w:color="auto"/>
            </w:tcBorders>
            <w:shd w:val="clear" w:color="auto" w:fill="auto"/>
            <w:noWrap/>
            <w:vAlign w:val="center"/>
            <w:hideMark/>
          </w:tcPr>
          <w:p w14:paraId="53C154FF"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0.63</w:t>
            </w:r>
          </w:p>
        </w:tc>
      </w:tr>
      <w:tr w:rsidR="007904CB" w:rsidRPr="00657AD4" w14:paraId="53C15522" w14:textId="77777777" w:rsidTr="00C60606">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5501" w14:textId="77777777" w:rsidR="007904CB" w:rsidRPr="007904CB" w:rsidRDefault="007904CB" w:rsidP="00235072">
            <w:pPr>
              <w:spacing w:after="0"/>
              <w:jc w:val="left"/>
              <w:rPr>
                <w:rFonts w:ascii="Arial Narrow" w:hAnsi="Arial Narrow"/>
                <w:sz w:val="18"/>
                <w:szCs w:val="18"/>
                <w:lang w:eastAsia="en-AU"/>
              </w:rPr>
            </w:pPr>
          </w:p>
        </w:tc>
        <w:tc>
          <w:tcPr>
            <w:tcW w:w="1073" w:type="dxa"/>
            <w:vMerge w:val="restart"/>
            <w:tcBorders>
              <w:top w:val="nil"/>
              <w:left w:val="single" w:sz="4" w:space="0" w:color="auto"/>
              <w:right w:val="single" w:sz="4" w:space="0" w:color="auto"/>
            </w:tcBorders>
            <w:shd w:val="clear" w:color="auto" w:fill="auto"/>
            <w:noWrap/>
            <w:vAlign w:val="center"/>
          </w:tcPr>
          <w:p w14:paraId="53C15502" w14:textId="77777777" w:rsidR="007904CB" w:rsidRPr="007904CB" w:rsidRDefault="007904CB" w:rsidP="00C60606">
            <w:pPr>
              <w:spacing w:after="0"/>
              <w:jc w:val="center"/>
              <w:rPr>
                <w:rFonts w:ascii="Arial Narrow" w:hAnsi="Arial Narrow"/>
                <w:sz w:val="18"/>
                <w:szCs w:val="18"/>
                <w:lang w:eastAsia="en-AU"/>
              </w:rPr>
            </w:pPr>
            <w:r w:rsidRPr="007904CB">
              <w:rPr>
                <w:rFonts w:ascii="Arial Narrow" w:hAnsi="Arial Narrow"/>
                <w:sz w:val="18"/>
                <w:szCs w:val="18"/>
              </w:rPr>
              <w:t>Peak</w:t>
            </w:r>
          </w:p>
        </w:tc>
        <w:tc>
          <w:tcPr>
            <w:tcW w:w="283" w:type="dxa"/>
            <w:tcBorders>
              <w:top w:val="nil"/>
              <w:left w:val="nil"/>
              <w:bottom w:val="single" w:sz="4" w:space="0" w:color="auto"/>
              <w:right w:val="single" w:sz="4" w:space="0" w:color="auto"/>
            </w:tcBorders>
            <w:shd w:val="clear" w:color="auto" w:fill="auto"/>
            <w:noWrap/>
            <w:vAlign w:val="center"/>
            <w:hideMark/>
          </w:tcPr>
          <w:p w14:paraId="53C15503"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2</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5504"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505"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506"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507"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0.94</w:t>
            </w:r>
          </w:p>
        </w:tc>
        <w:tc>
          <w:tcPr>
            <w:tcW w:w="378" w:type="dxa"/>
            <w:tcBorders>
              <w:top w:val="nil"/>
              <w:left w:val="nil"/>
              <w:bottom w:val="single" w:sz="4" w:space="0" w:color="auto"/>
              <w:right w:val="single" w:sz="4" w:space="0" w:color="auto"/>
            </w:tcBorders>
            <w:shd w:val="clear" w:color="auto" w:fill="auto"/>
            <w:noWrap/>
            <w:vAlign w:val="center"/>
            <w:hideMark/>
          </w:tcPr>
          <w:p w14:paraId="53C15508"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50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50A"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0.38</w:t>
            </w:r>
          </w:p>
        </w:tc>
        <w:tc>
          <w:tcPr>
            <w:tcW w:w="378" w:type="dxa"/>
            <w:tcBorders>
              <w:top w:val="nil"/>
              <w:left w:val="nil"/>
              <w:bottom w:val="single" w:sz="4" w:space="0" w:color="auto"/>
              <w:right w:val="single" w:sz="4" w:space="0" w:color="auto"/>
            </w:tcBorders>
            <w:shd w:val="clear" w:color="auto" w:fill="auto"/>
            <w:noWrap/>
            <w:vAlign w:val="center"/>
            <w:hideMark/>
          </w:tcPr>
          <w:p w14:paraId="53C1550B"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0.13</w:t>
            </w:r>
          </w:p>
        </w:tc>
        <w:tc>
          <w:tcPr>
            <w:tcW w:w="378" w:type="dxa"/>
            <w:tcBorders>
              <w:top w:val="nil"/>
              <w:left w:val="nil"/>
              <w:bottom w:val="single" w:sz="4" w:space="0" w:color="auto"/>
              <w:right w:val="single" w:sz="4" w:space="0" w:color="auto"/>
            </w:tcBorders>
            <w:shd w:val="clear" w:color="auto" w:fill="auto"/>
            <w:noWrap/>
            <w:vAlign w:val="center"/>
            <w:hideMark/>
          </w:tcPr>
          <w:p w14:paraId="53C1550C"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50D"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50E"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50F"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510"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511"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512"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513"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514"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515"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516"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51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518"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519"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51A"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2.94</w:t>
            </w:r>
          </w:p>
        </w:tc>
        <w:tc>
          <w:tcPr>
            <w:tcW w:w="378" w:type="dxa"/>
            <w:tcBorders>
              <w:top w:val="nil"/>
              <w:left w:val="nil"/>
              <w:bottom w:val="single" w:sz="4" w:space="0" w:color="auto"/>
              <w:right w:val="single" w:sz="4" w:space="0" w:color="auto"/>
            </w:tcBorders>
            <w:shd w:val="clear" w:color="auto" w:fill="auto"/>
            <w:noWrap/>
            <w:vAlign w:val="center"/>
            <w:hideMark/>
          </w:tcPr>
          <w:p w14:paraId="53C1551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51C"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51D"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0.56</w:t>
            </w:r>
          </w:p>
        </w:tc>
        <w:tc>
          <w:tcPr>
            <w:tcW w:w="378" w:type="dxa"/>
            <w:tcBorders>
              <w:top w:val="nil"/>
              <w:left w:val="nil"/>
              <w:bottom w:val="single" w:sz="4" w:space="0" w:color="auto"/>
              <w:right w:val="single" w:sz="4" w:space="0" w:color="auto"/>
            </w:tcBorders>
            <w:shd w:val="clear" w:color="auto" w:fill="auto"/>
            <w:noWrap/>
            <w:vAlign w:val="center"/>
            <w:hideMark/>
          </w:tcPr>
          <w:p w14:paraId="53C1551E"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2.38</w:t>
            </w:r>
          </w:p>
        </w:tc>
        <w:tc>
          <w:tcPr>
            <w:tcW w:w="378" w:type="dxa"/>
            <w:tcBorders>
              <w:top w:val="nil"/>
              <w:left w:val="nil"/>
              <w:bottom w:val="single" w:sz="4" w:space="0" w:color="auto"/>
              <w:right w:val="single" w:sz="4" w:space="0" w:color="auto"/>
            </w:tcBorders>
            <w:shd w:val="clear" w:color="auto" w:fill="auto"/>
            <w:noWrap/>
            <w:vAlign w:val="center"/>
            <w:hideMark/>
          </w:tcPr>
          <w:p w14:paraId="53C1551F"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520"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521"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0.31</w:t>
            </w:r>
          </w:p>
        </w:tc>
      </w:tr>
      <w:tr w:rsidR="007904CB" w:rsidRPr="00657AD4" w14:paraId="53C15544" w14:textId="77777777" w:rsidTr="007904CB">
        <w:trPr>
          <w:trHeight w:hRule="exact" w:val="397"/>
        </w:trPr>
        <w:tc>
          <w:tcPr>
            <w:tcW w:w="389" w:type="dxa"/>
            <w:vMerge/>
            <w:tcBorders>
              <w:top w:val="nil"/>
              <w:left w:val="single" w:sz="4" w:space="0" w:color="auto"/>
              <w:bottom w:val="single" w:sz="4" w:space="0" w:color="auto"/>
              <w:right w:val="single" w:sz="4" w:space="0" w:color="auto"/>
            </w:tcBorders>
            <w:vAlign w:val="center"/>
            <w:hideMark/>
          </w:tcPr>
          <w:p w14:paraId="53C15523" w14:textId="77777777" w:rsidR="007904CB" w:rsidRPr="00657AD4" w:rsidRDefault="007904CB" w:rsidP="00235072">
            <w:pPr>
              <w:spacing w:after="0"/>
              <w:jc w:val="left"/>
              <w:rPr>
                <w:rFonts w:ascii="Arial Narrow" w:hAnsi="Arial Narrow"/>
                <w:sz w:val="18"/>
                <w:szCs w:val="18"/>
                <w:lang w:eastAsia="en-AU"/>
              </w:rPr>
            </w:pPr>
          </w:p>
        </w:tc>
        <w:tc>
          <w:tcPr>
            <w:tcW w:w="1073" w:type="dxa"/>
            <w:vMerge/>
            <w:tcBorders>
              <w:left w:val="single" w:sz="4" w:space="0" w:color="auto"/>
              <w:bottom w:val="single" w:sz="4" w:space="0" w:color="auto"/>
              <w:right w:val="single" w:sz="4" w:space="0" w:color="auto"/>
            </w:tcBorders>
            <w:shd w:val="clear" w:color="auto" w:fill="auto"/>
          </w:tcPr>
          <w:p w14:paraId="53C15524" w14:textId="77777777" w:rsidR="007904CB" w:rsidRPr="00657AD4" w:rsidRDefault="007904CB" w:rsidP="00235072">
            <w:pPr>
              <w:spacing w:after="0"/>
              <w:jc w:val="center"/>
              <w:rPr>
                <w:rFonts w:ascii="Arial Narrow" w:hAnsi="Arial Narrow"/>
                <w:sz w:val="14"/>
                <w:szCs w:val="14"/>
                <w:lang w:eastAsia="en-AU"/>
              </w:rPr>
            </w:pPr>
          </w:p>
        </w:tc>
        <w:tc>
          <w:tcPr>
            <w:tcW w:w="283" w:type="dxa"/>
            <w:tcBorders>
              <w:top w:val="nil"/>
              <w:left w:val="nil"/>
              <w:bottom w:val="single" w:sz="4" w:space="0" w:color="auto"/>
              <w:right w:val="single" w:sz="4" w:space="0" w:color="auto"/>
            </w:tcBorders>
            <w:shd w:val="clear" w:color="auto" w:fill="auto"/>
            <w:noWrap/>
            <w:vAlign w:val="center"/>
            <w:hideMark/>
          </w:tcPr>
          <w:p w14:paraId="53C15525"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lang w:eastAsia="en-AU"/>
              </w:rPr>
              <w:t>5</w:t>
            </w:r>
          </w:p>
        </w:tc>
        <w:tc>
          <w:tcPr>
            <w:tcW w:w="378" w:type="dxa"/>
            <w:tcBorders>
              <w:top w:val="nil"/>
              <w:left w:val="single" w:sz="4" w:space="0" w:color="auto"/>
              <w:bottom w:val="single" w:sz="4" w:space="0" w:color="auto"/>
              <w:right w:val="single" w:sz="4" w:space="0" w:color="auto"/>
            </w:tcBorders>
            <w:shd w:val="clear" w:color="auto" w:fill="auto"/>
            <w:noWrap/>
            <w:vAlign w:val="center"/>
            <w:hideMark/>
          </w:tcPr>
          <w:p w14:paraId="53C15526"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527"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0.25</w:t>
            </w:r>
          </w:p>
        </w:tc>
        <w:tc>
          <w:tcPr>
            <w:tcW w:w="378" w:type="dxa"/>
            <w:tcBorders>
              <w:top w:val="nil"/>
              <w:left w:val="nil"/>
              <w:bottom w:val="single" w:sz="4" w:space="0" w:color="auto"/>
              <w:right w:val="single" w:sz="4" w:space="0" w:color="auto"/>
            </w:tcBorders>
            <w:shd w:val="clear" w:color="auto" w:fill="auto"/>
            <w:noWrap/>
            <w:vAlign w:val="center"/>
            <w:hideMark/>
          </w:tcPr>
          <w:p w14:paraId="53C15528"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529"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2.63</w:t>
            </w:r>
          </w:p>
        </w:tc>
        <w:tc>
          <w:tcPr>
            <w:tcW w:w="378" w:type="dxa"/>
            <w:tcBorders>
              <w:top w:val="nil"/>
              <w:left w:val="nil"/>
              <w:bottom w:val="single" w:sz="4" w:space="0" w:color="auto"/>
              <w:right w:val="single" w:sz="4" w:space="0" w:color="auto"/>
            </w:tcBorders>
            <w:shd w:val="clear" w:color="auto" w:fill="auto"/>
            <w:noWrap/>
            <w:vAlign w:val="center"/>
            <w:hideMark/>
          </w:tcPr>
          <w:p w14:paraId="53C1552A"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52B"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52C"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52D"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2.06</w:t>
            </w:r>
          </w:p>
        </w:tc>
        <w:tc>
          <w:tcPr>
            <w:tcW w:w="378" w:type="dxa"/>
            <w:tcBorders>
              <w:top w:val="nil"/>
              <w:left w:val="nil"/>
              <w:bottom w:val="single" w:sz="4" w:space="0" w:color="auto"/>
              <w:right w:val="single" w:sz="4" w:space="0" w:color="auto"/>
            </w:tcBorders>
            <w:shd w:val="clear" w:color="auto" w:fill="auto"/>
            <w:noWrap/>
            <w:vAlign w:val="center"/>
            <w:hideMark/>
          </w:tcPr>
          <w:p w14:paraId="53C1552E"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52F"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530"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0.88</w:t>
            </w:r>
          </w:p>
        </w:tc>
        <w:tc>
          <w:tcPr>
            <w:tcW w:w="378" w:type="dxa"/>
            <w:tcBorders>
              <w:top w:val="nil"/>
              <w:left w:val="nil"/>
              <w:bottom w:val="single" w:sz="4" w:space="0" w:color="auto"/>
              <w:right w:val="single" w:sz="4" w:space="0" w:color="auto"/>
            </w:tcBorders>
            <w:shd w:val="clear" w:color="auto" w:fill="auto"/>
            <w:noWrap/>
            <w:vAlign w:val="center"/>
            <w:hideMark/>
          </w:tcPr>
          <w:p w14:paraId="53C15531"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1.44</w:t>
            </w:r>
          </w:p>
        </w:tc>
        <w:tc>
          <w:tcPr>
            <w:tcW w:w="378" w:type="dxa"/>
            <w:tcBorders>
              <w:top w:val="nil"/>
              <w:left w:val="nil"/>
              <w:bottom w:val="single" w:sz="4" w:space="0" w:color="auto"/>
              <w:right w:val="single" w:sz="4" w:space="0" w:color="auto"/>
            </w:tcBorders>
            <w:shd w:val="clear" w:color="auto" w:fill="auto"/>
            <w:noWrap/>
            <w:vAlign w:val="center"/>
            <w:hideMark/>
          </w:tcPr>
          <w:p w14:paraId="53C15532"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533"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534"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535"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0.50</w:t>
            </w:r>
          </w:p>
        </w:tc>
        <w:tc>
          <w:tcPr>
            <w:tcW w:w="378" w:type="dxa"/>
            <w:tcBorders>
              <w:top w:val="nil"/>
              <w:left w:val="nil"/>
              <w:bottom w:val="single" w:sz="4" w:space="0" w:color="auto"/>
              <w:right w:val="single" w:sz="4" w:space="0" w:color="auto"/>
            </w:tcBorders>
            <w:shd w:val="clear" w:color="auto" w:fill="auto"/>
            <w:noWrap/>
            <w:vAlign w:val="center"/>
            <w:hideMark/>
          </w:tcPr>
          <w:p w14:paraId="53C15536"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537"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538"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539"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53A"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53B"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53C"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0.75</w:t>
            </w:r>
          </w:p>
        </w:tc>
        <w:tc>
          <w:tcPr>
            <w:tcW w:w="378" w:type="dxa"/>
            <w:tcBorders>
              <w:top w:val="nil"/>
              <w:left w:val="nil"/>
              <w:bottom w:val="single" w:sz="4" w:space="0" w:color="auto"/>
              <w:right w:val="single" w:sz="4" w:space="0" w:color="auto"/>
            </w:tcBorders>
            <w:shd w:val="clear" w:color="auto" w:fill="auto"/>
            <w:noWrap/>
            <w:vAlign w:val="center"/>
            <w:hideMark/>
          </w:tcPr>
          <w:p w14:paraId="53C1553D"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0.06</w:t>
            </w:r>
          </w:p>
        </w:tc>
        <w:tc>
          <w:tcPr>
            <w:tcW w:w="378" w:type="dxa"/>
            <w:tcBorders>
              <w:top w:val="nil"/>
              <w:left w:val="nil"/>
              <w:bottom w:val="single" w:sz="4" w:space="0" w:color="auto"/>
              <w:right w:val="single" w:sz="4" w:space="0" w:color="auto"/>
            </w:tcBorders>
            <w:shd w:val="clear" w:color="auto" w:fill="auto"/>
            <w:noWrap/>
            <w:vAlign w:val="center"/>
            <w:hideMark/>
          </w:tcPr>
          <w:p w14:paraId="53C1553E"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53F"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0.44</w:t>
            </w:r>
          </w:p>
        </w:tc>
        <w:tc>
          <w:tcPr>
            <w:tcW w:w="378" w:type="dxa"/>
            <w:tcBorders>
              <w:top w:val="nil"/>
              <w:left w:val="nil"/>
              <w:bottom w:val="single" w:sz="4" w:space="0" w:color="auto"/>
              <w:right w:val="single" w:sz="4" w:space="0" w:color="auto"/>
            </w:tcBorders>
            <w:shd w:val="clear" w:color="auto" w:fill="auto"/>
            <w:noWrap/>
            <w:vAlign w:val="center"/>
            <w:hideMark/>
          </w:tcPr>
          <w:p w14:paraId="53C15540"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7.94</w:t>
            </w:r>
          </w:p>
        </w:tc>
        <w:tc>
          <w:tcPr>
            <w:tcW w:w="378" w:type="dxa"/>
            <w:tcBorders>
              <w:top w:val="nil"/>
              <w:left w:val="nil"/>
              <w:bottom w:val="single" w:sz="4" w:space="0" w:color="auto"/>
              <w:right w:val="single" w:sz="4" w:space="0" w:color="auto"/>
            </w:tcBorders>
            <w:shd w:val="clear" w:color="auto" w:fill="auto"/>
            <w:noWrap/>
            <w:vAlign w:val="center"/>
            <w:hideMark/>
          </w:tcPr>
          <w:p w14:paraId="53C15541" w14:textId="77777777" w:rsidR="007904CB" w:rsidRPr="00C60606" w:rsidRDefault="007904CB" w:rsidP="00235072">
            <w:pPr>
              <w:spacing w:after="0"/>
              <w:jc w:val="center"/>
              <w:rPr>
                <w:rFonts w:ascii="Arial Narrow" w:hAnsi="Arial Narrow"/>
                <w:sz w:val="16"/>
                <w:szCs w:val="16"/>
                <w:lang w:eastAsia="en-AU"/>
              </w:rPr>
            </w:pPr>
          </w:p>
        </w:tc>
        <w:tc>
          <w:tcPr>
            <w:tcW w:w="378" w:type="dxa"/>
            <w:tcBorders>
              <w:top w:val="nil"/>
              <w:left w:val="nil"/>
              <w:bottom w:val="single" w:sz="4" w:space="0" w:color="auto"/>
              <w:right w:val="single" w:sz="4" w:space="0" w:color="auto"/>
            </w:tcBorders>
            <w:shd w:val="clear" w:color="auto" w:fill="auto"/>
            <w:noWrap/>
            <w:vAlign w:val="center"/>
            <w:hideMark/>
          </w:tcPr>
          <w:p w14:paraId="53C15542"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1.38</w:t>
            </w:r>
          </w:p>
        </w:tc>
        <w:tc>
          <w:tcPr>
            <w:tcW w:w="378" w:type="dxa"/>
            <w:tcBorders>
              <w:top w:val="nil"/>
              <w:left w:val="nil"/>
              <w:bottom w:val="single" w:sz="4" w:space="0" w:color="auto"/>
              <w:right w:val="single" w:sz="4" w:space="0" w:color="auto"/>
            </w:tcBorders>
            <w:shd w:val="clear" w:color="auto" w:fill="auto"/>
            <w:noWrap/>
            <w:vAlign w:val="center"/>
            <w:hideMark/>
          </w:tcPr>
          <w:p w14:paraId="53C15543" w14:textId="77777777" w:rsidR="007904CB" w:rsidRPr="00C60606" w:rsidRDefault="007904CB" w:rsidP="00235072">
            <w:pPr>
              <w:spacing w:after="0"/>
              <w:jc w:val="center"/>
              <w:rPr>
                <w:rFonts w:ascii="Arial Narrow" w:hAnsi="Arial Narrow"/>
                <w:sz w:val="16"/>
                <w:szCs w:val="16"/>
                <w:lang w:eastAsia="en-AU"/>
              </w:rPr>
            </w:pPr>
            <w:r w:rsidRPr="00C60606">
              <w:rPr>
                <w:rFonts w:ascii="Arial Narrow" w:hAnsi="Arial Narrow"/>
                <w:sz w:val="16"/>
                <w:szCs w:val="16"/>
              </w:rPr>
              <w:t>1.25</w:t>
            </w:r>
          </w:p>
        </w:tc>
      </w:tr>
    </w:tbl>
    <w:p w14:paraId="53C15545" w14:textId="77777777" w:rsidR="00A84742" w:rsidRPr="00CE4E0F" w:rsidRDefault="00A84742" w:rsidP="00A84742">
      <w:pPr>
        <w:rPr>
          <w:rFonts w:eastAsia="SimSun"/>
          <w:color w:val="548DD4" w:themeColor="text2" w:themeTint="99"/>
        </w:rPr>
      </w:pPr>
    </w:p>
    <w:p w14:paraId="53C15546" w14:textId="77777777" w:rsidR="00A84742" w:rsidRPr="00CE4E0F" w:rsidRDefault="00A84742" w:rsidP="00A84742">
      <w:pPr>
        <w:jc w:val="left"/>
        <w:rPr>
          <w:rFonts w:eastAsia="SimSun"/>
          <w:color w:val="548DD4" w:themeColor="text2" w:themeTint="99"/>
        </w:rPr>
      </w:pPr>
      <w:r w:rsidRPr="00CE4E0F">
        <w:rPr>
          <w:rFonts w:eastAsia="SimSun"/>
          <w:color w:val="548DD4" w:themeColor="text2" w:themeTint="99"/>
        </w:rPr>
        <w:br w:type="page"/>
      </w:r>
    </w:p>
    <w:p w14:paraId="53C15547" w14:textId="0B621CF8" w:rsidR="00E41BC6" w:rsidRPr="00DF7447" w:rsidRDefault="003D3C1E" w:rsidP="002B5296">
      <w:pPr>
        <w:pStyle w:val="Caption"/>
        <w:rPr>
          <w:rFonts w:ascii="Arial" w:hAnsi="Arial" w:cs="Arial"/>
          <w:i/>
          <w:vanish/>
          <w:specVanish/>
        </w:rPr>
      </w:pPr>
      <w:bookmarkStart w:id="706" w:name="_Toc35519359"/>
      <w:bookmarkStart w:id="707" w:name="_Toc527701054"/>
      <w:bookmarkStart w:id="708" w:name="_Toc530654885"/>
      <w:r>
        <w:lastRenderedPageBreak/>
        <w:t xml:space="preserve">Table A </w:t>
      </w:r>
      <w:r>
        <w:fldChar w:fldCharType="begin"/>
      </w:r>
      <w:r>
        <w:instrText xml:space="preserve"> SEQ Table_A \* ARABIC </w:instrText>
      </w:r>
      <w:r>
        <w:fldChar w:fldCharType="separate"/>
      </w:r>
      <w:r w:rsidR="003053D1">
        <w:rPr>
          <w:noProof/>
        </w:rPr>
        <w:t>11</w:t>
      </w:r>
      <w:r>
        <w:fldChar w:fldCharType="end"/>
      </w:r>
      <w:r>
        <w:t xml:space="preserve"> </w:t>
      </w:r>
      <w:r w:rsidR="00A84742" w:rsidRPr="00DF7447">
        <w:t>Percent cover of soft coral families 201</w:t>
      </w:r>
      <w:r w:rsidR="00DF7447">
        <w:t>9</w:t>
      </w:r>
      <w:r w:rsidR="00DF7447" w:rsidRPr="00DF7447">
        <w:t>.</w:t>
      </w:r>
      <w:bookmarkEnd w:id="706"/>
      <w:r w:rsidR="00E41BC6" w:rsidRPr="00DF7447">
        <w:t xml:space="preserve"> </w:t>
      </w:r>
    </w:p>
    <w:bookmarkEnd w:id="707"/>
    <w:bookmarkEnd w:id="708"/>
    <w:p w14:paraId="53C15548" w14:textId="77777777" w:rsidR="00A84742" w:rsidRPr="00DF7447" w:rsidRDefault="00A84742" w:rsidP="00A84742">
      <w:pPr>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left"/>
        <w:rPr>
          <w:rFonts w:ascii="Arial Narrow" w:eastAsia="SimSun" w:hAnsi="Arial Narrow"/>
          <w:sz w:val="20"/>
        </w:rPr>
      </w:pPr>
      <w:r w:rsidRPr="003E1937">
        <w:rPr>
          <w:rStyle w:val="IntenseReference"/>
        </w:rPr>
        <w:t>Families for which cover did not exceeded 0.25% on at least one reef or corals not identified to family level are grouped to ‘Other’</w:t>
      </w:r>
      <w:r w:rsidRPr="00DF7447">
        <w:rPr>
          <w:rFonts w:ascii="Arial Narrow" w:eastAsia="SimSun" w:hAnsi="Arial Narrow"/>
          <w:bCs/>
          <w:sz w:val="20"/>
        </w:rPr>
        <w:t>.</w:t>
      </w:r>
    </w:p>
    <w:tbl>
      <w:tblPr>
        <w:tblW w:w="13573" w:type="dxa"/>
        <w:tblInd w:w="93" w:type="dxa"/>
        <w:tblLook w:val="04A0" w:firstRow="1" w:lastRow="0" w:firstColumn="1" w:lastColumn="0" w:noHBand="0" w:noVBand="1"/>
        <w:tblCaption w:val="Table A 8 Percent cover of soft coral families 2018"/>
        <w:tblDescription w:val="A table listing the cover of soft coral familes at each reef and depth"/>
      </w:tblPr>
      <w:tblGrid>
        <w:gridCol w:w="469"/>
        <w:gridCol w:w="1985"/>
        <w:gridCol w:w="682"/>
        <w:gridCol w:w="1045"/>
        <w:gridCol w:w="1045"/>
        <w:gridCol w:w="1045"/>
        <w:gridCol w:w="1045"/>
        <w:gridCol w:w="1032"/>
        <w:gridCol w:w="1045"/>
        <w:gridCol w:w="1045"/>
        <w:gridCol w:w="1045"/>
        <w:gridCol w:w="1045"/>
        <w:gridCol w:w="1045"/>
      </w:tblGrid>
      <w:tr w:rsidR="00DF7447" w:rsidRPr="00DF7447" w14:paraId="53C15557" w14:textId="77777777" w:rsidTr="00DF7447">
        <w:trPr>
          <w:trHeight w:val="1035"/>
          <w:tblHeader/>
        </w:trPr>
        <w:tc>
          <w:tcPr>
            <w:tcW w:w="469"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tcMar>
              <w:left w:w="57" w:type="dxa"/>
              <w:right w:w="57" w:type="dxa"/>
            </w:tcMar>
            <w:textDirection w:val="btLr"/>
            <w:vAlign w:val="center"/>
            <w:hideMark/>
          </w:tcPr>
          <w:p w14:paraId="53C15549" w14:textId="77777777" w:rsidR="00657AD4" w:rsidRPr="00DF7447" w:rsidRDefault="008E17A4" w:rsidP="00A84742">
            <w:pPr>
              <w:spacing w:after="0"/>
              <w:jc w:val="center"/>
              <w:rPr>
                <w:rFonts w:ascii="Arial Narrow" w:hAnsi="Arial Narrow"/>
                <w:sz w:val="20"/>
                <w:szCs w:val="20"/>
                <w:lang w:eastAsia="en-AU"/>
              </w:rPr>
            </w:pPr>
            <w:r>
              <w:rPr>
                <w:rFonts w:ascii="Arial Narrow" w:hAnsi="Arial Narrow"/>
                <w:sz w:val="20"/>
                <w:szCs w:val="20"/>
                <w:lang w:eastAsia="en-AU"/>
              </w:rPr>
              <w:t>(s</w:t>
            </w:r>
            <w:r w:rsidR="00657AD4" w:rsidRPr="00DF7447">
              <w:rPr>
                <w:rFonts w:ascii="Arial Narrow" w:hAnsi="Arial Narrow"/>
                <w:sz w:val="20"/>
                <w:szCs w:val="20"/>
                <w:lang w:eastAsia="en-AU"/>
              </w:rPr>
              <w:t>ub</w:t>
            </w:r>
            <w:r>
              <w:rPr>
                <w:rFonts w:ascii="Arial Narrow" w:hAnsi="Arial Narrow"/>
                <w:sz w:val="20"/>
                <w:szCs w:val="20"/>
                <w:lang w:eastAsia="en-AU"/>
              </w:rPr>
              <w:t>)-</w:t>
            </w:r>
            <w:r w:rsidR="00657AD4" w:rsidRPr="00DF7447">
              <w:rPr>
                <w:rFonts w:ascii="Arial Narrow" w:hAnsi="Arial Narrow"/>
                <w:sz w:val="20"/>
                <w:szCs w:val="20"/>
                <w:lang w:eastAsia="en-AU"/>
              </w:rPr>
              <w:t>region</w:t>
            </w:r>
          </w:p>
        </w:tc>
        <w:tc>
          <w:tcPr>
            <w:tcW w:w="1985"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53C1554A" w14:textId="77777777" w:rsidR="00657AD4" w:rsidRPr="00DF7447" w:rsidRDefault="00657AD4" w:rsidP="00A84742">
            <w:pPr>
              <w:spacing w:after="0"/>
              <w:jc w:val="center"/>
              <w:rPr>
                <w:rFonts w:ascii="Arial Narrow" w:hAnsi="Arial Narrow"/>
                <w:sz w:val="20"/>
                <w:szCs w:val="20"/>
                <w:lang w:eastAsia="en-AU"/>
              </w:rPr>
            </w:pPr>
            <w:r w:rsidRPr="00DF7447">
              <w:rPr>
                <w:rFonts w:ascii="Arial Narrow" w:hAnsi="Arial Narrow"/>
                <w:sz w:val="20"/>
                <w:szCs w:val="20"/>
                <w:lang w:eastAsia="en-AU"/>
              </w:rPr>
              <w:t>Reef</w:t>
            </w:r>
          </w:p>
        </w:tc>
        <w:tc>
          <w:tcPr>
            <w:tcW w:w="6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C1554B" w14:textId="77777777" w:rsidR="00657AD4" w:rsidRPr="00DF7447" w:rsidRDefault="00657AD4" w:rsidP="00A84742">
            <w:pPr>
              <w:spacing w:after="0"/>
              <w:jc w:val="center"/>
              <w:rPr>
                <w:rFonts w:ascii="Arial Narrow" w:hAnsi="Arial Narrow"/>
                <w:sz w:val="20"/>
                <w:szCs w:val="20"/>
                <w:lang w:eastAsia="en-AU"/>
              </w:rPr>
            </w:pPr>
            <w:r w:rsidRPr="00DF7447">
              <w:rPr>
                <w:rFonts w:ascii="Arial Narrow" w:hAnsi="Arial Narrow"/>
                <w:sz w:val="20"/>
                <w:szCs w:val="20"/>
                <w:lang w:eastAsia="en-AU"/>
              </w:rPr>
              <w:t>Depth</w:t>
            </w:r>
          </w:p>
        </w:tc>
        <w:tc>
          <w:tcPr>
            <w:tcW w:w="104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tcMar>
              <w:left w:w="57" w:type="dxa"/>
              <w:right w:w="57" w:type="dxa"/>
            </w:tcMar>
            <w:textDirection w:val="btLr"/>
            <w:vAlign w:val="center"/>
            <w:hideMark/>
          </w:tcPr>
          <w:p w14:paraId="53C1554C" w14:textId="77777777" w:rsidR="00657AD4" w:rsidRPr="00DF7447" w:rsidRDefault="00657AD4" w:rsidP="00A84742">
            <w:pPr>
              <w:spacing w:after="0"/>
              <w:jc w:val="center"/>
              <w:rPr>
                <w:rFonts w:ascii="Arial Narrow" w:hAnsi="Arial Narrow"/>
                <w:sz w:val="20"/>
                <w:szCs w:val="20"/>
                <w:lang w:eastAsia="en-AU"/>
              </w:rPr>
            </w:pPr>
            <w:r w:rsidRPr="00DF7447">
              <w:rPr>
                <w:rFonts w:ascii="Arial Narrow" w:hAnsi="Arial Narrow"/>
                <w:sz w:val="20"/>
                <w:szCs w:val="20"/>
                <w:lang w:eastAsia="en-AU"/>
              </w:rPr>
              <w:t>Alcyoniidae</w:t>
            </w:r>
          </w:p>
        </w:tc>
        <w:tc>
          <w:tcPr>
            <w:tcW w:w="1045" w:type="dxa"/>
            <w:tcBorders>
              <w:top w:val="single" w:sz="4" w:space="0" w:color="auto"/>
              <w:left w:val="nil"/>
              <w:bottom w:val="single" w:sz="4" w:space="0" w:color="auto"/>
              <w:right w:val="single" w:sz="4" w:space="0" w:color="auto"/>
            </w:tcBorders>
            <w:shd w:val="clear" w:color="auto" w:fill="F2F2F2" w:themeFill="background1" w:themeFillShade="F2"/>
            <w:noWrap/>
            <w:tcMar>
              <w:left w:w="57" w:type="dxa"/>
              <w:right w:w="57" w:type="dxa"/>
            </w:tcMar>
            <w:textDirection w:val="btLr"/>
            <w:vAlign w:val="center"/>
            <w:hideMark/>
          </w:tcPr>
          <w:p w14:paraId="53C1554D" w14:textId="77777777" w:rsidR="00657AD4" w:rsidRPr="00DF7447" w:rsidRDefault="00657AD4" w:rsidP="00A84742">
            <w:pPr>
              <w:spacing w:after="0"/>
              <w:jc w:val="center"/>
              <w:rPr>
                <w:rFonts w:ascii="Arial Narrow" w:hAnsi="Arial Narrow"/>
                <w:sz w:val="20"/>
                <w:szCs w:val="20"/>
                <w:lang w:eastAsia="en-AU"/>
              </w:rPr>
            </w:pPr>
            <w:r w:rsidRPr="00DF7447">
              <w:rPr>
                <w:rFonts w:ascii="Arial Narrow" w:hAnsi="Arial Narrow"/>
                <w:sz w:val="20"/>
                <w:szCs w:val="20"/>
                <w:lang w:eastAsia="en-AU"/>
              </w:rPr>
              <w:t>Anthothelidae</w:t>
            </w:r>
          </w:p>
        </w:tc>
        <w:tc>
          <w:tcPr>
            <w:tcW w:w="1045" w:type="dxa"/>
            <w:tcBorders>
              <w:top w:val="single" w:sz="4" w:space="0" w:color="auto"/>
              <w:left w:val="nil"/>
              <w:bottom w:val="single" w:sz="4" w:space="0" w:color="auto"/>
              <w:right w:val="single" w:sz="4" w:space="0" w:color="auto"/>
            </w:tcBorders>
            <w:shd w:val="clear" w:color="auto" w:fill="F2F2F2" w:themeFill="background1" w:themeFillShade="F2"/>
            <w:noWrap/>
            <w:tcMar>
              <w:left w:w="57" w:type="dxa"/>
              <w:right w:w="57" w:type="dxa"/>
            </w:tcMar>
            <w:textDirection w:val="btLr"/>
            <w:vAlign w:val="center"/>
            <w:hideMark/>
          </w:tcPr>
          <w:p w14:paraId="53C1554E" w14:textId="77777777" w:rsidR="00657AD4" w:rsidRPr="00DF7447" w:rsidRDefault="00657AD4" w:rsidP="00A84742">
            <w:pPr>
              <w:spacing w:after="0"/>
              <w:jc w:val="center"/>
              <w:rPr>
                <w:rFonts w:ascii="Arial Narrow" w:hAnsi="Arial Narrow"/>
                <w:sz w:val="20"/>
                <w:szCs w:val="20"/>
                <w:lang w:eastAsia="en-AU"/>
              </w:rPr>
            </w:pPr>
            <w:r w:rsidRPr="00DF7447">
              <w:rPr>
                <w:rFonts w:ascii="Arial Narrow" w:hAnsi="Arial Narrow"/>
                <w:sz w:val="20"/>
                <w:szCs w:val="20"/>
                <w:lang w:eastAsia="en-AU"/>
              </w:rPr>
              <w:t>Briareidae</w:t>
            </w:r>
          </w:p>
          <w:p w14:paraId="53C1554F" w14:textId="77777777" w:rsidR="00657AD4" w:rsidRPr="00DF7447" w:rsidRDefault="00657AD4" w:rsidP="00A84742">
            <w:pPr>
              <w:spacing w:after="0"/>
              <w:jc w:val="center"/>
              <w:rPr>
                <w:rFonts w:ascii="Arial Narrow" w:hAnsi="Arial Narrow"/>
                <w:sz w:val="20"/>
                <w:szCs w:val="20"/>
                <w:lang w:eastAsia="en-AU"/>
              </w:rPr>
            </w:pPr>
          </w:p>
        </w:tc>
        <w:tc>
          <w:tcPr>
            <w:tcW w:w="1045" w:type="dxa"/>
            <w:tcBorders>
              <w:top w:val="single" w:sz="4" w:space="0" w:color="auto"/>
              <w:left w:val="nil"/>
              <w:bottom w:val="single" w:sz="4" w:space="0" w:color="auto"/>
              <w:right w:val="single" w:sz="4" w:space="0" w:color="auto"/>
            </w:tcBorders>
            <w:shd w:val="clear" w:color="auto" w:fill="F2F2F2" w:themeFill="background1" w:themeFillShade="F2"/>
            <w:noWrap/>
            <w:tcMar>
              <w:left w:w="57" w:type="dxa"/>
              <w:right w:w="57" w:type="dxa"/>
            </w:tcMar>
            <w:textDirection w:val="btLr"/>
            <w:vAlign w:val="center"/>
            <w:hideMark/>
          </w:tcPr>
          <w:p w14:paraId="53C15550" w14:textId="77777777" w:rsidR="00657AD4" w:rsidRPr="00DF7447" w:rsidRDefault="00657AD4" w:rsidP="00A84742">
            <w:pPr>
              <w:spacing w:after="0"/>
              <w:jc w:val="center"/>
              <w:rPr>
                <w:rFonts w:ascii="Arial Narrow" w:hAnsi="Arial Narrow"/>
                <w:sz w:val="20"/>
                <w:szCs w:val="20"/>
                <w:lang w:eastAsia="en-AU"/>
              </w:rPr>
            </w:pPr>
            <w:r w:rsidRPr="00DF7447">
              <w:rPr>
                <w:rFonts w:ascii="Arial Narrow" w:hAnsi="Arial Narrow"/>
                <w:sz w:val="20"/>
                <w:szCs w:val="20"/>
                <w:lang w:eastAsia="en-AU"/>
              </w:rPr>
              <w:t>Clavulariinae</w:t>
            </w:r>
          </w:p>
        </w:tc>
        <w:tc>
          <w:tcPr>
            <w:tcW w:w="1032" w:type="dxa"/>
            <w:tcBorders>
              <w:top w:val="single" w:sz="4" w:space="0" w:color="auto"/>
              <w:left w:val="nil"/>
              <w:bottom w:val="single" w:sz="4" w:space="0" w:color="auto"/>
              <w:right w:val="single" w:sz="4" w:space="0" w:color="auto"/>
            </w:tcBorders>
            <w:shd w:val="clear" w:color="auto" w:fill="F2F2F2" w:themeFill="background1" w:themeFillShade="F2"/>
            <w:textDirection w:val="btLr"/>
          </w:tcPr>
          <w:p w14:paraId="53C15551" w14:textId="77777777" w:rsidR="00657AD4" w:rsidRPr="00DF7447" w:rsidRDefault="00657AD4" w:rsidP="00A84742">
            <w:pPr>
              <w:spacing w:after="0"/>
              <w:jc w:val="center"/>
              <w:rPr>
                <w:rFonts w:ascii="Arial Narrow" w:hAnsi="Arial Narrow"/>
                <w:sz w:val="20"/>
                <w:szCs w:val="20"/>
                <w:lang w:eastAsia="en-AU"/>
              </w:rPr>
            </w:pPr>
            <w:r w:rsidRPr="00DF7447">
              <w:rPr>
                <w:rFonts w:ascii="Arial Narrow" w:hAnsi="Arial Narrow"/>
                <w:sz w:val="20"/>
                <w:szCs w:val="20"/>
                <w:lang w:eastAsia="en-AU"/>
              </w:rPr>
              <w:t>Ellisellidae</w:t>
            </w:r>
          </w:p>
        </w:tc>
        <w:tc>
          <w:tcPr>
            <w:tcW w:w="104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tcMar>
              <w:left w:w="57" w:type="dxa"/>
              <w:right w:w="57" w:type="dxa"/>
            </w:tcMar>
            <w:textDirection w:val="btLr"/>
            <w:vAlign w:val="center"/>
            <w:hideMark/>
          </w:tcPr>
          <w:p w14:paraId="53C15552" w14:textId="77777777" w:rsidR="00657AD4" w:rsidRPr="00DF7447" w:rsidRDefault="00657AD4" w:rsidP="00A84742">
            <w:pPr>
              <w:spacing w:after="0"/>
              <w:jc w:val="center"/>
              <w:rPr>
                <w:rFonts w:ascii="Arial Narrow" w:hAnsi="Arial Narrow"/>
                <w:sz w:val="20"/>
                <w:szCs w:val="20"/>
                <w:lang w:eastAsia="en-AU"/>
              </w:rPr>
            </w:pPr>
            <w:r w:rsidRPr="00DF7447">
              <w:rPr>
                <w:rFonts w:ascii="Arial Narrow" w:hAnsi="Arial Narrow"/>
                <w:sz w:val="20"/>
                <w:szCs w:val="20"/>
                <w:lang w:eastAsia="en-AU"/>
              </w:rPr>
              <w:t>Heliporidae</w:t>
            </w:r>
          </w:p>
        </w:tc>
        <w:tc>
          <w:tcPr>
            <w:tcW w:w="1045" w:type="dxa"/>
            <w:tcBorders>
              <w:top w:val="single" w:sz="4" w:space="0" w:color="auto"/>
              <w:left w:val="nil"/>
              <w:bottom w:val="single" w:sz="4" w:space="0" w:color="auto"/>
              <w:right w:val="single" w:sz="4" w:space="0" w:color="auto"/>
            </w:tcBorders>
            <w:shd w:val="clear" w:color="auto" w:fill="F2F2F2" w:themeFill="background1" w:themeFillShade="F2"/>
            <w:noWrap/>
            <w:tcMar>
              <w:left w:w="57" w:type="dxa"/>
              <w:right w:w="57" w:type="dxa"/>
            </w:tcMar>
            <w:textDirection w:val="btLr"/>
            <w:vAlign w:val="center"/>
            <w:hideMark/>
          </w:tcPr>
          <w:p w14:paraId="53C15553" w14:textId="77777777" w:rsidR="00657AD4" w:rsidRPr="00DF7447" w:rsidRDefault="00657AD4" w:rsidP="00A84742">
            <w:pPr>
              <w:spacing w:after="0"/>
              <w:jc w:val="center"/>
              <w:rPr>
                <w:rFonts w:ascii="Arial Narrow" w:hAnsi="Arial Narrow"/>
                <w:sz w:val="20"/>
                <w:szCs w:val="20"/>
                <w:lang w:eastAsia="en-AU"/>
              </w:rPr>
            </w:pPr>
            <w:r w:rsidRPr="00DF7447">
              <w:rPr>
                <w:rFonts w:ascii="Arial Narrow" w:hAnsi="Arial Narrow"/>
                <w:sz w:val="20"/>
                <w:szCs w:val="20"/>
                <w:lang w:eastAsia="en-AU"/>
              </w:rPr>
              <w:t>Neptheidae</w:t>
            </w:r>
          </w:p>
        </w:tc>
        <w:tc>
          <w:tcPr>
            <w:tcW w:w="1045" w:type="dxa"/>
            <w:tcBorders>
              <w:top w:val="single" w:sz="4" w:space="0" w:color="auto"/>
              <w:left w:val="nil"/>
              <w:bottom w:val="single" w:sz="4" w:space="0" w:color="auto"/>
              <w:right w:val="single" w:sz="4" w:space="0" w:color="auto"/>
            </w:tcBorders>
            <w:shd w:val="clear" w:color="auto" w:fill="F2F2F2" w:themeFill="background1" w:themeFillShade="F2"/>
            <w:noWrap/>
            <w:tcMar>
              <w:left w:w="57" w:type="dxa"/>
              <w:right w:w="57" w:type="dxa"/>
            </w:tcMar>
            <w:textDirection w:val="btLr"/>
            <w:vAlign w:val="center"/>
            <w:hideMark/>
          </w:tcPr>
          <w:p w14:paraId="53C15554" w14:textId="77777777" w:rsidR="00657AD4" w:rsidRPr="00DF7447" w:rsidRDefault="00657AD4" w:rsidP="00A84742">
            <w:pPr>
              <w:spacing w:after="0"/>
              <w:jc w:val="center"/>
              <w:rPr>
                <w:rFonts w:ascii="Arial Narrow" w:hAnsi="Arial Narrow"/>
                <w:sz w:val="20"/>
                <w:szCs w:val="20"/>
                <w:lang w:eastAsia="en-AU"/>
              </w:rPr>
            </w:pPr>
            <w:r w:rsidRPr="00DF7447">
              <w:rPr>
                <w:rFonts w:ascii="Arial Narrow" w:hAnsi="Arial Narrow"/>
                <w:sz w:val="20"/>
                <w:szCs w:val="20"/>
                <w:lang w:eastAsia="en-AU"/>
              </w:rPr>
              <w:t>Xeniidae</w:t>
            </w:r>
          </w:p>
        </w:tc>
        <w:tc>
          <w:tcPr>
            <w:tcW w:w="1045" w:type="dxa"/>
            <w:tcBorders>
              <w:top w:val="single" w:sz="4" w:space="0" w:color="auto"/>
              <w:left w:val="nil"/>
              <w:bottom w:val="single" w:sz="4" w:space="0" w:color="auto"/>
              <w:right w:val="single" w:sz="4" w:space="0" w:color="auto"/>
            </w:tcBorders>
            <w:shd w:val="clear" w:color="auto" w:fill="F2F2F2" w:themeFill="background1" w:themeFillShade="F2"/>
            <w:noWrap/>
            <w:tcMar>
              <w:left w:w="57" w:type="dxa"/>
              <w:right w:w="57" w:type="dxa"/>
            </w:tcMar>
            <w:textDirection w:val="btLr"/>
            <w:vAlign w:val="center"/>
            <w:hideMark/>
          </w:tcPr>
          <w:p w14:paraId="53C15555" w14:textId="77777777" w:rsidR="00657AD4" w:rsidRPr="00DF7447" w:rsidRDefault="00657AD4" w:rsidP="00A84742">
            <w:pPr>
              <w:spacing w:after="0"/>
              <w:jc w:val="center"/>
              <w:rPr>
                <w:rFonts w:ascii="Arial Narrow" w:hAnsi="Arial Narrow"/>
                <w:sz w:val="20"/>
                <w:szCs w:val="20"/>
                <w:lang w:eastAsia="en-AU"/>
              </w:rPr>
            </w:pPr>
            <w:r w:rsidRPr="00DF7447">
              <w:rPr>
                <w:rFonts w:ascii="Arial Narrow" w:hAnsi="Arial Narrow"/>
                <w:sz w:val="20"/>
                <w:szCs w:val="20"/>
                <w:lang w:eastAsia="en-AU"/>
              </w:rPr>
              <w:t>Gorgoniidae like</w:t>
            </w:r>
          </w:p>
        </w:tc>
        <w:tc>
          <w:tcPr>
            <w:tcW w:w="1045" w:type="dxa"/>
            <w:tcBorders>
              <w:top w:val="single" w:sz="4" w:space="0" w:color="auto"/>
              <w:left w:val="nil"/>
              <w:bottom w:val="single" w:sz="4" w:space="0" w:color="auto"/>
              <w:right w:val="single" w:sz="4" w:space="0" w:color="auto"/>
            </w:tcBorders>
            <w:shd w:val="clear" w:color="auto" w:fill="F2F2F2" w:themeFill="background1" w:themeFillShade="F2"/>
            <w:noWrap/>
            <w:tcMar>
              <w:left w:w="57" w:type="dxa"/>
              <w:right w:w="57" w:type="dxa"/>
            </w:tcMar>
            <w:textDirection w:val="btLr"/>
            <w:vAlign w:val="center"/>
            <w:hideMark/>
          </w:tcPr>
          <w:p w14:paraId="53C15556" w14:textId="77777777" w:rsidR="00657AD4" w:rsidRPr="00DF7447" w:rsidRDefault="00657AD4" w:rsidP="00A84742">
            <w:pPr>
              <w:spacing w:after="0"/>
              <w:jc w:val="center"/>
              <w:rPr>
                <w:rFonts w:ascii="Arial Narrow" w:hAnsi="Arial Narrow"/>
                <w:sz w:val="20"/>
                <w:szCs w:val="20"/>
                <w:lang w:eastAsia="en-AU"/>
              </w:rPr>
            </w:pPr>
            <w:r w:rsidRPr="00DF7447">
              <w:rPr>
                <w:rFonts w:ascii="Arial Narrow" w:hAnsi="Arial Narrow"/>
                <w:sz w:val="20"/>
                <w:szCs w:val="20"/>
                <w:lang w:eastAsia="en-AU"/>
              </w:rPr>
              <w:t>Other</w:t>
            </w:r>
          </w:p>
        </w:tc>
      </w:tr>
      <w:tr w:rsidR="00DF7447" w:rsidRPr="00DF7447" w14:paraId="53C15565" w14:textId="77777777" w:rsidTr="00DF7447">
        <w:trPr>
          <w:trHeight w:hRule="exact" w:val="284"/>
        </w:trPr>
        <w:tc>
          <w:tcPr>
            <w:tcW w:w="469" w:type="dxa"/>
            <w:vMerge w:val="restart"/>
            <w:tcBorders>
              <w:top w:val="nil"/>
              <w:left w:val="single" w:sz="4" w:space="0" w:color="auto"/>
              <w:bottom w:val="single" w:sz="4" w:space="0" w:color="auto"/>
              <w:right w:val="single" w:sz="4" w:space="0" w:color="auto"/>
            </w:tcBorders>
            <w:shd w:val="clear" w:color="auto" w:fill="auto"/>
            <w:noWrap/>
            <w:tcMar>
              <w:left w:w="57" w:type="dxa"/>
              <w:right w:w="57" w:type="dxa"/>
            </w:tcMar>
            <w:textDirection w:val="btLr"/>
            <w:vAlign w:val="center"/>
          </w:tcPr>
          <w:p w14:paraId="53C15558" w14:textId="77777777" w:rsidR="00DF7447" w:rsidRPr="00DF7447" w:rsidRDefault="008E17A4" w:rsidP="00DF7447">
            <w:pPr>
              <w:spacing w:after="0"/>
              <w:jc w:val="center"/>
              <w:rPr>
                <w:rFonts w:ascii="Arial Narrow" w:hAnsi="Arial Narrow"/>
                <w:sz w:val="20"/>
                <w:szCs w:val="20"/>
                <w:lang w:eastAsia="en-AU"/>
              </w:rPr>
            </w:pPr>
            <w:r>
              <w:rPr>
                <w:rFonts w:ascii="Arial Narrow" w:hAnsi="Arial Narrow"/>
                <w:sz w:val="20"/>
                <w:szCs w:val="20"/>
                <w:lang w:eastAsia="en-AU"/>
              </w:rPr>
              <w:t xml:space="preserve">Barron </w:t>
            </w:r>
            <w:r w:rsidR="00DF7447" w:rsidRPr="00DF7447">
              <w:rPr>
                <w:rFonts w:ascii="Arial Narrow" w:hAnsi="Arial Narrow"/>
                <w:sz w:val="20"/>
                <w:szCs w:val="20"/>
                <w:lang w:eastAsia="en-AU"/>
              </w:rPr>
              <w:t>Daintree</w:t>
            </w:r>
          </w:p>
        </w:tc>
        <w:tc>
          <w:tcPr>
            <w:tcW w:w="1985" w:type="dxa"/>
            <w:tcBorders>
              <w:top w:val="single" w:sz="4" w:space="0" w:color="auto"/>
              <w:left w:val="single" w:sz="4" w:space="0" w:color="auto"/>
              <w:bottom w:val="single" w:sz="4" w:space="0" w:color="auto"/>
              <w:right w:val="single" w:sz="4" w:space="0" w:color="auto"/>
            </w:tcBorders>
          </w:tcPr>
          <w:p w14:paraId="53C15559" w14:textId="77777777" w:rsidR="00DF7447" w:rsidRPr="00DF7447" w:rsidRDefault="00DF7447" w:rsidP="00DF7447">
            <w:pPr>
              <w:spacing w:after="0"/>
              <w:jc w:val="center"/>
              <w:rPr>
                <w:rFonts w:ascii="Arial Narrow" w:hAnsi="Arial Narrow"/>
                <w:sz w:val="20"/>
                <w:szCs w:val="20"/>
              </w:rPr>
            </w:pPr>
            <w:r w:rsidRPr="00DF7447">
              <w:rPr>
                <w:rFonts w:ascii="Arial Narrow" w:hAnsi="Arial Narrow"/>
                <w:sz w:val="20"/>
                <w:szCs w:val="20"/>
              </w:rPr>
              <w:t>Low Isles</w:t>
            </w:r>
          </w:p>
        </w:tc>
        <w:tc>
          <w:tcPr>
            <w:tcW w:w="682" w:type="dxa"/>
            <w:tcBorders>
              <w:top w:val="single" w:sz="4" w:space="0" w:color="auto"/>
              <w:left w:val="single" w:sz="4" w:space="0" w:color="auto"/>
              <w:bottom w:val="single" w:sz="4" w:space="0" w:color="auto"/>
              <w:right w:val="single" w:sz="4" w:space="0" w:color="auto"/>
            </w:tcBorders>
          </w:tcPr>
          <w:p w14:paraId="53C1555A" w14:textId="77777777" w:rsidR="00DF7447" w:rsidRPr="00DF7447" w:rsidRDefault="00DF7447" w:rsidP="00DF7447">
            <w:pPr>
              <w:spacing w:after="0"/>
              <w:jc w:val="center"/>
              <w:rPr>
                <w:rFonts w:ascii="Arial Narrow" w:hAnsi="Arial Narrow"/>
                <w:sz w:val="20"/>
                <w:szCs w:val="20"/>
              </w:rPr>
            </w:pPr>
            <w:r w:rsidRPr="00DF7447">
              <w:rPr>
                <w:rFonts w:ascii="Arial Narrow" w:hAnsi="Arial Narrow"/>
                <w:sz w:val="20"/>
                <w:szCs w:val="20"/>
              </w:rPr>
              <w:t>5</w:t>
            </w:r>
          </w:p>
        </w:tc>
        <w:tc>
          <w:tcPr>
            <w:tcW w:w="1045"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hideMark/>
          </w:tcPr>
          <w:p w14:paraId="53C1555B" w14:textId="77777777" w:rsidR="00DF7447" w:rsidRPr="00DF7447" w:rsidRDefault="00DF7447" w:rsidP="00DF7447">
            <w:pPr>
              <w:spacing w:after="0"/>
              <w:jc w:val="center"/>
              <w:rPr>
                <w:rFonts w:ascii="Arial Narrow" w:hAnsi="Arial Narrow"/>
                <w:sz w:val="20"/>
                <w:szCs w:val="20"/>
                <w:lang w:eastAsia="en-AU"/>
              </w:rPr>
            </w:pPr>
            <w:r w:rsidRPr="00DF7447">
              <w:rPr>
                <w:rFonts w:ascii="Arial Narrow" w:hAnsi="Arial Narrow"/>
                <w:sz w:val="20"/>
                <w:szCs w:val="20"/>
              </w:rPr>
              <w:t>0.47</w:t>
            </w:r>
          </w:p>
        </w:tc>
        <w:tc>
          <w:tcPr>
            <w:tcW w:w="1045" w:type="dxa"/>
            <w:tcBorders>
              <w:top w:val="single" w:sz="4" w:space="0" w:color="auto"/>
              <w:left w:val="nil"/>
              <w:bottom w:val="single" w:sz="4" w:space="0" w:color="auto"/>
              <w:right w:val="single" w:sz="4" w:space="0" w:color="auto"/>
            </w:tcBorders>
            <w:shd w:val="clear" w:color="auto" w:fill="auto"/>
            <w:noWrap/>
            <w:tcMar>
              <w:left w:w="57" w:type="dxa"/>
              <w:right w:w="57" w:type="dxa"/>
            </w:tcMar>
            <w:hideMark/>
          </w:tcPr>
          <w:p w14:paraId="53C1555C" w14:textId="77777777" w:rsidR="00DF7447" w:rsidRPr="00DF7447" w:rsidRDefault="00DF7447" w:rsidP="00DF7447">
            <w:pPr>
              <w:spacing w:after="0"/>
              <w:jc w:val="center"/>
              <w:rPr>
                <w:rFonts w:ascii="Arial Narrow" w:hAnsi="Arial Narrow"/>
                <w:sz w:val="20"/>
                <w:szCs w:val="20"/>
                <w:lang w:eastAsia="en-AU"/>
              </w:rPr>
            </w:pPr>
          </w:p>
        </w:tc>
        <w:tc>
          <w:tcPr>
            <w:tcW w:w="1045" w:type="dxa"/>
            <w:tcBorders>
              <w:top w:val="single" w:sz="4" w:space="0" w:color="auto"/>
              <w:left w:val="nil"/>
              <w:bottom w:val="single" w:sz="4" w:space="0" w:color="auto"/>
              <w:right w:val="single" w:sz="4" w:space="0" w:color="auto"/>
            </w:tcBorders>
            <w:shd w:val="clear" w:color="auto" w:fill="auto"/>
            <w:noWrap/>
            <w:tcMar>
              <w:left w:w="57" w:type="dxa"/>
              <w:right w:w="57" w:type="dxa"/>
            </w:tcMar>
            <w:hideMark/>
          </w:tcPr>
          <w:p w14:paraId="53C1555D" w14:textId="77777777" w:rsidR="00DF7447" w:rsidRPr="00DF7447" w:rsidRDefault="00DF7447" w:rsidP="00DF7447">
            <w:pPr>
              <w:spacing w:after="0"/>
              <w:jc w:val="center"/>
              <w:rPr>
                <w:rFonts w:ascii="Arial Narrow" w:hAnsi="Arial Narrow"/>
                <w:sz w:val="20"/>
                <w:szCs w:val="20"/>
                <w:lang w:eastAsia="en-AU"/>
              </w:rPr>
            </w:pPr>
            <w:r w:rsidRPr="00DF7447">
              <w:rPr>
                <w:rFonts w:ascii="Arial Narrow" w:hAnsi="Arial Narrow"/>
                <w:sz w:val="20"/>
                <w:szCs w:val="20"/>
              </w:rPr>
              <w:t>6.35</w:t>
            </w:r>
          </w:p>
        </w:tc>
        <w:tc>
          <w:tcPr>
            <w:tcW w:w="1045" w:type="dxa"/>
            <w:tcBorders>
              <w:top w:val="single" w:sz="4" w:space="0" w:color="auto"/>
              <w:left w:val="nil"/>
              <w:bottom w:val="single" w:sz="4" w:space="0" w:color="auto"/>
              <w:right w:val="single" w:sz="4" w:space="0" w:color="auto"/>
            </w:tcBorders>
            <w:shd w:val="clear" w:color="auto" w:fill="auto"/>
            <w:noWrap/>
            <w:tcMar>
              <w:left w:w="57" w:type="dxa"/>
              <w:right w:w="57" w:type="dxa"/>
            </w:tcMar>
            <w:hideMark/>
          </w:tcPr>
          <w:p w14:paraId="53C1555E" w14:textId="77777777" w:rsidR="00DF7447" w:rsidRPr="00DF7447" w:rsidRDefault="00DF7447" w:rsidP="00DF7447">
            <w:pPr>
              <w:spacing w:after="0"/>
              <w:jc w:val="center"/>
              <w:rPr>
                <w:rFonts w:ascii="Arial Narrow" w:hAnsi="Arial Narrow"/>
                <w:sz w:val="20"/>
                <w:szCs w:val="20"/>
                <w:lang w:eastAsia="en-AU"/>
              </w:rPr>
            </w:pPr>
          </w:p>
        </w:tc>
        <w:tc>
          <w:tcPr>
            <w:tcW w:w="1032" w:type="dxa"/>
            <w:tcBorders>
              <w:top w:val="single" w:sz="4" w:space="0" w:color="auto"/>
              <w:left w:val="nil"/>
              <w:bottom w:val="single" w:sz="4" w:space="0" w:color="auto"/>
              <w:right w:val="single" w:sz="4" w:space="0" w:color="auto"/>
            </w:tcBorders>
          </w:tcPr>
          <w:p w14:paraId="53C1555F" w14:textId="77777777" w:rsidR="00DF7447" w:rsidRPr="00DF7447" w:rsidRDefault="00DF7447" w:rsidP="00DF7447">
            <w:pPr>
              <w:spacing w:after="0"/>
              <w:jc w:val="center"/>
              <w:rPr>
                <w:rFonts w:ascii="Arial Narrow" w:hAnsi="Arial Narrow"/>
                <w:sz w:val="20"/>
                <w:szCs w:val="20"/>
                <w:lang w:eastAsia="en-AU"/>
              </w:rPr>
            </w:pPr>
            <w:r w:rsidRPr="00DF7447">
              <w:rPr>
                <w:rFonts w:ascii="Arial Narrow" w:hAnsi="Arial Narrow"/>
                <w:sz w:val="20"/>
                <w:szCs w:val="20"/>
              </w:rPr>
              <w:t>0.10</w:t>
            </w:r>
          </w:p>
        </w:tc>
        <w:tc>
          <w:tcPr>
            <w:tcW w:w="1045" w:type="dxa"/>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hideMark/>
          </w:tcPr>
          <w:p w14:paraId="53C15560" w14:textId="77777777" w:rsidR="00DF7447" w:rsidRPr="00DF7447" w:rsidRDefault="00DF7447" w:rsidP="00DF7447">
            <w:pPr>
              <w:spacing w:after="0"/>
              <w:rPr>
                <w:rFonts w:ascii="Arial Narrow" w:hAnsi="Arial Narrow"/>
                <w:sz w:val="20"/>
                <w:szCs w:val="20"/>
                <w:lang w:eastAsia="en-AU"/>
              </w:rPr>
            </w:pPr>
            <w:r w:rsidRPr="00DF7447">
              <w:rPr>
                <w:rFonts w:ascii="Arial Narrow" w:hAnsi="Arial Narrow"/>
                <w:sz w:val="20"/>
                <w:szCs w:val="20"/>
              </w:rPr>
              <w:t>0.26</w:t>
            </w:r>
          </w:p>
        </w:tc>
        <w:tc>
          <w:tcPr>
            <w:tcW w:w="1045" w:type="dxa"/>
            <w:tcBorders>
              <w:top w:val="single" w:sz="4" w:space="0" w:color="auto"/>
              <w:left w:val="nil"/>
              <w:bottom w:val="single" w:sz="4" w:space="0" w:color="auto"/>
              <w:right w:val="single" w:sz="4" w:space="0" w:color="auto"/>
            </w:tcBorders>
            <w:shd w:val="clear" w:color="auto" w:fill="auto"/>
            <w:noWrap/>
            <w:tcMar>
              <w:left w:w="57" w:type="dxa"/>
              <w:right w:w="57" w:type="dxa"/>
            </w:tcMar>
            <w:hideMark/>
          </w:tcPr>
          <w:p w14:paraId="53C15561" w14:textId="77777777" w:rsidR="00DF7447" w:rsidRPr="00DF7447" w:rsidRDefault="00DF7447" w:rsidP="00DF7447">
            <w:pPr>
              <w:spacing w:after="0"/>
              <w:jc w:val="center"/>
              <w:rPr>
                <w:rFonts w:ascii="Arial Narrow" w:hAnsi="Arial Narrow"/>
                <w:sz w:val="20"/>
                <w:szCs w:val="20"/>
                <w:lang w:eastAsia="en-AU"/>
              </w:rPr>
            </w:pPr>
          </w:p>
        </w:tc>
        <w:tc>
          <w:tcPr>
            <w:tcW w:w="1045" w:type="dxa"/>
            <w:tcBorders>
              <w:top w:val="single" w:sz="4" w:space="0" w:color="auto"/>
              <w:left w:val="nil"/>
              <w:bottom w:val="single" w:sz="4" w:space="0" w:color="auto"/>
              <w:right w:val="single" w:sz="4" w:space="0" w:color="auto"/>
            </w:tcBorders>
            <w:shd w:val="clear" w:color="auto" w:fill="auto"/>
            <w:noWrap/>
            <w:tcMar>
              <w:left w:w="57" w:type="dxa"/>
              <w:right w:w="57" w:type="dxa"/>
            </w:tcMar>
            <w:hideMark/>
          </w:tcPr>
          <w:p w14:paraId="53C15562" w14:textId="77777777" w:rsidR="00DF7447" w:rsidRPr="00DF7447" w:rsidRDefault="00DF7447" w:rsidP="00DF7447">
            <w:pPr>
              <w:spacing w:after="0"/>
              <w:jc w:val="center"/>
              <w:rPr>
                <w:rFonts w:ascii="Arial Narrow" w:hAnsi="Arial Narrow"/>
                <w:sz w:val="20"/>
                <w:szCs w:val="20"/>
                <w:lang w:eastAsia="en-AU"/>
              </w:rPr>
            </w:pPr>
            <w:r w:rsidRPr="00DF7447">
              <w:rPr>
                <w:rFonts w:ascii="Arial Narrow" w:hAnsi="Arial Narrow"/>
                <w:sz w:val="20"/>
                <w:szCs w:val="20"/>
              </w:rPr>
              <w:t>0.01</w:t>
            </w:r>
          </w:p>
        </w:tc>
        <w:tc>
          <w:tcPr>
            <w:tcW w:w="1045" w:type="dxa"/>
            <w:tcBorders>
              <w:top w:val="single" w:sz="4" w:space="0" w:color="auto"/>
              <w:left w:val="nil"/>
              <w:bottom w:val="single" w:sz="4" w:space="0" w:color="auto"/>
              <w:right w:val="single" w:sz="4" w:space="0" w:color="auto"/>
            </w:tcBorders>
            <w:shd w:val="clear" w:color="auto" w:fill="auto"/>
            <w:noWrap/>
            <w:tcMar>
              <w:left w:w="57" w:type="dxa"/>
              <w:right w:w="57" w:type="dxa"/>
            </w:tcMar>
            <w:hideMark/>
          </w:tcPr>
          <w:p w14:paraId="53C15563" w14:textId="77777777" w:rsidR="00DF7447" w:rsidRPr="00DF7447" w:rsidRDefault="00DF7447" w:rsidP="00DF7447">
            <w:pPr>
              <w:spacing w:after="0"/>
              <w:jc w:val="center"/>
              <w:rPr>
                <w:rFonts w:ascii="Arial Narrow" w:hAnsi="Arial Narrow"/>
                <w:sz w:val="20"/>
                <w:szCs w:val="20"/>
                <w:lang w:eastAsia="en-AU"/>
              </w:rPr>
            </w:pPr>
          </w:p>
        </w:tc>
        <w:tc>
          <w:tcPr>
            <w:tcW w:w="1045" w:type="dxa"/>
            <w:tcBorders>
              <w:top w:val="single" w:sz="4" w:space="0" w:color="auto"/>
              <w:left w:val="nil"/>
              <w:bottom w:val="single" w:sz="4" w:space="0" w:color="auto"/>
              <w:right w:val="single" w:sz="4" w:space="0" w:color="auto"/>
            </w:tcBorders>
            <w:shd w:val="clear" w:color="auto" w:fill="auto"/>
            <w:noWrap/>
            <w:tcMar>
              <w:left w:w="57" w:type="dxa"/>
              <w:right w:w="57" w:type="dxa"/>
            </w:tcMar>
            <w:hideMark/>
          </w:tcPr>
          <w:p w14:paraId="53C15564" w14:textId="77777777" w:rsidR="00DF7447" w:rsidRPr="00DF7447" w:rsidRDefault="00DF7447" w:rsidP="00DF7447">
            <w:pPr>
              <w:spacing w:after="0"/>
              <w:jc w:val="center"/>
              <w:rPr>
                <w:rFonts w:ascii="Arial Narrow" w:hAnsi="Arial Narrow"/>
                <w:sz w:val="20"/>
                <w:szCs w:val="20"/>
                <w:lang w:eastAsia="en-AU"/>
              </w:rPr>
            </w:pPr>
          </w:p>
        </w:tc>
      </w:tr>
      <w:tr w:rsidR="00EB6F37" w:rsidRPr="00DF7447" w14:paraId="53C15573" w14:textId="77777777" w:rsidTr="00EB6F37">
        <w:trPr>
          <w:trHeight w:hRule="exact" w:val="284"/>
        </w:trPr>
        <w:tc>
          <w:tcPr>
            <w:tcW w:w="469" w:type="dxa"/>
            <w:vMerge/>
            <w:tcBorders>
              <w:top w:val="nil"/>
              <w:left w:val="single" w:sz="4" w:space="0" w:color="auto"/>
              <w:bottom w:val="single" w:sz="4" w:space="0" w:color="auto"/>
              <w:right w:val="single" w:sz="4" w:space="0" w:color="auto"/>
            </w:tcBorders>
            <w:tcMar>
              <w:left w:w="57" w:type="dxa"/>
              <w:right w:w="57" w:type="dxa"/>
            </w:tcMar>
            <w:vAlign w:val="center"/>
          </w:tcPr>
          <w:p w14:paraId="53C15566" w14:textId="77777777" w:rsidR="00EB6F37" w:rsidRPr="00DF7447" w:rsidRDefault="00EB6F37" w:rsidP="00DF7447">
            <w:pPr>
              <w:spacing w:after="0"/>
              <w:jc w:val="left"/>
              <w:rPr>
                <w:rFonts w:ascii="Arial Narrow" w:hAnsi="Arial Narrow"/>
                <w:sz w:val="20"/>
                <w:szCs w:val="20"/>
                <w:lang w:eastAsia="en-AU"/>
              </w:rPr>
            </w:pPr>
          </w:p>
        </w:tc>
        <w:tc>
          <w:tcPr>
            <w:tcW w:w="1985" w:type="dxa"/>
            <w:vMerge w:val="restart"/>
            <w:tcBorders>
              <w:top w:val="nil"/>
              <w:left w:val="single" w:sz="4" w:space="0" w:color="auto"/>
              <w:right w:val="single" w:sz="4" w:space="0" w:color="auto"/>
            </w:tcBorders>
            <w:vAlign w:val="center"/>
          </w:tcPr>
          <w:p w14:paraId="53C15567" w14:textId="77777777" w:rsidR="00EB6F37" w:rsidRPr="00DF7447" w:rsidRDefault="00EB6F37" w:rsidP="00EB6F37">
            <w:pPr>
              <w:spacing w:after="0"/>
              <w:jc w:val="center"/>
              <w:rPr>
                <w:rFonts w:ascii="Arial Narrow" w:hAnsi="Arial Narrow"/>
                <w:sz w:val="20"/>
                <w:szCs w:val="20"/>
                <w:lang w:eastAsia="en-AU"/>
              </w:rPr>
            </w:pPr>
            <w:r w:rsidRPr="00DF7447">
              <w:rPr>
                <w:rFonts w:ascii="Arial Narrow" w:hAnsi="Arial Narrow"/>
                <w:sz w:val="20"/>
                <w:szCs w:val="20"/>
              </w:rPr>
              <w:t>Snapper North</w:t>
            </w:r>
          </w:p>
        </w:tc>
        <w:tc>
          <w:tcPr>
            <w:tcW w:w="682" w:type="dxa"/>
            <w:tcBorders>
              <w:top w:val="nil"/>
              <w:left w:val="single" w:sz="4" w:space="0" w:color="auto"/>
              <w:bottom w:val="single" w:sz="4" w:space="0" w:color="auto"/>
              <w:right w:val="single" w:sz="4" w:space="0" w:color="auto"/>
            </w:tcBorders>
          </w:tcPr>
          <w:p w14:paraId="53C15568"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2</w:t>
            </w:r>
          </w:p>
        </w:tc>
        <w:tc>
          <w:tcPr>
            <w:tcW w:w="1045" w:type="dxa"/>
            <w:tcBorders>
              <w:top w:val="nil"/>
              <w:left w:val="single" w:sz="4" w:space="0" w:color="auto"/>
              <w:bottom w:val="single" w:sz="4" w:space="0" w:color="auto"/>
              <w:right w:val="single" w:sz="4" w:space="0" w:color="auto"/>
            </w:tcBorders>
            <w:shd w:val="clear" w:color="auto" w:fill="auto"/>
            <w:noWrap/>
            <w:tcMar>
              <w:left w:w="57" w:type="dxa"/>
              <w:right w:w="57" w:type="dxa"/>
            </w:tcMar>
            <w:hideMark/>
          </w:tcPr>
          <w:p w14:paraId="53C15569"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0.06</w:t>
            </w: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6A"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6B"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3.29</w:t>
            </w: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6C"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2.17</w:t>
            </w:r>
          </w:p>
        </w:tc>
        <w:tc>
          <w:tcPr>
            <w:tcW w:w="1032" w:type="dxa"/>
            <w:tcBorders>
              <w:top w:val="nil"/>
              <w:left w:val="nil"/>
              <w:bottom w:val="single" w:sz="4" w:space="0" w:color="auto"/>
              <w:right w:val="single" w:sz="4" w:space="0" w:color="auto"/>
            </w:tcBorders>
          </w:tcPr>
          <w:p w14:paraId="53C1556D"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tcMar>
              <w:left w:w="57" w:type="dxa"/>
              <w:right w:w="57" w:type="dxa"/>
            </w:tcMar>
            <w:hideMark/>
          </w:tcPr>
          <w:p w14:paraId="53C1556E"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6F"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70"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71"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72"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581" w14:textId="77777777" w:rsidTr="00EB6F37">
        <w:trPr>
          <w:trHeight w:hRule="exact" w:val="284"/>
        </w:trPr>
        <w:tc>
          <w:tcPr>
            <w:tcW w:w="469" w:type="dxa"/>
            <w:vMerge/>
            <w:tcBorders>
              <w:top w:val="nil"/>
              <w:left w:val="single" w:sz="4" w:space="0" w:color="auto"/>
              <w:bottom w:val="single" w:sz="4" w:space="0" w:color="auto"/>
              <w:right w:val="single" w:sz="4" w:space="0" w:color="auto"/>
            </w:tcBorders>
            <w:tcMar>
              <w:left w:w="57" w:type="dxa"/>
              <w:right w:w="57" w:type="dxa"/>
            </w:tcMar>
            <w:vAlign w:val="center"/>
          </w:tcPr>
          <w:p w14:paraId="53C15574" w14:textId="77777777" w:rsidR="00EB6F37" w:rsidRPr="00DF7447" w:rsidRDefault="00EB6F37" w:rsidP="00DF7447">
            <w:pPr>
              <w:spacing w:after="0"/>
              <w:jc w:val="left"/>
              <w:rPr>
                <w:rFonts w:ascii="Arial Narrow" w:hAnsi="Arial Narrow"/>
                <w:sz w:val="20"/>
                <w:szCs w:val="20"/>
                <w:lang w:eastAsia="en-AU"/>
              </w:rPr>
            </w:pPr>
          </w:p>
        </w:tc>
        <w:tc>
          <w:tcPr>
            <w:tcW w:w="1985" w:type="dxa"/>
            <w:vMerge/>
            <w:tcBorders>
              <w:left w:val="single" w:sz="4" w:space="0" w:color="auto"/>
              <w:bottom w:val="single" w:sz="4" w:space="0" w:color="auto"/>
              <w:right w:val="single" w:sz="4" w:space="0" w:color="auto"/>
            </w:tcBorders>
            <w:vAlign w:val="center"/>
          </w:tcPr>
          <w:p w14:paraId="53C15575" w14:textId="77777777" w:rsidR="00EB6F37" w:rsidRPr="00DF7447" w:rsidRDefault="00EB6F37" w:rsidP="00DF7447">
            <w:pPr>
              <w:spacing w:after="0"/>
              <w:jc w:val="center"/>
              <w:rPr>
                <w:rFonts w:ascii="Arial Narrow" w:hAnsi="Arial Narrow"/>
                <w:sz w:val="20"/>
                <w:szCs w:val="20"/>
              </w:rPr>
            </w:pPr>
          </w:p>
        </w:tc>
        <w:tc>
          <w:tcPr>
            <w:tcW w:w="682" w:type="dxa"/>
            <w:tcBorders>
              <w:top w:val="nil"/>
              <w:left w:val="single" w:sz="4" w:space="0" w:color="auto"/>
              <w:bottom w:val="single" w:sz="4" w:space="0" w:color="auto"/>
              <w:right w:val="single" w:sz="4" w:space="0" w:color="auto"/>
            </w:tcBorders>
          </w:tcPr>
          <w:p w14:paraId="53C15576"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5</w:t>
            </w:r>
          </w:p>
        </w:tc>
        <w:tc>
          <w:tcPr>
            <w:tcW w:w="1045" w:type="dxa"/>
            <w:tcBorders>
              <w:top w:val="nil"/>
              <w:left w:val="single" w:sz="4" w:space="0" w:color="auto"/>
              <w:bottom w:val="single" w:sz="4" w:space="0" w:color="auto"/>
              <w:right w:val="single" w:sz="4" w:space="0" w:color="auto"/>
            </w:tcBorders>
            <w:shd w:val="clear" w:color="auto" w:fill="auto"/>
            <w:noWrap/>
            <w:tcMar>
              <w:left w:w="57" w:type="dxa"/>
              <w:right w:w="57" w:type="dxa"/>
            </w:tcMar>
            <w:hideMark/>
          </w:tcPr>
          <w:p w14:paraId="53C15577"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0.02</w:t>
            </w: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78"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79"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0.81</w:t>
            </w: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7A"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0.03</w:t>
            </w:r>
          </w:p>
        </w:tc>
        <w:tc>
          <w:tcPr>
            <w:tcW w:w="1032" w:type="dxa"/>
            <w:tcBorders>
              <w:top w:val="nil"/>
              <w:left w:val="nil"/>
              <w:bottom w:val="single" w:sz="4" w:space="0" w:color="auto"/>
              <w:right w:val="single" w:sz="4" w:space="0" w:color="auto"/>
            </w:tcBorders>
          </w:tcPr>
          <w:p w14:paraId="53C1557B" w14:textId="77777777" w:rsidR="00EB6F37" w:rsidRPr="00DF7447" w:rsidRDefault="00EB6F37" w:rsidP="00DF7447">
            <w:pPr>
              <w:spacing w:after="0"/>
              <w:jc w:val="center"/>
              <w:rPr>
                <w:rFonts w:ascii="Arial Narrow" w:hAnsi="Arial Narrow"/>
                <w:sz w:val="20"/>
                <w:szCs w:val="20"/>
              </w:rPr>
            </w:pPr>
          </w:p>
        </w:tc>
        <w:tc>
          <w:tcPr>
            <w:tcW w:w="1045" w:type="dxa"/>
            <w:tcBorders>
              <w:top w:val="nil"/>
              <w:left w:val="single" w:sz="4" w:space="0" w:color="auto"/>
              <w:bottom w:val="single" w:sz="4" w:space="0" w:color="auto"/>
              <w:right w:val="single" w:sz="4" w:space="0" w:color="auto"/>
            </w:tcBorders>
            <w:shd w:val="clear" w:color="auto" w:fill="auto"/>
            <w:noWrap/>
            <w:tcMar>
              <w:left w:w="57" w:type="dxa"/>
              <w:right w:w="57" w:type="dxa"/>
            </w:tcMar>
            <w:hideMark/>
          </w:tcPr>
          <w:p w14:paraId="53C1557C"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7D"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7E"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1.02</w:t>
            </w: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7F"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80"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58F" w14:textId="77777777" w:rsidTr="00EB6F37">
        <w:trPr>
          <w:trHeight w:hRule="exact" w:val="284"/>
        </w:trPr>
        <w:tc>
          <w:tcPr>
            <w:tcW w:w="469" w:type="dxa"/>
            <w:vMerge/>
            <w:tcBorders>
              <w:top w:val="nil"/>
              <w:left w:val="single" w:sz="4" w:space="0" w:color="auto"/>
              <w:bottom w:val="single" w:sz="4" w:space="0" w:color="auto"/>
              <w:right w:val="single" w:sz="4" w:space="0" w:color="auto"/>
            </w:tcBorders>
            <w:tcMar>
              <w:left w:w="57" w:type="dxa"/>
              <w:right w:w="57" w:type="dxa"/>
            </w:tcMar>
            <w:vAlign w:val="center"/>
          </w:tcPr>
          <w:p w14:paraId="53C15582" w14:textId="77777777" w:rsidR="00EB6F37" w:rsidRPr="00DF7447" w:rsidRDefault="00EB6F37" w:rsidP="00DF7447">
            <w:pPr>
              <w:spacing w:after="0"/>
              <w:jc w:val="left"/>
              <w:rPr>
                <w:rFonts w:ascii="Arial Narrow" w:hAnsi="Arial Narrow"/>
                <w:sz w:val="20"/>
                <w:szCs w:val="20"/>
                <w:lang w:eastAsia="en-AU"/>
              </w:rPr>
            </w:pPr>
          </w:p>
        </w:tc>
        <w:tc>
          <w:tcPr>
            <w:tcW w:w="1985" w:type="dxa"/>
            <w:vMerge w:val="restart"/>
            <w:tcBorders>
              <w:top w:val="nil"/>
              <w:left w:val="single" w:sz="4" w:space="0" w:color="auto"/>
              <w:right w:val="single" w:sz="4" w:space="0" w:color="auto"/>
            </w:tcBorders>
            <w:vAlign w:val="center"/>
          </w:tcPr>
          <w:p w14:paraId="53C15583" w14:textId="77777777" w:rsidR="00EB6F37" w:rsidRPr="00DF7447" w:rsidRDefault="00EB6F37" w:rsidP="00EB6F37">
            <w:pPr>
              <w:spacing w:after="0"/>
              <w:jc w:val="center"/>
              <w:rPr>
                <w:rFonts w:ascii="Arial Narrow" w:hAnsi="Arial Narrow"/>
                <w:sz w:val="20"/>
                <w:szCs w:val="20"/>
              </w:rPr>
            </w:pPr>
            <w:r w:rsidRPr="00DF7447">
              <w:rPr>
                <w:rFonts w:ascii="Arial Narrow" w:hAnsi="Arial Narrow"/>
                <w:sz w:val="20"/>
                <w:szCs w:val="20"/>
              </w:rPr>
              <w:t>Snapper South</w:t>
            </w:r>
          </w:p>
        </w:tc>
        <w:tc>
          <w:tcPr>
            <w:tcW w:w="682" w:type="dxa"/>
            <w:tcBorders>
              <w:top w:val="nil"/>
              <w:left w:val="single" w:sz="4" w:space="0" w:color="auto"/>
              <w:bottom w:val="single" w:sz="4" w:space="0" w:color="auto"/>
              <w:right w:val="single" w:sz="4" w:space="0" w:color="auto"/>
            </w:tcBorders>
          </w:tcPr>
          <w:p w14:paraId="53C15584"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2</w:t>
            </w:r>
          </w:p>
        </w:tc>
        <w:tc>
          <w:tcPr>
            <w:tcW w:w="1045" w:type="dxa"/>
            <w:tcBorders>
              <w:top w:val="nil"/>
              <w:left w:val="single" w:sz="4" w:space="0" w:color="auto"/>
              <w:bottom w:val="single" w:sz="4" w:space="0" w:color="auto"/>
              <w:right w:val="single" w:sz="4" w:space="0" w:color="auto"/>
            </w:tcBorders>
            <w:shd w:val="clear" w:color="auto" w:fill="auto"/>
            <w:noWrap/>
            <w:tcMar>
              <w:left w:w="57" w:type="dxa"/>
              <w:right w:w="57" w:type="dxa"/>
            </w:tcMar>
            <w:hideMark/>
          </w:tcPr>
          <w:p w14:paraId="53C15585"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0.15</w:t>
            </w: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86"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87"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0.13</w:t>
            </w: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88"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0.08</w:t>
            </w:r>
          </w:p>
        </w:tc>
        <w:tc>
          <w:tcPr>
            <w:tcW w:w="1032" w:type="dxa"/>
            <w:tcBorders>
              <w:top w:val="nil"/>
              <w:left w:val="nil"/>
              <w:bottom w:val="single" w:sz="4" w:space="0" w:color="auto"/>
              <w:right w:val="single" w:sz="4" w:space="0" w:color="auto"/>
            </w:tcBorders>
          </w:tcPr>
          <w:p w14:paraId="53C15589" w14:textId="77777777" w:rsidR="00EB6F37" w:rsidRPr="00DF7447" w:rsidRDefault="00EB6F37" w:rsidP="00DF7447">
            <w:pPr>
              <w:spacing w:after="0"/>
              <w:jc w:val="center"/>
              <w:rPr>
                <w:rFonts w:ascii="Arial Narrow" w:hAnsi="Arial Narrow"/>
                <w:sz w:val="20"/>
                <w:szCs w:val="20"/>
              </w:rPr>
            </w:pPr>
          </w:p>
        </w:tc>
        <w:tc>
          <w:tcPr>
            <w:tcW w:w="1045" w:type="dxa"/>
            <w:tcBorders>
              <w:top w:val="nil"/>
              <w:left w:val="single" w:sz="4" w:space="0" w:color="auto"/>
              <w:bottom w:val="single" w:sz="4" w:space="0" w:color="auto"/>
              <w:right w:val="single" w:sz="4" w:space="0" w:color="auto"/>
            </w:tcBorders>
            <w:shd w:val="clear" w:color="auto" w:fill="auto"/>
            <w:noWrap/>
            <w:tcMar>
              <w:left w:w="57" w:type="dxa"/>
              <w:right w:w="57" w:type="dxa"/>
            </w:tcMar>
            <w:hideMark/>
          </w:tcPr>
          <w:p w14:paraId="53C1558A"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3.08</w:t>
            </w: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8B"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8C"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8D"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8E"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59D" w14:textId="77777777" w:rsidTr="00EB6F37">
        <w:trPr>
          <w:trHeight w:hRule="exact" w:val="284"/>
        </w:trPr>
        <w:tc>
          <w:tcPr>
            <w:tcW w:w="469" w:type="dxa"/>
            <w:vMerge/>
            <w:tcBorders>
              <w:top w:val="nil"/>
              <w:left w:val="single" w:sz="4" w:space="0" w:color="auto"/>
              <w:bottom w:val="single" w:sz="4" w:space="0" w:color="auto"/>
              <w:right w:val="single" w:sz="4" w:space="0" w:color="auto"/>
            </w:tcBorders>
            <w:tcMar>
              <w:left w:w="57" w:type="dxa"/>
              <w:right w:w="57" w:type="dxa"/>
            </w:tcMar>
            <w:vAlign w:val="center"/>
          </w:tcPr>
          <w:p w14:paraId="53C15590" w14:textId="77777777" w:rsidR="00EB6F37" w:rsidRPr="00DF7447" w:rsidRDefault="00EB6F37" w:rsidP="00DF7447">
            <w:pPr>
              <w:spacing w:after="0"/>
              <w:jc w:val="left"/>
              <w:rPr>
                <w:rFonts w:ascii="Arial Narrow" w:hAnsi="Arial Narrow"/>
                <w:sz w:val="20"/>
                <w:szCs w:val="20"/>
                <w:lang w:eastAsia="en-AU"/>
              </w:rPr>
            </w:pPr>
          </w:p>
        </w:tc>
        <w:tc>
          <w:tcPr>
            <w:tcW w:w="1985" w:type="dxa"/>
            <w:vMerge/>
            <w:tcBorders>
              <w:left w:val="single" w:sz="4" w:space="0" w:color="auto"/>
              <w:bottom w:val="single" w:sz="4" w:space="0" w:color="auto"/>
              <w:right w:val="single" w:sz="4" w:space="0" w:color="auto"/>
            </w:tcBorders>
          </w:tcPr>
          <w:p w14:paraId="53C15591" w14:textId="77777777" w:rsidR="00EB6F37" w:rsidRPr="00DF7447" w:rsidRDefault="00EB6F37" w:rsidP="00DF7447">
            <w:pPr>
              <w:spacing w:after="0"/>
              <w:jc w:val="center"/>
              <w:rPr>
                <w:rFonts w:ascii="Arial Narrow" w:hAnsi="Arial Narrow"/>
                <w:sz w:val="20"/>
                <w:szCs w:val="20"/>
              </w:rPr>
            </w:pPr>
          </w:p>
        </w:tc>
        <w:tc>
          <w:tcPr>
            <w:tcW w:w="682" w:type="dxa"/>
            <w:tcBorders>
              <w:top w:val="nil"/>
              <w:left w:val="single" w:sz="4" w:space="0" w:color="auto"/>
              <w:bottom w:val="single" w:sz="4" w:space="0" w:color="auto"/>
              <w:right w:val="single" w:sz="4" w:space="0" w:color="auto"/>
            </w:tcBorders>
          </w:tcPr>
          <w:p w14:paraId="53C15592"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5</w:t>
            </w:r>
          </w:p>
        </w:tc>
        <w:tc>
          <w:tcPr>
            <w:tcW w:w="1045" w:type="dxa"/>
            <w:tcBorders>
              <w:top w:val="nil"/>
              <w:left w:val="single" w:sz="4" w:space="0" w:color="auto"/>
              <w:bottom w:val="single" w:sz="4" w:space="0" w:color="auto"/>
              <w:right w:val="single" w:sz="4" w:space="0" w:color="auto"/>
            </w:tcBorders>
            <w:shd w:val="clear" w:color="auto" w:fill="auto"/>
            <w:noWrap/>
            <w:tcMar>
              <w:left w:w="57" w:type="dxa"/>
              <w:right w:w="57" w:type="dxa"/>
            </w:tcMar>
            <w:hideMark/>
          </w:tcPr>
          <w:p w14:paraId="53C15593"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0.01</w:t>
            </w: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94"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95"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6.94</w:t>
            </w: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96" w14:textId="77777777" w:rsidR="00EB6F37" w:rsidRPr="00DF7447" w:rsidRDefault="00EB6F37" w:rsidP="00DF7447">
            <w:pPr>
              <w:spacing w:after="0"/>
              <w:jc w:val="center"/>
              <w:rPr>
                <w:rFonts w:ascii="Arial Narrow" w:hAnsi="Arial Narrow"/>
                <w:sz w:val="20"/>
                <w:szCs w:val="20"/>
                <w:lang w:eastAsia="en-AU"/>
              </w:rPr>
            </w:pPr>
          </w:p>
        </w:tc>
        <w:tc>
          <w:tcPr>
            <w:tcW w:w="1032" w:type="dxa"/>
            <w:tcBorders>
              <w:top w:val="nil"/>
              <w:left w:val="nil"/>
              <w:bottom w:val="single" w:sz="4" w:space="0" w:color="auto"/>
              <w:right w:val="single" w:sz="4" w:space="0" w:color="auto"/>
            </w:tcBorders>
          </w:tcPr>
          <w:p w14:paraId="53C15597"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0.06</w:t>
            </w:r>
          </w:p>
        </w:tc>
        <w:tc>
          <w:tcPr>
            <w:tcW w:w="1045" w:type="dxa"/>
            <w:tcBorders>
              <w:top w:val="nil"/>
              <w:left w:val="single" w:sz="4" w:space="0" w:color="auto"/>
              <w:bottom w:val="single" w:sz="4" w:space="0" w:color="auto"/>
              <w:right w:val="single" w:sz="4" w:space="0" w:color="auto"/>
            </w:tcBorders>
            <w:shd w:val="clear" w:color="auto" w:fill="auto"/>
            <w:noWrap/>
            <w:tcMar>
              <w:left w:w="57" w:type="dxa"/>
              <w:right w:w="57" w:type="dxa"/>
            </w:tcMar>
            <w:hideMark/>
          </w:tcPr>
          <w:p w14:paraId="53C15598"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5.25</w:t>
            </w: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99"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9A"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9B"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9C" w14:textId="77777777" w:rsidR="00EB6F37" w:rsidRPr="00DF7447" w:rsidRDefault="00EB6F37" w:rsidP="00DF7447">
            <w:pPr>
              <w:spacing w:after="0"/>
              <w:jc w:val="center"/>
              <w:rPr>
                <w:rFonts w:ascii="Arial Narrow" w:hAnsi="Arial Narrow"/>
                <w:sz w:val="20"/>
                <w:szCs w:val="20"/>
                <w:lang w:eastAsia="en-AU"/>
              </w:rPr>
            </w:pPr>
          </w:p>
        </w:tc>
      </w:tr>
      <w:tr w:rsidR="00DF7447" w:rsidRPr="00DF7447" w14:paraId="53C155AB" w14:textId="77777777" w:rsidTr="00DF7447">
        <w:trPr>
          <w:trHeight w:hRule="exact" w:val="284"/>
        </w:trPr>
        <w:tc>
          <w:tcPr>
            <w:tcW w:w="469" w:type="dxa"/>
            <w:vMerge w:val="restart"/>
            <w:tcBorders>
              <w:top w:val="nil"/>
              <w:left w:val="single" w:sz="4" w:space="0" w:color="auto"/>
              <w:bottom w:val="single" w:sz="4" w:space="0" w:color="auto"/>
              <w:right w:val="single" w:sz="4" w:space="0" w:color="auto"/>
            </w:tcBorders>
            <w:shd w:val="clear" w:color="auto" w:fill="auto"/>
            <w:noWrap/>
            <w:tcMar>
              <w:left w:w="57" w:type="dxa"/>
              <w:right w:w="57" w:type="dxa"/>
            </w:tcMar>
            <w:textDirection w:val="btLr"/>
            <w:vAlign w:val="center"/>
          </w:tcPr>
          <w:p w14:paraId="53C1559E" w14:textId="77777777" w:rsidR="00DF7447" w:rsidRPr="00DF7447" w:rsidRDefault="00DF7447" w:rsidP="00DF7447">
            <w:pPr>
              <w:spacing w:after="0"/>
              <w:jc w:val="center"/>
              <w:rPr>
                <w:rFonts w:ascii="Arial Narrow" w:hAnsi="Arial Narrow"/>
                <w:sz w:val="20"/>
                <w:szCs w:val="20"/>
                <w:lang w:eastAsia="en-AU"/>
              </w:rPr>
            </w:pPr>
            <w:r w:rsidRPr="00DF7447">
              <w:rPr>
                <w:rFonts w:ascii="Arial Narrow" w:hAnsi="Arial Narrow"/>
                <w:sz w:val="20"/>
                <w:szCs w:val="20"/>
                <w:lang w:eastAsia="en-AU"/>
              </w:rPr>
              <w:t>Johnstone</w:t>
            </w:r>
            <w:r w:rsidR="008E17A4">
              <w:rPr>
                <w:rFonts w:ascii="Arial Narrow" w:hAnsi="Arial Narrow"/>
                <w:sz w:val="20"/>
                <w:szCs w:val="20"/>
                <w:lang w:eastAsia="en-AU"/>
              </w:rPr>
              <w:t xml:space="preserve"> Russell-Mulgrave</w:t>
            </w:r>
          </w:p>
        </w:tc>
        <w:tc>
          <w:tcPr>
            <w:tcW w:w="1985" w:type="dxa"/>
            <w:tcBorders>
              <w:top w:val="nil"/>
              <w:left w:val="single" w:sz="4" w:space="0" w:color="auto"/>
              <w:bottom w:val="single" w:sz="4" w:space="0" w:color="auto"/>
              <w:right w:val="single" w:sz="4" w:space="0" w:color="auto"/>
            </w:tcBorders>
          </w:tcPr>
          <w:p w14:paraId="53C1559F" w14:textId="77777777" w:rsidR="00DF7447" w:rsidRPr="00DF7447" w:rsidRDefault="00DF7447" w:rsidP="00DF7447">
            <w:pPr>
              <w:spacing w:after="0"/>
              <w:jc w:val="center"/>
              <w:rPr>
                <w:rFonts w:ascii="Arial Narrow" w:hAnsi="Arial Narrow"/>
                <w:sz w:val="20"/>
                <w:szCs w:val="20"/>
              </w:rPr>
            </w:pPr>
            <w:r w:rsidRPr="00DF7447">
              <w:rPr>
                <w:rFonts w:ascii="Arial Narrow" w:hAnsi="Arial Narrow"/>
                <w:sz w:val="20"/>
                <w:szCs w:val="20"/>
              </w:rPr>
              <w:t>Green</w:t>
            </w:r>
          </w:p>
        </w:tc>
        <w:tc>
          <w:tcPr>
            <w:tcW w:w="682" w:type="dxa"/>
            <w:tcBorders>
              <w:top w:val="nil"/>
              <w:left w:val="single" w:sz="4" w:space="0" w:color="auto"/>
              <w:bottom w:val="single" w:sz="4" w:space="0" w:color="auto"/>
              <w:right w:val="single" w:sz="4" w:space="0" w:color="auto"/>
            </w:tcBorders>
          </w:tcPr>
          <w:p w14:paraId="53C155A0" w14:textId="77777777" w:rsidR="00DF7447" w:rsidRPr="00DF7447" w:rsidRDefault="00DF7447" w:rsidP="00DF7447">
            <w:pPr>
              <w:spacing w:after="0"/>
              <w:jc w:val="center"/>
              <w:rPr>
                <w:rFonts w:ascii="Arial Narrow" w:hAnsi="Arial Narrow"/>
                <w:sz w:val="20"/>
                <w:szCs w:val="20"/>
              </w:rPr>
            </w:pPr>
            <w:r w:rsidRPr="00DF7447">
              <w:rPr>
                <w:rFonts w:ascii="Arial Narrow" w:hAnsi="Arial Narrow"/>
                <w:sz w:val="20"/>
                <w:szCs w:val="20"/>
              </w:rPr>
              <w:t>5</w:t>
            </w:r>
          </w:p>
        </w:tc>
        <w:tc>
          <w:tcPr>
            <w:tcW w:w="1045" w:type="dxa"/>
            <w:tcBorders>
              <w:top w:val="nil"/>
              <w:left w:val="single" w:sz="4" w:space="0" w:color="auto"/>
              <w:bottom w:val="single" w:sz="4" w:space="0" w:color="auto"/>
              <w:right w:val="single" w:sz="4" w:space="0" w:color="auto"/>
            </w:tcBorders>
            <w:shd w:val="clear" w:color="auto" w:fill="auto"/>
            <w:noWrap/>
            <w:tcMar>
              <w:left w:w="57" w:type="dxa"/>
              <w:right w:w="57" w:type="dxa"/>
            </w:tcMar>
            <w:hideMark/>
          </w:tcPr>
          <w:p w14:paraId="53C155A1" w14:textId="77777777" w:rsidR="00DF7447" w:rsidRPr="00DF7447" w:rsidRDefault="00DF7447" w:rsidP="00DF7447">
            <w:pPr>
              <w:spacing w:after="0"/>
              <w:jc w:val="center"/>
              <w:rPr>
                <w:rFonts w:ascii="Arial Narrow" w:hAnsi="Arial Narrow"/>
                <w:sz w:val="20"/>
                <w:szCs w:val="20"/>
                <w:lang w:eastAsia="en-AU"/>
              </w:rPr>
            </w:pPr>
            <w:r w:rsidRPr="00DF7447">
              <w:rPr>
                <w:rFonts w:ascii="Arial Narrow" w:hAnsi="Arial Narrow"/>
                <w:sz w:val="20"/>
                <w:szCs w:val="20"/>
              </w:rPr>
              <w:t>0.35</w:t>
            </w: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A2" w14:textId="77777777" w:rsidR="00DF7447" w:rsidRPr="00DF7447" w:rsidRDefault="00DF744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A3" w14:textId="77777777" w:rsidR="00DF7447" w:rsidRPr="00DF7447" w:rsidRDefault="00DF7447" w:rsidP="00DF7447">
            <w:pPr>
              <w:spacing w:after="0"/>
              <w:jc w:val="center"/>
              <w:rPr>
                <w:rFonts w:ascii="Arial Narrow" w:hAnsi="Arial Narrow"/>
                <w:sz w:val="20"/>
                <w:szCs w:val="20"/>
                <w:lang w:eastAsia="en-AU"/>
              </w:rPr>
            </w:pPr>
            <w:r w:rsidRPr="00DF7447">
              <w:rPr>
                <w:rFonts w:ascii="Arial Narrow" w:hAnsi="Arial Narrow"/>
                <w:sz w:val="20"/>
                <w:szCs w:val="20"/>
              </w:rPr>
              <w:t>0.13</w:t>
            </w: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A4" w14:textId="77777777" w:rsidR="00DF7447" w:rsidRPr="00DF7447" w:rsidRDefault="00DF7447" w:rsidP="00DF7447">
            <w:pPr>
              <w:spacing w:after="0"/>
              <w:jc w:val="center"/>
              <w:rPr>
                <w:rFonts w:ascii="Arial Narrow" w:hAnsi="Arial Narrow"/>
                <w:sz w:val="20"/>
                <w:szCs w:val="20"/>
                <w:lang w:eastAsia="en-AU"/>
              </w:rPr>
            </w:pPr>
          </w:p>
        </w:tc>
        <w:tc>
          <w:tcPr>
            <w:tcW w:w="1032" w:type="dxa"/>
            <w:tcBorders>
              <w:top w:val="nil"/>
              <w:left w:val="nil"/>
              <w:bottom w:val="single" w:sz="4" w:space="0" w:color="auto"/>
              <w:right w:val="single" w:sz="4" w:space="0" w:color="auto"/>
            </w:tcBorders>
          </w:tcPr>
          <w:p w14:paraId="53C155A5" w14:textId="77777777" w:rsidR="00DF7447" w:rsidRPr="00DF7447" w:rsidRDefault="00DF744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tcMar>
              <w:left w:w="57" w:type="dxa"/>
              <w:right w:w="57" w:type="dxa"/>
            </w:tcMar>
            <w:hideMark/>
          </w:tcPr>
          <w:p w14:paraId="53C155A6" w14:textId="77777777" w:rsidR="00DF7447" w:rsidRPr="00DF7447" w:rsidRDefault="00DF7447" w:rsidP="00DF7447">
            <w:pPr>
              <w:spacing w:after="0"/>
              <w:jc w:val="center"/>
              <w:rPr>
                <w:rFonts w:ascii="Arial Narrow" w:hAnsi="Arial Narrow"/>
                <w:sz w:val="20"/>
                <w:szCs w:val="20"/>
                <w:lang w:eastAsia="en-AU"/>
              </w:rPr>
            </w:pPr>
            <w:r w:rsidRPr="00DF7447">
              <w:rPr>
                <w:rFonts w:ascii="Arial Narrow" w:hAnsi="Arial Narrow"/>
                <w:sz w:val="20"/>
                <w:szCs w:val="20"/>
              </w:rPr>
              <w:t>0.13</w:t>
            </w: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A7" w14:textId="77777777" w:rsidR="00DF7447" w:rsidRPr="00DF7447" w:rsidRDefault="00DF7447" w:rsidP="00DF7447">
            <w:pPr>
              <w:spacing w:after="0"/>
              <w:jc w:val="center"/>
              <w:rPr>
                <w:rFonts w:ascii="Arial Narrow" w:hAnsi="Arial Narrow"/>
                <w:sz w:val="20"/>
                <w:szCs w:val="20"/>
                <w:lang w:eastAsia="en-AU"/>
              </w:rPr>
            </w:pPr>
            <w:r w:rsidRPr="00DF7447">
              <w:rPr>
                <w:rFonts w:ascii="Arial Narrow" w:hAnsi="Arial Narrow"/>
                <w:sz w:val="20"/>
                <w:szCs w:val="20"/>
              </w:rPr>
              <w:t>0.01</w:t>
            </w: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A8" w14:textId="77777777" w:rsidR="00DF7447" w:rsidRPr="00DF7447" w:rsidRDefault="00DF744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A9" w14:textId="77777777" w:rsidR="00DF7447" w:rsidRPr="00DF7447" w:rsidRDefault="00DF744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AA" w14:textId="77777777" w:rsidR="00DF7447" w:rsidRPr="00DF7447" w:rsidRDefault="00DF7447" w:rsidP="00DF7447">
            <w:pPr>
              <w:spacing w:after="0"/>
              <w:jc w:val="center"/>
              <w:rPr>
                <w:rFonts w:ascii="Arial Narrow" w:hAnsi="Arial Narrow"/>
                <w:sz w:val="20"/>
                <w:szCs w:val="20"/>
                <w:lang w:eastAsia="en-AU"/>
              </w:rPr>
            </w:pPr>
            <w:r w:rsidRPr="00DF7447">
              <w:rPr>
                <w:rFonts w:ascii="Arial Narrow" w:hAnsi="Arial Narrow"/>
                <w:sz w:val="20"/>
                <w:szCs w:val="20"/>
              </w:rPr>
              <w:t>0.06</w:t>
            </w:r>
          </w:p>
        </w:tc>
      </w:tr>
      <w:tr w:rsidR="00EB6F37" w:rsidRPr="00DF7447" w14:paraId="53C155B9" w14:textId="77777777" w:rsidTr="00EB6F37">
        <w:trPr>
          <w:trHeight w:hRule="exact" w:val="284"/>
        </w:trPr>
        <w:tc>
          <w:tcPr>
            <w:tcW w:w="469" w:type="dxa"/>
            <w:vMerge/>
            <w:tcBorders>
              <w:top w:val="nil"/>
              <w:left w:val="single" w:sz="4" w:space="0" w:color="auto"/>
              <w:bottom w:val="single" w:sz="4" w:space="0" w:color="auto"/>
              <w:right w:val="single" w:sz="4" w:space="0" w:color="auto"/>
            </w:tcBorders>
            <w:tcMar>
              <w:left w:w="57" w:type="dxa"/>
              <w:right w:w="57" w:type="dxa"/>
            </w:tcMar>
            <w:vAlign w:val="center"/>
          </w:tcPr>
          <w:p w14:paraId="53C155AC" w14:textId="77777777" w:rsidR="00EB6F37" w:rsidRPr="00DF7447" w:rsidRDefault="00EB6F37" w:rsidP="00DF7447">
            <w:pPr>
              <w:spacing w:after="0"/>
              <w:jc w:val="left"/>
              <w:rPr>
                <w:rFonts w:ascii="Arial Narrow" w:hAnsi="Arial Narrow"/>
                <w:sz w:val="20"/>
                <w:szCs w:val="20"/>
                <w:lang w:eastAsia="en-AU"/>
              </w:rPr>
            </w:pPr>
          </w:p>
        </w:tc>
        <w:tc>
          <w:tcPr>
            <w:tcW w:w="1985" w:type="dxa"/>
            <w:vMerge w:val="restart"/>
            <w:tcBorders>
              <w:top w:val="nil"/>
              <w:left w:val="single" w:sz="4" w:space="0" w:color="auto"/>
              <w:right w:val="single" w:sz="4" w:space="0" w:color="auto"/>
            </w:tcBorders>
            <w:vAlign w:val="center"/>
          </w:tcPr>
          <w:p w14:paraId="53C155AD" w14:textId="77777777" w:rsidR="00EB6F37" w:rsidRPr="00DF7447" w:rsidRDefault="00EB6F37" w:rsidP="00EB6F37">
            <w:pPr>
              <w:spacing w:after="0"/>
              <w:jc w:val="center"/>
              <w:rPr>
                <w:rFonts w:ascii="Arial Narrow" w:hAnsi="Arial Narrow"/>
                <w:sz w:val="20"/>
                <w:szCs w:val="20"/>
              </w:rPr>
            </w:pPr>
            <w:r w:rsidRPr="00DF7447">
              <w:rPr>
                <w:rFonts w:ascii="Arial Narrow" w:hAnsi="Arial Narrow"/>
                <w:sz w:val="20"/>
                <w:szCs w:val="20"/>
              </w:rPr>
              <w:t>Fitzroy East</w:t>
            </w:r>
          </w:p>
        </w:tc>
        <w:tc>
          <w:tcPr>
            <w:tcW w:w="682" w:type="dxa"/>
            <w:tcBorders>
              <w:top w:val="nil"/>
              <w:left w:val="single" w:sz="4" w:space="0" w:color="auto"/>
              <w:bottom w:val="single" w:sz="4" w:space="0" w:color="auto"/>
              <w:right w:val="single" w:sz="4" w:space="0" w:color="auto"/>
            </w:tcBorders>
          </w:tcPr>
          <w:p w14:paraId="53C155AE"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2</w:t>
            </w:r>
          </w:p>
        </w:tc>
        <w:tc>
          <w:tcPr>
            <w:tcW w:w="1045" w:type="dxa"/>
            <w:tcBorders>
              <w:top w:val="nil"/>
              <w:left w:val="single" w:sz="4" w:space="0" w:color="auto"/>
              <w:bottom w:val="single" w:sz="4" w:space="0" w:color="auto"/>
              <w:right w:val="single" w:sz="4" w:space="0" w:color="auto"/>
            </w:tcBorders>
            <w:shd w:val="clear" w:color="auto" w:fill="auto"/>
            <w:noWrap/>
            <w:tcMar>
              <w:left w:w="57" w:type="dxa"/>
              <w:right w:w="57" w:type="dxa"/>
            </w:tcMar>
            <w:hideMark/>
          </w:tcPr>
          <w:p w14:paraId="53C155AF"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0.28</w:t>
            </w: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B0"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B1"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1.13</w:t>
            </w: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B2"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0.28</w:t>
            </w:r>
          </w:p>
        </w:tc>
        <w:tc>
          <w:tcPr>
            <w:tcW w:w="1032" w:type="dxa"/>
            <w:tcBorders>
              <w:top w:val="nil"/>
              <w:left w:val="nil"/>
              <w:bottom w:val="single" w:sz="4" w:space="0" w:color="auto"/>
              <w:right w:val="single" w:sz="4" w:space="0" w:color="auto"/>
            </w:tcBorders>
          </w:tcPr>
          <w:p w14:paraId="53C155B3"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tcMar>
              <w:left w:w="57" w:type="dxa"/>
              <w:right w:w="57" w:type="dxa"/>
            </w:tcMar>
            <w:hideMark/>
          </w:tcPr>
          <w:p w14:paraId="53C155B4"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B5"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0.01</w:t>
            </w: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B6"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B7"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B8"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5C7" w14:textId="77777777" w:rsidTr="00EB6F37">
        <w:trPr>
          <w:trHeight w:hRule="exact" w:val="284"/>
        </w:trPr>
        <w:tc>
          <w:tcPr>
            <w:tcW w:w="469" w:type="dxa"/>
            <w:vMerge/>
            <w:tcBorders>
              <w:top w:val="nil"/>
              <w:left w:val="single" w:sz="4" w:space="0" w:color="auto"/>
              <w:bottom w:val="single" w:sz="4" w:space="0" w:color="auto"/>
              <w:right w:val="single" w:sz="4" w:space="0" w:color="auto"/>
            </w:tcBorders>
            <w:tcMar>
              <w:left w:w="57" w:type="dxa"/>
              <w:right w:w="57" w:type="dxa"/>
            </w:tcMar>
            <w:vAlign w:val="center"/>
          </w:tcPr>
          <w:p w14:paraId="53C155BA" w14:textId="77777777" w:rsidR="00EB6F37" w:rsidRPr="00DF7447" w:rsidRDefault="00EB6F37" w:rsidP="00DF7447">
            <w:pPr>
              <w:spacing w:after="0"/>
              <w:jc w:val="left"/>
              <w:rPr>
                <w:rFonts w:ascii="Arial Narrow" w:hAnsi="Arial Narrow"/>
                <w:sz w:val="20"/>
                <w:szCs w:val="20"/>
                <w:lang w:eastAsia="en-AU"/>
              </w:rPr>
            </w:pPr>
          </w:p>
        </w:tc>
        <w:tc>
          <w:tcPr>
            <w:tcW w:w="1985" w:type="dxa"/>
            <w:vMerge/>
            <w:tcBorders>
              <w:left w:val="single" w:sz="4" w:space="0" w:color="auto"/>
              <w:bottom w:val="single" w:sz="4" w:space="0" w:color="auto"/>
              <w:right w:val="single" w:sz="4" w:space="0" w:color="auto"/>
            </w:tcBorders>
            <w:vAlign w:val="center"/>
          </w:tcPr>
          <w:p w14:paraId="53C155BB" w14:textId="77777777" w:rsidR="00EB6F37" w:rsidRPr="00DF7447" w:rsidRDefault="00EB6F37" w:rsidP="00DF7447">
            <w:pPr>
              <w:spacing w:after="0"/>
              <w:jc w:val="center"/>
              <w:rPr>
                <w:rFonts w:ascii="Arial Narrow" w:hAnsi="Arial Narrow"/>
                <w:sz w:val="20"/>
                <w:szCs w:val="20"/>
              </w:rPr>
            </w:pPr>
          </w:p>
        </w:tc>
        <w:tc>
          <w:tcPr>
            <w:tcW w:w="682" w:type="dxa"/>
            <w:tcBorders>
              <w:top w:val="nil"/>
              <w:left w:val="single" w:sz="4" w:space="0" w:color="auto"/>
              <w:bottom w:val="single" w:sz="4" w:space="0" w:color="auto"/>
              <w:right w:val="single" w:sz="4" w:space="0" w:color="auto"/>
            </w:tcBorders>
          </w:tcPr>
          <w:p w14:paraId="53C155BC"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5</w:t>
            </w:r>
          </w:p>
        </w:tc>
        <w:tc>
          <w:tcPr>
            <w:tcW w:w="1045" w:type="dxa"/>
            <w:tcBorders>
              <w:top w:val="nil"/>
              <w:left w:val="single" w:sz="4" w:space="0" w:color="auto"/>
              <w:bottom w:val="single" w:sz="4" w:space="0" w:color="auto"/>
              <w:right w:val="single" w:sz="4" w:space="0" w:color="auto"/>
            </w:tcBorders>
            <w:shd w:val="clear" w:color="auto" w:fill="auto"/>
            <w:noWrap/>
            <w:tcMar>
              <w:left w:w="57" w:type="dxa"/>
              <w:right w:w="57" w:type="dxa"/>
            </w:tcMar>
            <w:hideMark/>
          </w:tcPr>
          <w:p w14:paraId="53C155BD"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0.99</w:t>
            </w: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BE"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BF"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6.44</w:t>
            </w: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C0"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0.13</w:t>
            </w:r>
          </w:p>
        </w:tc>
        <w:tc>
          <w:tcPr>
            <w:tcW w:w="1032" w:type="dxa"/>
            <w:tcBorders>
              <w:top w:val="nil"/>
              <w:left w:val="nil"/>
              <w:bottom w:val="single" w:sz="4" w:space="0" w:color="auto"/>
              <w:right w:val="single" w:sz="4" w:space="0" w:color="auto"/>
            </w:tcBorders>
          </w:tcPr>
          <w:p w14:paraId="53C155C1"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tcMar>
              <w:left w:w="57" w:type="dxa"/>
              <w:right w:w="57" w:type="dxa"/>
            </w:tcMar>
            <w:hideMark/>
          </w:tcPr>
          <w:p w14:paraId="53C155C2"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C3"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0.10</w:t>
            </w: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C4"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C5"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C6"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5D5" w14:textId="77777777" w:rsidTr="00EB6F37">
        <w:trPr>
          <w:trHeight w:hRule="exact" w:val="284"/>
        </w:trPr>
        <w:tc>
          <w:tcPr>
            <w:tcW w:w="469" w:type="dxa"/>
            <w:vMerge/>
            <w:tcBorders>
              <w:top w:val="nil"/>
              <w:left w:val="single" w:sz="4" w:space="0" w:color="auto"/>
              <w:bottom w:val="single" w:sz="4" w:space="0" w:color="auto"/>
              <w:right w:val="single" w:sz="4" w:space="0" w:color="auto"/>
            </w:tcBorders>
            <w:tcMar>
              <w:left w:w="57" w:type="dxa"/>
              <w:right w:w="57" w:type="dxa"/>
            </w:tcMar>
            <w:vAlign w:val="center"/>
          </w:tcPr>
          <w:p w14:paraId="53C155C8" w14:textId="77777777" w:rsidR="00EB6F37" w:rsidRPr="00DF7447" w:rsidRDefault="00EB6F37" w:rsidP="00DF7447">
            <w:pPr>
              <w:spacing w:after="0"/>
              <w:jc w:val="left"/>
              <w:rPr>
                <w:rFonts w:ascii="Arial Narrow" w:hAnsi="Arial Narrow"/>
                <w:sz w:val="20"/>
                <w:szCs w:val="20"/>
                <w:lang w:eastAsia="en-AU"/>
              </w:rPr>
            </w:pPr>
          </w:p>
        </w:tc>
        <w:tc>
          <w:tcPr>
            <w:tcW w:w="1985" w:type="dxa"/>
            <w:vMerge w:val="restart"/>
            <w:tcBorders>
              <w:top w:val="nil"/>
              <w:left w:val="single" w:sz="4" w:space="0" w:color="auto"/>
              <w:right w:val="single" w:sz="4" w:space="0" w:color="auto"/>
            </w:tcBorders>
            <w:vAlign w:val="center"/>
          </w:tcPr>
          <w:p w14:paraId="53C155C9" w14:textId="77777777" w:rsidR="00EB6F37" w:rsidRPr="00DF7447" w:rsidRDefault="00EB6F37" w:rsidP="00EB6F37">
            <w:pPr>
              <w:spacing w:after="0"/>
              <w:jc w:val="center"/>
              <w:rPr>
                <w:rFonts w:ascii="Arial Narrow" w:hAnsi="Arial Narrow"/>
                <w:sz w:val="20"/>
                <w:szCs w:val="20"/>
              </w:rPr>
            </w:pPr>
            <w:r w:rsidRPr="00DF7447">
              <w:rPr>
                <w:rFonts w:ascii="Arial Narrow" w:hAnsi="Arial Narrow"/>
                <w:sz w:val="20"/>
                <w:szCs w:val="20"/>
              </w:rPr>
              <w:t>Fitzroy West</w:t>
            </w:r>
          </w:p>
        </w:tc>
        <w:tc>
          <w:tcPr>
            <w:tcW w:w="682" w:type="dxa"/>
            <w:tcBorders>
              <w:top w:val="nil"/>
              <w:left w:val="single" w:sz="4" w:space="0" w:color="auto"/>
              <w:bottom w:val="single" w:sz="4" w:space="0" w:color="auto"/>
              <w:right w:val="single" w:sz="4" w:space="0" w:color="auto"/>
            </w:tcBorders>
          </w:tcPr>
          <w:p w14:paraId="53C155CA"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2</w:t>
            </w:r>
          </w:p>
        </w:tc>
        <w:tc>
          <w:tcPr>
            <w:tcW w:w="1045" w:type="dxa"/>
            <w:tcBorders>
              <w:top w:val="nil"/>
              <w:left w:val="single" w:sz="4" w:space="0" w:color="auto"/>
              <w:bottom w:val="single" w:sz="4" w:space="0" w:color="auto"/>
              <w:right w:val="single" w:sz="4" w:space="0" w:color="auto"/>
            </w:tcBorders>
            <w:shd w:val="clear" w:color="auto" w:fill="auto"/>
            <w:noWrap/>
            <w:tcMar>
              <w:left w:w="57" w:type="dxa"/>
              <w:right w:w="57" w:type="dxa"/>
            </w:tcMar>
            <w:hideMark/>
          </w:tcPr>
          <w:p w14:paraId="53C155CB"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3.81</w:t>
            </w: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CC"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CD"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0.06</w:t>
            </w: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CE" w14:textId="77777777" w:rsidR="00EB6F37" w:rsidRPr="00DF7447" w:rsidRDefault="00EB6F37" w:rsidP="00DF7447">
            <w:pPr>
              <w:spacing w:after="0"/>
              <w:jc w:val="center"/>
              <w:rPr>
                <w:rFonts w:ascii="Arial Narrow" w:hAnsi="Arial Narrow"/>
                <w:sz w:val="20"/>
                <w:szCs w:val="20"/>
                <w:lang w:eastAsia="en-AU"/>
              </w:rPr>
            </w:pPr>
          </w:p>
        </w:tc>
        <w:tc>
          <w:tcPr>
            <w:tcW w:w="1032" w:type="dxa"/>
            <w:tcBorders>
              <w:top w:val="nil"/>
              <w:left w:val="nil"/>
              <w:bottom w:val="single" w:sz="4" w:space="0" w:color="auto"/>
              <w:right w:val="single" w:sz="4" w:space="0" w:color="auto"/>
            </w:tcBorders>
          </w:tcPr>
          <w:p w14:paraId="53C155CF"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tcMar>
              <w:left w:w="57" w:type="dxa"/>
              <w:right w:w="57" w:type="dxa"/>
            </w:tcMar>
            <w:hideMark/>
          </w:tcPr>
          <w:p w14:paraId="53C155D0"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D1"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D2"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D3"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D4"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5E3" w14:textId="77777777" w:rsidTr="00EB6F37">
        <w:trPr>
          <w:trHeight w:hRule="exact" w:val="284"/>
        </w:trPr>
        <w:tc>
          <w:tcPr>
            <w:tcW w:w="469" w:type="dxa"/>
            <w:vMerge/>
            <w:tcBorders>
              <w:top w:val="nil"/>
              <w:left w:val="single" w:sz="4" w:space="0" w:color="auto"/>
              <w:bottom w:val="single" w:sz="4" w:space="0" w:color="auto"/>
              <w:right w:val="single" w:sz="4" w:space="0" w:color="auto"/>
            </w:tcBorders>
            <w:tcMar>
              <w:left w:w="57" w:type="dxa"/>
              <w:right w:w="57" w:type="dxa"/>
            </w:tcMar>
            <w:vAlign w:val="center"/>
          </w:tcPr>
          <w:p w14:paraId="53C155D6" w14:textId="77777777" w:rsidR="00EB6F37" w:rsidRPr="00DF7447" w:rsidRDefault="00EB6F37" w:rsidP="00DF7447">
            <w:pPr>
              <w:spacing w:after="0"/>
              <w:jc w:val="left"/>
              <w:rPr>
                <w:rFonts w:ascii="Arial Narrow" w:hAnsi="Arial Narrow"/>
                <w:sz w:val="20"/>
                <w:szCs w:val="20"/>
                <w:lang w:eastAsia="en-AU"/>
              </w:rPr>
            </w:pPr>
          </w:p>
        </w:tc>
        <w:tc>
          <w:tcPr>
            <w:tcW w:w="1985" w:type="dxa"/>
            <w:vMerge/>
            <w:tcBorders>
              <w:left w:val="single" w:sz="4" w:space="0" w:color="auto"/>
              <w:bottom w:val="single" w:sz="4" w:space="0" w:color="auto"/>
              <w:right w:val="single" w:sz="4" w:space="0" w:color="auto"/>
            </w:tcBorders>
            <w:vAlign w:val="center"/>
          </w:tcPr>
          <w:p w14:paraId="53C155D7" w14:textId="77777777" w:rsidR="00EB6F37" w:rsidRPr="00DF7447" w:rsidRDefault="00EB6F37" w:rsidP="00DF7447">
            <w:pPr>
              <w:spacing w:after="0"/>
              <w:jc w:val="center"/>
              <w:rPr>
                <w:rFonts w:ascii="Arial Narrow" w:hAnsi="Arial Narrow"/>
                <w:sz w:val="20"/>
                <w:szCs w:val="20"/>
              </w:rPr>
            </w:pPr>
          </w:p>
        </w:tc>
        <w:tc>
          <w:tcPr>
            <w:tcW w:w="682" w:type="dxa"/>
            <w:tcBorders>
              <w:top w:val="nil"/>
              <w:left w:val="single" w:sz="4" w:space="0" w:color="auto"/>
              <w:bottom w:val="single" w:sz="4" w:space="0" w:color="auto"/>
              <w:right w:val="single" w:sz="4" w:space="0" w:color="auto"/>
            </w:tcBorders>
          </w:tcPr>
          <w:p w14:paraId="53C155D8"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5</w:t>
            </w:r>
          </w:p>
        </w:tc>
        <w:tc>
          <w:tcPr>
            <w:tcW w:w="1045" w:type="dxa"/>
            <w:tcBorders>
              <w:top w:val="nil"/>
              <w:left w:val="single" w:sz="4" w:space="0" w:color="auto"/>
              <w:bottom w:val="single" w:sz="4" w:space="0" w:color="auto"/>
              <w:right w:val="single" w:sz="4" w:space="0" w:color="auto"/>
            </w:tcBorders>
            <w:shd w:val="clear" w:color="auto" w:fill="auto"/>
            <w:noWrap/>
            <w:tcMar>
              <w:left w:w="57" w:type="dxa"/>
              <w:right w:w="57" w:type="dxa"/>
            </w:tcMar>
            <w:hideMark/>
          </w:tcPr>
          <w:p w14:paraId="53C155D9"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3.13</w:t>
            </w: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DA"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DB"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0.13</w:t>
            </w: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DC"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0.03</w:t>
            </w:r>
          </w:p>
        </w:tc>
        <w:tc>
          <w:tcPr>
            <w:tcW w:w="1032" w:type="dxa"/>
            <w:tcBorders>
              <w:top w:val="nil"/>
              <w:left w:val="nil"/>
              <w:bottom w:val="single" w:sz="4" w:space="0" w:color="auto"/>
              <w:right w:val="single" w:sz="4" w:space="0" w:color="auto"/>
            </w:tcBorders>
          </w:tcPr>
          <w:p w14:paraId="53C155DD"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tcMar>
              <w:left w:w="57" w:type="dxa"/>
              <w:right w:w="57" w:type="dxa"/>
            </w:tcMar>
            <w:hideMark/>
          </w:tcPr>
          <w:p w14:paraId="53C155DE"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DF"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E0"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E1"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E2" w14:textId="77777777" w:rsidR="00EB6F37" w:rsidRPr="00DF7447" w:rsidRDefault="00EB6F37" w:rsidP="00DF7447">
            <w:pPr>
              <w:spacing w:after="0"/>
              <w:jc w:val="center"/>
              <w:rPr>
                <w:rFonts w:ascii="Arial Narrow" w:hAnsi="Arial Narrow"/>
                <w:sz w:val="20"/>
                <w:szCs w:val="20"/>
                <w:lang w:eastAsia="en-AU"/>
              </w:rPr>
            </w:pPr>
          </w:p>
        </w:tc>
      </w:tr>
      <w:tr w:rsidR="00DF7447" w:rsidRPr="00DF7447" w14:paraId="53C155F1" w14:textId="77777777" w:rsidTr="00EB6F37">
        <w:trPr>
          <w:trHeight w:hRule="exact" w:val="284"/>
        </w:trPr>
        <w:tc>
          <w:tcPr>
            <w:tcW w:w="469" w:type="dxa"/>
            <w:vMerge/>
            <w:tcBorders>
              <w:top w:val="nil"/>
              <w:left w:val="single" w:sz="4" w:space="0" w:color="auto"/>
              <w:bottom w:val="single" w:sz="4" w:space="0" w:color="auto"/>
              <w:right w:val="single" w:sz="4" w:space="0" w:color="auto"/>
            </w:tcBorders>
            <w:tcMar>
              <w:left w:w="57" w:type="dxa"/>
              <w:right w:w="57" w:type="dxa"/>
            </w:tcMar>
            <w:vAlign w:val="center"/>
          </w:tcPr>
          <w:p w14:paraId="53C155E4" w14:textId="77777777" w:rsidR="00DF7447" w:rsidRPr="00DF7447" w:rsidRDefault="00DF7447" w:rsidP="00DF7447">
            <w:pPr>
              <w:spacing w:after="0"/>
              <w:jc w:val="left"/>
              <w:rPr>
                <w:rFonts w:ascii="Arial Narrow" w:hAnsi="Arial Narrow"/>
                <w:sz w:val="20"/>
                <w:szCs w:val="20"/>
                <w:lang w:eastAsia="en-AU"/>
              </w:rPr>
            </w:pPr>
          </w:p>
        </w:tc>
        <w:tc>
          <w:tcPr>
            <w:tcW w:w="1985" w:type="dxa"/>
            <w:tcBorders>
              <w:top w:val="nil"/>
              <w:left w:val="single" w:sz="4" w:space="0" w:color="auto"/>
              <w:bottom w:val="single" w:sz="4" w:space="0" w:color="auto"/>
              <w:right w:val="single" w:sz="4" w:space="0" w:color="auto"/>
            </w:tcBorders>
            <w:vAlign w:val="center"/>
          </w:tcPr>
          <w:p w14:paraId="53C155E5" w14:textId="77777777" w:rsidR="00DF7447" w:rsidRPr="00DF7447" w:rsidRDefault="00DF7447" w:rsidP="00DF7447">
            <w:pPr>
              <w:spacing w:after="0"/>
              <w:jc w:val="center"/>
              <w:rPr>
                <w:rFonts w:ascii="Arial Narrow" w:hAnsi="Arial Narrow"/>
                <w:sz w:val="20"/>
                <w:szCs w:val="20"/>
              </w:rPr>
            </w:pPr>
            <w:r w:rsidRPr="00DF7447">
              <w:rPr>
                <w:rFonts w:ascii="Arial Narrow" w:hAnsi="Arial Narrow"/>
                <w:sz w:val="20"/>
                <w:szCs w:val="20"/>
              </w:rPr>
              <w:t>Fitzroy West LTMP</w:t>
            </w:r>
          </w:p>
        </w:tc>
        <w:tc>
          <w:tcPr>
            <w:tcW w:w="682" w:type="dxa"/>
            <w:tcBorders>
              <w:top w:val="nil"/>
              <w:left w:val="single" w:sz="4" w:space="0" w:color="auto"/>
              <w:bottom w:val="single" w:sz="4" w:space="0" w:color="auto"/>
              <w:right w:val="single" w:sz="4" w:space="0" w:color="auto"/>
            </w:tcBorders>
          </w:tcPr>
          <w:p w14:paraId="53C155E6" w14:textId="77777777" w:rsidR="00DF7447" w:rsidRPr="00DF7447" w:rsidRDefault="00DF7447" w:rsidP="00DF7447">
            <w:pPr>
              <w:spacing w:after="0"/>
              <w:jc w:val="center"/>
              <w:rPr>
                <w:rFonts w:ascii="Arial Narrow" w:hAnsi="Arial Narrow"/>
                <w:sz w:val="20"/>
                <w:szCs w:val="20"/>
              </w:rPr>
            </w:pPr>
            <w:r w:rsidRPr="00DF7447">
              <w:rPr>
                <w:rFonts w:ascii="Arial Narrow" w:hAnsi="Arial Narrow"/>
                <w:sz w:val="20"/>
                <w:szCs w:val="20"/>
              </w:rPr>
              <w:t>5</w:t>
            </w:r>
          </w:p>
        </w:tc>
        <w:tc>
          <w:tcPr>
            <w:tcW w:w="1045" w:type="dxa"/>
            <w:tcBorders>
              <w:top w:val="nil"/>
              <w:left w:val="single" w:sz="4" w:space="0" w:color="auto"/>
              <w:bottom w:val="single" w:sz="4" w:space="0" w:color="auto"/>
              <w:right w:val="single" w:sz="4" w:space="0" w:color="auto"/>
            </w:tcBorders>
            <w:shd w:val="clear" w:color="auto" w:fill="auto"/>
            <w:noWrap/>
            <w:tcMar>
              <w:left w:w="57" w:type="dxa"/>
              <w:right w:w="57" w:type="dxa"/>
            </w:tcMar>
            <w:hideMark/>
          </w:tcPr>
          <w:p w14:paraId="53C155E7" w14:textId="77777777" w:rsidR="00DF7447" w:rsidRPr="00DF7447" w:rsidRDefault="00DF7447" w:rsidP="00DF7447">
            <w:pPr>
              <w:spacing w:after="0"/>
              <w:jc w:val="center"/>
              <w:rPr>
                <w:rFonts w:ascii="Arial Narrow" w:hAnsi="Arial Narrow"/>
                <w:sz w:val="20"/>
                <w:szCs w:val="20"/>
                <w:lang w:eastAsia="en-AU"/>
              </w:rPr>
            </w:pPr>
            <w:r w:rsidRPr="00DF7447">
              <w:rPr>
                <w:rFonts w:ascii="Arial Narrow" w:hAnsi="Arial Narrow"/>
                <w:sz w:val="20"/>
                <w:szCs w:val="20"/>
              </w:rPr>
              <w:t>2.34</w:t>
            </w: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E8" w14:textId="77777777" w:rsidR="00DF7447" w:rsidRPr="00DF7447" w:rsidRDefault="00DF744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E9" w14:textId="77777777" w:rsidR="00DF7447" w:rsidRPr="00DF7447" w:rsidRDefault="00DF7447" w:rsidP="00DF7447">
            <w:pPr>
              <w:spacing w:after="0"/>
              <w:jc w:val="center"/>
              <w:rPr>
                <w:rFonts w:ascii="Arial Narrow" w:hAnsi="Arial Narrow"/>
                <w:sz w:val="20"/>
                <w:szCs w:val="20"/>
                <w:lang w:eastAsia="en-AU"/>
              </w:rPr>
            </w:pPr>
            <w:r w:rsidRPr="00DF7447">
              <w:rPr>
                <w:rFonts w:ascii="Arial Narrow" w:hAnsi="Arial Narrow"/>
                <w:sz w:val="20"/>
                <w:szCs w:val="20"/>
              </w:rPr>
              <w:t>0.07</w:t>
            </w: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EA" w14:textId="77777777" w:rsidR="00DF7447" w:rsidRPr="00DF7447" w:rsidRDefault="00DF7447" w:rsidP="00DF7447">
            <w:pPr>
              <w:spacing w:after="0"/>
              <w:jc w:val="center"/>
              <w:rPr>
                <w:rFonts w:ascii="Arial Narrow" w:hAnsi="Arial Narrow"/>
                <w:sz w:val="20"/>
                <w:szCs w:val="20"/>
                <w:lang w:eastAsia="en-AU"/>
              </w:rPr>
            </w:pPr>
            <w:r w:rsidRPr="00DF7447">
              <w:rPr>
                <w:rFonts w:ascii="Arial Narrow" w:hAnsi="Arial Narrow"/>
                <w:sz w:val="20"/>
                <w:szCs w:val="20"/>
              </w:rPr>
              <w:t>0.02</w:t>
            </w:r>
          </w:p>
        </w:tc>
        <w:tc>
          <w:tcPr>
            <w:tcW w:w="1032" w:type="dxa"/>
            <w:tcBorders>
              <w:top w:val="nil"/>
              <w:left w:val="nil"/>
              <w:bottom w:val="single" w:sz="4" w:space="0" w:color="auto"/>
              <w:right w:val="single" w:sz="4" w:space="0" w:color="auto"/>
            </w:tcBorders>
          </w:tcPr>
          <w:p w14:paraId="53C155EB" w14:textId="77777777" w:rsidR="00DF7447" w:rsidRPr="00DF7447" w:rsidRDefault="00DF7447" w:rsidP="00DF7447">
            <w:pPr>
              <w:spacing w:after="0"/>
              <w:jc w:val="center"/>
              <w:rPr>
                <w:rFonts w:ascii="Arial Narrow" w:hAnsi="Arial Narrow"/>
                <w:sz w:val="20"/>
                <w:szCs w:val="20"/>
                <w:lang w:eastAsia="en-AU"/>
              </w:rPr>
            </w:pPr>
            <w:r w:rsidRPr="00DF7447">
              <w:rPr>
                <w:rFonts w:ascii="Arial Narrow" w:hAnsi="Arial Narrow"/>
                <w:sz w:val="20"/>
                <w:szCs w:val="20"/>
              </w:rPr>
              <w:t>0.03</w:t>
            </w:r>
          </w:p>
        </w:tc>
        <w:tc>
          <w:tcPr>
            <w:tcW w:w="1045" w:type="dxa"/>
            <w:tcBorders>
              <w:top w:val="nil"/>
              <w:left w:val="single" w:sz="4" w:space="0" w:color="auto"/>
              <w:bottom w:val="single" w:sz="4" w:space="0" w:color="auto"/>
              <w:right w:val="single" w:sz="4" w:space="0" w:color="auto"/>
            </w:tcBorders>
            <w:shd w:val="clear" w:color="auto" w:fill="auto"/>
            <w:noWrap/>
            <w:tcMar>
              <w:left w:w="57" w:type="dxa"/>
              <w:right w:w="57" w:type="dxa"/>
            </w:tcMar>
            <w:hideMark/>
          </w:tcPr>
          <w:p w14:paraId="53C155EC" w14:textId="77777777" w:rsidR="00DF7447" w:rsidRPr="00DF7447" w:rsidRDefault="00DF744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ED" w14:textId="77777777" w:rsidR="00DF7447" w:rsidRPr="00DF7447" w:rsidRDefault="00DF744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EE" w14:textId="77777777" w:rsidR="00DF7447" w:rsidRPr="00DF7447" w:rsidRDefault="00DF744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EF" w14:textId="77777777" w:rsidR="00DF7447" w:rsidRPr="00DF7447" w:rsidRDefault="00DF744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F0" w14:textId="77777777" w:rsidR="00DF7447" w:rsidRPr="00DF7447" w:rsidRDefault="00DF7447" w:rsidP="00DF7447">
            <w:pPr>
              <w:spacing w:after="0"/>
              <w:jc w:val="center"/>
              <w:rPr>
                <w:rFonts w:ascii="Arial Narrow" w:hAnsi="Arial Narrow"/>
                <w:sz w:val="20"/>
                <w:szCs w:val="20"/>
                <w:lang w:eastAsia="en-AU"/>
              </w:rPr>
            </w:pPr>
            <w:r w:rsidRPr="00DF7447">
              <w:rPr>
                <w:rFonts w:ascii="Arial Narrow" w:hAnsi="Arial Narrow"/>
                <w:sz w:val="20"/>
                <w:szCs w:val="20"/>
              </w:rPr>
              <w:t>0.12</w:t>
            </w:r>
          </w:p>
        </w:tc>
      </w:tr>
      <w:tr w:rsidR="00EB6F37" w:rsidRPr="00DF7447" w14:paraId="53C155FF" w14:textId="77777777" w:rsidTr="00EB6F37">
        <w:trPr>
          <w:trHeight w:hRule="exact" w:val="284"/>
        </w:trPr>
        <w:tc>
          <w:tcPr>
            <w:tcW w:w="469" w:type="dxa"/>
            <w:vMerge/>
            <w:tcBorders>
              <w:top w:val="nil"/>
              <w:left w:val="single" w:sz="4" w:space="0" w:color="auto"/>
              <w:bottom w:val="single" w:sz="4" w:space="0" w:color="auto"/>
              <w:right w:val="single" w:sz="4" w:space="0" w:color="auto"/>
            </w:tcBorders>
            <w:tcMar>
              <w:left w:w="57" w:type="dxa"/>
              <w:right w:w="57" w:type="dxa"/>
            </w:tcMar>
            <w:vAlign w:val="center"/>
          </w:tcPr>
          <w:p w14:paraId="53C155F2" w14:textId="77777777" w:rsidR="00EB6F37" w:rsidRPr="00DF7447" w:rsidRDefault="00EB6F37" w:rsidP="00DF7447">
            <w:pPr>
              <w:spacing w:after="0"/>
              <w:jc w:val="left"/>
              <w:rPr>
                <w:rFonts w:ascii="Arial Narrow" w:hAnsi="Arial Narrow"/>
                <w:sz w:val="20"/>
                <w:szCs w:val="20"/>
                <w:lang w:eastAsia="en-AU"/>
              </w:rPr>
            </w:pPr>
          </w:p>
        </w:tc>
        <w:tc>
          <w:tcPr>
            <w:tcW w:w="1985" w:type="dxa"/>
            <w:vMerge w:val="restart"/>
            <w:tcBorders>
              <w:top w:val="nil"/>
              <w:left w:val="single" w:sz="4" w:space="0" w:color="auto"/>
              <w:right w:val="single" w:sz="4" w:space="0" w:color="auto"/>
            </w:tcBorders>
            <w:vAlign w:val="center"/>
          </w:tcPr>
          <w:p w14:paraId="53C155F3" w14:textId="77777777" w:rsidR="00EB6F37" w:rsidRPr="00DF7447" w:rsidRDefault="00EB6F37" w:rsidP="00EB6F37">
            <w:pPr>
              <w:spacing w:after="0"/>
              <w:jc w:val="center"/>
              <w:rPr>
                <w:rFonts w:ascii="Arial Narrow" w:hAnsi="Arial Narrow"/>
                <w:sz w:val="20"/>
                <w:szCs w:val="20"/>
              </w:rPr>
            </w:pPr>
            <w:r w:rsidRPr="00DF7447">
              <w:rPr>
                <w:rFonts w:ascii="Arial Narrow" w:hAnsi="Arial Narrow"/>
                <w:sz w:val="20"/>
                <w:szCs w:val="20"/>
              </w:rPr>
              <w:t>Franklands East</w:t>
            </w:r>
          </w:p>
        </w:tc>
        <w:tc>
          <w:tcPr>
            <w:tcW w:w="682" w:type="dxa"/>
            <w:tcBorders>
              <w:top w:val="nil"/>
              <w:left w:val="single" w:sz="4" w:space="0" w:color="auto"/>
              <w:bottom w:val="single" w:sz="4" w:space="0" w:color="auto"/>
              <w:right w:val="single" w:sz="4" w:space="0" w:color="auto"/>
            </w:tcBorders>
          </w:tcPr>
          <w:p w14:paraId="53C155F4"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2</w:t>
            </w:r>
          </w:p>
        </w:tc>
        <w:tc>
          <w:tcPr>
            <w:tcW w:w="1045" w:type="dxa"/>
            <w:tcBorders>
              <w:top w:val="nil"/>
              <w:left w:val="single" w:sz="4" w:space="0" w:color="auto"/>
              <w:bottom w:val="single" w:sz="4" w:space="0" w:color="auto"/>
              <w:right w:val="single" w:sz="4" w:space="0" w:color="auto"/>
            </w:tcBorders>
            <w:shd w:val="clear" w:color="auto" w:fill="auto"/>
            <w:noWrap/>
            <w:tcMar>
              <w:left w:w="57" w:type="dxa"/>
              <w:right w:w="57" w:type="dxa"/>
            </w:tcMar>
            <w:hideMark/>
          </w:tcPr>
          <w:p w14:paraId="53C155F5"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0.09</w:t>
            </w: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F6"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F7"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0.19</w:t>
            </w: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F8"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0.38</w:t>
            </w:r>
          </w:p>
        </w:tc>
        <w:tc>
          <w:tcPr>
            <w:tcW w:w="1032" w:type="dxa"/>
            <w:tcBorders>
              <w:top w:val="nil"/>
              <w:left w:val="nil"/>
              <w:bottom w:val="single" w:sz="4" w:space="0" w:color="auto"/>
              <w:right w:val="single" w:sz="4" w:space="0" w:color="auto"/>
            </w:tcBorders>
          </w:tcPr>
          <w:p w14:paraId="53C155F9"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tcMar>
              <w:left w:w="57" w:type="dxa"/>
              <w:right w:w="57" w:type="dxa"/>
            </w:tcMar>
            <w:hideMark/>
          </w:tcPr>
          <w:p w14:paraId="53C155FA"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0.13</w:t>
            </w: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FB"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FC"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0.14</w:t>
            </w: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FD"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5FE"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60D" w14:textId="77777777" w:rsidTr="00EB6F37">
        <w:trPr>
          <w:trHeight w:hRule="exact" w:val="284"/>
        </w:trPr>
        <w:tc>
          <w:tcPr>
            <w:tcW w:w="469" w:type="dxa"/>
            <w:vMerge/>
            <w:tcBorders>
              <w:top w:val="nil"/>
              <w:left w:val="single" w:sz="4" w:space="0" w:color="auto"/>
              <w:bottom w:val="single" w:sz="4" w:space="0" w:color="auto"/>
              <w:right w:val="single" w:sz="4" w:space="0" w:color="auto"/>
            </w:tcBorders>
            <w:tcMar>
              <w:left w:w="57" w:type="dxa"/>
              <w:right w:w="57" w:type="dxa"/>
            </w:tcMar>
            <w:vAlign w:val="center"/>
          </w:tcPr>
          <w:p w14:paraId="53C15600" w14:textId="77777777" w:rsidR="00EB6F37" w:rsidRPr="00DF7447" w:rsidRDefault="00EB6F37" w:rsidP="00DF7447">
            <w:pPr>
              <w:spacing w:after="0"/>
              <w:jc w:val="left"/>
              <w:rPr>
                <w:rFonts w:ascii="Arial Narrow" w:hAnsi="Arial Narrow"/>
                <w:sz w:val="20"/>
                <w:szCs w:val="20"/>
                <w:lang w:eastAsia="en-AU"/>
              </w:rPr>
            </w:pPr>
          </w:p>
        </w:tc>
        <w:tc>
          <w:tcPr>
            <w:tcW w:w="1985" w:type="dxa"/>
            <w:vMerge/>
            <w:tcBorders>
              <w:left w:val="single" w:sz="4" w:space="0" w:color="auto"/>
              <w:bottom w:val="single" w:sz="4" w:space="0" w:color="auto"/>
              <w:right w:val="single" w:sz="4" w:space="0" w:color="auto"/>
            </w:tcBorders>
            <w:vAlign w:val="center"/>
          </w:tcPr>
          <w:p w14:paraId="53C15601" w14:textId="77777777" w:rsidR="00EB6F37" w:rsidRPr="00DF7447" w:rsidRDefault="00EB6F37" w:rsidP="00DF7447">
            <w:pPr>
              <w:spacing w:after="0"/>
              <w:jc w:val="center"/>
              <w:rPr>
                <w:rFonts w:ascii="Arial Narrow" w:hAnsi="Arial Narrow"/>
                <w:sz w:val="20"/>
                <w:szCs w:val="20"/>
              </w:rPr>
            </w:pPr>
          </w:p>
        </w:tc>
        <w:tc>
          <w:tcPr>
            <w:tcW w:w="682" w:type="dxa"/>
            <w:tcBorders>
              <w:top w:val="nil"/>
              <w:left w:val="single" w:sz="4" w:space="0" w:color="auto"/>
              <w:bottom w:val="single" w:sz="4" w:space="0" w:color="auto"/>
              <w:right w:val="single" w:sz="4" w:space="0" w:color="auto"/>
            </w:tcBorders>
          </w:tcPr>
          <w:p w14:paraId="53C15602"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5</w:t>
            </w:r>
          </w:p>
        </w:tc>
        <w:tc>
          <w:tcPr>
            <w:tcW w:w="1045" w:type="dxa"/>
            <w:tcBorders>
              <w:top w:val="nil"/>
              <w:left w:val="single" w:sz="4" w:space="0" w:color="auto"/>
              <w:bottom w:val="single" w:sz="4" w:space="0" w:color="auto"/>
              <w:right w:val="single" w:sz="4" w:space="0" w:color="auto"/>
            </w:tcBorders>
            <w:shd w:val="clear" w:color="auto" w:fill="auto"/>
            <w:noWrap/>
            <w:tcMar>
              <w:left w:w="57" w:type="dxa"/>
              <w:right w:w="57" w:type="dxa"/>
            </w:tcMar>
            <w:hideMark/>
          </w:tcPr>
          <w:p w14:paraId="53C15603"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0.23</w:t>
            </w: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604"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605"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2.06</w:t>
            </w: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606"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0.06</w:t>
            </w:r>
          </w:p>
        </w:tc>
        <w:tc>
          <w:tcPr>
            <w:tcW w:w="1032" w:type="dxa"/>
            <w:tcBorders>
              <w:top w:val="nil"/>
              <w:left w:val="nil"/>
              <w:bottom w:val="single" w:sz="4" w:space="0" w:color="auto"/>
              <w:right w:val="single" w:sz="4" w:space="0" w:color="auto"/>
            </w:tcBorders>
          </w:tcPr>
          <w:p w14:paraId="53C15607"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tcMar>
              <w:left w:w="57" w:type="dxa"/>
              <w:right w:w="57" w:type="dxa"/>
            </w:tcMar>
            <w:hideMark/>
          </w:tcPr>
          <w:p w14:paraId="53C15608"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609"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60A"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0.02</w:t>
            </w: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60B"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60C"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61B" w14:textId="77777777" w:rsidTr="00EB6F37">
        <w:trPr>
          <w:trHeight w:hRule="exact" w:val="284"/>
        </w:trPr>
        <w:tc>
          <w:tcPr>
            <w:tcW w:w="469" w:type="dxa"/>
            <w:vMerge/>
            <w:tcBorders>
              <w:top w:val="nil"/>
              <w:left w:val="single" w:sz="4" w:space="0" w:color="auto"/>
              <w:bottom w:val="single" w:sz="4" w:space="0" w:color="auto"/>
              <w:right w:val="single" w:sz="4" w:space="0" w:color="auto"/>
            </w:tcBorders>
            <w:tcMar>
              <w:left w:w="57" w:type="dxa"/>
              <w:right w:w="57" w:type="dxa"/>
            </w:tcMar>
            <w:vAlign w:val="center"/>
          </w:tcPr>
          <w:p w14:paraId="53C1560E" w14:textId="77777777" w:rsidR="00EB6F37" w:rsidRPr="00DF7447" w:rsidRDefault="00EB6F37" w:rsidP="00DF7447">
            <w:pPr>
              <w:spacing w:after="0"/>
              <w:jc w:val="left"/>
              <w:rPr>
                <w:rFonts w:ascii="Arial Narrow" w:hAnsi="Arial Narrow"/>
                <w:sz w:val="20"/>
                <w:szCs w:val="20"/>
                <w:lang w:eastAsia="en-AU"/>
              </w:rPr>
            </w:pPr>
          </w:p>
        </w:tc>
        <w:tc>
          <w:tcPr>
            <w:tcW w:w="1985" w:type="dxa"/>
            <w:vMerge w:val="restart"/>
            <w:tcBorders>
              <w:top w:val="nil"/>
              <w:left w:val="single" w:sz="4" w:space="0" w:color="auto"/>
              <w:right w:val="single" w:sz="4" w:space="0" w:color="auto"/>
            </w:tcBorders>
            <w:vAlign w:val="center"/>
          </w:tcPr>
          <w:p w14:paraId="53C1560F" w14:textId="77777777" w:rsidR="00EB6F37" w:rsidRPr="00DF7447" w:rsidRDefault="00EB6F37" w:rsidP="00EB6F37">
            <w:pPr>
              <w:spacing w:after="0"/>
              <w:jc w:val="center"/>
              <w:rPr>
                <w:rFonts w:ascii="Arial Narrow" w:hAnsi="Arial Narrow"/>
                <w:sz w:val="20"/>
                <w:szCs w:val="20"/>
              </w:rPr>
            </w:pPr>
            <w:r w:rsidRPr="00DF7447">
              <w:rPr>
                <w:rFonts w:ascii="Arial Narrow" w:hAnsi="Arial Narrow"/>
                <w:sz w:val="20"/>
                <w:szCs w:val="20"/>
              </w:rPr>
              <w:t>Franklands West</w:t>
            </w:r>
          </w:p>
        </w:tc>
        <w:tc>
          <w:tcPr>
            <w:tcW w:w="682" w:type="dxa"/>
            <w:tcBorders>
              <w:top w:val="nil"/>
              <w:left w:val="single" w:sz="4" w:space="0" w:color="auto"/>
              <w:bottom w:val="single" w:sz="4" w:space="0" w:color="auto"/>
              <w:right w:val="single" w:sz="4" w:space="0" w:color="auto"/>
            </w:tcBorders>
          </w:tcPr>
          <w:p w14:paraId="53C15610"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2</w:t>
            </w:r>
          </w:p>
        </w:tc>
        <w:tc>
          <w:tcPr>
            <w:tcW w:w="1045" w:type="dxa"/>
            <w:tcBorders>
              <w:top w:val="nil"/>
              <w:left w:val="single" w:sz="4" w:space="0" w:color="auto"/>
              <w:bottom w:val="single" w:sz="4" w:space="0" w:color="auto"/>
              <w:right w:val="single" w:sz="4" w:space="0" w:color="auto"/>
            </w:tcBorders>
            <w:shd w:val="clear" w:color="auto" w:fill="auto"/>
            <w:noWrap/>
            <w:tcMar>
              <w:left w:w="57" w:type="dxa"/>
              <w:right w:w="57" w:type="dxa"/>
            </w:tcMar>
            <w:hideMark/>
          </w:tcPr>
          <w:p w14:paraId="53C15611"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0.52</w:t>
            </w: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612"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613"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614"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3.53</w:t>
            </w:r>
          </w:p>
        </w:tc>
        <w:tc>
          <w:tcPr>
            <w:tcW w:w="1032" w:type="dxa"/>
            <w:tcBorders>
              <w:top w:val="nil"/>
              <w:left w:val="nil"/>
              <w:bottom w:val="single" w:sz="4" w:space="0" w:color="auto"/>
              <w:right w:val="single" w:sz="4" w:space="0" w:color="auto"/>
            </w:tcBorders>
          </w:tcPr>
          <w:p w14:paraId="53C15615"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tcMar>
              <w:left w:w="57" w:type="dxa"/>
              <w:right w:w="57" w:type="dxa"/>
            </w:tcMar>
            <w:hideMark/>
          </w:tcPr>
          <w:p w14:paraId="53C15616"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0.06</w:t>
            </w: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617"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0.01</w:t>
            </w: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618"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619"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61A"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629" w14:textId="77777777" w:rsidTr="00EB6F37">
        <w:trPr>
          <w:trHeight w:hRule="exact" w:val="284"/>
        </w:trPr>
        <w:tc>
          <w:tcPr>
            <w:tcW w:w="469" w:type="dxa"/>
            <w:vMerge/>
            <w:tcBorders>
              <w:top w:val="nil"/>
              <w:left w:val="single" w:sz="4" w:space="0" w:color="auto"/>
              <w:bottom w:val="single" w:sz="4" w:space="0" w:color="auto"/>
              <w:right w:val="single" w:sz="4" w:space="0" w:color="auto"/>
            </w:tcBorders>
            <w:tcMar>
              <w:left w:w="57" w:type="dxa"/>
              <w:right w:w="57" w:type="dxa"/>
            </w:tcMar>
            <w:vAlign w:val="center"/>
          </w:tcPr>
          <w:p w14:paraId="53C1561C" w14:textId="77777777" w:rsidR="00EB6F37" w:rsidRPr="00DF7447" w:rsidRDefault="00EB6F37" w:rsidP="00DF7447">
            <w:pPr>
              <w:spacing w:after="0"/>
              <w:jc w:val="left"/>
              <w:rPr>
                <w:rFonts w:ascii="Arial Narrow" w:hAnsi="Arial Narrow"/>
                <w:sz w:val="20"/>
                <w:szCs w:val="20"/>
                <w:lang w:eastAsia="en-AU"/>
              </w:rPr>
            </w:pPr>
          </w:p>
        </w:tc>
        <w:tc>
          <w:tcPr>
            <w:tcW w:w="1985" w:type="dxa"/>
            <w:vMerge/>
            <w:tcBorders>
              <w:left w:val="single" w:sz="4" w:space="0" w:color="auto"/>
              <w:bottom w:val="single" w:sz="4" w:space="0" w:color="auto"/>
              <w:right w:val="single" w:sz="4" w:space="0" w:color="auto"/>
            </w:tcBorders>
            <w:vAlign w:val="center"/>
          </w:tcPr>
          <w:p w14:paraId="53C1561D" w14:textId="77777777" w:rsidR="00EB6F37" w:rsidRPr="00DF7447" w:rsidRDefault="00EB6F37" w:rsidP="00DF7447">
            <w:pPr>
              <w:spacing w:after="0"/>
              <w:jc w:val="center"/>
              <w:rPr>
                <w:rFonts w:ascii="Arial Narrow" w:hAnsi="Arial Narrow"/>
                <w:sz w:val="20"/>
                <w:szCs w:val="20"/>
              </w:rPr>
            </w:pPr>
          </w:p>
        </w:tc>
        <w:tc>
          <w:tcPr>
            <w:tcW w:w="682" w:type="dxa"/>
            <w:tcBorders>
              <w:top w:val="nil"/>
              <w:left w:val="single" w:sz="4" w:space="0" w:color="auto"/>
              <w:bottom w:val="single" w:sz="4" w:space="0" w:color="auto"/>
              <w:right w:val="single" w:sz="4" w:space="0" w:color="auto"/>
            </w:tcBorders>
          </w:tcPr>
          <w:p w14:paraId="53C1561E"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5</w:t>
            </w:r>
          </w:p>
        </w:tc>
        <w:tc>
          <w:tcPr>
            <w:tcW w:w="1045" w:type="dxa"/>
            <w:tcBorders>
              <w:top w:val="nil"/>
              <w:left w:val="single" w:sz="4" w:space="0" w:color="auto"/>
              <w:bottom w:val="single" w:sz="4" w:space="0" w:color="auto"/>
              <w:right w:val="single" w:sz="4" w:space="0" w:color="auto"/>
            </w:tcBorders>
            <w:shd w:val="clear" w:color="auto" w:fill="auto"/>
            <w:noWrap/>
            <w:tcMar>
              <w:left w:w="57" w:type="dxa"/>
              <w:right w:w="57" w:type="dxa"/>
            </w:tcMar>
            <w:hideMark/>
          </w:tcPr>
          <w:p w14:paraId="53C1561F"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0.14</w:t>
            </w: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620"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621"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622"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0.13</w:t>
            </w:r>
          </w:p>
        </w:tc>
        <w:tc>
          <w:tcPr>
            <w:tcW w:w="1032" w:type="dxa"/>
            <w:tcBorders>
              <w:top w:val="nil"/>
              <w:left w:val="nil"/>
              <w:bottom w:val="single" w:sz="4" w:space="0" w:color="auto"/>
              <w:right w:val="single" w:sz="4" w:space="0" w:color="auto"/>
            </w:tcBorders>
          </w:tcPr>
          <w:p w14:paraId="53C15623"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tcMar>
              <w:left w:w="57" w:type="dxa"/>
              <w:right w:w="57" w:type="dxa"/>
            </w:tcMar>
            <w:hideMark/>
          </w:tcPr>
          <w:p w14:paraId="53C15624"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625"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626"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627"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628"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637" w14:textId="77777777" w:rsidTr="00EB6F37">
        <w:trPr>
          <w:trHeight w:hRule="exact" w:val="284"/>
        </w:trPr>
        <w:tc>
          <w:tcPr>
            <w:tcW w:w="469" w:type="dxa"/>
            <w:vMerge/>
            <w:tcBorders>
              <w:top w:val="nil"/>
              <w:left w:val="single" w:sz="4" w:space="0" w:color="auto"/>
              <w:bottom w:val="single" w:sz="4" w:space="0" w:color="auto"/>
              <w:right w:val="single" w:sz="4" w:space="0" w:color="auto"/>
            </w:tcBorders>
            <w:tcMar>
              <w:left w:w="57" w:type="dxa"/>
              <w:right w:w="57" w:type="dxa"/>
            </w:tcMar>
            <w:vAlign w:val="center"/>
          </w:tcPr>
          <w:p w14:paraId="53C1562A" w14:textId="77777777" w:rsidR="00EB6F37" w:rsidRPr="00DF7447" w:rsidRDefault="00EB6F37" w:rsidP="00DF7447">
            <w:pPr>
              <w:spacing w:after="0"/>
              <w:jc w:val="left"/>
              <w:rPr>
                <w:rFonts w:ascii="Arial Narrow" w:hAnsi="Arial Narrow"/>
                <w:sz w:val="20"/>
                <w:szCs w:val="20"/>
                <w:lang w:eastAsia="en-AU"/>
              </w:rPr>
            </w:pPr>
          </w:p>
        </w:tc>
        <w:tc>
          <w:tcPr>
            <w:tcW w:w="1985" w:type="dxa"/>
            <w:vMerge w:val="restart"/>
            <w:tcBorders>
              <w:top w:val="nil"/>
              <w:left w:val="single" w:sz="4" w:space="0" w:color="auto"/>
              <w:right w:val="single" w:sz="4" w:space="0" w:color="auto"/>
            </w:tcBorders>
            <w:vAlign w:val="center"/>
          </w:tcPr>
          <w:p w14:paraId="53C1562B" w14:textId="77777777" w:rsidR="00EB6F37" w:rsidRPr="00DF7447" w:rsidRDefault="00EB6F37" w:rsidP="00EB6F37">
            <w:pPr>
              <w:spacing w:after="0"/>
              <w:jc w:val="center"/>
              <w:rPr>
                <w:rFonts w:ascii="Arial Narrow" w:hAnsi="Arial Narrow"/>
                <w:sz w:val="20"/>
                <w:szCs w:val="20"/>
              </w:rPr>
            </w:pPr>
            <w:r w:rsidRPr="00DF7447">
              <w:rPr>
                <w:rFonts w:ascii="Arial Narrow" w:hAnsi="Arial Narrow"/>
                <w:sz w:val="20"/>
                <w:szCs w:val="20"/>
              </w:rPr>
              <w:t>High East</w:t>
            </w:r>
          </w:p>
        </w:tc>
        <w:tc>
          <w:tcPr>
            <w:tcW w:w="682" w:type="dxa"/>
            <w:tcBorders>
              <w:top w:val="nil"/>
              <w:left w:val="single" w:sz="4" w:space="0" w:color="auto"/>
              <w:bottom w:val="single" w:sz="4" w:space="0" w:color="auto"/>
              <w:right w:val="single" w:sz="4" w:space="0" w:color="auto"/>
            </w:tcBorders>
          </w:tcPr>
          <w:p w14:paraId="53C1562C"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2</w:t>
            </w:r>
          </w:p>
        </w:tc>
        <w:tc>
          <w:tcPr>
            <w:tcW w:w="1045" w:type="dxa"/>
            <w:tcBorders>
              <w:top w:val="nil"/>
              <w:left w:val="single" w:sz="4" w:space="0" w:color="auto"/>
              <w:bottom w:val="single" w:sz="4" w:space="0" w:color="auto"/>
              <w:right w:val="single" w:sz="4" w:space="0" w:color="auto"/>
            </w:tcBorders>
            <w:shd w:val="clear" w:color="auto" w:fill="auto"/>
            <w:noWrap/>
            <w:tcMar>
              <w:left w:w="57" w:type="dxa"/>
              <w:right w:w="57" w:type="dxa"/>
            </w:tcMar>
            <w:hideMark/>
          </w:tcPr>
          <w:p w14:paraId="53C1562D"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0.82</w:t>
            </w: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62E"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62F"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7.06</w:t>
            </w: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630"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0.06</w:t>
            </w:r>
          </w:p>
        </w:tc>
        <w:tc>
          <w:tcPr>
            <w:tcW w:w="1032" w:type="dxa"/>
            <w:tcBorders>
              <w:top w:val="nil"/>
              <w:left w:val="nil"/>
              <w:bottom w:val="single" w:sz="4" w:space="0" w:color="auto"/>
              <w:right w:val="single" w:sz="4" w:space="0" w:color="auto"/>
            </w:tcBorders>
          </w:tcPr>
          <w:p w14:paraId="53C15631"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tcMar>
              <w:left w:w="57" w:type="dxa"/>
              <w:right w:w="57" w:type="dxa"/>
            </w:tcMar>
            <w:hideMark/>
          </w:tcPr>
          <w:p w14:paraId="53C15632"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633"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634"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635"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636"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645" w14:textId="77777777" w:rsidTr="00EB6F37">
        <w:trPr>
          <w:trHeight w:hRule="exact" w:val="284"/>
        </w:trPr>
        <w:tc>
          <w:tcPr>
            <w:tcW w:w="469" w:type="dxa"/>
            <w:vMerge/>
            <w:tcBorders>
              <w:top w:val="nil"/>
              <w:left w:val="single" w:sz="4" w:space="0" w:color="auto"/>
              <w:bottom w:val="single" w:sz="4" w:space="0" w:color="auto"/>
              <w:right w:val="single" w:sz="4" w:space="0" w:color="auto"/>
            </w:tcBorders>
            <w:tcMar>
              <w:left w:w="57" w:type="dxa"/>
              <w:right w:w="57" w:type="dxa"/>
            </w:tcMar>
            <w:vAlign w:val="center"/>
          </w:tcPr>
          <w:p w14:paraId="53C15638" w14:textId="77777777" w:rsidR="00EB6F37" w:rsidRPr="00DF7447" w:rsidRDefault="00EB6F37" w:rsidP="00DF7447">
            <w:pPr>
              <w:spacing w:after="0"/>
              <w:jc w:val="left"/>
              <w:rPr>
                <w:rFonts w:ascii="Arial Narrow" w:hAnsi="Arial Narrow"/>
                <w:sz w:val="20"/>
                <w:szCs w:val="20"/>
                <w:lang w:eastAsia="en-AU"/>
              </w:rPr>
            </w:pPr>
          </w:p>
        </w:tc>
        <w:tc>
          <w:tcPr>
            <w:tcW w:w="1985" w:type="dxa"/>
            <w:vMerge/>
            <w:tcBorders>
              <w:left w:val="single" w:sz="4" w:space="0" w:color="auto"/>
              <w:bottom w:val="single" w:sz="4" w:space="0" w:color="auto"/>
              <w:right w:val="single" w:sz="4" w:space="0" w:color="auto"/>
            </w:tcBorders>
            <w:vAlign w:val="center"/>
          </w:tcPr>
          <w:p w14:paraId="53C15639" w14:textId="77777777" w:rsidR="00EB6F37" w:rsidRPr="00DF7447" w:rsidRDefault="00EB6F37" w:rsidP="00DF7447">
            <w:pPr>
              <w:spacing w:after="0"/>
              <w:jc w:val="center"/>
              <w:rPr>
                <w:rFonts w:ascii="Arial Narrow" w:hAnsi="Arial Narrow"/>
                <w:sz w:val="20"/>
                <w:szCs w:val="20"/>
              </w:rPr>
            </w:pPr>
          </w:p>
        </w:tc>
        <w:tc>
          <w:tcPr>
            <w:tcW w:w="682" w:type="dxa"/>
            <w:tcBorders>
              <w:top w:val="nil"/>
              <w:left w:val="single" w:sz="4" w:space="0" w:color="auto"/>
              <w:bottom w:val="single" w:sz="4" w:space="0" w:color="auto"/>
              <w:right w:val="single" w:sz="4" w:space="0" w:color="auto"/>
            </w:tcBorders>
          </w:tcPr>
          <w:p w14:paraId="53C1563A"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5</w:t>
            </w:r>
          </w:p>
        </w:tc>
        <w:tc>
          <w:tcPr>
            <w:tcW w:w="1045" w:type="dxa"/>
            <w:tcBorders>
              <w:top w:val="nil"/>
              <w:left w:val="single" w:sz="4" w:space="0" w:color="auto"/>
              <w:bottom w:val="single" w:sz="4" w:space="0" w:color="auto"/>
              <w:right w:val="single" w:sz="4" w:space="0" w:color="auto"/>
            </w:tcBorders>
            <w:shd w:val="clear" w:color="auto" w:fill="auto"/>
            <w:noWrap/>
            <w:tcMar>
              <w:left w:w="57" w:type="dxa"/>
              <w:right w:w="57" w:type="dxa"/>
            </w:tcMar>
            <w:hideMark/>
          </w:tcPr>
          <w:p w14:paraId="53C1563B"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0.10</w:t>
            </w: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63C"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63D"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9.56</w:t>
            </w: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63E" w14:textId="77777777" w:rsidR="00EB6F37" w:rsidRPr="00DF7447" w:rsidRDefault="00EB6F37" w:rsidP="00DF7447">
            <w:pPr>
              <w:spacing w:after="0"/>
              <w:jc w:val="center"/>
              <w:rPr>
                <w:rFonts w:ascii="Arial Narrow" w:hAnsi="Arial Narrow"/>
                <w:sz w:val="20"/>
                <w:szCs w:val="20"/>
                <w:lang w:eastAsia="en-AU"/>
              </w:rPr>
            </w:pPr>
          </w:p>
        </w:tc>
        <w:tc>
          <w:tcPr>
            <w:tcW w:w="1032" w:type="dxa"/>
            <w:tcBorders>
              <w:top w:val="nil"/>
              <w:left w:val="nil"/>
              <w:bottom w:val="single" w:sz="4" w:space="0" w:color="auto"/>
              <w:right w:val="single" w:sz="4" w:space="0" w:color="auto"/>
            </w:tcBorders>
          </w:tcPr>
          <w:p w14:paraId="53C1563F"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tcMar>
              <w:left w:w="57" w:type="dxa"/>
              <w:right w:w="57" w:type="dxa"/>
            </w:tcMar>
            <w:hideMark/>
          </w:tcPr>
          <w:p w14:paraId="53C15640"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641"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642"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643"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644"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653" w14:textId="77777777" w:rsidTr="00EB6F37">
        <w:trPr>
          <w:trHeight w:hRule="exact" w:val="284"/>
        </w:trPr>
        <w:tc>
          <w:tcPr>
            <w:tcW w:w="469" w:type="dxa"/>
            <w:vMerge/>
            <w:tcBorders>
              <w:top w:val="nil"/>
              <w:left w:val="single" w:sz="4" w:space="0" w:color="auto"/>
              <w:bottom w:val="single" w:sz="4" w:space="0" w:color="auto"/>
              <w:right w:val="single" w:sz="4" w:space="0" w:color="auto"/>
            </w:tcBorders>
            <w:tcMar>
              <w:left w:w="57" w:type="dxa"/>
              <w:right w:w="57" w:type="dxa"/>
            </w:tcMar>
            <w:vAlign w:val="center"/>
          </w:tcPr>
          <w:p w14:paraId="53C15646" w14:textId="77777777" w:rsidR="00EB6F37" w:rsidRPr="00DF7447" w:rsidRDefault="00EB6F37" w:rsidP="00DF7447">
            <w:pPr>
              <w:spacing w:after="0"/>
              <w:jc w:val="left"/>
              <w:rPr>
                <w:rFonts w:ascii="Arial Narrow" w:hAnsi="Arial Narrow"/>
                <w:sz w:val="20"/>
                <w:szCs w:val="20"/>
                <w:lang w:eastAsia="en-AU"/>
              </w:rPr>
            </w:pPr>
          </w:p>
        </w:tc>
        <w:tc>
          <w:tcPr>
            <w:tcW w:w="1985" w:type="dxa"/>
            <w:vMerge w:val="restart"/>
            <w:tcBorders>
              <w:top w:val="nil"/>
              <w:left w:val="single" w:sz="4" w:space="0" w:color="auto"/>
              <w:right w:val="single" w:sz="4" w:space="0" w:color="auto"/>
            </w:tcBorders>
            <w:vAlign w:val="center"/>
          </w:tcPr>
          <w:p w14:paraId="53C15647" w14:textId="77777777" w:rsidR="00EB6F37" w:rsidRPr="00DF7447" w:rsidRDefault="00EB6F37" w:rsidP="00EB6F37">
            <w:pPr>
              <w:spacing w:after="0"/>
              <w:jc w:val="center"/>
              <w:rPr>
                <w:rFonts w:ascii="Arial Narrow" w:hAnsi="Arial Narrow"/>
                <w:sz w:val="20"/>
                <w:szCs w:val="20"/>
              </w:rPr>
            </w:pPr>
            <w:r w:rsidRPr="00DF7447">
              <w:rPr>
                <w:rFonts w:ascii="Arial Narrow" w:hAnsi="Arial Narrow"/>
                <w:sz w:val="20"/>
                <w:szCs w:val="20"/>
              </w:rPr>
              <w:t>High West</w:t>
            </w:r>
          </w:p>
        </w:tc>
        <w:tc>
          <w:tcPr>
            <w:tcW w:w="682" w:type="dxa"/>
            <w:tcBorders>
              <w:top w:val="nil"/>
              <w:left w:val="single" w:sz="4" w:space="0" w:color="auto"/>
              <w:bottom w:val="single" w:sz="4" w:space="0" w:color="auto"/>
              <w:right w:val="single" w:sz="4" w:space="0" w:color="auto"/>
            </w:tcBorders>
          </w:tcPr>
          <w:p w14:paraId="53C15648"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2</w:t>
            </w:r>
          </w:p>
        </w:tc>
        <w:tc>
          <w:tcPr>
            <w:tcW w:w="1045" w:type="dxa"/>
            <w:tcBorders>
              <w:top w:val="nil"/>
              <w:left w:val="single" w:sz="4" w:space="0" w:color="auto"/>
              <w:bottom w:val="single" w:sz="4" w:space="0" w:color="auto"/>
              <w:right w:val="single" w:sz="4" w:space="0" w:color="auto"/>
            </w:tcBorders>
            <w:shd w:val="clear" w:color="auto" w:fill="auto"/>
            <w:noWrap/>
            <w:tcMar>
              <w:left w:w="57" w:type="dxa"/>
              <w:right w:w="57" w:type="dxa"/>
            </w:tcMar>
            <w:hideMark/>
          </w:tcPr>
          <w:p w14:paraId="53C15649"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0.59</w:t>
            </w: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64A"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64B"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0.06</w:t>
            </w: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64C" w14:textId="77777777" w:rsidR="00EB6F37" w:rsidRPr="00DF7447" w:rsidRDefault="00EB6F37" w:rsidP="00DF7447">
            <w:pPr>
              <w:spacing w:after="0"/>
              <w:jc w:val="center"/>
              <w:rPr>
                <w:rFonts w:ascii="Arial Narrow" w:hAnsi="Arial Narrow"/>
                <w:sz w:val="20"/>
                <w:szCs w:val="20"/>
                <w:lang w:eastAsia="en-AU"/>
              </w:rPr>
            </w:pPr>
          </w:p>
        </w:tc>
        <w:tc>
          <w:tcPr>
            <w:tcW w:w="1032" w:type="dxa"/>
            <w:tcBorders>
              <w:top w:val="nil"/>
              <w:left w:val="nil"/>
              <w:bottom w:val="single" w:sz="4" w:space="0" w:color="auto"/>
              <w:right w:val="single" w:sz="4" w:space="0" w:color="auto"/>
            </w:tcBorders>
          </w:tcPr>
          <w:p w14:paraId="53C1564D" w14:textId="77777777" w:rsidR="00EB6F37" w:rsidRPr="00DF7447" w:rsidRDefault="00EB6F37" w:rsidP="00DF7447">
            <w:pPr>
              <w:spacing w:after="0"/>
              <w:jc w:val="center"/>
              <w:rPr>
                <w:rFonts w:ascii="Arial Narrow" w:hAnsi="Arial Narrow"/>
                <w:sz w:val="20"/>
                <w:szCs w:val="20"/>
              </w:rPr>
            </w:pPr>
          </w:p>
        </w:tc>
        <w:tc>
          <w:tcPr>
            <w:tcW w:w="1045" w:type="dxa"/>
            <w:tcBorders>
              <w:top w:val="nil"/>
              <w:left w:val="single" w:sz="4" w:space="0" w:color="auto"/>
              <w:bottom w:val="single" w:sz="4" w:space="0" w:color="auto"/>
              <w:right w:val="single" w:sz="4" w:space="0" w:color="auto"/>
            </w:tcBorders>
            <w:shd w:val="clear" w:color="auto" w:fill="auto"/>
            <w:noWrap/>
            <w:tcMar>
              <w:left w:w="57" w:type="dxa"/>
              <w:right w:w="57" w:type="dxa"/>
            </w:tcMar>
            <w:hideMark/>
          </w:tcPr>
          <w:p w14:paraId="53C1564E"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3.75</w:t>
            </w: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64F"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650"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651"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652"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661" w14:textId="77777777" w:rsidTr="00EB6F37">
        <w:trPr>
          <w:trHeight w:hRule="exact" w:val="284"/>
        </w:trPr>
        <w:tc>
          <w:tcPr>
            <w:tcW w:w="469" w:type="dxa"/>
            <w:vMerge/>
            <w:tcBorders>
              <w:top w:val="nil"/>
              <w:left w:val="single" w:sz="4" w:space="0" w:color="auto"/>
              <w:bottom w:val="single" w:sz="4" w:space="0" w:color="auto"/>
              <w:right w:val="single" w:sz="4" w:space="0" w:color="auto"/>
            </w:tcBorders>
            <w:tcMar>
              <w:left w:w="57" w:type="dxa"/>
              <w:right w:w="57" w:type="dxa"/>
            </w:tcMar>
            <w:vAlign w:val="center"/>
          </w:tcPr>
          <w:p w14:paraId="53C15654" w14:textId="77777777" w:rsidR="00EB6F37" w:rsidRPr="00DF7447" w:rsidRDefault="00EB6F37" w:rsidP="00DF7447">
            <w:pPr>
              <w:spacing w:after="0"/>
              <w:jc w:val="left"/>
              <w:rPr>
                <w:rFonts w:ascii="Arial Narrow" w:hAnsi="Arial Narrow"/>
                <w:sz w:val="20"/>
                <w:szCs w:val="20"/>
                <w:lang w:eastAsia="en-AU"/>
              </w:rPr>
            </w:pPr>
          </w:p>
        </w:tc>
        <w:tc>
          <w:tcPr>
            <w:tcW w:w="1985" w:type="dxa"/>
            <w:vMerge/>
            <w:tcBorders>
              <w:left w:val="single" w:sz="4" w:space="0" w:color="auto"/>
              <w:bottom w:val="single" w:sz="4" w:space="0" w:color="auto"/>
              <w:right w:val="single" w:sz="4" w:space="0" w:color="auto"/>
            </w:tcBorders>
            <w:vAlign w:val="center"/>
          </w:tcPr>
          <w:p w14:paraId="53C15655" w14:textId="77777777" w:rsidR="00EB6F37" w:rsidRPr="00DF7447" w:rsidRDefault="00EB6F37" w:rsidP="00DF7447">
            <w:pPr>
              <w:spacing w:after="0"/>
              <w:jc w:val="center"/>
              <w:rPr>
                <w:rFonts w:ascii="Arial Narrow" w:hAnsi="Arial Narrow"/>
                <w:sz w:val="20"/>
                <w:szCs w:val="20"/>
              </w:rPr>
            </w:pPr>
          </w:p>
        </w:tc>
        <w:tc>
          <w:tcPr>
            <w:tcW w:w="682" w:type="dxa"/>
            <w:tcBorders>
              <w:top w:val="nil"/>
              <w:left w:val="single" w:sz="4" w:space="0" w:color="auto"/>
              <w:bottom w:val="single" w:sz="4" w:space="0" w:color="auto"/>
              <w:right w:val="single" w:sz="4" w:space="0" w:color="auto"/>
            </w:tcBorders>
          </w:tcPr>
          <w:p w14:paraId="53C15656"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5</w:t>
            </w:r>
          </w:p>
        </w:tc>
        <w:tc>
          <w:tcPr>
            <w:tcW w:w="1045" w:type="dxa"/>
            <w:tcBorders>
              <w:top w:val="nil"/>
              <w:left w:val="single" w:sz="4" w:space="0" w:color="auto"/>
              <w:bottom w:val="single" w:sz="4" w:space="0" w:color="auto"/>
              <w:right w:val="single" w:sz="4" w:space="0" w:color="auto"/>
            </w:tcBorders>
            <w:shd w:val="clear" w:color="auto" w:fill="auto"/>
            <w:noWrap/>
            <w:tcMar>
              <w:left w:w="57" w:type="dxa"/>
              <w:right w:w="57" w:type="dxa"/>
            </w:tcMar>
            <w:hideMark/>
          </w:tcPr>
          <w:p w14:paraId="53C15657"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0.13</w:t>
            </w: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658"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659"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1.25</w:t>
            </w: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65A" w14:textId="77777777" w:rsidR="00EB6F37" w:rsidRPr="00DF7447" w:rsidRDefault="00EB6F37" w:rsidP="00DF7447">
            <w:pPr>
              <w:spacing w:after="0"/>
              <w:jc w:val="center"/>
              <w:rPr>
                <w:rFonts w:ascii="Arial Narrow" w:hAnsi="Arial Narrow"/>
                <w:sz w:val="20"/>
                <w:szCs w:val="20"/>
                <w:lang w:eastAsia="en-AU"/>
              </w:rPr>
            </w:pPr>
          </w:p>
        </w:tc>
        <w:tc>
          <w:tcPr>
            <w:tcW w:w="1032" w:type="dxa"/>
            <w:tcBorders>
              <w:top w:val="nil"/>
              <w:left w:val="nil"/>
              <w:bottom w:val="single" w:sz="4" w:space="0" w:color="auto"/>
              <w:right w:val="single" w:sz="4" w:space="0" w:color="auto"/>
            </w:tcBorders>
          </w:tcPr>
          <w:p w14:paraId="53C1565B" w14:textId="77777777" w:rsidR="00EB6F37" w:rsidRPr="00DF7447" w:rsidRDefault="00EB6F37" w:rsidP="00DF7447">
            <w:pPr>
              <w:spacing w:after="0"/>
              <w:jc w:val="center"/>
              <w:rPr>
                <w:rFonts w:ascii="Arial Narrow" w:hAnsi="Arial Narrow"/>
                <w:sz w:val="20"/>
                <w:szCs w:val="20"/>
              </w:rPr>
            </w:pPr>
          </w:p>
        </w:tc>
        <w:tc>
          <w:tcPr>
            <w:tcW w:w="1045" w:type="dxa"/>
            <w:tcBorders>
              <w:top w:val="nil"/>
              <w:left w:val="single" w:sz="4" w:space="0" w:color="auto"/>
              <w:bottom w:val="single" w:sz="4" w:space="0" w:color="auto"/>
              <w:right w:val="single" w:sz="4" w:space="0" w:color="auto"/>
            </w:tcBorders>
            <w:shd w:val="clear" w:color="auto" w:fill="auto"/>
            <w:noWrap/>
            <w:tcMar>
              <w:left w:w="57" w:type="dxa"/>
              <w:right w:w="57" w:type="dxa"/>
            </w:tcMar>
            <w:hideMark/>
          </w:tcPr>
          <w:p w14:paraId="53C1565C"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2.13</w:t>
            </w: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65D"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65E"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65F"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tcMar>
              <w:left w:w="57" w:type="dxa"/>
              <w:right w:w="57" w:type="dxa"/>
            </w:tcMar>
            <w:hideMark/>
          </w:tcPr>
          <w:p w14:paraId="53C15660"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66F" w14:textId="77777777" w:rsidTr="00EB6F37">
        <w:trPr>
          <w:trHeight w:hRule="exact" w:val="284"/>
        </w:trPr>
        <w:tc>
          <w:tcPr>
            <w:tcW w:w="469" w:type="dxa"/>
            <w:vMerge w:val="restart"/>
            <w:tcBorders>
              <w:top w:val="nil"/>
              <w:left w:val="single" w:sz="4" w:space="0" w:color="auto"/>
              <w:bottom w:val="single" w:sz="4" w:space="0" w:color="auto"/>
              <w:right w:val="single" w:sz="4" w:space="0" w:color="auto"/>
            </w:tcBorders>
            <w:shd w:val="clear" w:color="auto" w:fill="auto"/>
            <w:noWrap/>
            <w:textDirection w:val="btLr"/>
            <w:vAlign w:val="center"/>
          </w:tcPr>
          <w:p w14:paraId="53C15662" w14:textId="77777777" w:rsidR="00EB6F37" w:rsidRPr="00DF7447" w:rsidRDefault="008E17A4" w:rsidP="00DF7447">
            <w:pPr>
              <w:spacing w:after="0"/>
              <w:jc w:val="center"/>
              <w:rPr>
                <w:rFonts w:ascii="Arial Narrow" w:hAnsi="Arial Narrow"/>
                <w:sz w:val="20"/>
                <w:szCs w:val="20"/>
                <w:lang w:eastAsia="en-AU"/>
              </w:rPr>
            </w:pPr>
            <w:r>
              <w:rPr>
                <w:rFonts w:ascii="Arial Narrow" w:hAnsi="Arial Narrow"/>
                <w:sz w:val="20"/>
                <w:szCs w:val="20"/>
                <w:lang w:eastAsia="en-AU"/>
              </w:rPr>
              <w:t xml:space="preserve"> Herbert </w:t>
            </w:r>
            <w:r w:rsidR="00EB6F37" w:rsidRPr="00DF7447">
              <w:rPr>
                <w:rFonts w:ascii="Arial Narrow" w:hAnsi="Arial Narrow"/>
                <w:sz w:val="20"/>
                <w:szCs w:val="20"/>
                <w:lang w:eastAsia="en-AU"/>
              </w:rPr>
              <w:t>Tully</w:t>
            </w:r>
          </w:p>
        </w:tc>
        <w:tc>
          <w:tcPr>
            <w:tcW w:w="1985" w:type="dxa"/>
            <w:vMerge w:val="restart"/>
            <w:tcBorders>
              <w:top w:val="nil"/>
              <w:left w:val="single" w:sz="4" w:space="0" w:color="auto"/>
              <w:right w:val="single" w:sz="4" w:space="0" w:color="auto"/>
            </w:tcBorders>
            <w:vAlign w:val="center"/>
          </w:tcPr>
          <w:p w14:paraId="53C15663" w14:textId="77777777" w:rsidR="00EB6F37" w:rsidRPr="00DF7447" w:rsidRDefault="00EB6F37" w:rsidP="00EB6F37">
            <w:pPr>
              <w:spacing w:after="0"/>
              <w:jc w:val="center"/>
              <w:rPr>
                <w:rFonts w:ascii="Arial Narrow" w:hAnsi="Arial Narrow"/>
                <w:sz w:val="20"/>
                <w:szCs w:val="20"/>
              </w:rPr>
            </w:pPr>
            <w:r w:rsidRPr="00DF7447">
              <w:rPr>
                <w:rFonts w:ascii="Arial Narrow" w:hAnsi="Arial Narrow"/>
                <w:sz w:val="20"/>
                <w:szCs w:val="20"/>
              </w:rPr>
              <w:t>Barnards</w:t>
            </w:r>
          </w:p>
        </w:tc>
        <w:tc>
          <w:tcPr>
            <w:tcW w:w="682" w:type="dxa"/>
            <w:tcBorders>
              <w:top w:val="nil"/>
              <w:left w:val="single" w:sz="4" w:space="0" w:color="auto"/>
              <w:bottom w:val="single" w:sz="4" w:space="0" w:color="auto"/>
              <w:right w:val="single" w:sz="4" w:space="0" w:color="auto"/>
            </w:tcBorders>
          </w:tcPr>
          <w:p w14:paraId="53C15664"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2</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665"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0.20</w:t>
            </w:r>
          </w:p>
        </w:tc>
        <w:tc>
          <w:tcPr>
            <w:tcW w:w="1045" w:type="dxa"/>
            <w:tcBorders>
              <w:top w:val="nil"/>
              <w:left w:val="nil"/>
              <w:bottom w:val="single" w:sz="4" w:space="0" w:color="auto"/>
              <w:right w:val="single" w:sz="4" w:space="0" w:color="auto"/>
            </w:tcBorders>
            <w:shd w:val="clear" w:color="auto" w:fill="auto"/>
            <w:noWrap/>
            <w:hideMark/>
          </w:tcPr>
          <w:p w14:paraId="53C15666"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0.06</w:t>
            </w:r>
          </w:p>
        </w:tc>
        <w:tc>
          <w:tcPr>
            <w:tcW w:w="1045" w:type="dxa"/>
            <w:tcBorders>
              <w:top w:val="nil"/>
              <w:left w:val="nil"/>
              <w:bottom w:val="single" w:sz="4" w:space="0" w:color="auto"/>
              <w:right w:val="single" w:sz="4" w:space="0" w:color="auto"/>
            </w:tcBorders>
            <w:shd w:val="clear" w:color="auto" w:fill="auto"/>
            <w:noWrap/>
            <w:hideMark/>
          </w:tcPr>
          <w:p w14:paraId="53C15667"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1.06</w:t>
            </w:r>
          </w:p>
        </w:tc>
        <w:tc>
          <w:tcPr>
            <w:tcW w:w="1045" w:type="dxa"/>
            <w:tcBorders>
              <w:top w:val="nil"/>
              <w:left w:val="nil"/>
              <w:bottom w:val="single" w:sz="4" w:space="0" w:color="auto"/>
              <w:right w:val="single" w:sz="4" w:space="0" w:color="auto"/>
            </w:tcBorders>
            <w:shd w:val="clear" w:color="auto" w:fill="auto"/>
            <w:noWrap/>
            <w:hideMark/>
          </w:tcPr>
          <w:p w14:paraId="53C15668" w14:textId="77777777" w:rsidR="00EB6F37" w:rsidRPr="00DF7447" w:rsidRDefault="00EB6F37" w:rsidP="00DF7447">
            <w:pPr>
              <w:spacing w:after="0"/>
              <w:jc w:val="center"/>
              <w:rPr>
                <w:rFonts w:ascii="Arial Narrow" w:hAnsi="Arial Narrow"/>
                <w:sz w:val="20"/>
                <w:szCs w:val="20"/>
                <w:lang w:eastAsia="en-AU"/>
              </w:rPr>
            </w:pPr>
          </w:p>
        </w:tc>
        <w:tc>
          <w:tcPr>
            <w:tcW w:w="1032" w:type="dxa"/>
            <w:tcBorders>
              <w:top w:val="nil"/>
              <w:left w:val="nil"/>
              <w:bottom w:val="single" w:sz="4" w:space="0" w:color="auto"/>
              <w:right w:val="single" w:sz="4" w:space="0" w:color="auto"/>
            </w:tcBorders>
          </w:tcPr>
          <w:p w14:paraId="53C15669"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hideMark/>
          </w:tcPr>
          <w:p w14:paraId="53C1566A"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66B"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66C"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0.79</w:t>
            </w:r>
          </w:p>
        </w:tc>
        <w:tc>
          <w:tcPr>
            <w:tcW w:w="1045" w:type="dxa"/>
            <w:tcBorders>
              <w:top w:val="nil"/>
              <w:left w:val="nil"/>
              <w:bottom w:val="single" w:sz="4" w:space="0" w:color="auto"/>
              <w:right w:val="single" w:sz="4" w:space="0" w:color="auto"/>
            </w:tcBorders>
            <w:shd w:val="clear" w:color="auto" w:fill="auto"/>
            <w:noWrap/>
            <w:hideMark/>
          </w:tcPr>
          <w:p w14:paraId="53C1566D"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66E"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67D" w14:textId="77777777" w:rsidTr="00EB6F37">
        <w:trPr>
          <w:trHeight w:hRule="exact" w:val="284"/>
        </w:trPr>
        <w:tc>
          <w:tcPr>
            <w:tcW w:w="469" w:type="dxa"/>
            <w:vMerge/>
            <w:tcBorders>
              <w:top w:val="nil"/>
              <w:left w:val="single" w:sz="4" w:space="0" w:color="auto"/>
              <w:bottom w:val="single" w:sz="4" w:space="0" w:color="auto"/>
              <w:right w:val="single" w:sz="4" w:space="0" w:color="auto"/>
            </w:tcBorders>
            <w:vAlign w:val="center"/>
          </w:tcPr>
          <w:p w14:paraId="53C15670" w14:textId="77777777" w:rsidR="00EB6F37" w:rsidRPr="00DF7447" w:rsidRDefault="00EB6F37" w:rsidP="00DF7447">
            <w:pPr>
              <w:spacing w:after="0"/>
              <w:jc w:val="left"/>
              <w:rPr>
                <w:rFonts w:ascii="Arial Narrow" w:hAnsi="Arial Narrow"/>
                <w:sz w:val="20"/>
                <w:szCs w:val="20"/>
                <w:lang w:eastAsia="en-AU"/>
              </w:rPr>
            </w:pPr>
          </w:p>
        </w:tc>
        <w:tc>
          <w:tcPr>
            <w:tcW w:w="1985" w:type="dxa"/>
            <w:vMerge/>
            <w:tcBorders>
              <w:left w:val="single" w:sz="4" w:space="0" w:color="auto"/>
              <w:bottom w:val="single" w:sz="4" w:space="0" w:color="auto"/>
              <w:right w:val="single" w:sz="4" w:space="0" w:color="auto"/>
            </w:tcBorders>
            <w:vAlign w:val="center"/>
          </w:tcPr>
          <w:p w14:paraId="53C15671" w14:textId="77777777" w:rsidR="00EB6F37" w:rsidRPr="00DF7447" w:rsidRDefault="00EB6F37" w:rsidP="00DF7447">
            <w:pPr>
              <w:spacing w:after="0"/>
              <w:jc w:val="center"/>
              <w:rPr>
                <w:rFonts w:ascii="Arial Narrow" w:hAnsi="Arial Narrow"/>
                <w:sz w:val="20"/>
                <w:szCs w:val="20"/>
              </w:rPr>
            </w:pPr>
          </w:p>
        </w:tc>
        <w:tc>
          <w:tcPr>
            <w:tcW w:w="682" w:type="dxa"/>
            <w:tcBorders>
              <w:top w:val="nil"/>
              <w:left w:val="single" w:sz="4" w:space="0" w:color="auto"/>
              <w:bottom w:val="single" w:sz="4" w:space="0" w:color="auto"/>
              <w:right w:val="single" w:sz="4" w:space="0" w:color="auto"/>
            </w:tcBorders>
          </w:tcPr>
          <w:p w14:paraId="53C15672"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5</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673"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0.18</w:t>
            </w:r>
          </w:p>
        </w:tc>
        <w:tc>
          <w:tcPr>
            <w:tcW w:w="1045" w:type="dxa"/>
            <w:tcBorders>
              <w:top w:val="nil"/>
              <w:left w:val="nil"/>
              <w:bottom w:val="single" w:sz="4" w:space="0" w:color="auto"/>
              <w:right w:val="single" w:sz="4" w:space="0" w:color="auto"/>
            </w:tcBorders>
            <w:shd w:val="clear" w:color="auto" w:fill="auto"/>
            <w:noWrap/>
            <w:hideMark/>
          </w:tcPr>
          <w:p w14:paraId="53C15674"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0.13</w:t>
            </w:r>
          </w:p>
        </w:tc>
        <w:tc>
          <w:tcPr>
            <w:tcW w:w="1045" w:type="dxa"/>
            <w:tcBorders>
              <w:top w:val="nil"/>
              <w:left w:val="nil"/>
              <w:bottom w:val="single" w:sz="4" w:space="0" w:color="auto"/>
              <w:right w:val="single" w:sz="4" w:space="0" w:color="auto"/>
            </w:tcBorders>
            <w:shd w:val="clear" w:color="auto" w:fill="auto"/>
            <w:noWrap/>
            <w:hideMark/>
          </w:tcPr>
          <w:p w14:paraId="53C15675"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3.31</w:t>
            </w:r>
          </w:p>
        </w:tc>
        <w:tc>
          <w:tcPr>
            <w:tcW w:w="1045" w:type="dxa"/>
            <w:tcBorders>
              <w:top w:val="nil"/>
              <w:left w:val="nil"/>
              <w:bottom w:val="single" w:sz="4" w:space="0" w:color="auto"/>
              <w:right w:val="single" w:sz="4" w:space="0" w:color="auto"/>
            </w:tcBorders>
            <w:shd w:val="clear" w:color="auto" w:fill="auto"/>
            <w:noWrap/>
            <w:hideMark/>
          </w:tcPr>
          <w:p w14:paraId="53C15676" w14:textId="77777777" w:rsidR="00EB6F37" w:rsidRPr="00DF7447" w:rsidRDefault="00EB6F37" w:rsidP="00DF7447">
            <w:pPr>
              <w:spacing w:after="0"/>
              <w:jc w:val="center"/>
              <w:rPr>
                <w:rFonts w:ascii="Arial Narrow" w:hAnsi="Arial Narrow"/>
                <w:sz w:val="20"/>
                <w:szCs w:val="20"/>
                <w:lang w:eastAsia="en-AU"/>
              </w:rPr>
            </w:pPr>
          </w:p>
        </w:tc>
        <w:tc>
          <w:tcPr>
            <w:tcW w:w="1032" w:type="dxa"/>
            <w:tcBorders>
              <w:top w:val="nil"/>
              <w:left w:val="nil"/>
              <w:bottom w:val="single" w:sz="4" w:space="0" w:color="auto"/>
              <w:right w:val="single" w:sz="4" w:space="0" w:color="auto"/>
            </w:tcBorders>
          </w:tcPr>
          <w:p w14:paraId="53C15677"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hideMark/>
          </w:tcPr>
          <w:p w14:paraId="53C15678"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679"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67A"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0.48</w:t>
            </w:r>
          </w:p>
        </w:tc>
        <w:tc>
          <w:tcPr>
            <w:tcW w:w="1045" w:type="dxa"/>
            <w:tcBorders>
              <w:top w:val="nil"/>
              <w:left w:val="nil"/>
              <w:bottom w:val="single" w:sz="4" w:space="0" w:color="auto"/>
              <w:right w:val="single" w:sz="4" w:space="0" w:color="auto"/>
            </w:tcBorders>
            <w:shd w:val="clear" w:color="auto" w:fill="auto"/>
            <w:noWrap/>
            <w:hideMark/>
          </w:tcPr>
          <w:p w14:paraId="53C1567B"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67C"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68B" w14:textId="77777777" w:rsidTr="00EB6F37">
        <w:trPr>
          <w:trHeight w:hRule="exact" w:val="284"/>
        </w:trPr>
        <w:tc>
          <w:tcPr>
            <w:tcW w:w="469" w:type="dxa"/>
            <w:vMerge/>
            <w:tcBorders>
              <w:top w:val="nil"/>
              <w:left w:val="single" w:sz="4" w:space="0" w:color="auto"/>
              <w:bottom w:val="single" w:sz="4" w:space="0" w:color="auto"/>
              <w:right w:val="single" w:sz="4" w:space="0" w:color="auto"/>
            </w:tcBorders>
            <w:vAlign w:val="center"/>
          </w:tcPr>
          <w:p w14:paraId="53C1567E" w14:textId="77777777" w:rsidR="00EB6F37" w:rsidRPr="00DF7447" w:rsidRDefault="00EB6F37" w:rsidP="00DF7447">
            <w:pPr>
              <w:spacing w:after="0"/>
              <w:jc w:val="left"/>
              <w:rPr>
                <w:rFonts w:ascii="Arial Narrow" w:hAnsi="Arial Narrow"/>
                <w:sz w:val="20"/>
                <w:szCs w:val="20"/>
                <w:lang w:eastAsia="en-AU"/>
              </w:rPr>
            </w:pPr>
          </w:p>
        </w:tc>
        <w:tc>
          <w:tcPr>
            <w:tcW w:w="1985" w:type="dxa"/>
            <w:vMerge w:val="restart"/>
            <w:tcBorders>
              <w:top w:val="nil"/>
              <w:left w:val="single" w:sz="4" w:space="0" w:color="auto"/>
              <w:right w:val="single" w:sz="4" w:space="0" w:color="auto"/>
            </w:tcBorders>
            <w:vAlign w:val="center"/>
          </w:tcPr>
          <w:p w14:paraId="53C1567F" w14:textId="77777777" w:rsidR="00EB6F37" w:rsidRPr="00DF7447" w:rsidRDefault="00EB6F37" w:rsidP="00EB6F37">
            <w:pPr>
              <w:spacing w:after="0"/>
              <w:jc w:val="center"/>
              <w:rPr>
                <w:rFonts w:ascii="Arial Narrow" w:hAnsi="Arial Narrow"/>
                <w:sz w:val="20"/>
                <w:szCs w:val="20"/>
              </w:rPr>
            </w:pPr>
            <w:r w:rsidRPr="00DF7447">
              <w:rPr>
                <w:rFonts w:ascii="Arial Narrow" w:hAnsi="Arial Narrow"/>
                <w:sz w:val="20"/>
                <w:szCs w:val="20"/>
              </w:rPr>
              <w:t>Dunk North</w:t>
            </w:r>
          </w:p>
        </w:tc>
        <w:tc>
          <w:tcPr>
            <w:tcW w:w="682" w:type="dxa"/>
            <w:tcBorders>
              <w:top w:val="nil"/>
              <w:left w:val="single" w:sz="4" w:space="0" w:color="auto"/>
              <w:bottom w:val="single" w:sz="4" w:space="0" w:color="auto"/>
              <w:right w:val="single" w:sz="4" w:space="0" w:color="auto"/>
            </w:tcBorders>
          </w:tcPr>
          <w:p w14:paraId="53C15680"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2</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681"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0.29</w:t>
            </w:r>
          </w:p>
        </w:tc>
        <w:tc>
          <w:tcPr>
            <w:tcW w:w="1045" w:type="dxa"/>
            <w:tcBorders>
              <w:top w:val="nil"/>
              <w:left w:val="nil"/>
              <w:bottom w:val="single" w:sz="4" w:space="0" w:color="auto"/>
              <w:right w:val="single" w:sz="4" w:space="0" w:color="auto"/>
            </w:tcBorders>
            <w:shd w:val="clear" w:color="auto" w:fill="auto"/>
            <w:noWrap/>
            <w:hideMark/>
          </w:tcPr>
          <w:p w14:paraId="53C15682"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683"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0.19</w:t>
            </w:r>
          </w:p>
        </w:tc>
        <w:tc>
          <w:tcPr>
            <w:tcW w:w="1045" w:type="dxa"/>
            <w:tcBorders>
              <w:top w:val="nil"/>
              <w:left w:val="nil"/>
              <w:bottom w:val="single" w:sz="4" w:space="0" w:color="auto"/>
              <w:right w:val="single" w:sz="4" w:space="0" w:color="auto"/>
            </w:tcBorders>
            <w:shd w:val="clear" w:color="auto" w:fill="auto"/>
            <w:noWrap/>
            <w:hideMark/>
          </w:tcPr>
          <w:p w14:paraId="53C15684"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0.03</w:t>
            </w:r>
          </w:p>
        </w:tc>
        <w:tc>
          <w:tcPr>
            <w:tcW w:w="1032" w:type="dxa"/>
            <w:tcBorders>
              <w:top w:val="nil"/>
              <w:left w:val="nil"/>
              <w:bottom w:val="single" w:sz="4" w:space="0" w:color="auto"/>
              <w:right w:val="single" w:sz="4" w:space="0" w:color="auto"/>
            </w:tcBorders>
          </w:tcPr>
          <w:p w14:paraId="53C15685"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hideMark/>
          </w:tcPr>
          <w:p w14:paraId="53C15686"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687"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688"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0.10</w:t>
            </w:r>
          </w:p>
        </w:tc>
        <w:tc>
          <w:tcPr>
            <w:tcW w:w="1045" w:type="dxa"/>
            <w:tcBorders>
              <w:top w:val="nil"/>
              <w:left w:val="nil"/>
              <w:bottom w:val="single" w:sz="4" w:space="0" w:color="auto"/>
              <w:right w:val="single" w:sz="4" w:space="0" w:color="auto"/>
            </w:tcBorders>
            <w:shd w:val="clear" w:color="auto" w:fill="auto"/>
            <w:noWrap/>
            <w:hideMark/>
          </w:tcPr>
          <w:p w14:paraId="53C15689"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68A"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699" w14:textId="77777777" w:rsidTr="00EB6F37">
        <w:trPr>
          <w:trHeight w:hRule="exact" w:val="284"/>
        </w:trPr>
        <w:tc>
          <w:tcPr>
            <w:tcW w:w="469" w:type="dxa"/>
            <w:vMerge/>
            <w:tcBorders>
              <w:top w:val="nil"/>
              <w:left w:val="single" w:sz="4" w:space="0" w:color="auto"/>
              <w:bottom w:val="single" w:sz="4" w:space="0" w:color="auto"/>
              <w:right w:val="single" w:sz="4" w:space="0" w:color="auto"/>
            </w:tcBorders>
            <w:vAlign w:val="center"/>
          </w:tcPr>
          <w:p w14:paraId="53C1568C" w14:textId="77777777" w:rsidR="00EB6F37" w:rsidRPr="00DF7447" w:rsidRDefault="00EB6F37" w:rsidP="00DF7447">
            <w:pPr>
              <w:spacing w:after="0"/>
              <w:jc w:val="left"/>
              <w:rPr>
                <w:rFonts w:ascii="Arial Narrow" w:hAnsi="Arial Narrow"/>
                <w:sz w:val="20"/>
                <w:szCs w:val="20"/>
                <w:lang w:eastAsia="en-AU"/>
              </w:rPr>
            </w:pPr>
          </w:p>
        </w:tc>
        <w:tc>
          <w:tcPr>
            <w:tcW w:w="1985" w:type="dxa"/>
            <w:vMerge/>
            <w:tcBorders>
              <w:left w:val="single" w:sz="4" w:space="0" w:color="auto"/>
              <w:bottom w:val="single" w:sz="4" w:space="0" w:color="auto"/>
              <w:right w:val="single" w:sz="4" w:space="0" w:color="auto"/>
            </w:tcBorders>
            <w:vAlign w:val="center"/>
          </w:tcPr>
          <w:p w14:paraId="53C1568D" w14:textId="77777777" w:rsidR="00EB6F37" w:rsidRPr="00DF7447" w:rsidRDefault="00EB6F37" w:rsidP="00DF7447">
            <w:pPr>
              <w:spacing w:after="0"/>
              <w:jc w:val="center"/>
              <w:rPr>
                <w:rFonts w:ascii="Arial Narrow" w:hAnsi="Arial Narrow"/>
                <w:sz w:val="20"/>
                <w:szCs w:val="20"/>
              </w:rPr>
            </w:pPr>
          </w:p>
        </w:tc>
        <w:tc>
          <w:tcPr>
            <w:tcW w:w="682" w:type="dxa"/>
            <w:tcBorders>
              <w:top w:val="nil"/>
              <w:left w:val="single" w:sz="4" w:space="0" w:color="auto"/>
              <w:bottom w:val="single" w:sz="4" w:space="0" w:color="auto"/>
              <w:right w:val="single" w:sz="4" w:space="0" w:color="auto"/>
            </w:tcBorders>
          </w:tcPr>
          <w:p w14:paraId="53C1568E"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5</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68F"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0.10</w:t>
            </w:r>
          </w:p>
        </w:tc>
        <w:tc>
          <w:tcPr>
            <w:tcW w:w="1045" w:type="dxa"/>
            <w:tcBorders>
              <w:top w:val="nil"/>
              <w:left w:val="nil"/>
              <w:bottom w:val="single" w:sz="4" w:space="0" w:color="auto"/>
              <w:right w:val="single" w:sz="4" w:space="0" w:color="auto"/>
            </w:tcBorders>
            <w:shd w:val="clear" w:color="auto" w:fill="auto"/>
            <w:noWrap/>
            <w:hideMark/>
          </w:tcPr>
          <w:p w14:paraId="53C15690"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691"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0.19</w:t>
            </w:r>
          </w:p>
        </w:tc>
        <w:tc>
          <w:tcPr>
            <w:tcW w:w="1045" w:type="dxa"/>
            <w:tcBorders>
              <w:top w:val="nil"/>
              <w:left w:val="nil"/>
              <w:bottom w:val="single" w:sz="4" w:space="0" w:color="auto"/>
              <w:right w:val="single" w:sz="4" w:space="0" w:color="auto"/>
            </w:tcBorders>
            <w:shd w:val="clear" w:color="auto" w:fill="auto"/>
            <w:noWrap/>
            <w:hideMark/>
          </w:tcPr>
          <w:p w14:paraId="53C15692" w14:textId="77777777" w:rsidR="00EB6F37" w:rsidRPr="00DF7447" w:rsidRDefault="00EB6F37" w:rsidP="00DF7447">
            <w:pPr>
              <w:spacing w:after="0"/>
              <w:jc w:val="center"/>
              <w:rPr>
                <w:rFonts w:ascii="Arial Narrow" w:hAnsi="Arial Narrow"/>
                <w:sz w:val="20"/>
                <w:szCs w:val="20"/>
                <w:lang w:eastAsia="en-AU"/>
              </w:rPr>
            </w:pPr>
          </w:p>
        </w:tc>
        <w:tc>
          <w:tcPr>
            <w:tcW w:w="1032" w:type="dxa"/>
            <w:tcBorders>
              <w:top w:val="nil"/>
              <w:left w:val="nil"/>
              <w:bottom w:val="single" w:sz="4" w:space="0" w:color="auto"/>
              <w:right w:val="single" w:sz="4" w:space="0" w:color="auto"/>
            </w:tcBorders>
          </w:tcPr>
          <w:p w14:paraId="53C15693"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hideMark/>
          </w:tcPr>
          <w:p w14:paraId="53C15694"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695"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696"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0.79</w:t>
            </w:r>
          </w:p>
        </w:tc>
        <w:tc>
          <w:tcPr>
            <w:tcW w:w="1045" w:type="dxa"/>
            <w:tcBorders>
              <w:top w:val="nil"/>
              <w:left w:val="nil"/>
              <w:bottom w:val="single" w:sz="4" w:space="0" w:color="auto"/>
              <w:right w:val="single" w:sz="4" w:space="0" w:color="auto"/>
            </w:tcBorders>
            <w:shd w:val="clear" w:color="auto" w:fill="auto"/>
            <w:noWrap/>
            <w:hideMark/>
          </w:tcPr>
          <w:p w14:paraId="53C15697"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1.06</w:t>
            </w:r>
          </w:p>
        </w:tc>
        <w:tc>
          <w:tcPr>
            <w:tcW w:w="1045" w:type="dxa"/>
            <w:tcBorders>
              <w:top w:val="nil"/>
              <w:left w:val="nil"/>
              <w:bottom w:val="single" w:sz="4" w:space="0" w:color="auto"/>
              <w:right w:val="single" w:sz="4" w:space="0" w:color="auto"/>
            </w:tcBorders>
            <w:shd w:val="clear" w:color="auto" w:fill="auto"/>
            <w:noWrap/>
            <w:hideMark/>
          </w:tcPr>
          <w:p w14:paraId="53C15698"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6A7" w14:textId="77777777" w:rsidTr="00EB6F37">
        <w:trPr>
          <w:trHeight w:hRule="exact" w:val="284"/>
        </w:trPr>
        <w:tc>
          <w:tcPr>
            <w:tcW w:w="469" w:type="dxa"/>
            <w:vMerge/>
            <w:tcBorders>
              <w:top w:val="nil"/>
              <w:left w:val="single" w:sz="4" w:space="0" w:color="auto"/>
              <w:bottom w:val="single" w:sz="4" w:space="0" w:color="auto"/>
              <w:right w:val="single" w:sz="4" w:space="0" w:color="auto"/>
            </w:tcBorders>
            <w:vAlign w:val="center"/>
          </w:tcPr>
          <w:p w14:paraId="53C1569A" w14:textId="77777777" w:rsidR="00EB6F37" w:rsidRPr="00DF7447" w:rsidRDefault="00EB6F37" w:rsidP="00DF7447">
            <w:pPr>
              <w:spacing w:after="0"/>
              <w:jc w:val="left"/>
              <w:rPr>
                <w:rFonts w:ascii="Arial Narrow" w:hAnsi="Arial Narrow"/>
                <w:sz w:val="20"/>
                <w:szCs w:val="20"/>
                <w:lang w:eastAsia="en-AU"/>
              </w:rPr>
            </w:pPr>
          </w:p>
        </w:tc>
        <w:tc>
          <w:tcPr>
            <w:tcW w:w="1985" w:type="dxa"/>
            <w:vMerge w:val="restart"/>
            <w:tcBorders>
              <w:top w:val="nil"/>
              <w:left w:val="single" w:sz="4" w:space="0" w:color="auto"/>
              <w:right w:val="single" w:sz="4" w:space="0" w:color="auto"/>
            </w:tcBorders>
            <w:vAlign w:val="center"/>
          </w:tcPr>
          <w:p w14:paraId="53C1569B" w14:textId="77777777" w:rsidR="00EB6F37" w:rsidRPr="00DF7447" w:rsidRDefault="00EB6F37" w:rsidP="00EB6F37">
            <w:pPr>
              <w:spacing w:after="0"/>
              <w:jc w:val="center"/>
              <w:rPr>
                <w:rFonts w:ascii="Arial Narrow" w:hAnsi="Arial Narrow"/>
                <w:sz w:val="20"/>
                <w:szCs w:val="20"/>
              </w:rPr>
            </w:pPr>
            <w:r w:rsidRPr="00DF7447">
              <w:rPr>
                <w:rFonts w:ascii="Arial Narrow" w:hAnsi="Arial Narrow"/>
                <w:sz w:val="20"/>
                <w:szCs w:val="20"/>
              </w:rPr>
              <w:t>Dunk South</w:t>
            </w:r>
          </w:p>
        </w:tc>
        <w:tc>
          <w:tcPr>
            <w:tcW w:w="682" w:type="dxa"/>
            <w:tcBorders>
              <w:top w:val="nil"/>
              <w:left w:val="single" w:sz="4" w:space="0" w:color="auto"/>
              <w:bottom w:val="single" w:sz="4" w:space="0" w:color="auto"/>
              <w:right w:val="single" w:sz="4" w:space="0" w:color="auto"/>
            </w:tcBorders>
          </w:tcPr>
          <w:p w14:paraId="53C1569C"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2</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69D"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0.14</w:t>
            </w:r>
          </w:p>
        </w:tc>
        <w:tc>
          <w:tcPr>
            <w:tcW w:w="1045" w:type="dxa"/>
            <w:tcBorders>
              <w:top w:val="nil"/>
              <w:left w:val="nil"/>
              <w:bottom w:val="single" w:sz="4" w:space="0" w:color="auto"/>
              <w:right w:val="single" w:sz="4" w:space="0" w:color="auto"/>
            </w:tcBorders>
            <w:shd w:val="clear" w:color="auto" w:fill="auto"/>
            <w:noWrap/>
            <w:hideMark/>
          </w:tcPr>
          <w:p w14:paraId="53C1569E"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69F"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0.88</w:t>
            </w:r>
          </w:p>
        </w:tc>
        <w:tc>
          <w:tcPr>
            <w:tcW w:w="1045" w:type="dxa"/>
            <w:tcBorders>
              <w:top w:val="nil"/>
              <w:left w:val="nil"/>
              <w:bottom w:val="single" w:sz="4" w:space="0" w:color="auto"/>
              <w:right w:val="single" w:sz="4" w:space="0" w:color="auto"/>
            </w:tcBorders>
            <w:shd w:val="clear" w:color="auto" w:fill="auto"/>
            <w:noWrap/>
            <w:hideMark/>
          </w:tcPr>
          <w:p w14:paraId="53C156A0"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0.22</w:t>
            </w:r>
          </w:p>
        </w:tc>
        <w:tc>
          <w:tcPr>
            <w:tcW w:w="1032" w:type="dxa"/>
            <w:tcBorders>
              <w:top w:val="nil"/>
              <w:left w:val="nil"/>
              <w:bottom w:val="single" w:sz="4" w:space="0" w:color="auto"/>
              <w:right w:val="single" w:sz="4" w:space="0" w:color="auto"/>
            </w:tcBorders>
          </w:tcPr>
          <w:p w14:paraId="53C156A1"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hideMark/>
          </w:tcPr>
          <w:p w14:paraId="53C156A2"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6A3"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6A4"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6A5"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6A6"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6B5" w14:textId="77777777" w:rsidTr="00EB6F37">
        <w:trPr>
          <w:trHeight w:hRule="exact" w:val="284"/>
        </w:trPr>
        <w:tc>
          <w:tcPr>
            <w:tcW w:w="469" w:type="dxa"/>
            <w:vMerge/>
            <w:tcBorders>
              <w:top w:val="nil"/>
              <w:left w:val="single" w:sz="4" w:space="0" w:color="auto"/>
              <w:bottom w:val="single" w:sz="4" w:space="0" w:color="auto"/>
              <w:right w:val="single" w:sz="4" w:space="0" w:color="auto"/>
            </w:tcBorders>
            <w:vAlign w:val="center"/>
          </w:tcPr>
          <w:p w14:paraId="53C156A8" w14:textId="77777777" w:rsidR="00EB6F37" w:rsidRPr="00DF7447" w:rsidRDefault="00EB6F37" w:rsidP="00DF7447">
            <w:pPr>
              <w:spacing w:after="0"/>
              <w:jc w:val="left"/>
              <w:rPr>
                <w:rFonts w:ascii="Arial Narrow" w:hAnsi="Arial Narrow"/>
                <w:sz w:val="20"/>
                <w:szCs w:val="20"/>
                <w:lang w:eastAsia="en-AU"/>
              </w:rPr>
            </w:pPr>
          </w:p>
        </w:tc>
        <w:tc>
          <w:tcPr>
            <w:tcW w:w="1985" w:type="dxa"/>
            <w:vMerge/>
            <w:tcBorders>
              <w:left w:val="single" w:sz="4" w:space="0" w:color="auto"/>
              <w:bottom w:val="single" w:sz="4" w:space="0" w:color="auto"/>
              <w:right w:val="single" w:sz="4" w:space="0" w:color="auto"/>
            </w:tcBorders>
            <w:vAlign w:val="center"/>
          </w:tcPr>
          <w:p w14:paraId="53C156A9" w14:textId="77777777" w:rsidR="00EB6F37" w:rsidRPr="00DF7447" w:rsidRDefault="00EB6F37" w:rsidP="00DF7447">
            <w:pPr>
              <w:spacing w:after="0"/>
              <w:jc w:val="center"/>
              <w:rPr>
                <w:rFonts w:ascii="Arial Narrow" w:hAnsi="Arial Narrow"/>
                <w:sz w:val="20"/>
                <w:szCs w:val="20"/>
              </w:rPr>
            </w:pPr>
          </w:p>
        </w:tc>
        <w:tc>
          <w:tcPr>
            <w:tcW w:w="682" w:type="dxa"/>
            <w:tcBorders>
              <w:top w:val="nil"/>
              <w:left w:val="single" w:sz="4" w:space="0" w:color="auto"/>
              <w:bottom w:val="single" w:sz="4" w:space="0" w:color="auto"/>
              <w:right w:val="single" w:sz="4" w:space="0" w:color="auto"/>
            </w:tcBorders>
          </w:tcPr>
          <w:p w14:paraId="53C156AA"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5</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6AB"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0.13</w:t>
            </w:r>
          </w:p>
        </w:tc>
        <w:tc>
          <w:tcPr>
            <w:tcW w:w="1045" w:type="dxa"/>
            <w:tcBorders>
              <w:top w:val="nil"/>
              <w:left w:val="nil"/>
              <w:bottom w:val="single" w:sz="4" w:space="0" w:color="auto"/>
              <w:right w:val="single" w:sz="4" w:space="0" w:color="auto"/>
            </w:tcBorders>
            <w:shd w:val="clear" w:color="auto" w:fill="auto"/>
            <w:noWrap/>
            <w:hideMark/>
          </w:tcPr>
          <w:p w14:paraId="53C156AC"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6AD"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2.13</w:t>
            </w:r>
          </w:p>
        </w:tc>
        <w:tc>
          <w:tcPr>
            <w:tcW w:w="1045" w:type="dxa"/>
            <w:tcBorders>
              <w:top w:val="nil"/>
              <w:left w:val="nil"/>
              <w:bottom w:val="single" w:sz="4" w:space="0" w:color="auto"/>
              <w:right w:val="single" w:sz="4" w:space="0" w:color="auto"/>
            </w:tcBorders>
            <w:shd w:val="clear" w:color="auto" w:fill="auto"/>
            <w:noWrap/>
            <w:hideMark/>
          </w:tcPr>
          <w:p w14:paraId="53C156AE" w14:textId="77777777" w:rsidR="00EB6F37" w:rsidRPr="00DF7447" w:rsidRDefault="00EB6F37" w:rsidP="00DF7447">
            <w:pPr>
              <w:spacing w:after="0"/>
              <w:jc w:val="center"/>
              <w:rPr>
                <w:rFonts w:ascii="Arial Narrow" w:hAnsi="Arial Narrow"/>
                <w:sz w:val="20"/>
                <w:szCs w:val="20"/>
                <w:lang w:eastAsia="en-AU"/>
              </w:rPr>
            </w:pPr>
          </w:p>
        </w:tc>
        <w:tc>
          <w:tcPr>
            <w:tcW w:w="1032" w:type="dxa"/>
            <w:tcBorders>
              <w:top w:val="nil"/>
              <w:left w:val="nil"/>
              <w:bottom w:val="single" w:sz="4" w:space="0" w:color="auto"/>
              <w:right w:val="single" w:sz="4" w:space="0" w:color="auto"/>
            </w:tcBorders>
          </w:tcPr>
          <w:p w14:paraId="53C156AF"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hideMark/>
          </w:tcPr>
          <w:p w14:paraId="53C156B0"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6B1"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6B2"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6B3"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6B4"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6C3" w14:textId="77777777" w:rsidTr="00EB6F37">
        <w:trPr>
          <w:trHeight w:hRule="exact" w:val="284"/>
        </w:trPr>
        <w:tc>
          <w:tcPr>
            <w:tcW w:w="469" w:type="dxa"/>
            <w:vMerge/>
            <w:tcBorders>
              <w:top w:val="nil"/>
              <w:left w:val="single" w:sz="4" w:space="0" w:color="auto"/>
              <w:bottom w:val="single" w:sz="4" w:space="0" w:color="auto"/>
              <w:right w:val="single" w:sz="4" w:space="0" w:color="auto"/>
            </w:tcBorders>
            <w:vAlign w:val="center"/>
          </w:tcPr>
          <w:p w14:paraId="53C156B6" w14:textId="77777777" w:rsidR="00EB6F37" w:rsidRPr="00DF7447" w:rsidRDefault="00EB6F37" w:rsidP="00DF7447">
            <w:pPr>
              <w:spacing w:after="0"/>
              <w:jc w:val="left"/>
              <w:rPr>
                <w:rFonts w:ascii="Arial Narrow" w:hAnsi="Arial Narrow"/>
                <w:sz w:val="20"/>
                <w:szCs w:val="20"/>
                <w:lang w:eastAsia="en-AU"/>
              </w:rPr>
            </w:pPr>
          </w:p>
        </w:tc>
        <w:tc>
          <w:tcPr>
            <w:tcW w:w="1985" w:type="dxa"/>
            <w:vMerge w:val="restart"/>
            <w:tcBorders>
              <w:top w:val="nil"/>
              <w:left w:val="single" w:sz="4" w:space="0" w:color="auto"/>
              <w:right w:val="single" w:sz="4" w:space="0" w:color="auto"/>
            </w:tcBorders>
            <w:vAlign w:val="center"/>
          </w:tcPr>
          <w:p w14:paraId="53C156B7" w14:textId="77777777" w:rsidR="00EB6F37" w:rsidRPr="00DF7447" w:rsidRDefault="00EB6F37" w:rsidP="00EB6F37">
            <w:pPr>
              <w:spacing w:after="0"/>
              <w:jc w:val="center"/>
              <w:rPr>
                <w:rFonts w:ascii="Arial Narrow" w:hAnsi="Arial Narrow"/>
                <w:sz w:val="20"/>
                <w:szCs w:val="20"/>
              </w:rPr>
            </w:pPr>
            <w:r w:rsidRPr="00DF7447">
              <w:rPr>
                <w:rFonts w:ascii="Arial Narrow" w:hAnsi="Arial Narrow"/>
                <w:sz w:val="20"/>
                <w:szCs w:val="20"/>
              </w:rPr>
              <w:t>Bedarra</w:t>
            </w:r>
          </w:p>
        </w:tc>
        <w:tc>
          <w:tcPr>
            <w:tcW w:w="682" w:type="dxa"/>
            <w:tcBorders>
              <w:top w:val="nil"/>
              <w:left w:val="single" w:sz="4" w:space="0" w:color="auto"/>
              <w:bottom w:val="single" w:sz="4" w:space="0" w:color="auto"/>
              <w:right w:val="single" w:sz="4" w:space="0" w:color="auto"/>
            </w:tcBorders>
          </w:tcPr>
          <w:p w14:paraId="53C156B8"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2</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6B9"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0.02</w:t>
            </w:r>
          </w:p>
        </w:tc>
        <w:tc>
          <w:tcPr>
            <w:tcW w:w="1045" w:type="dxa"/>
            <w:tcBorders>
              <w:top w:val="nil"/>
              <w:left w:val="nil"/>
              <w:bottom w:val="single" w:sz="4" w:space="0" w:color="auto"/>
              <w:right w:val="single" w:sz="4" w:space="0" w:color="auto"/>
            </w:tcBorders>
            <w:shd w:val="clear" w:color="auto" w:fill="auto"/>
            <w:noWrap/>
            <w:hideMark/>
          </w:tcPr>
          <w:p w14:paraId="53C156BA"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6BB"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0.19</w:t>
            </w:r>
          </w:p>
        </w:tc>
        <w:tc>
          <w:tcPr>
            <w:tcW w:w="1045" w:type="dxa"/>
            <w:tcBorders>
              <w:top w:val="nil"/>
              <w:left w:val="nil"/>
              <w:bottom w:val="single" w:sz="4" w:space="0" w:color="auto"/>
              <w:right w:val="single" w:sz="4" w:space="0" w:color="auto"/>
            </w:tcBorders>
            <w:shd w:val="clear" w:color="auto" w:fill="auto"/>
            <w:noWrap/>
            <w:hideMark/>
          </w:tcPr>
          <w:p w14:paraId="53C156BC" w14:textId="77777777" w:rsidR="00EB6F37" w:rsidRPr="00DF7447" w:rsidRDefault="00EB6F37" w:rsidP="00DF7447">
            <w:pPr>
              <w:spacing w:after="0"/>
              <w:jc w:val="center"/>
              <w:rPr>
                <w:rFonts w:ascii="Arial Narrow" w:hAnsi="Arial Narrow"/>
                <w:sz w:val="20"/>
                <w:szCs w:val="20"/>
                <w:lang w:eastAsia="en-AU"/>
              </w:rPr>
            </w:pPr>
          </w:p>
        </w:tc>
        <w:tc>
          <w:tcPr>
            <w:tcW w:w="1032" w:type="dxa"/>
            <w:tcBorders>
              <w:top w:val="nil"/>
              <w:left w:val="nil"/>
              <w:bottom w:val="single" w:sz="4" w:space="0" w:color="auto"/>
              <w:right w:val="single" w:sz="4" w:space="0" w:color="auto"/>
            </w:tcBorders>
          </w:tcPr>
          <w:p w14:paraId="53C156BD"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hideMark/>
          </w:tcPr>
          <w:p w14:paraId="53C156BE"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6BF"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6C0"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6C1"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6C2"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6D1" w14:textId="77777777" w:rsidTr="00EB6F37">
        <w:trPr>
          <w:trHeight w:hRule="exact" w:val="284"/>
        </w:trPr>
        <w:tc>
          <w:tcPr>
            <w:tcW w:w="469" w:type="dxa"/>
            <w:vMerge/>
            <w:tcBorders>
              <w:top w:val="nil"/>
              <w:left w:val="single" w:sz="4" w:space="0" w:color="auto"/>
              <w:bottom w:val="single" w:sz="4" w:space="0" w:color="auto"/>
              <w:right w:val="single" w:sz="4" w:space="0" w:color="auto"/>
            </w:tcBorders>
            <w:vAlign w:val="center"/>
          </w:tcPr>
          <w:p w14:paraId="53C156C4" w14:textId="77777777" w:rsidR="00EB6F37" w:rsidRPr="00DF7447" w:rsidRDefault="00EB6F37" w:rsidP="00DF7447">
            <w:pPr>
              <w:spacing w:after="0"/>
              <w:jc w:val="left"/>
              <w:rPr>
                <w:rFonts w:ascii="Arial Narrow" w:hAnsi="Arial Narrow"/>
                <w:sz w:val="20"/>
                <w:szCs w:val="20"/>
                <w:lang w:eastAsia="en-AU"/>
              </w:rPr>
            </w:pPr>
          </w:p>
        </w:tc>
        <w:tc>
          <w:tcPr>
            <w:tcW w:w="1985" w:type="dxa"/>
            <w:vMerge/>
            <w:tcBorders>
              <w:left w:val="single" w:sz="4" w:space="0" w:color="auto"/>
              <w:bottom w:val="single" w:sz="4" w:space="0" w:color="auto"/>
              <w:right w:val="single" w:sz="4" w:space="0" w:color="auto"/>
            </w:tcBorders>
            <w:vAlign w:val="center"/>
          </w:tcPr>
          <w:p w14:paraId="53C156C5" w14:textId="77777777" w:rsidR="00EB6F37" w:rsidRPr="00DF7447" w:rsidRDefault="00EB6F37" w:rsidP="00DF7447">
            <w:pPr>
              <w:spacing w:after="0"/>
              <w:jc w:val="center"/>
              <w:rPr>
                <w:rFonts w:ascii="Arial Narrow" w:hAnsi="Arial Narrow"/>
                <w:sz w:val="20"/>
                <w:szCs w:val="20"/>
              </w:rPr>
            </w:pPr>
          </w:p>
        </w:tc>
        <w:tc>
          <w:tcPr>
            <w:tcW w:w="682" w:type="dxa"/>
            <w:tcBorders>
              <w:top w:val="nil"/>
              <w:left w:val="single" w:sz="4" w:space="0" w:color="auto"/>
              <w:bottom w:val="single" w:sz="4" w:space="0" w:color="auto"/>
              <w:right w:val="single" w:sz="4" w:space="0" w:color="auto"/>
            </w:tcBorders>
          </w:tcPr>
          <w:p w14:paraId="53C156C6"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5</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6C7"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0.13</w:t>
            </w:r>
          </w:p>
        </w:tc>
        <w:tc>
          <w:tcPr>
            <w:tcW w:w="1045" w:type="dxa"/>
            <w:tcBorders>
              <w:top w:val="nil"/>
              <w:left w:val="nil"/>
              <w:bottom w:val="single" w:sz="4" w:space="0" w:color="auto"/>
              <w:right w:val="single" w:sz="4" w:space="0" w:color="auto"/>
            </w:tcBorders>
            <w:shd w:val="clear" w:color="auto" w:fill="auto"/>
            <w:noWrap/>
            <w:hideMark/>
          </w:tcPr>
          <w:p w14:paraId="53C156C8"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1.00</w:t>
            </w:r>
          </w:p>
        </w:tc>
        <w:tc>
          <w:tcPr>
            <w:tcW w:w="1045" w:type="dxa"/>
            <w:tcBorders>
              <w:top w:val="nil"/>
              <w:left w:val="nil"/>
              <w:bottom w:val="single" w:sz="4" w:space="0" w:color="auto"/>
              <w:right w:val="single" w:sz="4" w:space="0" w:color="auto"/>
            </w:tcBorders>
            <w:shd w:val="clear" w:color="auto" w:fill="auto"/>
            <w:noWrap/>
            <w:hideMark/>
          </w:tcPr>
          <w:p w14:paraId="53C156C9"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4.25</w:t>
            </w:r>
          </w:p>
        </w:tc>
        <w:tc>
          <w:tcPr>
            <w:tcW w:w="1045" w:type="dxa"/>
            <w:tcBorders>
              <w:top w:val="nil"/>
              <w:left w:val="nil"/>
              <w:bottom w:val="single" w:sz="4" w:space="0" w:color="auto"/>
              <w:right w:val="single" w:sz="4" w:space="0" w:color="auto"/>
            </w:tcBorders>
            <w:shd w:val="clear" w:color="auto" w:fill="auto"/>
            <w:noWrap/>
            <w:hideMark/>
          </w:tcPr>
          <w:p w14:paraId="53C156CA" w14:textId="77777777" w:rsidR="00EB6F37" w:rsidRPr="00DF7447" w:rsidRDefault="00EB6F37" w:rsidP="00DF7447">
            <w:pPr>
              <w:spacing w:after="0"/>
              <w:jc w:val="center"/>
              <w:rPr>
                <w:rFonts w:ascii="Arial Narrow" w:hAnsi="Arial Narrow"/>
                <w:sz w:val="20"/>
                <w:szCs w:val="20"/>
                <w:lang w:eastAsia="en-AU"/>
              </w:rPr>
            </w:pPr>
          </w:p>
        </w:tc>
        <w:tc>
          <w:tcPr>
            <w:tcW w:w="1032" w:type="dxa"/>
            <w:tcBorders>
              <w:top w:val="nil"/>
              <w:left w:val="nil"/>
              <w:bottom w:val="single" w:sz="4" w:space="0" w:color="auto"/>
              <w:right w:val="single" w:sz="4" w:space="0" w:color="auto"/>
            </w:tcBorders>
          </w:tcPr>
          <w:p w14:paraId="53C156CB"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hideMark/>
          </w:tcPr>
          <w:p w14:paraId="53C156CC"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6CD"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0.02</w:t>
            </w:r>
          </w:p>
        </w:tc>
        <w:tc>
          <w:tcPr>
            <w:tcW w:w="1045" w:type="dxa"/>
            <w:tcBorders>
              <w:top w:val="nil"/>
              <w:left w:val="nil"/>
              <w:bottom w:val="single" w:sz="4" w:space="0" w:color="auto"/>
              <w:right w:val="single" w:sz="4" w:space="0" w:color="auto"/>
            </w:tcBorders>
            <w:shd w:val="clear" w:color="auto" w:fill="auto"/>
            <w:noWrap/>
            <w:hideMark/>
          </w:tcPr>
          <w:p w14:paraId="53C156CE"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6CF"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6D0"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6DF" w14:textId="77777777" w:rsidTr="00EB6F37">
        <w:trPr>
          <w:trHeight w:hRule="exact" w:val="284"/>
        </w:trPr>
        <w:tc>
          <w:tcPr>
            <w:tcW w:w="469" w:type="dxa"/>
            <w:vMerge w:val="restart"/>
            <w:tcBorders>
              <w:top w:val="nil"/>
              <w:left w:val="single" w:sz="4" w:space="0" w:color="auto"/>
              <w:bottom w:val="single" w:sz="4" w:space="0" w:color="auto"/>
              <w:right w:val="single" w:sz="4" w:space="0" w:color="auto"/>
            </w:tcBorders>
            <w:shd w:val="clear" w:color="auto" w:fill="auto"/>
            <w:noWrap/>
            <w:textDirection w:val="btLr"/>
            <w:vAlign w:val="center"/>
          </w:tcPr>
          <w:p w14:paraId="53C156D2"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lang w:eastAsia="en-AU"/>
              </w:rPr>
              <w:t>Burdekin</w:t>
            </w:r>
          </w:p>
        </w:tc>
        <w:tc>
          <w:tcPr>
            <w:tcW w:w="1985" w:type="dxa"/>
            <w:vMerge w:val="restart"/>
            <w:tcBorders>
              <w:top w:val="nil"/>
              <w:left w:val="single" w:sz="4" w:space="0" w:color="auto"/>
              <w:right w:val="single" w:sz="4" w:space="0" w:color="auto"/>
            </w:tcBorders>
            <w:vAlign w:val="center"/>
          </w:tcPr>
          <w:p w14:paraId="53C156D3" w14:textId="77777777" w:rsidR="00EB6F37" w:rsidRPr="00DF7447" w:rsidRDefault="00EB6F37" w:rsidP="00EB6F37">
            <w:pPr>
              <w:spacing w:after="0"/>
              <w:jc w:val="center"/>
              <w:rPr>
                <w:rFonts w:ascii="Arial Narrow" w:hAnsi="Arial Narrow"/>
                <w:sz w:val="20"/>
                <w:szCs w:val="20"/>
              </w:rPr>
            </w:pPr>
            <w:r w:rsidRPr="00DF7447">
              <w:rPr>
                <w:rFonts w:ascii="Arial Narrow" w:hAnsi="Arial Narrow"/>
                <w:sz w:val="20"/>
                <w:szCs w:val="20"/>
              </w:rPr>
              <w:t>Palms East</w:t>
            </w:r>
          </w:p>
        </w:tc>
        <w:tc>
          <w:tcPr>
            <w:tcW w:w="682" w:type="dxa"/>
            <w:tcBorders>
              <w:top w:val="nil"/>
              <w:left w:val="single" w:sz="4" w:space="0" w:color="auto"/>
              <w:bottom w:val="single" w:sz="4" w:space="0" w:color="auto"/>
              <w:right w:val="single" w:sz="4" w:space="0" w:color="auto"/>
            </w:tcBorders>
          </w:tcPr>
          <w:p w14:paraId="53C156D4"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2</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6D5"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0.17</w:t>
            </w:r>
          </w:p>
        </w:tc>
        <w:tc>
          <w:tcPr>
            <w:tcW w:w="1045" w:type="dxa"/>
            <w:tcBorders>
              <w:top w:val="nil"/>
              <w:left w:val="nil"/>
              <w:bottom w:val="single" w:sz="4" w:space="0" w:color="auto"/>
              <w:right w:val="single" w:sz="4" w:space="0" w:color="auto"/>
            </w:tcBorders>
            <w:shd w:val="clear" w:color="auto" w:fill="auto"/>
            <w:noWrap/>
            <w:hideMark/>
          </w:tcPr>
          <w:p w14:paraId="53C156D6"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6D7"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6D8" w14:textId="77777777" w:rsidR="00EB6F37" w:rsidRPr="00DF7447" w:rsidRDefault="00EB6F37" w:rsidP="00DF7447">
            <w:pPr>
              <w:spacing w:after="0"/>
              <w:jc w:val="center"/>
              <w:rPr>
                <w:rFonts w:ascii="Arial Narrow" w:hAnsi="Arial Narrow"/>
                <w:sz w:val="20"/>
                <w:szCs w:val="20"/>
                <w:lang w:eastAsia="en-AU"/>
              </w:rPr>
            </w:pPr>
          </w:p>
        </w:tc>
        <w:tc>
          <w:tcPr>
            <w:tcW w:w="1032" w:type="dxa"/>
            <w:tcBorders>
              <w:top w:val="nil"/>
              <w:left w:val="nil"/>
              <w:bottom w:val="single" w:sz="4" w:space="0" w:color="auto"/>
              <w:right w:val="single" w:sz="4" w:space="0" w:color="auto"/>
            </w:tcBorders>
          </w:tcPr>
          <w:p w14:paraId="53C156D9"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hideMark/>
          </w:tcPr>
          <w:p w14:paraId="53C156DA"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6DB"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6DC"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6DD"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6DE"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6ED" w14:textId="77777777" w:rsidTr="00EB6F37">
        <w:trPr>
          <w:trHeight w:hRule="exact" w:val="284"/>
        </w:trPr>
        <w:tc>
          <w:tcPr>
            <w:tcW w:w="469" w:type="dxa"/>
            <w:vMerge/>
            <w:tcBorders>
              <w:top w:val="nil"/>
              <w:left w:val="single" w:sz="4" w:space="0" w:color="auto"/>
              <w:bottom w:val="single" w:sz="4" w:space="0" w:color="auto"/>
              <w:right w:val="single" w:sz="4" w:space="0" w:color="auto"/>
            </w:tcBorders>
            <w:vAlign w:val="center"/>
          </w:tcPr>
          <w:p w14:paraId="53C156E0" w14:textId="77777777" w:rsidR="00EB6F37" w:rsidRPr="00DF7447" w:rsidRDefault="00EB6F37" w:rsidP="00DF7447">
            <w:pPr>
              <w:spacing w:after="0"/>
              <w:jc w:val="left"/>
              <w:rPr>
                <w:rFonts w:ascii="Arial Narrow" w:hAnsi="Arial Narrow"/>
                <w:sz w:val="20"/>
                <w:szCs w:val="20"/>
                <w:lang w:eastAsia="en-AU"/>
              </w:rPr>
            </w:pPr>
          </w:p>
        </w:tc>
        <w:tc>
          <w:tcPr>
            <w:tcW w:w="1985" w:type="dxa"/>
            <w:vMerge/>
            <w:tcBorders>
              <w:left w:val="single" w:sz="4" w:space="0" w:color="auto"/>
              <w:bottom w:val="single" w:sz="4" w:space="0" w:color="auto"/>
              <w:right w:val="single" w:sz="4" w:space="0" w:color="auto"/>
            </w:tcBorders>
            <w:vAlign w:val="center"/>
          </w:tcPr>
          <w:p w14:paraId="53C156E1" w14:textId="77777777" w:rsidR="00EB6F37" w:rsidRPr="00DF7447" w:rsidRDefault="00EB6F37" w:rsidP="00DF7447">
            <w:pPr>
              <w:spacing w:after="0"/>
              <w:jc w:val="center"/>
              <w:rPr>
                <w:rFonts w:ascii="Arial Narrow" w:hAnsi="Arial Narrow"/>
                <w:sz w:val="20"/>
                <w:szCs w:val="20"/>
              </w:rPr>
            </w:pPr>
          </w:p>
        </w:tc>
        <w:tc>
          <w:tcPr>
            <w:tcW w:w="682" w:type="dxa"/>
            <w:tcBorders>
              <w:top w:val="nil"/>
              <w:left w:val="single" w:sz="4" w:space="0" w:color="auto"/>
              <w:bottom w:val="single" w:sz="4" w:space="0" w:color="auto"/>
              <w:right w:val="single" w:sz="4" w:space="0" w:color="auto"/>
            </w:tcBorders>
          </w:tcPr>
          <w:p w14:paraId="53C156E2"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5</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6E3"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0.37</w:t>
            </w:r>
          </w:p>
        </w:tc>
        <w:tc>
          <w:tcPr>
            <w:tcW w:w="1045" w:type="dxa"/>
            <w:tcBorders>
              <w:top w:val="nil"/>
              <w:left w:val="nil"/>
              <w:bottom w:val="single" w:sz="4" w:space="0" w:color="auto"/>
              <w:right w:val="single" w:sz="4" w:space="0" w:color="auto"/>
            </w:tcBorders>
            <w:shd w:val="clear" w:color="auto" w:fill="auto"/>
            <w:noWrap/>
            <w:hideMark/>
          </w:tcPr>
          <w:p w14:paraId="53C156E4"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6E5"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6E6" w14:textId="77777777" w:rsidR="00EB6F37" w:rsidRPr="00DF7447" w:rsidRDefault="00EB6F37" w:rsidP="00DF7447">
            <w:pPr>
              <w:spacing w:after="0"/>
              <w:jc w:val="center"/>
              <w:rPr>
                <w:rFonts w:ascii="Arial Narrow" w:hAnsi="Arial Narrow"/>
                <w:sz w:val="20"/>
                <w:szCs w:val="20"/>
                <w:lang w:eastAsia="en-AU"/>
              </w:rPr>
            </w:pPr>
          </w:p>
        </w:tc>
        <w:tc>
          <w:tcPr>
            <w:tcW w:w="1032" w:type="dxa"/>
            <w:tcBorders>
              <w:top w:val="nil"/>
              <w:left w:val="nil"/>
              <w:bottom w:val="single" w:sz="4" w:space="0" w:color="auto"/>
              <w:right w:val="single" w:sz="4" w:space="0" w:color="auto"/>
            </w:tcBorders>
          </w:tcPr>
          <w:p w14:paraId="53C156E7"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hideMark/>
          </w:tcPr>
          <w:p w14:paraId="53C156E8"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6E9"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6EA"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0.02</w:t>
            </w:r>
          </w:p>
        </w:tc>
        <w:tc>
          <w:tcPr>
            <w:tcW w:w="1045" w:type="dxa"/>
            <w:tcBorders>
              <w:top w:val="nil"/>
              <w:left w:val="nil"/>
              <w:bottom w:val="single" w:sz="4" w:space="0" w:color="auto"/>
              <w:right w:val="single" w:sz="4" w:space="0" w:color="auto"/>
            </w:tcBorders>
            <w:shd w:val="clear" w:color="auto" w:fill="auto"/>
            <w:noWrap/>
            <w:hideMark/>
          </w:tcPr>
          <w:p w14:paraId="53C156EB"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6EC"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6FB" w14:textId="77777777" w:rsidTr="00EB6F37">
        <w:trPr>
          <w:trHeight w:hRule="exact" w:val="284"/>
        </w:trPr>
        <w:tc>
          <w:tcPr>
            <w:tcW w:w="469" w:type="dxa"/>
            <w:vMerge/>
            <w:tcBorders>
              <w:top w:val="nil"/>
              <w:left w:val="single" w:sz="4" w:space="0" w:color="auto"/>
              <w:bottom w:val="single" w:sz="4" w:space="0" w:color="auto"/>
              <w:right w:val="single" w:sz="4" w:space="0" w:color="auto"/>
            </w:tcBorders>
            <w:vAlign w:val="center"/>
          </w:tcPr>
          <w:p w14:paraId="53C156EE" w14:textId="77777777" w:rsidR="00EB6F37" w:rsidRPr="00DF7447" w:rsidRDefault="00EB6F37" w:rsidP="00DF7447">
            <w:pPr>
              <w:spacing w:after="0"/>
              <w:jc w:val="left"/>
              <w:rPr>
                <w:rFonts w:ascii="Arial Narrow" w:hAnsi="Arial Narrow"/>
                <w:sz w:val="20"/>
                <w:szCs w:val="20"/>
                <w:lang w:eastAsia="en-AU"/>
              </w:rPr>
            </w:pPr>
          </w:p>
        </w:tc>
        <w:tc>
          <w:tcPr>
            <w:tcW w:w="1985" w:type="dxa"/>
            <w:vMerge w:val="restart"/>
            <w:tcBorders>
              <w:top w:val="nil"/>
              <w:left w:val="single" w:sz="4" w:space="0" w:color="auto"/>
              <w:right w:val="single" w:sz="4" w:space="0" w:color="auto"/>
            </w:tcBorders>
            <w:vAlign w:val="center"/>
          </w:tcPr>
          <w:p w14:paraId="53C156EF" w14:textId="77777777" w:rsidR="00EB6F37" w:rsidRPr="00DF7447" w:rsidRDefault="00EB6F37" w:rsidP="00EB6F37">
            <w:pPr>
              <w:spacing w:after="0"/>
              <w:jc w:val="center"/>
              <w:rPr>
                <w:rFonts w:ascii="Arial Narrow" w:hAnsi="Arial Narrow"/>
                <w:sz w:val="20"/>
                <w:szCs w:val="20"/>
              </w:rPr>
            </w:pPr>
            <w:r w:rsidRPr="00DF7447">
              <w:rPr>
                <w:rFonts w:ascii="Arial Narrow" w:hAnsi="Arial Narrow"/>
                <w:sz w:val="20"/>
                <w:szCs w:val="20"/>
              </w:rPr>
              <w:t>Palms West</w:t>
            </w:r>
          </w:p>
        </w:tc>
        <w:tc>
          <w:tcPr>
            <w:tcW w:w="682" w:type="dxa"/>
            <w:tcBorders>
              <w:top w:val="nil"/>
              <w:left w:val="single" w:sz="4" w:space="0" w:color="auto"/>
              <w:bottom w:val="single" w:sz="4" w:space="0" w:color="auto"/>
              <w:right w:val="single" w:sz="4" w:space="0" w:color="auto"/>
            </w:tcBorders>
          </w:tcPr>
          <w:p w14:paraId="53C156F0"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2</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6F1"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2.03</w:t>
            </w:r>
          </w:p>
        </w:tc>
        <w:tc>
          <w:tcPr>
            <w:tcW w:w="1045" w:type="dxa"/>
            <w:tcBorders>
              <w:top w:val="nil"/>
              <w:left w:val="nil"/>
              <w:bottom w:val="single" w:sz="4" w:space="0" w:color="auto"/>
              <w:right w:val="single" w:sz="4" w:space="0" w:color="auto"/>
            </w:tcBorders>
            <w:shd w:val="clear" w:color="auto" w:fill="auto"/>
            <w:noWrap/>
            <w:hideMark/>
          </w:tcPr>
          <w:p w14:paraId="53C156F2"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6F3"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0.13</w:t>
            </w:r>
          </w:p>
        </w:tc>
        <w:tc>
          <w:tcPr>
            <w:tcW w:w="1045" w:type="dxa"/>
            <w:tcBorders>
              <w:top w:val="nil"/>
              <w:left w:val="nil"/>
              <w:bottom w:val="single" w:sz="4" w:space="0" w:color="auto"/>
              <w:right w:val="single" w:sz="4" w:space="0" w:color="auto"/>
            </w:tcBorders>
            <w:shd w:val="clear" w:color="auto" w:fill="auto"/>
            <w:noWrap/>
            <w:hideMark/>
          </w:tcPr>
          <w:p w14:paraId="53C156F4"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0.84</w:t>
            </w:r>
          </w:p>
        </w:tc>
        <w:tc>
          <w:tcPr>
            <w:tcW w:w="1032" w:type="dxa"/>
            <w:tcBorders>
              <w:top w:val="nil"/>
              <w:left w:val="nil"/>
              <w:bottom w:val="single" w:sz="4" w:space="0" w:color="auto"/>
              <w:right w:val="single" w:sz="4" w:space="0" w:color="auto"/>
            </w:tcBorders>
          </w:tcPr>
          <w:p w14:paraId="53C156F5"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hideMark/>
          </w:tcPr>
          <w:p w14:paraId="53C156F6"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6F7"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0.90</w:t>
            </w:r>
          </w:p>
        </w:tc>
        <w:tc>
          <w:tcPr>
            <w:tcW w:w="1045" w:type="dxa"/>
            <w:tcBorders>
              <w:top w:val="nil"/>
              <w:left w:val="nil"/>
              <w:bottom w:val="single" w:sz="4" w:space="0" w:color="auto"/>
              <w:right w:val="single" w:sz="4" w:space="0" w:color="auto"/>
            </w:tcBorders>
            <w:shd w:val="clear" w:color="auto" w:fill="auto"/>
            <w:noWrap/>
            <w:hideMark/>
          </w:tcPr>
          <w:p w14:paraId="53C156F8"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6F9"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0.06</w:t>
            </w:r>
          </w:p>
        </w:tc>
        <w:tc>
          <w:tcPr>
            <w:tcW w:w="1045" w:type="dxa"/>
            <w:tcBorders>
              <w:top w:val="nil"/>
              <w:left w:val="nil"/>
              <w:bottom w:val="single" w:sz="4" w:space="0" w:color="auto"/>
              <w:right w:val="single" w:sz="4" w:space="0" w:color="auto"/>
            </w:tcBorders>
            <w:shd w:val="clear" w:color="auto" w:fill="auto"/>
            <w:noWrap/>
            <w:hideMark/>
          </w:tcPr>
          <w:p w14:paraId="53C156FA"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709" w14:textId="77777777" w:rsidTr="00EB6F37">
        <w:trPr>
          <w:trHeight w:hRule="exact" w:val="284"/>
        </w:trPr>
        <w:tc>
          <w:tcPr>
            <w:tcW w:w="469" w:type="dxa"/>
            <w:vMerge/>
            <w:tcBorders>
              <w:top w:val="nil"/>
              <w:left w:val="single" w:sz="4" w:space="0" w:color="auto"/>
              <w:bottom w:val="single" w:sz="4" w:space="0" w:color="auto"/>
              <w:right w:val="single" w:sz="4" w:space="0" w:color="auto"/>
            </w:tcBorders>
            <w:vAlign w:val="center"/>
          </w:tcPr>
          <w:p w14:paraId="53C156FC" w14:textId="77777777" w:rsidR="00EB6F37" w:rsidRPr="00DF7447" w:rsidRDefault="00EB6F37" w:rsidP="00DF7447">
            <w:pPr>
              <w:spacing w:after="0"/>
              <w:jc w:val="left"/>
              <w:rPr>
                <w:rFonts w:ascii="Arial Narrow" w:hAnsi="Arial Narrow"/>
                <w:sz w:val="20"/>
                <w:szCs w:val="20"/>
                <w:lang w:eastAsia="en-AU"/>
              </w:rPr>
            </w:pPr>
          </w:p>
        </w:tc>
        <w:tc>
          <w:tcPr>
            <w:tcW w:w="1985" w:type="dxa"/>
            <w:vMerge/>
            <w:tcBorders>
              <w:left w:val="single" w:sz="4" w:space="0" w:color="auto"/>
              <w:bottom w:val="single" w:sz="4" w:space="0" w:color="auto"/>
              <w:right w:val="single" w:sz="4" w:space="0" w:color="auto"/>
            </w:tcBorders>
            <w:vAlign w:val="center"/>
          </w:tcPr>
          <w:p w14:paraId="53C156FD" w14:textId="77777777" w:rsidR="00EB6F37" w:rsidRPr="00DF7447" w:rsidRDefault="00EB6F37" w:rsidP="00DF7447">
            <w:pPr>
              <w:spacing w:after="0"/>
              <w:jc w:val="center"/>
              <w:rPr>
                <w:rFonts w:ascii="Arial Narrow" w:hAnsi="Arial Narrow"/>
                <w:sz w:val="20"/>
                <w:szCs w:val="20"/>
              </w:rPr>
            </w:pPr>
          </w:p>
        </w:tc>
        <w:tc>
          <w:tcPr>
            <w:tcW w:w="682" w:type="dxa"/>
            <w:tcBorders>
              <w:top w:val="nil"/>
              <w:left w:val="single" w:sz="4" w:space="0" w:color="auto"/>
              <w:bottom w:val="single" w:sz="4" w:space="0" w:color="auto"/>
              <w:right w:val="single" w:sz="4" w:space="0" w:color="auto"/>
            </w:tcBorders>
          </w:tcPr>
          <w:p w14:paraId="53C156FE"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5</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6FF"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2.02</w:t>
            </w:r>
          </w:p>
        </w:tc>
        <w:tc>
          <w:tcPr>
            <w:tcW w:w="1045" w:type="dxa"/>
            <w:tcBorders>
              <w:top w:val="nil"/>
              <w:left w:val="nil"/>
              <w:bottom w:val="single" w:sz="4" w:space="0" w:color="auto"/>
              <w:right w:val="single" w:sz="4" w:space="0" w:color="auto"/>
            </w:tcBorders>
            <w:shd w:val="clear" w:color="auto" w:fill="auto"/>
            <w:noWrap/>
            <w:hideMark/>
          </w:tcPr>
          <w:p w14:paraId="53C15700"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01"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3.25</w:t>
            </w:r>
          </w:p>
        </w:tc>
        <w:tc>
          <w:tcPr>
            <w:tcW w:w="1045" w:type="dxa"/>
            <w:tcBorders>
              <w:top w:val="nil"/>
              <w:left w:val="nil"/>
              <w:bottom w:val="single" w:sz="4" w:space="0" w:color="auto"/>
              <w:right w:val="single" w:sz="4" w:space="0" w:color="auto"/>
            </w:tcBorders>
            <w:shd w:val="clear" w:color="auto" w:fill="auto"/>
            <w:noWrap/>
            <w:hideMark/>
          </w:tcPr>
          <w:p w14:paraId="53C15702"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0.09</w:t>
            </w:r>
          </w:p>
        </w:tc>
        <w:tc>
          <w:tcPr>
            <w:tcW w:w="1032" w:type="dxa"/>
            <w:tcBorders>
              <w:top w:val="nil"/>
              <w:left w:val="nil"/>
              <w:bottom w:val="single" w:sz="4" w:space="0" w:color="auto"/>
              <w:right w:val="single" w:sz="4" w:space="0" w:color="auto"/>
            </w:tcBorders>
          </w:tcPr>
          <w:p w14:paraId="53C15703"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0.13</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704"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05"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0.25</w:t>
            </w:r>
          </w:p>
        </w:tc>
        <w:tc>
          <w:tcPr>
            <w:tcW w:w="1045" w:type="dxa"/>
            <w:tcBorders>
              <w:top w:val="nil"/>
              <w:left w:val="nil"/>
              <w:bottom w:val="single" w:sz="4" w:space="0" w:color="auto"/>
              <w:right w:val="single" w:sz="4" w:space="0" w:color="auto"/>
            </w:tcBorders>
            <w:shd w:val="clear" w:color="auto" w:fill="auto"/>
            <w:noWrap/>
            <w:hideMark/>
          </w:tcPr>
          <w:p w14:paraId="53C15706"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07"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0.19</w:t>
            </w:r>
          </w:p>
        </w:tc>
        <w:tc>
          <w:tcPr>
            <w:tcW w:w="1045" w:type="dxa"/>
            <w:tcBorders>
              <w:top w:val="nil"/>
              <w:left w:val="nil"/>
              <w:bottom w:val="single" w:sz="4" w:space="0" w:color="auto"/>
              <w:right w:val="single" w:sz="4" w:space="0" w:color="auto"/>
            </w:tcBorders>
            <w:shd w:val="clear" w:color="auto" w:fill="auto"/>
            <w:noWrap/>
            <w:hideMark/>
          </w:tcPr>
          <w:p w14:paraId="53C15708" w14:textId="77777777" w:rsidR="00EB6F37" w:rsidRPr="00DF7447" w:rsidRDefault="00EB6F37" w:rsidP="00DF7447">
            <w:pPr>
              <w:spacing w:after="0"/>
              <w:jc w:val="center"/>
              <w:rPr>
                <w:rFonts w:ascii="Arial Narrow" w:hAnsi="Arial Narrow"/>
                <w:sz w:val="20"/>
                <w:szCs w:val="20"/>
                <w:lang w:eastAsia="en-AU"/>
              </w:rPr>
            </w:pPr>
          </w:p>
        </w:tc>
      </w:tr>
      <w:tr w:rsidR="00DF7447" w:rsidRPr="00DF7447" w14:paraId="53C15717" w14:textId="77777777" w:rsidTr="00EB6F37">
        <w:trPr>
          <w:trHeight w:hRule="exact" w:val="284"/>
        </w:trPr>
        <w:tc>
          <w:tcPr>
            <w:tcW w:w="469" w:type="dxa"/>
            <w:vMerge/>
            <w:tcBorders>
              <w:top w:val="nil"/>
              <w:left w:val="single" w:sz="4" w:space="0" w:color="auto"/>
              <w:bottom w:val="single" w:sz="4" w:space="0" w:color="auto"/>
              <w:right w:val="single" w:sz="4" w:space="0" w:color="auto"/>
            </w:tcBorders>
            <w:vAlign w:val="center"/>
          </w:tcPr>
          <w:p w14:paraId="53C1570A" w14:textId="77777777" w:rsidR="00DF7447" w:rsidRPr="00DF7447" w:rsidRDefault="00DF7447" w:rsidP="00DF7447">
            <w:pPr>
              <w:spacing w:after="0"/>
              <w:jc w:val="left"/>
              <w:rPr>
                <w:rFonts w:ascii="Arial Narrow" w:hAnsi="Arial Narrow"/>
                <w:sz w:val="20"/>
                <w:szCs w:val="20"/>
                <w:lang w:eastAsia="en-AU"/>
              </w:rPr>
            </w:pPr>
          </w:p>
        </w:tc>
        <w:tc>
          <w:tcPr>
            <w:tcW w:w="1985" w:type="dxa"/>
            <w:tcBorders>
              <w:top w:val="nil"/>
              <w:left w:val="single" w:sz="4" w:space="0" w:color="auto"/>
              <w:bottom w:val="single" w:sz="4" w:space="0" w:color="auto"/>
              <w:right w:val="single" w:sz="4" w:space="0" w:color="auto"/>
            </w:tcBorders>
            <w:vAlign w:val="center"/>
          </w:tcPr>
          <w:p w14:paraId="53C1570B" w14:textId="77777777" w:rsidR="00DF7447" w:rsidRPr="00DF7447" w:rsidRDefault="00DF7447" w:rsidP="00DF7447">
            <w:pPr>
              <w:spacing w:after="0"/>
              <w:jc w:val="center"/>
              <w:rPr>
                <w:rFonts w:ascii="Arial Narrow" w:hAnsi="Arial Narrow"/>
                <w:sz w:val="20"/>
                <w:szCs w:val="20"/>
              </w:rPr>
            </w:pPr>
            <w:r w:rsidRPr="00DF7447">
              <w:rPr>
                <w:rFonts w:ascii="Arial Narrow" w:hAnsi="Arial Narrow"/>
                <w:sz w:val="20"/>
                <w:szCs w:val="20"/>
              </w:rPr>
              <w:t>Havannah North</w:t>
            </w:r>
          </w:p>
        </w:tc>
        <w:tc>
          <w:tcPr>
            <w:tcW w:w="682" w:type="dxa"/>
            <w:tcBorders>
              <w:top w:val="nil"/>
              <w:left w:val="single" w:sz="4" w:space="0" w:color="auto"/>
              <w:bottom w:val="single" w:sz="4" w:space="0" w:color="auto"/>
              <w:right w:val="single" w:sz="4" w:space="0" w:color="auto"/>
            </w:tcBorders>
          </w:tcPr>
          <w:p w14:paraId="53C1570C" w14:textId="77777777" w:rsidR="00DF7447" w:rsidRPr="00DF7447" w:rsidRDefault="00DF7447" w:rsidP="00DF7447">
            <w:pPr>
              <w:spacing w:after="0"/>
              <w:jc w:val="center"/>
              <w:rPr>
                <w:rFonts w:ascii="Arial Narrow" w:hAnsi="Arial Narrow"/>
                <w:sz w:val="20"/>
                <w:szCs w:val="20"/>
              </w:rPr>
            </w:pPr>
            <w:r w:rsidRPr="00DF7447">
              <w:rPr>
                <w:rFonts w:ascii="Arial Narrow" w:hAnsi="Arial Narrow"/>
                <w:sz w:val="20"/>
                <w:szCs w:val="20"/>
              </w:rPr>
              <w:t>5</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70D" w14:textId="77777777" w:rsidR="00DF7447" w:rsidRPr="00DF7447" w:rsidRDefault="00DF7447" w:rsidP="00DF7447">
            <w:pPr>
              <w:spacing w:after="0"/>
              <w:jc w:val="center"/>
              <w:rPr>
                <w:rFonts w:ascii="Arial Narrow" w:hAnsi="Arial Narrow"/>
                <w:sz w:val="20"/>
                <w:szCs w:val="20"/>
                <w:lang w:eastAsia="en-AU"/>
              </w:rPr>
            </w:pPr>
            <w:r w:rsidRPr="00DF7447">
              <w:rPr>
                <w:rFonts w:ascii="Arial Narrow" w:hAnsi="Arial Narrow"/>
                <w:sz w:val="20"/>
                <w:szCs w:val="20"/>
              </w:rPr>
              <w:t>0.09</w:t>
            </w:r>
          </w:p>
        </w:tc>
        <w:tc>
          <w:tcPr>
            <w:tcW w:w="1045" w:type="dxa"/>
            <w:tcBorders>
              <w:top w:val="nil"/>
              <w:left w:val="nil"/>
              <w:bottom w:val="single" w:sz="4" w:space="0" w:color="auto"/>
              <w:right w:val="single" w:sz="4" w:space="0" w:color="auto"/>
            </w:tcBorders>
            <w:shd w:val="clear" w:color="auto" w:fill="auto"/>
            <w:noWrap/>
            <w:hideMark/>
          </w:tcPr>
          <w:p w14:paraId="53C1570E" w14:textId="77777777" w:rsidR="00DF7447" w:rsidRPr="00DF7447" w:rsidRDefault="00DF744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0F" w14:textId="77777777" w:rsidR="00DF7447" w:rsidRPr="00DF7447" w:rsidRDefault="00DF7447" w:rsidP="00DF7447">
            <w:pPr>
              <w:spacing w:after="0"/>
              <w:jc w:val="center"/>
              <w:rPr>
                <w:rFonts w:ascii="Arial Narrow" w:hAnsi="Arial Narrow"/>
                <w:sz w:val="20"/>
                <w:szCs w:val="20"/>
                <w:lang w:eastAsia="en-AU"/>
              </w:rPr>
            </w:pPr>
            <w:r w:rsidRPr="00DF7447">
              <w:rPr>
                <w:rFonts w:ascii="Arial Narrow" w:hAnsi="Arial Narrow"/>
                <w:sz w:val="20"/>
                <w:szCs w:val="20"/>
              </w:rPr>
              <w:t>0.90</w:t>
            </w:r>
          </w:p>
        </w:tc>
        <w:tc>
          <w:tcPr>
            <w:tcW w:w="1045" w:type="dxa"/>
            <w:tcBorders>
              <w:top w:val="nil"/>
              <w:left w:val="nil"/>
              <w:bottom w:val="single" w:sz="4" w:space="0" w:color="auto"/>
              <w:right w:val="single" w:sz="4" w:space="0" w:color="auto"/>
            </w:tcBorders>
            <w:shd w:val="clear" w:color="auto" w:fill="auto"/>
            <w:noWrap/>
            <w:hideMark/>
          </w:tcPr>
          <w:p w14:paraId="53C15710" w14:textId="77777777" w:rsidR="00DF7447" w:rsidRPr="00DF7447" w:rsidRDefault="00DF7447" w:rsidP="00DF7447">
            <w:pPr>
              <w:spacing w:after="0"/>
              <w:jc w:val="center"/>
              <w:rPr>
                <w:rFonts w:ascii="Arial Narrow" w:hAnsi="Arial Narrow"/>
                <w:sz w:val="20"/>
                <w:szCs w:val="20"/>
                <w:lang w:eastAsia="en-AU"/>
              </w:rPr>
            </w:pPr>
            <w:r w:rsidRPr="00DF7447">
              <w:rPr>
                <w:rFonts w:ascii="Arial Narrow" w:hAnsi="Arial Narrow"/>
                <w:sz w:val="20"/>
                <w:szCs w:val="20"/>
              </w:rPr>
              <w:t>0.23</w:t>
            </w:r>
          </w:p>
        </w:tc>
        <w:tc>
          <w:tcPr>
            <w:tcW w:w="1032" w:type="dxa"/>
            <w:tcBorders>
              <w:top w:val="nil"/>
              <w:left w:val="nil"/>
              <w:bottom w:val="single" w:sz="4" w:space="0" w:color="auto"/>
              <w:right w:val="single" w:sz="4" w:space="0" w:color="auto"/>
            </w:tcBorders>
          </w:tcPr>
          <w:p w14:paraId="53C15711" w14:textId="77777777" w:rsidR="00DF7447" w:rsidRPr="00DF7447" w:rsidRDefault="00DF744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hideMark/>
          </w:tcPr>
          <w:p w14:paraId="53C15712" w14:textId="77777777" w:rsidR="00DF7447" w:rsidRPr="00DF7447" w:rsidRDefault="00DF7447" w:rsidP="00DF7447">
            <w:pPr>
              <w:spacing w:after="0"/>
              <w:jc w:val="center"/>
              <w:rPr>
                <w:rFonts w:ascii="Arial Narrow" w:hAnsi="Arial Narrow"/>
                <w:sz w:val="20"/>
                <w:szCs w:val="20"/>
                <w:lang w:eastAsia="en-AU"/>
              </w:rPr>
            </w:pPr>
            <w:r w:rsidRPr="00DF7447">
              <w:rPr>
                <w:rFonts w:ascii="Arial Narrow" w:hAnsi="Arial Narrow"/>
                <w:sz w:val="20"/>
                <w:szCs w:val="20"/>
              </w:rPr>
              <w:t>0.03</w:t>
            </w:r>
          </w:p>
        </w:tc>
        <w:tc>
          <w:tcPr>
            <w:tcW w:w="1045" w:type="dxa"/>
            <w:tcBorders>
              <w:top w:val="nil"/>
              <w:left w:val="nil"/>
              <w:bottom w:val="single" w:sz="4" w:space="0" w:color="auto"/>
              <w:right w:val="single" w:sz="4" w:space="0" w:color="auto"/>
            </w:tcBorders>
            <w:shd w:val="clear" w:color="auto" w:fill="auto"/>
            <w:noWrap/>
            <w:hideMark/>
          </w:tcPr>
          <w:p w14:paraId="53C15713" w14:textId="77777777" w:rsidR="00DF7447" w:rsidRPr="00DF7447" w:rsidRDefault="00DF744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14" w14:textId="77777777" w:rsidR="00DF7447" w:rsidRPr="00DF7447" w:rsidRDefault="00DF7447" w:rsidP="00DF7447">
            <w:pPr>
              <w:spacing w:after="0"/>
              <w:jc w:val="center"/>
              <w:rPr>
                <w:rFonts w:ascii="Arial Narrow" w:hAnsi="Arial Narrow"/>
                <w:sz w:val="20"/>
                <w:szCs w:val="20"/>
                <w:lang w:eastAsia="en-AU"/>
              </w:rPr>
            </w:pPr>
            <w:r w:rsidRPr="00DF7447">
              <w:rPr>
                <w:rFonts w:ascii="Arial Narrow" w:hAnsi="Arial Narrow"/>
                <w:sz w:val="20"/>
                <w:szCs w:val="20"/>
              </w:rPr>
              <w:t>0.02</w:t>
            </w:r>
          </w:p>
        </w:tc>
        <w:tc>
          <w:tcPr>
            <w:tcW w:w="1045" w:type="dxa"/>
            <w:tcBorders>
              <w:top w:val="nil"/>
              <w:left w:val="nil"/>
              <w:bottom w:val="single" w:sz="4" w:space="0" w:color="auto"/>
              <w:right w:val="single" w:sz="4" w:space="0" w:color="auto"/>
            </w:tcBorders>
            <w:shd w:val="clear" w:color="auto" w:fill="auto"/>
            <w:noWrap/>
            <w:hideMark/>
          </w:tcPr>
          <w:p w14:paraId="53C15715" w14:textId="77777777" w:rsidR="00DF7447" w:rsidRPr="00DF7447" w:rsidRDefault="00DF744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16" w14:textId="77777777" w:rsidR="00DF7447" w:rsidRPr="00DF7447" w:rsidRDefault="00DF7447" w:rsidP="00DF7447">
            <w:pPr>
              <w:spacing w:after="0"/>
              <w:jc w:val="center"/>
              <w:rPr>
                <w:rFonts w:ascii="Arial Narrow" w:hAnsi="Arial Narrow"/>
                <w:sz w:val="20"/>
                <w:szCs w:val="20"/>
                <w:lang w:eastAsia="en-AU"/>
              </w:rPr>
            </w:pPr>
            <w:r w:rsidRPr="00DF7447">
              <w:rPr>
                <w:rFonts w:ascii="Arial Narrow" w:hAnsi="Arial Narrow"/>
                <w:sz w:val="20"/>
                <w:szCs w:val="20"/>
              </w:rPr>
              <w:t>0.03</w:t>
            </w:r>
          </w:p>
        </w:tc>
      </w:tr>
      <w:tr w:rsidR="00EB6F37" w:rsidRPr="00DF7447" w14:paraId="53C15725" w14:textId="77777777" w:rsidTr="00EB6F37">
        <w:trPr>
          <w:trHeight w:hRule="exact" w:val="284"/>
        </w:trPr>
        <w:tc>
          <w:tcPr>
            <w:tcW w:w="469" w:type="dxa"/>
            <w:vMerge/>
            <w:tcBorders>
              <w:top w:val="nil"/>
              <w:left w:val="single" w:sz="4" w:space="0" w:color="auto"/>
              <w:bottom w:val="single" w:sz="4" w:space="0" w:color="auto"/>
              <w:right w:val="single" w:sz="4" w:space="0" w:color="auto"/>
            </w:tcBorders>
            <w:vAlign w:val="center"/>
          </w:tcPr>
          <w:p w14:paraId="53C15718" w14:textId="77777777" w:rsidR="00EB6F37" w:rsidRPr="00DF7447" w:rsidRDefault="00EB6F37" w:rsidP="00DF7447">
            <w:pPr>
              <w:spacing w:after="0"/>
              <w:jc w:val="left"/>
              <w:rPr>
                <w:rFonts w:ascii="Arial Narrow" w:hAnsi="Arial Narrow"/>
                <w:sz w:val="20"/>
                <w:szCs w:val="20"/>
                <w:lang w:eastAsia="en-AU"/>
              </w:rPr>
            </w:pPr>
          </w:p>
        </w:tc>
        <w:tc>
          <w:tcPr>
            <w:tcW w:w="1985" w:type="dxa"/>
            <w:vMerge w:val="restart"/>
            <w:tcBorders>
              <w:top w:val="nil"/>
              <w:left w:val="single" w:sz="4" w:space="0" w:color="auto"/>
              <w:right w:val="single" w:sz="4" w:space="0" w:color="auto"/>
            </w:tcBorders>
            <w:vAlign w:val="center"/>
          </w:tcPr>
          <w:p w14:paraId="53C15719" w14:textId="77777777" w:rsidR="00EB6F37" w:rsidRPr="00DF7447" w:rsidRDefault="00EB6F37" w:rsidP="00EB6F37">
            <w:pPr>
              <w:spacing w:after="0"/>
              <w:jc w:val="center"/>
              <w:rPr>
                <w:rFonts w:ascii="Arial Narrow" w:hAnsi="Arial Narrow"/>
                <w:sz w:val="20"/>
                <w:szCs w:val="20"/>
              </w:rPr>
            </w:pPr>
            <w:r w:rsidRPr="00DF7447">
              <w:rPr>
                <w:rFonts w:ascii="Arial Narrow" w:hAnsi="Arial Narrow"/>
                <w:sz w:val="20"/>
                <w:szCs w:val="20"/>
              </w:rPr>
              <w:t>Havannah</w:t>
            </w:r>
          </w:p>
        </w:tc>
        <w:tc>
          <w:tcPr>
            <w:tcW w:w="682" w:type="dxa"/>
            <w:tcBorders>
              <w:top w:val="nil"/>
              <w:left w:val="single" w:sz="4" w:space="0" w:color="auto"/>
              <w:bottom w:val="single" w:sz="4" w:space="0" w:color="auto"/>
              <w:right w:val="single" w:sz="4" w:space="0" w:color="auto"/>
            </w:tcBorders>
          </w:tcPr>
          <w:p w14:paraId="53C1571A"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2</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71B"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0.03</w:t>
            </w:r>
          </w:p>
        </w:tc>
        <w:tc>
          <w:tcPr>
            <w:tcW w:w="1045" w:type="dxa"/>
            <w:tcBorders>
              <w:top w:val="nil"/>
              <w:left w:val="nil"/>
              <w:bottom w:val="single" w:sz="4" w:space="0" w:color="auto"/>
              <w:right w:val="single" w:sz="4" w:space="0" w:color="auto"/>
            </w:tcBorders>
            <w:shd w:val="clear" w:color="auto" w:fill="auto"/>
            <w:noWrap/>
            <w:hideMark/>
          </w:tcPr>
          <w:p w14:paraId="53C1571C"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1D"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2.25</w:t>
            </w:r>
          </w:p>
        </w:tc>
        <w:tc>
          <w:tcPr>
            <w:tcW w:w="1045" w:type="dxa"/>
            <w:tcBorders>
              <w:top w:val="nil"/>
              <w:left w:val="nil"/>
              <w:bottom w:val="single" w:sz="4" w:space="0" w:color="auto"/>
              <w:right w:val="single" w:sz="4" w:space="0" w:color="auto"/>
            </w:tcBorders>
            <w:shd w:val="clear" w:color="auto" w:fill="auto"/>
            <w:noWrap/>
            <w:hideMark/>
          </w:tcPr>
          <w:p w14:paraId="53C1571E" w14:textId="77777777" w:rsidR="00EB6F37" w:rsidRPr="00DF7447" w:rsidRDefault="00EB6F37" w:rsidP="00DF7447">
            <w:pPr>
              <w:spacing w:after="0"/>
              <w:jc w:val="center"/>
              <w:rPr>
                <w:rFonts w:ascii="Arial Narrow" w:hAnsi="Arial Narrow"/>
                <w:sz w:val="20"/>
                <w:szCs w:val="20"/>
                <w:lang w:eastAsia="en-AU"/>
              </w:rPr>
            </w:pPr>
          </w:p>
        </w:tc>
        <w:tc>
          <w:tcPr>
            <w:tcW w:w="1032" w:type="dxa"/>
            <w:tcBorders>
              <w:top w:val="nil"/>
              <w:left w:val="nil"/>
              <w:bottom w:val="single" w:sz="4" w:space="0" w:color="auto"/>
              <w:right w:val="single" w:sz="4" w:space="0" w:color="auto"/>
            </w:tcBorders>
          </w:tcPr>
          <w:p w14:paraId="53C1571F"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hideMark/>
          </w:tcPr>
          <w:p w14:paraId="53C15720"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21"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0.03</w:t>
            </w:r>
          </w:p>
        </w:tc>
        <w:tc>
          <w:tcPr>
            <w:tcW w:w="1045" w:type="dxa"/>
            <w:tcBorders>
              <w:top w:val="nil"/>
              <w:left w:val="nil"/>
              <w:bottom w:val="single" w:sz="4" w:space="0" w:color="auto"/>
              <w:right w:val="single" w:sz="4" w:space="0" w:color="auto"/>
            </w:tcBorders>
            <w:shd w:val="clear" w:color="auto" w:fill="auto"/>
            <w:noWrap/>
            <w:hideMark/>
          </w:tcPr>
          <w:p w14:paraId="53C15722"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23"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24"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733" w14:textId="77777777" w:rsidTr="00EB6F37">
        <w:trPr>
          <w:trHeight w:hRule="exact" w:val="284"/>
        </w:trPr>
        <w:tc>
          <w:tcPr>
            <w:tcW w:w="469" w:type="dxa"/>
            <w:vMerge/>
            <w:tcBorders>
              <w:top w:val="nil"/>
              <w:left w:val="single" w:sz="4" w:space="0" w:color="auto"/>
              <w:bottom w:val="single" w:sz="4" w:space="0" w:color="auto"/>
              <w:right w:val="single" w:sz="4" w:space="0" w:color="auto"/>
            </w:tcBorders>
            <w:vAlign w:val="center"/>
          </w:tcPr>
          <w:p w14:paraId="53C15726" w14:textId="77777777" w:rsidR="00EB6F37" w:rsidRPr="00DF7447" w:rsidRDefault="00EB6F37" w:rsidP="00DF7447">
            <w:pPr>
              <w:spacing w:after="0"/>
              <w:jc w:val="left"/>
              <w:rPr>
                <w:rFonts w:ascii="Arial Narrow" w:hAnsi="Arial Narrow"/>
                <w:sz w:val="20"/>
                <w:szCs w:val="20"/>
                <w:lang w:eastAsia="en-AU"/>
              </w:rPr>
            </w:pPr>
          </w:p>
        </w:tc>
        <w:tc>
          <w:tcPr>
            <w:tcW w:w="1985" w:type="dxa"/>
            <w:vMerge/>
            <w:tcBorders>
              <w:left w:val="single" w:sz="4" w:space="0" w:color="auto"/>
              <w:bottom w:val="single" w:sz="4" w:space="0" w:color="auto"/>
              <w:right w:val="single" w:sz="4" w:space="0" w:color="auto"/>
            </w:tcBorders>
            <w:vAlign w:val="center"/>
          </w:tcPr>
          <w:p w14:paraId="53C15727" w14:textId="77777777" w:rsidR="00EB6F37" w:rsidRPr="00DF7447" w:rsidRDefault="00EB6F37" w:rsidP="00DF7447">
            <w:pPr>
              <w:spacing w:after="0"/>
              <w:jc w:val="center"/>
              <w:rPr>
                <w:rFonts w:ascii="Arial Narrow" w:hAnsi="Arial Narrow"/>
                <w:sz w:val="20"/>
                <w:szCs w:val="20"/>
              </w:rPr>
            </w:pPr>
          </w:p>
        </w:tc>
        <w:tc>
          <w:tcPr>
            <w:tcW w:w="682" w:type="dxa"/>
            <w:tcBorders>
              <w:top w:val="nil"/>
              <w:left w:val="single" w:sz="4" w:space="0" w:color="auto"/>
              <w:bottom w:val="single" w:sz="4" w:space="0" w:color="auto"/>
              <w:right w:val="single" w:sz="4" w:space="0" w:color="auto"/>
            </w:tcBorders>
          </w:tcPr>
          <w:p w14:paraId="53C15728"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5</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729"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0.06</w:t>
            </w:r>
          </w:p>
        </w:tc>
        <w:tc>
          <w:tcPr>
            <w:tcW w:w="1045" w:type="dxa"/>
            <w:tcBorders>
              <w:top w:val="nil"/>
              <w:left w:val="nil"/>
              <w:bottom w:val="single" w:sz="4" w:space="0" w:color="auto"/>
              <w:right w:val="single" w:sz="4" w:space="0" w:color="auto"/>
            </w:tcBorders>
            <w:shd w:val="clear" w:color="auto" w:fill="auto"/>
            <w:noWrap/>
            <w:hideMark/>
          </w:tcPr>
          <w:p w14:paraId="53C1572A"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2B"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7.94</w:t>
            </w:r>
          </w:p>
        </w:tc>
        <w:tc>
          <w:tcPr>
            <w:tcW w:w="1045" w:type="dxa"/>
            <w:tcBorders>
              <w:top w:val="nil"/>
              <w:left w:val="nil"/>
              <w:bottom w:val="single" w:sz="4" w:space="0" w:color="auto"/>
              <w:right w:val="single" w:sz="4" w:space="0" w:color="auto"/>
            </w:tcBorders>
            <w:shd w:val="clear" w:color="auto" w:fill="auto"/>
            <w:noWrap/>
            <w:hideMark/>
          </w:tcPr>
          <w:p w14:paraId="53C1572C" w14:textId="77777777" w:rsidR="00EB6F37" w:rsidRPr="00DF7447" w:rsidRDefault="00EB6F37" w:rsidP="00DF7447">
            <w:pPr>
              <w:spacing w:after="0"/>
              <w:jc w:val="center"/>
              <w:rPr>
                <w:rFonts w:ascii="Arial Narrow" w:hAnsi="Arial Narrow"/>
                <w:sz w:val="20"/>
                <w:szCs w:val="20"/>
                <w:lang w:eastAsia="en-AU"/>
              </w:rPr>
            </w:pPr>
          </w:p>
        </w:tc>
        <w:tc>
          <w:tcPr>
            <w:tcW w:w="1032" w:type="dxa"/>
            <w:tcBorders>
              <w:top w:val="nil"/>
              <w:left w:val="nil"/>
              <w:bottom w:val="single" w:sz="4" w:space="0" w:color="auto"/>
              <w:right w:val="single" w:sz="4" w:space="0" w:color="auto"/>
            </w:tcBorders>
          </w:tcPr>
          <w:p w14:paraId="53C1572D"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0.13</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72E"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2F"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30"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31"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32"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741" w14:textId="77777777" w:rsidTr="00EB6F37">
        <w:trPr>
          <w:trHeight w:hRule="exact" w:val="284"/>
        </w:trPr>
        <w:tc>
          <w:tcPr>
            <w:tcW w:w="469" w:type="dxa"/>
            <w:vMerge/>
            <w:tcBorders>
              <w:top w:val="nil"/>
              <w:left w:val="single" w:sz="4" w:space="0" w:color="auto"/>
              <w:bottom w:val="single" w:sz="4" w:space="0" w:color="auto"/>
              <w:right w:val="single" w:sz="4" w:space="0" w:color="auto"/>
            </w:tcBorders>
            <w:vAlign w:val="center"/>
          </w:tcPr>
          <w:p w14:paraId="53C15734" w14:textId="77777777" w:rsidR="00EB6F37" w:rsidRPr="00DF7447" w:rsidRDefault="00EB6F37" w:rsidP="00DF7447">
            <w:pPr>
              <w:spacing w:after="0"/>
              <w:jc w:val="left"/>
              <w:rPr>
                <w:rFonts w:ascii="Arial Narrow" w:hAnsi="Arial Narrow"/>
                <w:sz w:val="20"/>
                <w:szCs w:val="20"/>
                <w:lang w:eastAsia="en-AU"/>
              </w:rPr>
            </w:pPr>
          </w:p>
        </w:tc>
        <w:tc>
          <w:tcPr>
            <w:tcW w:w="1985" w:type="dxa"/>
            <w:vMerge w:val="restart"/>
            <w:tcBorders>
              <w:top w:val="nil"/>
              <w:left w:val="single" w:sz="4" w:space="0" w:color="auto"/>
              <w:right w:val="single" w:sz="4" w:space="0" w:color="auto"/>
            </w:tcBorders>
            <w:vAlign w:val="center"/>
          </w:tcPr>
          <w:p w14:paraId="53C15735" w14:textId="77777777" w:rsidR="00EB6F37" w:rsidRPr="00DF7447" w:rsidRDefault="00EB6F37" w:rsidP="00EB6F37">
            <w:pPr>
              <w:spacing w:after="0"/>
              <w:jc w:val="center"/>
              <w:rPr>
                <w:rFonts w:ascii="Arial Narrow" w:hAnsi="Arial Narrow"/>
                <w:sz w:val="20"/>
                <w:szCs w:val="20"/>
              </w:rPr>
            </w:pPr>
            <w:r w:rsidRPr="00DF7447">
              <w:rPr>
                <w:rFonts w:ascii="Arial Narrow" w:hAnsi="Arial Narrow"/>
                <w:sz w:val="20"/>
                <w:szCs w:val="20"/>
              </w:rPr>
              <w:t>Pandora</w:t>
            </w:r>
          </w:p>
        </w:tc>
        <w:tc>
          <w:tcPr>
            <w:tcW w:w="682" w:type="dxa"/>
            <w:tcBorders>
              <w:top w:val="nil"/>
              <w:left w:val="single" w:sz="4" w:space="0" w:color="auto"/>
              <w:bottom w:val="single" w:sz="4" w:space="0" w:color="auto"/>
              <w:right w:val="single" w:sz="4" w:space="0" w:color="auto"/>
            </w:tcBorders>
          </w:tcPr>
          <w:p w14:paraId="53C15736"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2</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737"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0.05</w:t>
            </w:r>
          </w:p>
        </w:tc>
        <w:tc>
          <w:tcPr>
            <w:tcW w:w="1045" w:type="dxa"/>
            <w:tcBorders>
              <w:top w:val="nil"/>
              <w:left w:val="nil"/>
              <w:bottom w:val="single" w:sz="4" w:space="0" w:color="auto"/>
              <w:right w:val="single" w:sz="4" w:space="0" w:color="auto"/>
            </w:tcBorders>
            <w:shd w:val="clear" w:color="auto" w:fill="auto"/>
            <w:noWrap/>
            <w:hideMark/>
          </w:tcPr>
          <w:p w14:paraId="53C15738"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39"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3A" w14:textId="77777777" w:rsidR="00EB6F37" w:rsidRPr="00DF7447" w:rsidRDefault="00EB6F37" w:rsidP="00DF7447">
            <w:pPr>
              <w:spacing w:after="0"/>
              <w:jc w:val="center"/>
              <w:rPr>
                <w:rFonts w:ascii="Arial Narrow" w:hAnsi="Arial Narrow"/>
                <w:sz w:val="20"/>
                <w:szCs w:val="20"/>
                <w:lang w:eastAsia="en-AU"/>
              </w:rPr>
            </w:pPr>
          </w:p>
        </w:tc>
        <w:tc>
          <w:tcPr>
            <w:tcW w:w="1032" w:type="dxa"/>
            <w:tcBorders>
              <w:top w:val="nil"/>
              <w:left w:val="nil"/>
              <w:bottom w:val="single" w:sz="4" w:space="0" w:color="auto"/>
              <w:right w:val="single" w:sz="4" w:space="0" w:color="auto"/>
            </w:tcBorders>
          </w:tcPr>
          <w:p w14:paraId="53C1573B"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hideMark/>
          </w:tcPr>
          <w:p w14:paraId="53C1573C"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3D"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3E"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3F"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40"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74F" w14:textId="77777777" w:rsidTr="00EB6F37">
        <w:trPr>
          <w:trHeight w:hRule="exact" w:val="284"/>
        </w:trPr>
        <w:tc>
          <w:tcPr>
            <w:tcW w:w="469" w:type="dxa"/>
            <w:vMerge/>
            <w:tcBorders>
              <w:top w:val="nil"/>
              <w:left w:val="single" w:sz="4" w:space="0" w:color="auto"/>
              <w:bottom w:val="single" w:sz="4" w:space="0" w:color="auto"/>
              <w:right w:val="single" w:sz="4" w:space="0" w:color="auto"/>
            </w:tcBorders>
            <w:vAlign w:val="center"/>
          </w:tcPr>
          <w:p w14:paraId="53C15742" w14:textId="77777777" w:rsidR="00EB6F37" w:rsidRPr="00DF7447" w:rsidRDefault="00EB6F37" w:rsidP="00DF7447">
            <w:pPr>
              <w:spacing w:after="0"/>
              <w:jc w:val="left"/>
              <w:rPr>
                <w:rFonts w:ascii="Arial Narrow" w:hAnsi="Arial Narrow"/>
                <w:sz w:val="20"/>
                <w:szCs w:val="20"/>
                <w:lang w:eastAsia="en-AU"/>
              </w:rPr>
            </w:pPr>
          </w:p>
        </w:tc>
        <w:tc>
          <w:tcPr>
            <w:tcW w:w="1985" w:type="dxa"/>
            <w:vMerge/>
            <w:tcBorders>
              <w:left w:val="single" w:sz="4" w:space="0" w:color="auto"/>
              <w:bottom w:val="single" w:sz="4" w:space="0" w:color="auto"/>
              <w:right w:val="single" w:sz="4" w:space="0" w:color="auto"/>
            </w:tcBorders>
            <w:vAlign w:val="center"/>
          </w:tcPr>
          <w:p w14:paraId="53C15743" w14:textId="77777777" w:rsidR="00EB6F37" w:rsidRPr="00DF7447" w:rsidRDefault="00EB6F37" w:rsidP="00DF7447">
            <w:pPr>
              <w:spacing w:after="0"/>
              <w:jc w:val="center"/>
              <w:rPr>
                <w:rFonts w:ascii="Arial Narrow" w:hAnsi="Arial Narrow"/>
                <w:sz w:val="20"/>
                <w:szCs w:val="20"/>
              </w:rPr>
            </w:pPr>
          </w:p>
        </w:tc>
        <w:tc>
          <w:tcPr>
            <w:tcW w:w="682" w:type="dxa"/>
            <w:tcBorders>
              <w:top w:val="nil"/>
              <w:left w:val="single" w:sz="4" w:space="0" w:color="auto"/>
              <w:bottom w:val="single" w:sz="4" w:space="0" w:color="auto"/>
              <w:right w:val="single" w:sz="4" w:space="0" w:color="auto"/>
            </w:tcBorders>
          </w:tcPr>
          <w:p w14:paraId="53C15744"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5</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745"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0.05</w:t>
            </w:r>
          </w:p>
        </w:tc>
        <w:tc>
          <w:tcPr>
            <w:tcW w:w="1045" w:type="dxa"/>
            <w:tcBorders>
              <w:top w:val="nil"/>
              <w:left w:val="nil"/>
              <w:bottom w:val="single" w:sz="4" w:space="0" w:color="auto"/>
              <w:right w:val="single" w:sz="4" w:space="0" w:color="auto"/>
            </w:tcBorders>
            <w:shd w:val="clear" w:color="auto" w:fill="auto"/>
            <w:noWrap/>
            <w:hideMark/>
          </w:tcPr>
          <w:p w14:paraId="53C15746"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47"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48"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0.28</w:t>
            </w:r>
          </w:p>
        </w:tc>
        <w:tc>
          <w:tcPr>
            <w:tcW w:w="1032" w:type="dxa"/>
            <w:tcBorders>
              <w:top w:val="nil"/>
              <w:left w:val="nil"/>
              <w:bottom w:val="single" w:sz="4" w:space="0" w:color="auto"/>
              <w:right w:val="single" w:sz="4" w:space="0" w:color="auto"/>
            </w:tcBorders>
          </w:tcPr>
          <w:p w14:paraId="53C15749"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hideMark/>
          </w:tcPr>
          <w:p w14:paraId="53C1574A"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4B"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4C"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4D"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4E" w14:textId="77777777" w:rsidR="00EB6F37" w:rsidRPr="00DF7447" w:rsidRDefault="00EB6F37" w:rsidP="00DF7447">
            <w:pPr>
              <w:spacing w:after="0"/>
              <w:jc w:val="center"/>
              <w:rPr>
                <w:rFonts w:ascii="Arial Narrow" w:hAnsi="Arial Narrow"/>
                <w:sz w:val="20"/>
                <w:szCs w:val="20"/>
                <w:lang w:eastAsia="en-AU"/>
              </w:rPr>
            </w:pPr>
          </w:p>
        </w:tc>
      </w:tr>
      <w:tr w:rsidR="00DF7447" w:rsidRPr="00DF7447" w14:paraId="53C1575D" w14:textId="77777777" w:rsidTr="00EB6F37">
        <w:trPr>
          <w:trHeight w:hRule="exact" w:val="284"/>
        </w:trPr>
        <w:tc>
          <w:tcPr>
            <w:tcW w:w="469" w:type="dxa"/>
            <w:vMerge/>
            <w:tcBorders>
              <w:top w:val="nil"/>
              <w:left w:val="single" w:sz="4" w:space="0" w:color="auto"/>
              <w:bottom w:val="single" w:sz="4" w:space="0" w:color="auto"/>
              <w:right w:val="single" w:sz="4" w:space="0" w:color="auto"/>
            </w:tcBorders>
            <w:vAlign w:val="center"/>
          </w:tcPr>
          <w:p w14:paraId="53C15750" w14:textId="77777777" w:rsidR="00DF7447" w:rsidRPr="00DF7447" w:rsidRDefault="00DF7447" w:rsidP="00DF7447">
            <w:pPr>
              <w:spacing w:after="0"/>
              <w:jc w:val="left"/>
              <w:rPr>
                <w:rFonts w:ascii="Arial Narrow" w:hAnsi="Arial Narrow"/>
                <w:sz w:val="20"/>
                <w:szCs w:val="20"/>
                <w:lang w:eastAsia="en-AU"/>
              </w:rPr>
            </w:pPr>
          </w:p>
        </w:tc>
        <w:tc>
          <w:tcPr>
            <w:tcW w:w="1985" w:type="dxa"/>
            <w:tcBorders>
              <w:top w:val="nil"/>
              <w:left w:val="single" w:sz="4" w:space="0" w:color="auto"/>
              <w:bottom w:val="single" w:sz="4" w:space="0" w:color="auto"/>
              <w:right w:val="single" w:sz="4" w:space="0" w:color="auto"/>
            </w:tcBorders>
            <w:vAlign w:val="center"/>
          </w:tcPr>
          <w:p w14:paraId="53C15751" w14:textId="77777777" w:rsidR="00DF7447" w:rsidRPr="00DF7447" w:rsidRDefault="00DF7447" w:rsidP="00DF7447">
            <w:pPr>
              <w:spacing w:after="0"/>
              <w:jc w:val="center"/>
              <w:rPr>
                <w:rFonts w:ascii="Arial Narrow" w:hAnsi="Arial Narrow"/>
                <w:sz w:val="20"/>
                <w:szCs w:val="20"/>
              </w:rPr>
            </w:pPr>
            <w:r w:rsidRPr="00DF7447">
              <w:rPr>
                <w:rFonts w:ascii="Arial Narrow" w:hAnsi="Arial Narrow"/>
                <w:sz w:val="20"/>
                <w:szCs w:val="20"/>
              </w:rPr>
              <w:t>Pandora North</w:t>
            </w:r>
          </w:p>
        </w:tc>
        <w:tc>
          <w:tcPr>
            <w:tcW w:w="682" w:type="dxa"/>
            <w:tcBorders>
              <w:top w:val="nil"/>
              <w:left w:val="single" w:sz="4" w:space="0" w:color="auto"/>
              <w:bottom w:val="single" w:sz="4" w:space="0" w:color="auto"/>
              <w:right w:val="single" w:sz="4" w:space="0" w:color="auto"/>
            </w:tcBorders>
          </w:tcPr>
          <w:p w14:paraId="53C15752" w14:textId="77777777" w:rsidR="00DF7447" w:rsidRPr="00DF7447" w:rsidRDefault="00DF7447" w:rsidP="00DF7447">
            <w:pPr>
              <w:spacing w:after="0"/>
              <w:jc w:val="center"/>
              <w:rPr>
                <w:rFonts w:ascii="Arial Narrow" w:hAnsi="Arial Narrow"/>
                <w:sz w:val="20"/>
                <w:szCs w:val="20"/>
              </w:rPr>
            </w:pPr>
            <w:r w:rsidRPr="00DF7447">
              <w:rPr>
                <w:rFonts w:ascii="Arial Narrow" w:hAnsi="Arial Narrow"/>
                <w:sz w:val="20"/>
                <w:szCs w:val="20"/>
              </w:rPr>
              <w:t>5</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753" w14:textId="77777777" w:rsidR="00DF7447" w:rsidRPr="00DF7447" w:rsidRDefault="00DF7447" w:rsidP="00DF7447">
            <w:pPr>
              <w:spacing w:after="0"/>
              <w:jc w:val="center"/>
              <w:rPr>
                <w:rFonts w:ascii="Arial Narrow" w:hAnsi="Arial Narrow"/>
                <w:sz w:val="20"/>
                <w:szCs w:val="20"/>
                <w:lang w:eastAsia="en-AU"/>
              </w:rPr>
            </w:pPr>
            <w:r w:rsidRPr="00DF7447">
              <w:rPr>
                <w:rFonts w:ascii="Arial Narrow" w:hAnsi="Arial Narrow"/>
                <w:sz w:val="20"/>
                <w:szCs w:val="20"/>
              </w:rPr>
              <w:t>0.29</w:t>
            </w:r>
          </w:p>
        </w:tc>
        <w:tc>
          <w:tcPr>
            <w:tcW w:w="1045" w:type="dxa"/>
            <w:tcBorders>
              <w:top w:val="nil"/>
              <w:left w:val="nil"/>
              <w:bottom w:val="single" w:sz="4" w:space="0" w:color="auto"/>
              <w:right w:val="single" w:sz="4" w:space="0" w:color="auto"/>
            </w:tcBorders>
            <w:shd w:val="clear" w:color="auto" w:fill="auto"/>
            <w:noWrap/>
            <w:hideMark/>
          </w:tcPr>
          <w:p w14:paraId="53C15754" w14:textId="77777777" w:rsidR="00DF7447" w:rsidRPr="00DF7447" w:rsidRDefault="00DF744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55" w14:textId="77777777" w:rsidR="00DF7447" w:rsidRPr="00DF7447" w:rsidRDefault="00DF7447" w:rsidP="00DF7447">
            <w:pPr>
              <w:spacing w:after="0"/>
              <w:jc w:val="center"/>
              <w:rPr>
                <w:rFonts w:ascii="Arial Narrow" w:hAnsi="Arial Narrow"/>
                <w:sz w:val="20"/>
                <w:szCs w:val="20"/>
                <w:lang w:eastAsia="en-AU"/>
              </w:rPr>
            </w:pPr>
            <w:r w:rsidRPr="00DF7447">
              <w:rPr>
                <w:rFonts w:ascii="Arial Narrow" w:hAnsi="Arial Narrow"/>
                <w:sz w:val="20"/>
                <w:szCs w:val="20"/>
              </w:rPr>
              <w:t>9.63</w:t>
            </w:r>
          </w:p>
        </w:tc>
        <w:tc>
          <w:tcPr>
            <w:tcW w:w="1045" w:type="dxa"/>
            <w:tcBorders>
              <w:top w:val="nil"/>
              <w:left w:val="nil"/>
              <w:bottom w:val="single" w:sz="4" w:space="0" w:color="auto"/>
              <w:right w:val="single" w:sz="4" w:space="0" w:color="auto"/>
            </w:tcBorders>
            <w:shd w:val="clear" w:color="auto" w:fill="auto"/>
            <w:noWrap/>
            <w:hideMark/>
          </w:tcPr>
          <w:p w14:paraId="53C15756" w14:textId="77777777" w:rsidR="00DF7447" w:rsidRPr="00DF7447" w:rsidRDefault="00DF7447" w:rsidP="00DF7447">
            <w:pPr>
              <w:spacing w:after="0"/>
              <w:jc w:val="center"/>
              <w:rPr>
                <w:rFonts w:ascii="Arial Narrow" w:hAnsi="Arial Narrow"/>
                <w:sz w:val="20"/>
                <w:szCs w:val="20"/>
                <w:lang w:eastAsia="en-AU"/>
              </w:rPr>
            </w:pPr>
            <w:r w:rsidRPr="00DF7447">
              <w:rPr>
                <w:rFonts w:ascii="Arial Narrow" w:hAnsi="Arial Narrow"/>
                <w:sz w:val="20"/>
                <w:szCs w:val="20"/>
              </w:rPr>
              <w:t>1.86</w:t>
            </w:r>
          </w:p>
        </w:tc>
        <w:tc>
          <w:tcPr>
            <w:tcW w:w="1032" w:type="dxa"/>
            <w:tcBorders>
              <w:top w:val="nil"/>
              <w:left w:val="nil"/>
              <w:bottom w:val="single" w:sz="4" w:space="0" w:color="auto"/>
              <w:right w:val="single" w:sz="4" w:space="0" w:color="auto"/>
            </w:tcBorders>
          </w:tcPr>
          <w:p w14:paraId="53C15757" w14:textId="77777777" w:rsidR="00DF7447" w:rsidRPr="00DF7447" w:rsidRDefault="00DF744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hideMark/>
          </w:tcPr>
          <w:p w14:paraId="53C15758" w14:textId="77777777" w:rsidR="00DF7447" w:rsidRPr="00DF7447" w:rsidRDefault="00DF744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59" w14:textId="77777777" w:rsidR="00DF7447" w:rsidRPr="00DF7447" w:rsidRDefault="00DF744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5A" w14:textId="77777777" w:rsidR="00DF7447" w:rsidRPr="00DF7447" w:rsidRDefault="00DF744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5B" w14:textId="77777777" w:rsidR="00DF7447" w:rsidRPr="00DF7447" w:rsidRDefault="00DF744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5C" w14:textId="77777777" w:rsidR="00DF7447" w:rsidRPr="00DF7447" w:rsidRDefault="00DF7447" w:rsidP="00DF7447">
            <w:pPr>
              <w:spacing w:after="0"/>
              <w:jc w:val="center"/>
              <w:rPr>
                <w:rFonts w:ascii="Arial Narrow" w:hAnsi="Arial Narrow"/>
                <w:sz w:val="20"/>
                <w:szCs w:val="20"/>
                <w:lang w:eastAsia="en-AU"/>
              </w:rPr>
            </w:pPr>
          </w:p>
        </w:tc>
      </w:tr>
      <w:tr w:rsidR="00EB6F37" w:rsidRPr="00DF7447" w14:paraId="53C1576B" w14:textId="77777777" w:rsidTr="00EB6F37">
        <w:trPr>
          <w:trHeight w:hRule="exact" w:val="284"/>
        </w:trPr>
        <w:tc>
          <w:tcPr>
            <w:tcW w:w="469" w:type="dxa"/>
            <w:vMerge/>
            <w:tcBorders>
              <w:top w:val="nil"/>
              <w:left w:val="single" w:sz="4" w:space="0" w:color="auto"/>
              <w:bottom w:val="single" w:sz="4" w:space="0" w:color="auto"/>
              <w:right w:val="single" w:sz="4" w:space="0" w:color="auto"/>
            </w:tcBorders>
            <w:vAlign w:val="center"/>
          </w:tcPr>
          <w:p w14:paraId="53C1575E" w14:textId="77777777" w:rsidR="00EB6F37" w:rsidRPr="00DF7447" w:rsidRDefault="00EB6F37" w:rsidP="00DF7447">
            <w:pPr>
              <w:spacing w:after="0"/>
              <w:jc w:val="left"/>
              <w:rPr>
                <w:rFonts w:ascii="Arial Narrow" w:hAnsi="Arial Narrow"/>
                <w:sz w:val="20"/>
                <w:szCs w:val="20"/>
                <w:lang w:eastAsia="en-AU"/>
              </w:rPr>
            </w:pPr>
          </w:p>
        </w:tc>
        <w:tc>
          <w:tcPr>
            <w:tcW w:w="1985" w:type="dxa"/>
            <w:vMerge w:val="restart"/>
            <w:tcBorders>
              <w:top w:val="nil"/>
              <w:left w:val="single" w:sz="4" w:space="0" w:color="auto"/>
              <w:right w:val="single" w:sz="4" w:space="0" w:color="auto"/>
            </w:tcBorders>
            <w:vAlign w:val="center"/>
          </w:tcPr>
          <w:p w14:paraId="53C1575F" w14:textId="77777777" w:rsidR="00EB6F37" w:rsidRPr="00DF7447" w:rsidRDefault="00EB6F37" w:rsidP="00EB6F37">
            <w:pPr>
              <w:spacing w:after="0"/>
              <w:jc w:val="center"/>
              <w:rPr>
                <w:rFonts w:ascii="Arial Narrow" w:hAnsi="Arial Narrow"/>
                <w:sz w:val="20"/>
                <w:szCs w:val="20"/>
              </w:rPr>
            </w:pPr>
            <w:r w:rsidRPr="00DF7447">
              <w:rPr>
                <w:rFonts w:ascii="Arial Narrow" w:hAnsi="Arial Narrow"/>
                <w:sz w:val="20"/>
                <w:szCs w:val="20"/>
              </w:rPr>
              <w:t>Lady Elliot</w:t>
            </w:r>
          </w:p>
        </w:tc>
        <w:tc>
          <w:tcPr>
            <w:tcW w:w="682" w:type="dxa"/>
            <w:tcBorders>
              <w:top w:val="nil"/>
              <w:left w:val="single" w:sz="4" w:space="0" w:color="auto"/>
              <w:bottom w:val="single" w:sz="4" w:space="0" w:color="auto"/>
              <w:right w:val="single" w:sz="4" w:space="0" w:color="auto"/>
            </w:tcBorders>
          </w:tcPr>
          <w:p w14:paraId="53C15760"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2</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761"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0.06</w:t>
            </w:r>
          </w:p>
        </w:tc>
        <w:tc>
          <w:tcPr>
            <w:tcW w:w="1045" w:type="dxa"/>
            <w:tcBorders>
              <w:top w:val="nil"/>
              <w:left w:val="nil"/>
              <w:bottom w:val="single" w:sz="4" w:space="0" w:color="auto"/>
              <w:right w:val="single" w:sz="4" w:space="0" w:color="auto"/>
            </w:tcBorders>
            <w:shd w:val="clear" w:color="auto" w:fill="auto"/>
            <w:noWrap/>
            <w:hideMark/>
          </w:tcPr>
          <w:p w14:paraId="53C15762"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63"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64" w14:textId="77777777" w:rsidR="00EB6F37" w:rsidRPr="00DF7447" w:rsidRDefault="00EB6F37" w:rsidP="00DF7447">
            <w:pPr>
              <w:spacing w:after="0"/>
              <w:jc w:val="center"/>
              <w:rPr>
                <w:rFonts w:ascii="Arial Narrow" w:hAnsi="Arial Narrow"/>
                <w:sz w:val="20"/>
                <w:szCs w:val="20"/>
                <w:lang w:eastAsia="en-AU"/>
              </w:rPr>
            </w:pPr>
          </w:p>
        </w:tc>
        <w:tc>
          <w:tcPr>
            <w:tcW w:w="1032" w:type="dxa"/>
            <w:tcBorders>
              <w:top w:val="nil"/>
              <w:left w:val="nil"/>
              <w:bottom w:val="single" w:sz="4" w:space="0" w:color="auto"/>
              <w:right w:val="single" w:sz="4" w:space="0" w:color="auto"/>
            </w:tcBorders>
          </w:tcPr>
          <w:p w14:paraId="53C15765"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hideMark/>
          </w:tcPr>
          <w:p w14:paraId="53C15766"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67"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68"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69"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6A"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779" w14:textId="77777777" w:rsidTr="00EB6F37">
        <w:trPr>
          <w:trHeight w:hRule="exact" w:val="284"/>
        </w:trPr>
        <w:tc>
          <w:tcPr>
            <w:tcW w:w="469" w:type="dxa"/>
            <w:vMerge/>
            <w:tcBorders>
              <w:top w:val="nil"/>
              <w:left w:val="single" w:sz="4" w:space="0" w:color="auto"/>
              <w:bottom w:val="single" w:sz="4" w:space="0" w:color="auto"/>
              <w:right w:val="single" w:sz="4" w:space="0" w:color="auto"/>
            </w:tcBorders>
            <w:vAlign w:val="center"/>
          </w:tcPr>
          <w:p w14:paraId="53C1576C" w14:textId="77777777" w:rsidR="00EB6F37" w:rsidRPr="00DF7447" w:rsidRDefault="00EB6F37" w:rsidP="00DF7447">
            <w:pPr>
              <w:spacing w:after="0"/>
              <w:jc w:val="left"/>
              <w:rPr>
                <w:rFonts w:ascii="Arial Narrow" w:hAnsi="Arial Narrow"/>
                <w:sz w:val="20"/>
                <w:szCs w:val="20"/>
                <w:lang w:eastAsia="en-AU"/>
              </w:rPr>
            </w:pPr>
          </w:p>
        </w:tc>
        <w:tc>
          <w:tcPr>
            <w:tcW w:w="1985" w:type="dxa"/>
            <w:vMerge/>
            <w:tcBorders>
              <w:left w:val="single" w:sz="4" w:space="0" w:color="auto"/>
              <w:bottom w:val="single" w:sz="4" w:space="0" w:color="auto"/>
              <w:right w:val="single" w:sz="4" w:space="0" w:color="auto"/>
            </w:tcBorders>
            <w:vAlign w:val="center"/>
          </w:tcPr>
          <w:p w14:paraId="53C1576D" w14:textId="77777777" w:rsidR="00EB6F37" w:rsidRPr="00DF7447" w:rsidRDefault="00EB6F37" w:rsidP="00DF7447">
            <w:pPr>
              <w:spacing w:after="0"/>
              <w:jc w:val="center"/>
              <w:rPr>
                <w:rFonts w:ascii="Arial Narrow" w:hAnsi="Arial Narrow"/>
                <w:sz w:val="20"/>
                <w:szCs w:val="20"/>
              </w:rPr>
            </w:pPr>
          </w:p>
        </w:tc>
        <w:tc>
          <w:tcPr>
            <w:tcW w:w="682" w:type="dxa"/>
            <w:tcBorders>
              <w:top w:val="nil"/>
              <w:left w:val="single" w:sz="4" w:space="0" w:color="auto"/>
              <w:bottom w:val="single" w:sz="4" w:space="0" w:color="auto"/>
              <w:right w:val="single" w:sz="4" w:space="0" w:color="auto"/>
            </w:tcBorders>
          </w:tcPr>
          <w:p w14:paraId="53C1576E"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5</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76F"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0.12</w:t>
            </w:r>
          </w:p>
        </w:tc>
        <w:tc>
          <w:tcPr>
            <w:tcW w:w="1045" w:type="dxa"/>
            <w:tcBorders>
              <w:top w:val="nil"/>
              <w:left w:val="nil"/>
              <w:bottom w:val="single" w:sz="4" w:space="0" w:color="auto"/>
              <w:right w:val="single" w:sz="4" w:space="0" w:color="auto"/>
            </w:tcBorders>
            <w:shd w:val="clear" w:color="auto" w:fill="auto"/>
            <w:noWrap/>
            <w:hideMark/>
          </w:tcPr>
          <w:p w14:paraId="53C15770"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71"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0.06</w:t>
            </w:r>
          </w:p>
        </w:tc>
        <w:tc>
          <w:tcPr>
            <w:tcW w:w="1045" w:type="dxa"/>
            <w:tcBorders>
              <w:top w:val="nil"/>
              <w:left w:val="nil"/>
              <w:bottom w:val="single" w:sz="4" w:space="0" w:color="auto"/>
              <w:right w:val="single" w:sz="4" w:space="0" w:color="auto"/>
            </w:tcBorders>
            <w:shd w:val="clear" w:color="auto" w:fill="auto"/>
            <w:noWrap/>
            <w:hideMark/>
          </w:tcPr>
          <w:p w14:paraId="53C15772" w14:textId="77777777" w:rsidR="00EB6F37" w:rsidRPr="00DF7447" w:rsidRDefault="00EB6F37" w:rsidP="00DF7447">
            <w:pPr>
              <w:spacing w:after="0"/>
              <w:jc w:val="center"/>
              <w:rPr>
                <w:rFonts w:ascii="Arial Narrow" w:hAnsi="Arial Narrow"/>
                <w:sz w:val="20"/>
                <w:szCs w:val="20"/>
                <w:lang w:eastAsia="en-AU"/>
              </w:rPr>
            </w:pPr>
          </w:p>
        </w:tc>
        <w:tc>
          <w:tcPr>
            <w:tcW w:w="1032" w:type="dxa"/>
            <w:tcBorders>
              <w:top w:val="nil"/>
              <w:left w:val="nil"/>
              <w:bottom w:val="single" w:sz="4" w:space="0" w:color="auto"/>
              <w:right w:val="single" w:sz="4" w:space="0" w:color="auto"/>
            </w:tcBorders>
          </w:tcPr>
          <w:p w14:paraId="53C15773"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0.06</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774"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75"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76"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77"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0.06</w:t>
            </w:r>
          </w:p>
        </w:tc>
        <w:tc>
          <w:tcPr>
            <w:tcW w:w="1045" w:type="dxa"/>
            <w:tcBorders>
              <w:top w:val="nil"/>
              <w:left w:val="nil"/>
              <w:bottom w:val="single" w:sz="4" w:space="0" w:color="auto"/>
              <w:right w:val="single" w:sz="4" w:space="0" w:color="auto"/>
            </w:tcBorders>
            <w:shd w:val="clear" w:color="auto" w:fill="auto"/>
            <w:noWrap/>
            <w:hideMark/>
          </w:tcPr>
          <w:p w14:paraId="53C15778"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787" w14:textId="77777777" w:rsidTr="00EB6F37">
        <w:trPr>
          <w:trHeight w:hRule="exact" w:val="284"/>
        </w:trPr>
        <w:tc>
          <w:tcPr>
            <w:tcW w:w="469" w:type="dxa"/>
            <w:vMerge/>
            <w:tcBorders>
              <w:top w:val="nil"/>
              <w:left w:val="single" w:sz="4" w:space="0" w:color="auto"/>
              <w:bottom w:val="single" w:sz="4" w:space="0" w:color="auto"/>
              <w:right w:val="single" w:sz="4" w:space="0" w:color="auto"/>
            </w:tcBorders>
            <w:vAlign w:val="center"/>
          </w:tcPr>
          <w:p w14:paraId="53C1577A" w14:textId="77777777" w:rsidR="00EB6F37" w:rsidRPr="00DF7447" w:rsidRDefault="00EB6F37" w:rsidP="00DF7447">
            <w:pPr>
              <w:spacing w:after="0"/>
              <w:jc w:val="left"/>
              <w:rPr>
                <w:rFonts w:ascii="Arial Narrow" w:hAnsi="Arial Narrow"/>
                <w:sz w:val="20"/>
                <w:szCs w:val="20"/>
                <w:lang w:eastAsia="en-AU"/>
              </w:rPr>
            </w:pPr>
          </w:p>
        </w:tc>
        <w:tc>
          <w:tcPr>
            <w:tcW w:w="1985" w:type="dxa"/>
            <w:vMerge w:val="restart"/>
            <w:tcBorders>
              <w:top w:val="nil"/>
              <w:left w:val="single" w:sz="4" w:space="0" w:color="auto"/>
              <w:right w:val="single" w:sz="4" w:space="0" w:color="auto"/>
            </w:tcBorders>
            <w:vAlign w:val="center"/>
          </w:tcPr>
          <w:p w14:paraId="53C1577B" w14:textId="77777777" w:rsidR="00EB6F37" w:rsidRPr="00DF7447" w:rsidRDefault="00EB6F37" w:rsidP="00EB6F37">
            <w:pPr>
              <w:spacing w:after="0"/>
              <w:jc w:val="center"/>
              <w:rPr>
                <w:rFonts w:ascii="Arial Narrow" w:hAnsi="Arial Narrow"/>
                <w:sz w:val="20"/>
                <w:szCs w:val="20"/>
              </w:rPr>
            </w:pPr>
            <w:r w:rsidRPr="00DF7447">
              <w:rPr>
                <w:rFonts w:ascii="Arial Narrow" w:hAnsi="Arial Narrow"/>
                <w:sz w:val="20"/>
                <w:szCs w:val="20"/>
              </w:rPr>
              <w:t>Magnetic</w:t>
            </w:r>
          </w:p>
        </w:tc>
        <w:tc>
          <w:tcPr>
            <w:tcW w:w="682" w:type="dxa"/>
            <w:tcBorders>
              <w:top w:val="nil"/>
              <w:left w:val="single" w:sz="4" w:space="0" w:color="auto"/>
              <w:bottom w:val="single" w:sz="4" w:space="0" w:color="auto"/>
              <w:right w:val="single" w:sz="4" w:space="0" w:color="auto"/>
            </w:tcBorders>
          </w:tcPr>
          <w:p w14:paraId="53C1577C"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2</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77D"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0.04</w:t>
            </w:r>
          </w:p>
        </w:tc>
        <w:tc>
          <w:tcPr>
            <w:tcW w:w="1045" w:type="dxa"/>
            <w:tcBorders>
              <w:top w:val="nil"/>
              <w:left w:val="nil"/>
              <w:bottom w:val="single" w:sz="4" w:space="0" w:color="auto"/>
              <w:right w:val="single" w:sz="4" w:space="0" w:color="auto"/>
            </w:tcBorders>
            <w:shd w:val="clear" w:color="auto" w:fill="auto"/>
            <w:noWrap/>
            <w:hideMark/>
          </w:tcPr>
          <w:p w14:paraId="53C1577E"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7F"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80" w14:textId="77777777" w:rsidR="00EB6F37" w:rsidRPr="00DF7447" w:rsidRDefault="00EB6F37" w:rsidP="00DF7447">
            <w:pPr>
              <w:spacing w:after="0"/>
              <w:jc w:val="center"/>
              <w:rPr>
                <w:rFonts w:ascii="Arial Narrow" w:hAnsi="Arial Narrow"/>
                <w:sz w:val="20"/>
                <w:szCs w:val="20"/>
                <w:lang w:eastAsia="en-AU"/>
              </w:rPr>
            </w:pPr>
          </w:p>
        </w:tc>
        <w:tc>
          <w:tcPr>
            <w:tcW w:w="1032" w:type="dxa"/>
            <w:tcBorders>
              <w:top w:val="nil"/>
              <w:left w:val="nil"/>
              <w:bottom w:val="single" w:sz="4" w:space="0" w:color="auto"/>
              <w:right w:val="single" w:sz="4" w:space="0" w:color="auto"/>
            </w:tcBorders>
          </w:tcPr>
          <w:p w14:paraId="53C15781"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hideMark/>
          </w:tcPr>
          <w:p w14:paraId="53C15782"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83"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84"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85"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86"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795" w14:textId="77777777" w:rsidTr="00EB6F37">
        <w:trPr>
          <w:trHeight w:hRule="exact" w:val="284"/>
        </w:trPr>
        <w:tc>
          <w:tcPr>
            <w:tcW w:w="469" w:type="dxa"/>
            <w:vMerge/>
            <w:tcBorders>
              <w:top w:val="nil"/>
              <w:left w:val="single" w:sz="4" w:space="0" w:color="auto"/>
              <w:bottom w:val="single" w:sz="4" w:space="0" w:color="auto"/>
              <w:right w:val="single" w:sz="4" w:space="0" w:color="auto"/>
            </w:tcBorders>
            <w:vAlign w:val="center"/>
          </w:tcPr>
          <w:p w14:paraId="53C15788" w14:textId="77777777" w:rsidR="00EB6F37" w:rsidRPr="00DF7447" w:rsidRDefault="00EB6F37" w:rsidP="00DF7447">
            <w:pPr>
              <w:spacing w:after="0"/>
              <w:jc w:val="left"/>
              <w:rPr>
                <w:rFonts w:ascii="Arial Narrow" w:hAnsi="Arial Narrow"/>
                <w:sz w:val="20"/>
                <w:szCs w:val="20"/>
                <w:lang w:eastAsia="en-AU"/>
              </w:rPr>
            </w:pPr>
          </w:p>
        </w:tc>
        <w:tc>
          <w:tcPr>
            <w:tcW w:w="1985" w:type="dxa"/>
            <w:vMerge/>
            <w:tcBorders>
              <w:left w:val="single" w:sz="4" w:space="0" w:color="auto"/>
              <w:bottom w:val="single" w:sz="4" w:space="0" w:color="auto"/>
              <w:right w:val="single" w:sz="4" w:space="0" w:color="auto"/>
            </w:tcBorders>
            <w:vAlign w:val="center"/>
          </w:tcPr>
          <w:p w14:paraId="53C15789" w14:textId="77777777" w:rsidR="00EB6F37" w:rsidRPr="00DF7447" w:rsidRDefault="00EB6F37" w:rsidP="00DF7447">
            <w:pPr>
              <w:spacing w:after="0"/>
              <w:jc w:val="center"/>
              <w:rPr>
                <w:rFonts w:ascii="Arial Narrow" w:hAnsi="Arial Narrow"/>
                <w:sz w:val="20"/>
                <w:szCs w:val="20"/>
              </w:rPr>
            </w:pPr>
          </w:p>
        </w:tc>
        <w:tc>
          <w:tcPr>
            <w:tcW w:w="682" w:type="dxa"/>
            <w:tcBorders>
              <w:top w:val="nil"/>
              <w:left w:val="single" w:sz="4" w:space="0" w:color="auto"/>
              <w:bottom w:val="single" w:sz="4" w:space="0" w:color="auto"/>
              <w:right w:val="single" w:sz="4" w:space="0" w:color="auto"/>
            </w:tcBorders>
          </w:tcPr>
          <w:p w14:paraId="53C1578A"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5</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78B"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0.23</w:t>
            </w:r>
          </w:p>
        </w:tc>
        <w:tc>
          <w:tcPr>
            <w:tcW w:w="1045" w:type="dxa"/>
            <w:tcBorders>
              <w:top w:val="nil"/>
              <w:left w:val="nil"/>
              <w:bottom w:val="single" w:sz="4" w:space="0" w:color="auto"/>
              <w:right w:val="single" w:sz="4" w:space="0" w:color="auto"/>
            </w:tcBorders>
            <w:shd w:val="clear" w:color="auto" w:fill="auto"/>
            <w:noWrap/>
            <w:hideMark/>
          </w:tcPr>
          <w:p w14:paraId="53C1578C"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0.13</w:t>
            </w:r>
          </w:p>
        </w:tc>
        <w:tc>
          <w:tcPr>
            <w:tcW w:w="1045" w:type="dxa"/>
            <w:tcBorders>
              <w:top w:val="nil"/>
              <w:left w:val="nil"/>
              <w:bottom w:val="single" w:sz="4" w:space="0" w:color="auto"/>
              <w:right w:val="single" w:sz="4" w:space="0" w:color="auto"/>
            </w:tcBorders>
            <w:shd w:val="clear" w:color="auto" w:fill="auto"/>
            <w:noWrap/>
            <w:hideMark/>
          </w:tcPr>
          <w:p w14:paraId="53C1578D"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0.19</w:t>
            </w:r>
          </w:p>
        </w:tc>
        <w:tc>
          <w:tcPr>
            <w:tcW w:w="1045" w:type="dxa"/>
            <w:tcBorders>
              <w:top w:val="nil"/>
              <w:left w:val="nil"/>
              <w:bottom w:val="single" w:sz="4" w:space="0" w:color="auto"/>
              <w:right w:val="single" w:sz="4" w:space="0" w:color="auto"/>
            </w:tcBorders>
            <w:shd w:val="clear" w:color="auto" w:fill="auto"/>
            <w:noWrap/>
            <w:hideMark/>
          </w:tcPr>
          <w:p w14:paraId="53C1578E" w14:textId="77777777" w:rsidR="00EB6F37" w:rsidRPr="00DF7447" w:rsidRDefault="00EB6F37" w:rsidP="00DF7447">
            <w:pPr>
              <w:spacing w:after="0"/>
              <w:jc w:val="center"/>
              <w:rPr>
                <w:rFonts w:ascii="Arial Narrow" w:hAnsi="Arial Narrow"/>
                <w:sz w:val="20"/>
                <w:szCs w:val="20"/>
                <w:lang w:eastAsia="en-AU"/>
              </w:rPr>
            </w:pPr>
          </w:p>
        </w:tc>
        <w:tc>
          <w:tcPr>
            <w:tcW w:w="1032" w:type="dxa"/>
            <w:tcBorders>
              <w:top w:val="nil"/>
              <w:left w:val="nil"/>
              <w:bottom w:val="single" w:sz="4" w:space="0" w:color="auto"/>
              <w:right w:val="single" w:sz="4" w:space="0" w:color="auto"/>
            </w:tcBorders>
          </w:tcPr>
          <w:p w14:paraId="53C1578F"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hideMark/>
          </w:tcPr>
          <w:p w14:paraId="53C15790"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91"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92"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93"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94" w14:textId="77777777" w:rsidR="00EB6F37" w:rsidRPr="00DF7447" w:rsidRDefault="00EB6F37" w:rsidP="00DF7447">
            <w:pPr>
              <w:spacing w:after="0"/>
              <w:jc w:val="center"/>
              <w:rPr>
                <w:rFonts w:ascii="Arial Narrow" w:hAnsi="Arial Narrow"/>
                <w:sz w:val="20"/>
                <w:szCs w:val="20"/>
                <w:lang w:eastAsia="en-AU"/>
              </w:rPr>
            </w:pPr>
          </w:p>
        </w:tc>
      </w:tr>
      <w:tr w:rsidR="00DF7447" w:rsidRPr="00DF7447" w14:paraId="53C157A3" w14:textId="77777777" w:rsidTr="00EB6F37">
        <w:trPr>
          <w:trHeight w:hRule="exact" w:val="284"/>
        </w:trPr>
        <w:tc>
          <w:tcPr>
            <w:tcW w:w="469" w:type="dxa"/>
            <w:vMerge/>
            <w:tcBorders>
              <w:top w:val="nil"/>
              <w:left w:val="single" w:sz="4" w:space="0" w:color="auto"/>
              <w:bottom w:val="single" w:sz="4" w:space="0" w:color="auto"/>
              <w:right w:val="single" w:sz="4" w:space="0" w:color="auto"/>
            </w:tcBorders>
            <w:vAlign w:val="center"/>
          </w:tcPr>
          <w:p w14:paraId="53C15796" w14:textId="77777777" w:rsidR="00DF7447" w:rsidRPr="00DF7447" w:rsidRDefault="00DF7447" w:rsidP="00DF7447">
            <w:pPr>
              <w:spacing w:after="0"/>
              <w:jc w:val="left"/>
              <w:rPr>
                <w:rFonts w:ascii="Arial Narrow" w:hAnsi="Arial Narrow"/>
                <w:sz w:val="20"/>
                <w:szCs w:val="20"/>
                <w:lang w:eastAsia="en-AU"/>
              </w:rPr>
            </w:pPr>
          </w:p>
        </w:tc>
        <w:tc>
          <w:tcPr>
            <w:tcW w:w="1985" w:type="dxa"/>
            <w:tcBorders>
              <w:top w:val="nil"/>
              <w:left w:val="single" w:sz="4" w:space="0" w:color="auto"/>
              <w:bottom w:val="single" w:sz="4" w:space="0" w:color="auto"/>
              <w:right w:val="single" w:sz="4" w:space="0" w:color="auto"/>
            </w:tcBorders>
            <w:vAlign w:val="center"/>
          </w:tcPr>
          <w:p w14:paraId="53C15797" w14:textId="77777777" w:rsidR="00DF7447" w:rsidRPr="00DF7447" w:rsidRDefault="00DF7447" w:rsidP="00DF7447">
            <w:pPr>
              <w:spacing w:after="0"/>
              <w:jc w:val="center"/>
              <w:rPr>
                <w:rFonts w:ascii="Arial Narrow" w:hAnsi="Arial Narrow"/>
                <w:sz w:val="20"/>
                <w:szCs w:val="20"/>
              </w:rPr>
            </w:pPr>
            <w:r w:rsidRPr="00DF7447">
              <w:rPr>
                <w:rFonts w:ascii="Arial Narrow" w:hAnsi="Arial Narrow"/>
                <w:sz w:val="20"/>
                <w:szCs w:val="20"/>
              </w:rPr>
              <w:t>Hayman</w:t>
            </w:r>
          </w:p>
        </w:tc>
        <w:tc>
          <w:tcPr>
            <w:tcW w:w="682" w:type="dxa"/>
            <w:tcBorders>
              <w:top w:val="nil"/>
              <w:left w:val="single" w:sz="4" w:space="0" w:color="auto"/>
              <w:bottom w:val="single" w:sz="4" w:space="0" w:color="auto"/>
              <w:right w:val="single" w:sz="4" w:space="0" w:color="auto"/>
            </w:tcBorders>
          </w:tcPr>
          <w:p w14:paraId="53C15798" w14:textId="77777777" w:rsidR="00DF7447" w:rsidRPr="00DF7447" w:rsidRDefault="00DF7447" w:rsidP="00DF7447">
            <w:pPr>
              <w:spacing w:after="0"/>
              <w:jc w:val="center"/>
              <w:rPr>
                <w:rFonts w:ascii="Arial Narrow" w:hAnsi="Arial Narrow"/>
                <w:sz w:val="20"/>
                <w:szCs w:val="20"/>
              </w:rPr>
            </w:pPr>
            <w:r w:rsidRPr="00DF7447">
              <w:rPr>
                <w:rFonts w:ascii="Arial Narrow" w:hAnsi="Arial Narrow"/>
                <w:sz w:val="20"/>
                <w:szCs w:val="20"/>
              </w:rPr>
              <w:t>5</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799" w14:textId="77777777" w:rsidR="00DF7447" w:rsidRPr="00DF7447" w:rsidRDefault="00DF7447" w:rsidP="00DF7447">
            <w:pPr>
              <w:spacing w:after="0"/>
              <w:jc w:val="center"/>
              <w:rPr>
                <w:rFonts w:ascii="Arial Narrow" w:hAnsi="Arial Narrow"/>
                <w:sz w:val="20"/>
                <w:szCs w:val="20"/>
                <w:lang w:eastAsia="en-AU"/>
              </w:rPr>
            </w:pPr>
            <w:r w:rsidRPr="00DF7447">
              <w:rPr>
                <w:rFonts w:ascii="Arial Narrow" w:hAnsi="Arial Narrow"/>
                <w:sz w:val="20"/>
                <w:szCs w:val="20"/>
              </w:rPr>
              <w:t>0.39</w:t>
            </w:r>
          </w:p>
        </w:tc>
        <w:tc>
          <w:tcPr>
            <w:tcW w:w="1045" w:type="dxa"/>
            <w:tcBorders>
              <w:top w:val="nil"/>
              <w:left w:val="nil"/>
              <w:bottom w:val="single" w:sz="4" w:space="0" w:color="auto"/>
              <w:right w:val="single" w:sz="4" w:space="0" w:color="auto"/>
            </w:tcBorders>
            <w:shd w:val="clear" w:color="auto" w:fill="auto"/>
            <w:noWrap/>
            <w:hideMark/>
          </w:tcPr>
          <w:p w14:paraId="53C1579A" w14:textId="77777777" w:rsidR="00DF7447" w:rsidRPr="00DF7447" w:rsidRDefault="00DF744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9B" w14:textId="77777777" w:rsidR="00DF7447" w:rsidRPr="00DF7447" w:rsidRDefault="00DF7447" w:rsidP="00DF7447">
            <w:pPr>
              <w:spacing w:after="0"/>
              <w:jc w:val="center"/>
              <w:rPr>
                <w:rFonts w:ascii="Arial Narrow" w:hAnsi="Arial Narrow"/>
                <w:sz w:val="20"/>
                <w:szCs w:val="20"/>
                <w:lang w:eastAsia="en-AU"/>
              </w:rPr>
            </w:pPr>
            <w:r w:rsidRPr="00DF7447">
              <w:rPr>
                <w:rFonts w:ascii="Arial Narrow" w:hAnsi="Arial Narrow"/>
                <w:sz w:val="20"/>
                <w:szCs w:val="20"/>
              </w:rPr>
              <w:t>1.12</w:t>
            </w:r>
          </w:p>
        </w:tc>
        <w:tc>
          <w:tcPr>
            <w:tcW w:w="1045" w:type="dxa"/>
            <w:tcBorders>
              <w:top w:val="nil"/>
              <w:left w:val="nil"/>
              <w:bottom w:val="single" w:sz="4" w:space="0" w:color="auto"/>
              <w:right w:val="single" w:sz="4" w:space="0" w:color="auto"/>
            </w:tcBorders>
            <w:shd w:val="clear" w:color="auto" w:fill="auto"/>
            <w:noWrap/>
            <w:hideMark/>
          </w:tcPr>
          <w:p w14:paraId="53C1579C" w14:textId="77777777" w:rsidR="00DF7447" w:rsidRPr="00DF7447" w:rsidRDefault="00DF7447" w:rsidP="00DF7447">
            <w:pPr>
              <w:spacing w:after="0"/>
              <w:jc w:val="center"/>
              <w:rPr>
                <w:rFonts w:ascii="Arial Narrow" w:hAnsi="Arial Narrow"/>
                <w:sz w:val="20"/>
                <w:szCs w:val="20"/>
                <w:lang w:eastAsia="en-AU"/>
              </w:rPr>
            </w:pPr>
          </w:p>
        </w:tc>
        <w:tc>
          <w:tcPr>
            <w:tcW w:w="1032" w:type="dxa"/>
            <w:tcBorders>
              <w:top w:val="nil"/>
              <w:left w:val="nil"/>
              <w:bottom w:val="single" w:sz="4" w:space="0" w:color="auto"/>
              <w:right w:val="single" w:sz="4" w:space="0" w:color="auto"/>
            </w:tcBorders>
          </w:tcPr>
          <w:p w14:paraId="53C1579D" w14:textId="77777777" w:rsidR="00DF7447" w:rsidRPr="00DF7447" w:rsidRDefault="00DF744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hideMark/>
          </w:tcPr>
          <w:p w14:paraId="53C1579E" w14:textId="77777777" w:rsidR="00DF7447" w:rsidRPr="00DF7447" w:rsidRDefault="00DF744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9F" w14:textId="77777777" w:rsidR="00DF7447" w:rsidRPr="00DF7447" w:rsidRDefault="00DF7447" w:rsidP="00DF7447">
            <w:pPr>
              <w:spacing w:after="0"/>
              <w:jc w:val="center"/>
              <w:rPr>
                <w:rFonts w:ascii="Arial Narrow" w:hAnsi="Arial Narrow"/>
                <w:sz w:val="20"/>
                <w:szCs w:val="20"/>
                <w:lang w:eastAsia="en-AU"/>
              </w:rPr>
            </w:pPr>
            <w:r w:rsidRPr="00DF7447">
              <w:rPr>
                <w:rFonts w:ascii="Arial Narrow" w:hAnsi="Arial Narrow"/>
                <w:sz w:val="20"/>
                <w:szCs w:val="20"/>
              </w:rPr>
              <w:t>0.02</w:t>
            </w:r>
          </w:p>
        </w:tc>
        <w:tc>
          <w:tcPr>
            <w:tcW w:w="1045" w:type="dxa"/>
            <w:tcBorders>
              <w:top w:val="nil"/>
              <w:left w:val="nil"/>
              <w:bottom w:val="single" w:sz="4" w:space="0" w:color="auto"/>
              <w:right w:val="single" w:sz="4" w:space="0" w:color="auto"/>
            </w:tcBorders>
            <w:shd w:val="clear" w:color="auto" w:fill="auto"/>
            <w:noWrap/>
            <w:hideMark/>
          </w:tcPr>
          <w:p w14:paraId="53C157A0" w14:textId="77777777" w:rsidR="00DF7447" w:rsidRPr="00DF7447" w:rsidRDefault="00DF744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A1" w14:textId="77777777" w:rsidR="00DF7447" w:rsidRPr="00DF7447" w:rsidRDefault="00DF744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A2" w14:textId="77777777" w:rsidR="00DF7447" w:rsidRPr="00DF7447" w:rsidRDefault="00DF7447" w:rsidP="00DF7447">
            <w:pPr>
              <w:spacing w:after="0"/>
              <w:jc w:val="center"/>
              <w:rPr>
                <w:rFonts w:ascii="Arial Narrow" w:hAnsi="Arial Narrow"/>
                <w:sz w:val="20"/>
                <w:szCs w:val="20"/>
                <w:lang w:eastAsia="en-AU"/>
              </w:rPr>
            </w:pPr>
            <w:r w:rsidRPr="00DF7447">
              <w:rPr>
                <w:rFonts w:ascii="Arial Narrow" w:hAnsi="Arial Narrow"/>
                <w:sz w:val="20"/>
                <w:szCs w:val="20"/>
              </w:rPr>
              <w:t>0.07</w:t>
            </w:r>
          </w:p>
        </w:tc>
      </w:tr>
      <w:tr w:rsidR="00DF7447" w:rsidRPr="00DF7447" w14:paraId="53C157B1" w14:textId="77777777" w:rsidTr="00EB6F37">
        <w:trPr>
          <w:trHeight w:hRule="exact" w:val="284"/>
        </w:trPr>
        <w:tc>
          <w:tcPr>
            <w:tcW w:w="469" w:type="dxa"/>
            <w:vMerge w:val="restart"/>
            <w:tcBorders>
              <w:top w:val="nil"/>
              <w:left w:val="single" w:sz="4" w:space="0" w:color="auto"/>
              <w:bottom w:val="single" w:sz="4" w:space="0" w:color="auto"/>
              <w:right w:val="single" w:sz="4" w:space="0" w:color="auto"/>
            </w:tcBorders>
            <w:shd w:val="clear" w:color="auto" w:fill="auto"/>
            <w:noWrap/>
            <w:textDirection w:val="btLr"/>
            <w:vAlign w:val="center"/>
          </w:tcPr>
          <w:p w14:paraId="53C157A4" w14:textId="77777777" w:rsidR="00DF7447" w:rsidRPr="00DF7447" w:rsidRDefault="00DF7447" w:rsidP="00DF7447">
            <w:pPr>
              <w:spacing w:after="0"/>
              <w:jc w:val="center"/>
              <w:rPr>
                <w:rFonts w:ascii="Arial Narrow" w:hAnsi="Arial Narrow"/>
                <w:sz w:val="20"/>
                <w:szCs w:val="20"/>
                <w:lang w:eastAsia="en-AU"/>
              </w:rPr>
            </w:pPr>
            <w:r w:rsidRPr="00DF7447">
              <w:rPr>
                <w:rFonts w:ascii="Arial Narrow" w:hAnsi="Arial Narrow"/>
                <w:sz w:val="20"/>
                <w:szCs w:val="20"/>
                <w:lang w:eastAsia="en-AU"/>
              </w:rPr>
              <w:t>Proserpine</w:t>
            </w:r>
          </w:p>
        </w:tc>
        <w:tc>
          <w:tcPr>
            <w:tcW w:w="1985" w:type="dxa"/>
            <w:tcBorders>
              <w:top w:val="nil"/>
              <w:left w:val="single" w:sz="4" w:space="0" w:color="auto"/>
              <w:bottom w:val="single" w:sz="4" w:space="0" w:color="auto"/>
              <w:right w:val="single" w:sz="4" w:space="0" w:color="auto"/>
            </w:tcBorders>
            <w:vAlign w:val="center"/>
          </w:tcPr>
          <w:p w14:paraId="53C157A5" w14:textId="77777777" w:rsidR="00DF7447" w:rsidRPr="00DF7447" w:rsidRDefault="00DF7447" w:rsidP="00DF7447">
            <w:pPr>
              <w:spacing w:after="0"/>
              <w:jc w:val="center"/>
              <w:rPr>
                <w:rFonts w:ascii="Arial Narrow" w:hAnsi="Arial Narrow"/>
                <w:sz w:val="20"/>
                <w:szCs w:val="20"/>
              </w:rPr>
            </w:pPr>
            <w:r w:rsidRPr="00DF7447">
              <w:rPr>
                <w:rFonts w:ascii="Arial Narrow" w:hAnsi="Arial Narrow"/>
                <w:sz w:val="20"/>
                <w:szCs w:val="20"/>
              </w:rPr>
              <w:t>Langford</w:t>
            </w:r>
          </w:p>
        </w:tc>
        <w:tc>
          <w:tcPr>
            <w:tcW w:w="682" w:type="dxa"/>
            <w:tcBorders>
              <w:top w:val="nil"/>
              <w:left w:val="single" w:sz="4" w:space="0" w:color="auto"/>
              <w:bottom w:val="single" w:sz="4" w:space="0" w:color="auto"/>
              <w:right w:val="single" w:sz="4" w:space="0" w:color="auto"/>
            </w:tcBorders>
          </w:tcPr>
          <w:p w14:paraId="53C157A6" w14:textId="77777777" w:rsidR="00DF7447" w:rsidRPr="00DF7447" w:rsidRDefault="00DF7447" w:rsidP="00DF7447">
            <w:pPr>
              <w:spacing w:after="0"/>
              <w:jc w:val="center"/>
              <w:rPr>
                <w:rFonts w:ascii="Arial Narrow" w:hAnsi="Arial Narrow"/>
                <w:sz w:val="20"/>
                <w:szCs w:val="20"/>
              </w:rPr>
            </w:pPr>
            <w:r w:rsidRPr="00DF7447">
              <w:rPr>
                <w:rFonts w:ascii="Arial Narrow" w:hAnsi="Arial Narrow"/>
                <w:sz w:val="20"/>
                <w:szCs w:val="20"/>
              </w:rPr>
              <w:t>5</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7A7" w14:textId="77777777" w:rsidR="00DF7447" w:rsidRPr="00DF7447" w:rsidRDefault="00DF7447" w:rsidP="00DF7447">
            <w:pPr>
              <w:spacing w:after="0"/>
              <w:jc w:val="center"/>
              <w:rPr>
                <w:rFonts w:ascii="Arial Narrow" w:hAnsi="Arial Narrow"/>
                <w:sz w:val="20"/>
                <w:szCs w:val="20"/>
                <w:lang w:eastAsia="en-AU"/>
              </w:rPr>
            </w:pPr>
            <w:r w:rsidRPr="00DF7447">
              <w:rPr>
                <w:rFonts w:ascii="Arial Narrow" w:hAnsi="Arial Narrow"/>
                <w:sz w:val="20"/>
                <w:szCs w:val="20"/>
              </w:rPr>
              <w:t>0.54</w:t>
            </w:r>
          </w:p>
        </w:tc>
        <w:tc>
          <w:tcPr>
            <w:tcW w:w="1045" w:type="dxa"/>
            <w:tcBorders>
              <w:top w:val="nil"/>
              <w:left w:val="nil"/>
              <w:bottom w:val="single" w:sz="4" w:space="0" w:color="auto"/>
              <w:right w:val="single" w:sz="4" w:space="0" w:color="auto"/>
            </w:tcBorders>
            <w:shd w:val="clear" w:color="auto" w:fill="auto"/>
            <w:noWrap/>
            <w:hideMark/>
          </w:tcPr>
          <w:p w14:paraId="53C157A8" w14:textId="77777777" w:rsidR="00DF7447" w:rsidRPr="00DF7447" w:rsidRDefault="00DF744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A9" w14:textId="77777777" w:rsidR="00DF7447" w:rsidRPr="00DF7447" w:rsidRDefault="00DF7447" w:rsidP="00DF7447">
            <w:pPr>
              <w:spacing w:after="0"/>
              <w:jc w:val="center"/>
              <w:rPr>
                <w:rFonts w:ascii="Arial Narrow" w:hAnsi="Arial Narrow"/>
                <w:sz w:val="20"/>
                <w:szCs w:val="20"/>
                <w:lang w:eastAsia="en-AU"/>
              </w:rPr>
            </w:pPr>
            <w:r w:rsidRPr="00DF7447">
              <w:rPr>
                <w:rFonts w:ascii="Arial Narrow" w:hAnsi="Arial Narrow"/>
                <w:sz w:val="20"/>
                <w:szCs w:val="20"/>
              </w:rPr>
              <w:t>0.16</w:t>
            </w:r>
          </w:p>
        </w:tc>
        <w:tc>
          <w:tcPr>
            <w:tcW w:w="1045" w:type="dxa"/>
            <w:tcBorders>
              <w:top w:val="nil"/>
              <w:left w:val="nil"/>
              <w:bottom w:val="single" w:sz="4" w:space="0" w:color="auto"/>
              <w:right w:val="single" w:sz="4" w:space="0" w:color="auto"/>
            </w:tcBorders>
            <w:shd w:val="clear" w:color="auto" w:fill="auto"/>
            <w:noWrap/>
            <w:hideMark/>
          </w:tcPr>
          <w:p w14:paraId="53C157AA" w14:textId="77777777" w:rsidR="00DF7447" w:rsidRPr="00DF7447" w:rsidRDefault="00DF7447" w:rsidP="00DF7447">
            <w:pPr>
              <w:spacing w:after="0"/>
              <w:jc w:val="center"/>
              <w:rPr>
                <w:rFonts w:ascii="Arial Narrow" w:hAnsi="Arial Narrow"/>
                <w:sz w:val="20"/>
                <w:szCs w:val="20"/>
                <w:lang w:eastAsia="en-AU"/>
              </w:rPr>
            </w:pPr>
          </w:p>
        </w:tc>
        <w:tc>
          <w:tcPr>
            <w:tcW w:w="1032" w:type="dxa"/>
            <w:tcBorders>
              <w:top w:val="nil"/>
              <w:left w:val="nil"/>
              <w:bottom w:val="single" w:sz="4" w:space="0" w:color="auto"/>
              <w:right w:val="single" w:sz="4" w:space="0" w:color="auto"/>
            </w:tcBorders>
          </w:tcPr>
          <w:p w14:paraId="53C157AB" w14:textId="77777777" w:rsidR="00DF7447" w:rsidRPr="00DF7447" w:rsidRDefault="00DF744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hideMark/>
          </w:tcPr>
          <w:p w14:paraId="53C157AC" w14:textId="77777777" w:rsidR="00DF7447" w:rsidRPr="00DF7447" w:rsidRDefault="00DF744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AD" w14:textId="77777777" w:rsidR="00DF7447" w:rsidRPr="00DF7447" w:rsidRDefault="00DF744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AE" w14:textId="77777777" w:rsidR="00DF7447" w:rsidRPr="00DF7447" w:rsidRDefault="00DF744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AF" w14:textId="77777777" w:rsidR="00DF7447" w:rsidRPr="00DF7447" w:rsidRDefault="00DF744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B0" w14:textId="77777777" w:rsidR="00DF7447" w:rsidRPr="00DF7447" w:rsidRDefault="00DF7447" w:rsidP="00DF7447">
            <w:pPr>
              <w:spacing w:after="0"/>
              <w:jc w:val="center"/>
              <w:rPr>
                <w:rFonts w:ascii="Arial Narrow" w:hAnsi="Arial Narrow"/>
                <w:sz w:val="20"/>
                <w:szCs w:val="20"/>
                <w:lang w:eastAsia="en-AU"/>
              </w:rPr>
            </w:pPr>
            <w:r w:rsidRPr="00DF7447">
              <w:rPr>
                <w:rFonts w:ascii="Arial Narrow" w:hAnsi="Arial Narrow"/>
                <w:sz w:val="20"/>
                <w:szCs w:val="20"/>
              </w:rPr>
              <w:t>0.07</w:t>
            </w:r>
          </w:p>
        </w:tc>
      </w:tr>
      <w:tr w:rsidR="00DF7447" w:rsidRPr="00DF7447" w14:paraId="53C157BF" w14:textId="77777777" w:rsidTr="00EB6F37">
        <w:trPr>
          <w:trHeight w:hRule="exact" w:val="284"/>
        </w:trPr>
        <w:tc>
          <w:tcPr>
            <w:tcW w:w="469" w:type="dxa"/>
            <w:vMerge/>
            <w:tcBorders>
              <w:top w:val="nil"/>
              <w:left w:val="single" w:sz="4" w:space="0" w:color="auto"/>
              <w:bottom w:val="single" w:sz="4" w:space="0" w:color="auto"/>
              <w:right w:val="single" w:sz="4" w:space="0" w:color="auto"/>
            </w:tcBorders>
            <w:vAlign w:val="center"/>
          </w:tcPr>
          <w:p w14:paraId="53C157B2" w14:textId="77777777" w:rsidR="00DF7447" w:rsidRPr="00DF7447" w:rsidRDefault="00DF7447" w:rsidP="00DF7447">
            <w:pPr>
              <w:spacing w:after="0"/>
              <w:jc w:val="left"/>
              <w:rPr>
                <w:rFonts w:ascii="Arial Narrow" w:hAnsi="Arial Narrow"/>
                <w:sz w:val="20"/>
                <w:szCs w:val="20"/>
                <w:lang w:eastAsia="en-AU"/>
              </w:rPr>
            </w:pPr>
          </w:p>
        </w:tc>
        <w:tc>
          <w:tcPr>
            <w:tcW w:w="1985" w:type="dxa"/>
            <w:tcBorders>
              <w:top w:val="nil"/>
              <w:left w:val="single" w:sz="4" w:space="0" w:color="auto"/>
              <w:bottom w:val="single" w:sz="4" w:space="0" w:color="auto"/>
              <w:right w:val="single" w:sz="4" w:space="0" w:color="auto"/>
            </w:tcBorders>
            <w:vAlign w:val="center"/>
          </w:tcPr>
          <w:p w14:paraId="53C157B3" w14:textId="77777777" w:rsidR="00DF7447" w:rsidRPr="00DF7447" w:rsidRDefault="00DF7447" w:rsidP="00DF7447">
            <w:pPr>
              <w:spacing w:after="0"/>
              <w:jc w:val="center"/>
              <w:rPr>
                <w:rFonts w:ascii="Arial Narrow" w:hAnsi="Arial Narrow"/>
                <w:sz w:val="20"/>
                <w:szCs w:val="20"/>
              </w:rPr>
            </w:pPr>
            <w:r w:rsidRPr="00DF7447">
              <w:rPr>
                <w:rFonts w:ascii="Arial Narrow" w:hAnsi="Arial Narrow"/>
                <w:sz w:val="20"/>
                <w:szCs w:val="20"/>
              </w:rPr>
              <w:t>Border</w:t>
            </w:r>
          </w:p>
        </w:tc>
        <w:tc>
          <w:tcPr>
            <w:tcW w:w="682" w:type="dxa"/>
            <w:tcBorders>
              <w:top w:val="nil"/>
              <w:left w:val="single" w:sz="4" w:space="0" w:color="auto"/>
              <w:bottom w:val="single" w:sz="4" w:space="0" w:color="auto"/>
              <w:right w:val="single" w:sz="4" w:space="0" w:color="auto"/>
            </w:tcBorders>
          </w:tcPr>
          <w:p w14:paraId="53C157B4" w14:textId="77777777" w:rsidR="00DF7447" w:rsidRPr="00DF7447" w:rsidRDefault="00DF7447" w:rsidP="00DF7447">
            <w:pPr>
              <w:spacing w:after="0"/>
              <w:jc w:val="center"/>
              <w:rPr>
                <w:rFonts w:ascii="Arial Narrow" w:hAnsi="Arial Narrow"/>
                <w:sz w:val="20"/>
                <w:szCs w:val="20"/>
              </w:rPr>
            </w:pPr>
            <w:r w:rsidRPr="00DF7447">
              <w:rPr>
                <w:rFonts w:ascii="Arial Narrow" w:hAnsi="Arial Narrow"/>
                <w:sz w:val="20"/>
                <w:szCs w:val="20"/>
              </w:rPr>
              <w:t>5</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7B5" w14:textId="77777777" w:rsidR="00DF7447" w:rsidRPr="00DF7447" w:rsidRDefault="00DF7447" w:rsidP="00DF7447">
            <w:pPr>
              <w:spacing w:after="0"/>
              <w:jc w:val="center"/>
              <w:rPr>
                <w:rFonts w:ascii="Arial Narrow" w:hAnsi="Arial Narrow"/>
                <w:sz w:val="20"/>
                <w:szCs w:val="20"/>
                <w:lang w:eastAsia="en-AU"/>
              </w:rPr>
            </w:pPr>
            <w:r w:rsidRPr="00DF7447">
              <w:rPr>
                <w:rFonts w:ascii="Arial Narrow" w:hAnsi="Arial Narrow"/>
                <w:sz w:val="20"/>
                <w:szCs w:val="20"/>
              </w:rPr>
              <w:t>1.80</w:t>
            </w:r>
          </w:p>
        </w:tc>
        <w:tc>
          <w:tcPr>
            <w:tcW w:w="1045" w:type="dxa"/>
            <w:tcBorders>
              <w:top w:val="nil"/>
              <w:left w:val="nil"/>
              <w:bottom w:val="single" w:sz="4" w:space="0" w:color="auto"/>
              <w:right w:val="single" w:sz="4" w:space="0" w:color="auto"/>
            </w:tcBorders>
            <w:shd w:val="clear" w:color="auto" w:fill="auto"/>
            <w:noWrap/>
            <w:hideMark/>
          </w:tcPr>
          <w:p w14:paraId="53C157B6" w14:textId="77777777" w:rsidR="00DF7447" w:rsidRPr="00DF7447" w:rsidRDefault="00DF744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B7" w14:textId="77777777" w:rsidR="00DF7447" w:rsidRPr="00DF7447" w:rsidRDefault="00DF7447" w:rsidP="00DF7447">
            <w:pPr>
              <w:spacing w:after="0"/>
              <w:jc w:val="center"/>
              <w:rPr>
                <w:rFonts w:ascii="Arial Narrow" w:hAnsi="Arial Narrow"/>
                <w:sz w:val="20"/>
                <w:szCs w:val="20"/>
                <w:lang w:eastAsia="en-AU"/>
              </w:rPr>
            </w:pPr>
            <w:r w:rsidRPr="00DF7447">
              <w:rPr>
                <w:rFonts w:ascii="Arial Narrow" w:hAnsi="Arial Narrow"/>
                <w:sz w:val="20"/>
                <w:szCs w:val="20"/>
              </w:rPr>
              <w:t>0.17</w:t>
            </w:r>
          </w:p>
        </w:tc>
        <w:tc>
          <w:tcPr>
            <w:tcW w:w="1045" w:type="dxa"/>
            <w:tcBorders>
              <w:top w:val="nil"/>
              <w:left w:val="nil"/>
              <w:bottom w:val="single" w:sz="4" w:space="0" w:color="auto"/>
              <w:right w:val="single" w:sz="4" w:space="0" w:color="auto"/>
            </w:tcBorders>
            <w:shd w:val="clear" w:color="auto" w:fill="auto"/>
            <w:noWrap/>
            <w:hideMark/>
          </w:tcPr>
          <w:p w14:paraId="53C157B8" w14:textId="77777777" w:rsidR="00DF7447" w:rsidRPr="00DF7447" w:rsidRDefault="00DF7447" w:rsidP="00DF7447">
            <w:pPr>
              <w:spacing w:after="0"/>
              <w:jc w:val="center"/>
              <w:rPr>
                <w:rFonts w:ascii="Arial Narrow" w:hAnsi="Arial Narrow"/>
                <w:sz w:val="20"/>
                <w:szCs w:val="20"/>
                <w:lang w:eastAsia="en-AU"/>
              </w:rPr>
            </w:pPr>
          </w:p>
        </w:tc>
        <w:tc>
          <w:tcPr>
            <w:tcW w:w="1032" w:type="dxa"/>
            <w:tcBorders>
              <w:top w:val="nil"/>
              <w:left w:val="nil"/>
              <w:bottom w:val="single" w:sz="4" w:space="0" w:color="auto"/>
              <w:right w:val="single" w:sz="4" w:space="0" w:color="auto"/>
            </w:tcBorders>
          </w:tcPr>
          <w:p w14:paraId="53C157B9" w14:textId="77777777" w:rsidR="00DF7447" w:rsidRPr="00DF7447" w:rsidRDefault="00DF744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hideMark/>
          </w:tcPr>
          <w:p w14:paraId="53C157BA" w14:textId="77777777" w:rsidR="00DF7447" w:rsidRPr="00DF7447" w:rsidRDefault="00DF744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BB" w14:textId="77777777" w:rsidR="00DF7447" w:rsidRPr="00DF7447" w:rsidRDefault="00DF7447" w:rsidP="00DF7447">
            <w:pPr>
              <w:spacing w:after="0"/>
              <w:jc w:val="center"/>
              <w:rPr>
                <w:rFonts w:ascii="Arial Narrow" w:hAnsi="Arial Narrow"/>
                <w:sz w:val="20"/>
                <w:szCs w:val="20"/>
                <w:lang w:eastAsia="en-AU"/>
              </w:rPr>
            </w:pPr>
            <w:r w:rsidRPr="00DF7447">
              <w:rPr>
                <w:rFonts w:ascii="Arial Narrow" w:hAnsi="Arial Narrow"/>
                <w:sz w:val="20"/>
                <w:szCs w:val="20"/>
              </w:rPr>
              <w:t>0.01</w:t>
            </w:r>
          </w:p>
        </w:tc>
        <w:tc>
          <w:tcPr>
            <w:tcW w:w="1045" w:type="dxa"/>
            <w:tcBorders>
              <w:top w:val="nil"/>
              <w:left w:val="nil"/>
              <w:bottom w:val="single" w:sz="4" w:space="0" w:color="auto"/>
              <w:right w:val="single" w:sz="4" w:space="0" w:color="auto"/>
            </w:tcBorders>
            <w:shd w:val="clear" w:color="auto" w:fill="auto"/>
            <w:noWrap/>
            <w:hideMark/>
          </w:tcPr>
          <w:p w14:paraId="53C157BC" w14:textId="77777777" w:rsidR="00DF7447" w:rsidRPr="00DF7447" w:rsidRDefault="00DF7447" w:rsidP="00DF7447">
            <w:pPr>
              <w:spacing w:after="0"/>
              <w:jc w:val="center"/>
              <w:rPr>
                <w:rFonts w:ascii="Arial Narrow" w:hAnsi="Arial Narrow"/>
                <w:sz w:val="20"/>
                <w:szCs w:val="20"/>
                <w:lang w:eastAsia="en-AU"/>
              </w:rPr>
            </w:pPr>
            <w:r w:rsidRPr="00DF7447">
              <w:rPr>
                <w:rFonts w:ascii="Arial Narrow" w:hAnsi="Arial Narrow"/>
                <w:sz w:val="20"/>
                <w:szCs w:val="20"/>
              </w:rPr>
              <w:t>0.03</w:t>
            </w:r>
          </w:p>
        </w:tc>
        <w:tc>
          <w:tcPr>
            <w:tcW w:w="1045" w:type="dxa"/>
            <w:tcBorders>
              <w:top w:val="nil"/>
              <w:left w:val="nil"/>
              <w:bottom w:val="single" w:sz="4" w:space="0" w:color="auto"/>
              <w:right w:val="single" w:sz="4" w:space="0" w:color="auto"/>
            </w:tcBorders>
            <w:shd w:val="clear" w:color="auto" w:fill="auto"/>
            <w:noWrap/>
            <w:hideMark/>
          </w:tcPr>
          <w:p w14:paraId="53C157BD" w14:textId="77777777" w:rsidR="00DF7447" w:rsidRPr="00DF7447" w:rsidRDefault="00DF7447" w:rsidP="00DF7447">
            <w:pPr>
              <w:spacing w:after="0"/>
              <w:jc w:val="center"/>
              <w:rPr>
                <w:rFonts w:ascii="Arial Narrow" w:hAnsi="Arial Narrow"/>
                <w:sz w:val="20"/>
                <w:szCs w:val="20"/>
                <w:lang w:eastAsia="en-AU"/>
              </w:rPr>
            </w:pPr>
            <w:r w:rsidRPr="00DF7447">
              <w:rPr>
                <w:rFonts w:ascii="Arial Narrow" w:hAnsi="Arial Narrow"/>
                <w:sz w:val="20"/>
                <w:szCs w:val="20"/>
              </w:rPr>
              <w:t>0.20</w:t>
            </w:r>
          </w:p>
        </w:tc>
        <w:tc>
          <w:tcPr>
            <w:tcW w:w="1045" w:type="dxa"/>
            <w:tcBorders>
              <w:top w:val="nil"/>
              <w:left w:val="nil"/>
              <w:bottom w:val="single" w:sz="4" w:space="0" w:color="auto"/>
              <w:right w:val="single" w:sz="4" w:space="0" w:color="auto"/>
            </w:tcBorders>
            <w:shd w:val="clear" w:color="auto" w:fill="auto"/>
            <w:noWrap/>
            <w:hideMark/>
          </w:tcPr>
          <w:p w14:paraId="53C157BE" w14:textId="77777777" w:rsidR="00DF7447" w:rsidRPr="00DF7447" w:rsidRDefault="00DF7447" w:rsidP="00DF7447">
            <w:pPr>
              <w:spacing w:after="0"/>
              <w:jc w:val="center"/>
              <w:rPr>
                <w:rFonts w:ascii="Arial Narrow" w:hAnsi="Arial Narrow"/>
                <w:sz w:val="20"/>
                <w:szCs w:val="20"/>
                <w:lang w:eastAsia="en-AU"/>
              </w:rPr>
            </w:pPr>
            <w:r w:rsidRPr="00DF7447">
              <w:rPr>
                <w:rFonts w:ascii="Arial Narrow" w:hAnsi="Arial Narrow"/>
                <w:sz w:val="20"/>
                <w:szCs w:val="20"/>
              </w:rPr>
              <w:t>0.03</w:t>
            </w:r>
          </w:p>
        </w:tc>
      </w:tr>
      <w:tr w:rsidR="00EB6F37" w:rsidRPr="00DF7447" w14:paraId="53C157CD" w14:textId="77777777" w:rsidTr="00EB6F37">
        <w:trPr>
          <w:trHeight w:hRule="exact" w:val="284"/>
        </w:trPr>
        <w:tc>
          <w:tcPr>
            <w:tcW w:w="469" w:type="dxa"/>
            <w:vMerge/>
            <w:tcBorders>
              <w:top w:val="nil"/>
              <w:left w:val="single" w:sz="4" w:space="0" w:color="auto"/>
              <w:bottom w:val="single" w:sz="4" w:space="0" w:color="auto"/>
              <w:right w:val="single" w:sz="4" w:space="0" w:color="auto"/>
            </w:tcBorders>
            <w:vAlign w:val="center"/>
          </w:tcPr>
          <w:p w14:paraId="53C157C0" w14:textId="77777777" w:rsidR="00EB6F37" w:rsidRPr="00DF7447" w:rsidRDefault="00EB6F37" w:rsidP="00DF7447">
            <w:pPr>
              <w:spacing w:after="0"/>
              <w:jc w:val="left"/>
              <w:rPr>
                <w:rFonts w:ascii="Arial Narrow" w:hAnsi="Arial Narrow"/>
                <w:sz w:val="20"/>
                <w:szCs w:val="20"/>
                <w:lang w:eastAsia="en-AU"/>
              </w:rPr>
            </w:pPr>
          </w:p>
        </w:tc>
        <w:tc>
          <w:tcPr>
            <w:tcW w:w="1985" w:type="dxa"/>
            <w:vMerge w:val="restart"/>
            <w:tcBorders>
              <w:top w:val="nil"/>
              <w:left w:val="single" w:sz="4" w:space="0" w:color="auto"/>
              <w:right w:val="single" w:sz="4" w:space="0" w:color="auto"/>
            </w:tcBorders>
            <w:vAlign w:val="center"/>
          </w:tcPr>
          <w:p w14:paraId="53C157C1" w14:textId="77777777" w:rsidR="00EB6F37" w:rsidRPr="00DF7447" w:rsidRDefault="00EB6F37" w:rsidP="00EB6F37">
            <w:pPr>
              <w:spacing w:after="0"/>
              <w:jc w:val="center"/>
              <w:rPr>
                <w:rFonts w:ascii="Arial Narrow" w:hAnsi="Arial Narrow"/>
                <w:sz w:val="20"/>
                <w:szCs w:val="20"/>
              </w:rPr>
            </w:pPr>
            <w:r w:rsidRPr="00DF7447">
              <w:rPr>
                <w:rFonts w:ascii="Arial Narrow" w:hAnsi="Arial Narrow"/>
                <w:sz w:val="20"/>
                <w:szCs w:val="20"/>
              </w:rPr>
              <w:t>Hook</w:t>
            </w:r>
          </w:p>
        </w:tc>
        <w:tc>
          <w:tcPr>
            <w:tcW w:w="682" w:type="dxa"/>
            <w:tcBorders>
              <w:top w:val="nil"/>
              <w:left w:val="single" w:sz="4" w:space="0" w:color="auto"/>
              <w:bottom w:val="single" w:sz="4" w:space="0" w:color="auto"/>
              <w:right w:val="single" w:sz="4" w:space="0" w:color="auto"/>
            </w:tcBorders>
          </w:tcPr>
          <w:p w14:paraId="53C157C2"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2</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7C3"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0.34</w:t>
            </w:r>
          </w:p>
        </w:tc>
        <w:tc>
          <w:tcPr>
            <w:tcW w:w="1045" w:type="dxa"/>
            <w:tcBorders>
              <w:top w:val="nil"/>
              <w:left w:val="nil"/>
              <w:bottom w:val="single" w:sz="4" w:space="0" w:color="auto"/>
              <w:right w:val="single" w:sz="4" w:space="0" w:color="auto"/>
            </w:tcBorders>
            <w:shd w:val="clear" w:color="auto" w:fill="auto"/>
            <w:noWrap/>
            <w:hideMark/>
          </w:tcPr>
          <w:p w14:paraId="53C157C4"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C5"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0.31</w:t>
            </w:r>
          </w:p>
        </w:tc>
        <w:tc>
          <w:tcPr>
            <w:tcW w:w="1045" w:type="dxa"/>
            <w:tcBorders>
              <w:top w:val="nil"/>
              <w:left w:val="nil"/>
              <w:bottom w:val="single" w:sz="4" w:space="0" w:color="auto"/>
              <w:right w:val="single" w:sz="4" w:space="0" w:color="auto"/>
            </w:tcBorders>
            <w:shd w:val="clear" w:color="auto" w:fill="auto"/>
            <w:noWrap/>
            <w:hideMark/>
          </w:tcPr>
          <w:p w14:paraId="53C157C6" w14:textId="77777777" w:rsidR="00EB6F37" w:rsidRPr="00DF7447" w:rsidRDefault="00EB6F37" w:rsidP="00DF7447">
            <w:pPr>
              <w:spacing w:after="0"/>
              <w:jc w:val="center"/>
              <w:rPr>
                <w:rFonts w:ascii="Arial Narrow" w:hAnsi="Arial Narrow"/>
                <w:sz w:val="20"/>
                <w:szCs w:val="20"/>
                <w:lang w:eastAsia="en-AU"/>
              </w:rPr>
            </w:pPr>
          </w:p>
        </w:tc>
        <w:tc>
          <w:tcPr>
            <w:tcW w:w="1032" w:type="dxa"/>
            <w:tcBorders>
              <w:top w:val="nil"/>
              <w:left w:val="nil"/>
              <w:bottom w:val="single" w:sz="4" w:space="0" w:color="auto"/>
              <w:right w:val="single" w:sz="4" w:space="0" w:color="auto"/>
            </w:tcBorders>
          </w:tcPr>
          <w:p w14:paraId="53C157C7"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hideMark/>
          </w:tcPr>
          <w:p w14:paraId="53C157C8"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C9"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CA"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CB"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CC"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7DB" w14:textId="77777777" w:rsidTr="00EB6F37">
        <w:trPr>
          <w:trHeight w:hRule="exact" w:val="284"/>
        </w:trPr>
        <w:tc>
          <w:tcPr>
            <w:tcW w:w="469" w:type="dxa"/>
            <w:vMerge/>
            <w:tcBorders>
              <w:top w:val="nil"/>
              <w:left w:val="single" w:sz="4" w:space="0" w:color="auto"/>
              <w:bottom w:val="single" w:sz="4" w:space="0" w:color="auto"/>
              <w:right w:val="single" w:sz="4" w:space="0" w:color="auto"/>
            </w:tcBorders>
            <w:vAlign w:val="center"/>
          </w:tcPr>
          <w:p w14:paraId="53C157CE" w14:textId="77777777" w:rsidR="00EB6F37" w:rsidRPr="00DF7447" w:rsidRDefault="00EB6F37" w:rsidP="00DF7447">
            <w:pPr>
              <w:spacing w:after="0"/>
              <w:jc w:val="left"/>
              <w:rPr>
                <w:rFonts w:ascii="Arial Narrow" w:hAnsi="Arial Narrow"/>
                <w:sz w:val="20"/>
                <w:szCs w:val="20"/>
                <w:lang w:eastAsia="en-AU"/>
              </w:rPr>
            </w:pPr>
          </w:p>
        </w:tc>
        <w:tc>
          <w:tcPr>
            <w:tcW w:w="1985" w:type="dxa"/>
            <w:vMerge/>
            <w:tcBorders>
              <w:left w:val="single" w:sz="4" w:space="0" w:color="auto"/>
              <w:bottom w:val="single" w:sz="4" w:space="0" w:color="auto"/>
              <w:right w:val="single" w:sz="4" w:space="0" w:color="auto"/>
            </w:tcBorders>
            <w:vAlign w:val="center"/>
          </w:tcPr>
          <w:p w14:paraId="53C157CF" w14:textId="77777777" w:rsidR="00EB6F37" w:rsidRPr="00DF7447" w:rsidRDefault="00EB6F37" w:rsidP="00DF7447">
            <w:pPr>
              <w:spacing w:after="0"/>
              <w:jc w:val="center"/>
              <w:rPr>
                <w:rFonts w:ascii="Arial Narrow" w:hAnsi="Arial Narrow"/>
                <w:sz w:val="20"/>
                <w:szCs w:val="20"/>
              </w:rPr>
            </w:pPr>
          </w:p>
        </w:tc>
        <w:tc>
          <w:tcPr>
            <w:tcW w:w="682" w:type="dxa"/>
            <w:tcBorders>
              <w:top w:val="nil"/>
              <w:left w:val="single" w:sz="4" w:space="0" w:color="auto"/>
              <w:bottom w:val="single" w:sz="4" w:space="0" w:color="auto"/>
              <w:right w:val="single" w:sz="4" w:space="0" w:color="auto"/>
            </w:tcBorders>
          </w:tcPr>
          <w:p w14:paraId="53C157D0"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5</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7D1"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0.58</w:t>
            </w:r>
          </w:p>
        </w:tc>
        <w:tc>
          <w:tcPr>
            <w:tcW w:w="1045" w:type="dxa"/>
            <w:tcBorders>
              <w:top w:val="nil"/>
              <w:left w:val="nil"/>
              <w:bottom w:val="single" w:sz="4" w:space="0" w:color="auto"/>
              <w:right w:val="single" w:sz="4" w:space="0" w:color="auto"/>
            </w:tcBorders>
            <w:shd w:val="clear" w:color="auto" w:fill="auto"/>
            <w:noWrap/>
            <w:hideMark/>
          </w:tcPr>
          <w:p w14:paraId="53C157D2"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D3"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0.56</w:t>
            </w:r>
          </w:p>
        </w:tc>
        <w:tc>
          <w:tcPr>
            <w:tcW w:w="1045" w:type="dxa"/>
            <w:tcBorders>
              <w:top w:val="nil"/>
              <w:left w:val="nil"/>
              <w:bottom w:val="single" w:sz="4" w:space="0" w:color="auto"/>
              <w:right w:val="single" w:sz="4" w:space="0" w:color="auto"/>
            </w:tcBorders>
            <w:shd w:val="clear" w:color="auto" w:fill="auto"/>
            <w:noWrap/>
            <w:hideMark/>
          </w:tcPr>
          <w:p w14:paraId="53C157D4" w14:textId="77777777" w:rsidR="00EB6F37" w:rsidRPr="00DF7447" w:rsidRDefault="00EB6F37" w:rsidP="00DF7447">
            <w:pPr>
              <w:spacing w:after="0"/>
              <w:jc w:val="center"/>
              <w:rPr>
                <w:rFonts w:ascii="Arial Narrow" w:hAnsi="Arial Narrow"/>
                <w:sz w:val="20"/>
                <w:szCs w:val="20"/>
                <w:lang w:eastAsia="en-AU"/>
              </w:rPr>
            </w:pPr>
          </w:p>
        </w:tc>
        <w:tc>
          <w:tcPr>
            <w:tcW w:w="1032" w:type="dxa"/>
            <w:tcBorders>
              <w:top w:val="nil"/>
              <w:left w:val="nil"/>
              <w:bottom w:val="single" w:sz="4" w:space="0" w:color="auto"/>
              <w:right w:val="single" w:sz="4" w:space="0" w:color="auto"/>
            </w:tcBorders>
          </w:tcPr>
          <w:p w14:paraId="53C157D5"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hideMark/>
          </w:tcPr>
          <w:p w14:paraId="53C157D6"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D7"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D8"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D9"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DA"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7E9" w14:textId="77777777" w:rsidTr="00EB6F37">
        <w:trPr>
          <w:trHeight w:hRule="exact" w:val="284"/>
        </w:trPr>
        <w:tc>
          <w:tcPr>
            <w:tcW w:w="469" w:type="dxa"/>
            <w:vMerge/>
            <w:tcBorders>
              <w:top w:val="nil"/>
              <w:left w:val="single" w:sz="4" w:space="0" w:color="auto"/>
              <w:bottom w:val="single" w:sz="4" w:space="0" w:color="auto"/>
              <w:right w:val="single" w:sz="4" w:space="0" w:color="auto"/>
            </w:tcBorders>
            <w:vAlign w:val="center"/>
          </w:tcPr>
          <w:p w14:paraId="53C157DC" w14:textId="77777777" w:rsidR="00EB6F37" w:rsidRPr="00DF7447" w:rsidRDefault="00EB6F37" w:rsidP="00DF7447">
            <w:pPr>
              <w:spacing w:after="0"/>
              <w:jc w:val="left"/>
              <w:rPr>
                <w:rFonts w:ascii="Arial Narrow" w:hAnsi="Arial Narrow"/>
                <w:sz w:val="20"/>
                <w:szCs w:val="20"/>
                <w:lang w:eastAsia="en-AU"/>
              </w:rPr>
            </w:pPr>
          </w:p>
        </w:tc>
        <w:tc>
          <w:tcPr>
            <w:tcW w:w="1985" w:type="dxa"/>
            <w:vMerge w:val="restart"/>
            <w:tcBorders>
              <w:top w:val="nil"/>
              <w:left w:val="single" w:sz="4" w:space="0" w:color="auto"/>
              <w:right w:val="single" w:sz="4" w:space="0" w:color="auto"/>
            </w:tcBorders>
            <w:vAlign w:val="center"/>
          </w:tcPr>
          <w:p w14:paraId="53C157DD" w14:textId="77777777" w:rsidR="00EB6F37" w:rsidRPr="00DF7447" w:rsidRDefault="00EB6F37" w:rsidP="00EB6F37">
            <w:pPr>
              <w:spacing w:after="0"/>
              <w:jc w:val="center"/>
              <w:rPr>
                <w:rFonts w:ascii="Arial Narrow" w:hAnsi="Arial Narrow"/>
                <w:sz w:val="20"/>
                <w:szCs w:val="20"/>
              </w:rPr>
            </w:pPr>
            <w:r w:rsidRPr="00DF7447">
              <w:rPr>
                <w:rFonts w:ascii="Arial Narrow" w:hAnsi="Arial Narrow"/>
                <w:sz w:val="20"/>
                <w:szCs w:val="20"/>
              </w:rPr>
              <w:t>Double Cone</w:t>
            </w:r>
          </w:p>
        </w:tc>
        <w:tc>
          <w:tcPr>
            <w:tcW w:w="682" w:type="dxa"/>
            <w:tcBorders>
              <w:top w:val="nil"/>
              <w:left w:val="single" w:sz="4" w:space="0" w:color="auto"/>
              <w:bottom w:val="single" w:sz="4" w:space="0" w:color="auto"/>
              <w:right w:val="single" w:sz="4" w:space="0" w:color="auto"/>
            </w:tcBorders>
          </w:tcPr>
          <w:p w14:paraId="53C157DE"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2</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7DF"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E0"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E1"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E2" w14:textId="77777777" w:rsidR="00EB6F37" w:rsidRPr="00DF7447" w:rsidRDefault="00EB6F37" w:rsidP="00DF7447">
            <w:pPr>
              <w:spacing w:after="0"/>
              <w:jc w:val="center"/>
              <w:rPr>
                <w:rFonts w:ascii="Arial Narrow" w:hAnsi="Arial Narrow"/>
                <w:sz w:val="20"/>
                <w:szCs w:val="20"/>
                <w:lang w:eastAsia="en-AU"/>
              </w:rPr>
            </w:pPr>
          </w:p>
        </w:tc>
        <w:tc>
          <w:tcPr>
            <w:tcW w:w="1032" w:type="dxa"/>
            <w:tcBorders>
              <w:top w:val="nil"/>
              <w:left w:val="nil"/>
              <w:bottom w:val="single" w:sz="4" w:space="0" w:color="auto"/>
              <w:right w:val="single" w:sz="4" w:space="0" w:color="auto"/>
            </w:tcBorders>
          </w:tcPr>
          <w:p w14:paraId="53C157E3"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hideMark/>
          </w:tcPr>
          <w:p w14:paraId="53C157E4"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E5"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E6"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E7"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E8"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7F7" w14:textId="77777777" w:rsidTr="00EB6F37">
        <w:trPr>
          <w:trHeight w:hRule="exact" w:val="284"/>
        </w:trPr>
        <w:tc>
          <w:tcPr>
            <w:tcW w:w="469" w:type="dxa"/>
            <w:vMerge/>
            <w:tcBorders>
              <w:top w:val="nil"/>
              <w:left w:val="single" w:sz="4" w:space="0" w:color="auto"/>
              <w:bottom w:val="single" w:sz="4" w:space="0" w:color="auto"/>
              <w:right w:val="single" w:sz="4" w:space="0" w:color="auto"/>
            </w:tcBorders>
            <w:vAlign w:val="center"/>
          </w:tcPr>
          <w:p w14:paraId="53C157EA" w14:textId="77777777" w:rsidR="00EB6F37" w:rsidRPr="00DF7447" w:rsidRDefault="00EB6F37" w:rsidP="00DF7447">
            <w:pPr>
              <w:spacing w:after="0"/>
              <w:jc w:val="left"/>
              <w:rPr>
                <w:rFonts w:ascii="Arial Narrow" w:hAnsi="Arial Narrow"/>
                <w:sz w:val="20"/>
                <w:szCs w:val="20"/>
                <w:lang w:eastAsia="en-AU"/>
              </w:rPr>
            </w:pPr>
          </w:p>
        </w:tc>
        <w:tc>
          <w:tcPr>
            <w:tcW w:w="1985" w:type="dxa"/>
            <w:vMerge/>
            <w:tcBorders>
              <w:left w:val="single" w:sz="4" w:space="0" w:color="auto"/>
              <w:bottom w:val="single" w:sz="4" w:space="0" w:color="auto"/>
              <w:right w:val="single" w:sz="4" w:space="0" w:color="auto"/>
            </w:tcBorders>
            <w:vAlign w:val="center"/>
          </w:tcPr>
          <w:p w14:paraId="53C157EB" w14:textId="77777777" w:rsidR="00EB6F37" w:rsidRPr="00DF7447" w:rsidRDefault="00EB6F37" w:rsidP="00DF7447">
            <w:pPr>
              <w:spacing w:after="0"/>
              <w:jc w:val="center"/>
              <w:rPr>
                <w:rFonts w:ascii="Arial Narrow" w:hAnsi="Arial Narrow"/>
                <w:sz w:val="20"/>
                <w:szCs w:val="20"/>
              </w:rPr>
            </w:pPr>
          </w:p>
        </w:tc>
        <w:tc>
          <w:tcPr>
            <w:tcW w:w="682" w:type="dxa"/>
            <w:tcBorders>
              <w:top w:val="nil"/>
              <w:left w:val="single" w:sz="4" w:space="0" w:color="auto"/>
              <w:bottom w:val="single" w:sz="4" w:space="0" w:color="auto"/>
              <w:right w:val="single" w:sz="4" w:space="0" w:color="auto"/>
            </w:tcBorders>
          </w:tcPr>
          <w:p w14:paraId="53C157EC"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5</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7ED"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0.02</w:t>
            </w:r>
          </w:p>
        </w:tc>
        <w:tc>
          <w:tcPr>
            <w:tcW w:w="1045" w:type="dxa"/>
            <w:tcBorders>
              <w:top w:val="nil"/>
              <w:left w:val="nil"/>
              <w:bottom w:val="single" w:sz="4" w:space="0" w:color="auto"/>
              <w:right w:val="single" w:sz="4" w:space="0" w:color="auto"/>
            </w:tcBorders>
            <w:shd w:val="clear" w:color="auto" w:fill="auto"/>
            <w:noWrap/>
            <w:hideMark/>
          </w:tcPr>
          <w:p w14:paraId="53C157EE"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EF"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0.19</w:t>
            </w:r>
          </w:p>
        </w:tc>
        <w:tc>
          <w:tcPr>
            <w:tcW w:w="1045" w:type="dxa"/>
            <w:tcBorders>
              <w:top w:val="nil"/>
              <w:left w:val="nil"/>
              <w:bottom w:val="single" w:sz="4" w:space="0" w:color="auto"/>
              <w:right w:val="single" w:sz="4" w:space="0" w:color="auto"/>
            </w:tcBorders>
            <w:shd w:val="clear" w:color="auto" w:fill="auto"/>
            <w:noWrap/>
            <w:hideMark/>
          </w:tcPr>
          <w:p w14:paraId="53C157F0" w14:textId="77777777" w:rsidR="00EB6F37" w:rsidRPr="00DF7447" w:rsidRDefault="00EB6F37" w:rsidP="00DF7447">
            <w:pPr>
              <w:spacing w:after="0"/>
              <w:jc w:val="center"/>
              <w:rPr>
                <w:rFonts w:ascii="Arial Narrow" w:hAnsi="Arial Narrow"/>
                <w:sz w:val="20"/>
                <w:szCs w:val="20"/>
                <w:lang w:eastAsia="en-AU"/>
              </w:rPr>
            </w:pPr>
          </w:p>
        </w:tc>
        <w:tc>
          <w:tcPr>
            <w:tcW w:w="1032" w:type="dxa"/>
            <w:tcBorders>
              <w:top w:val="nil"/>
              <w:left w:val="nil"/>
              <w:bottom w:val="single" w:sz="4" w:space="0" w:color="auto"/>
              <w:right w:val="single" w:sz="4" w:space="0" w:color="auto"/>
            </w:tcBorders>
          </w:tcPr>
          <w:p w14:paraId="53C157F1"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hideMark/>
          </w:tcPr>
          <w:p w14:paraId="53C157F2"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F3"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F4"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F5"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F6"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805" w14:textId="77777777" w:rsidTr="00EB6F37">
        <w:trPr>
          <w:trHeight w:hRule="exact" w:val="284"/>
        </w:trPr>
        <w:tc>
          <w:tcPr>
            <w:tcW w:w="469" w:type="dxa"/>
            <w:vMerge/>
            <w:tcBorders>
              <w:top w:val="nil"/>
              <w:left w:val="single" w:sz="4" w:space="0" w:color="auto"/>
              <w:bottom w:val="single" w:sz="4" w:space="0" w:color="auto"/>
              <w:right w:val="single" w:sz="4" w:space="0" w:color="auto"/>
            </w:tcBorders>
            <w:vAlign w:val="center"/>
          </w:tcPr>
          <w:p w14:paraId="53C157F8" w14:textId="77777777" w:rsidR="00EB6F37" w:rsidRPr="00DF7447" w:rsidRDefault="00EB6F37" w:rsidP="00DF7447">
            <w:pPr>
              <w:spacing w:after="0"/>
              <w:jc w:val="left"/>
              <w:rPr>
                <w:rFonts w:ascii="Arial Narrow" w:hAnsi="Arial Narrow"/>
                <w:sz w:val="20"/>
                <w:szCs w:val="20"/>
                <w:lang w:eastAsia="en-AU"/>
              </w:rPr>
            </w:pPr>
          </w:p>
        </w:tc>
        <w:tc>
          <w:tcPr>
            <w:tcW w:w="1985" w:type="dxa"/>
            <w:vMerge w:val="restart"/>
            <w:tcBorders>
              <w:top w:val="nil"/>
              <w:left w:val="single" w:sz="4" w:space="0" w:color="auto"/>
              <w:right w:val="single" w:sz="4" w:space="0" w:color="auto"/>
            </w:tcBorders>
            <w:vAlign w:val="center"/>
          </w:tcPr>
          <w:p w14:paraId="53C157F9" w14:textId="77777777" w:rsidR="00EB6F37" w:rsidRPr="00DF7447" w:rsidRDefault="00EB6F37" w:rsidP="00EB6F37">
            <w:pPr>
              <w:spacing w:after="0"/>
              <w:jc w:val="center"/>
              <w:rPr>
                <w:rFonts w:ascii="Arial Narrow" w:hAnsi="Arial Narrow"/>
                <w:sz w:val="20"/>
                <w:szCs w:val="20"/>
              </w:rPr>
            </w:pPr>
            <w:r w:rsidRPr="00DF7447">
              <w:rPr>
                <w:rFonts w:ascii="Arial Narrow" w:hAnsi="Arial Narrow"/>
                <w:sz w:val="20"/>
                <w:szCs w:val="20"/>
              </w:rPr>
              <w:t>Daydream</w:t>
            </w:r>
          </w:p>
        </w:tc>
        <w:tc>
          <w:tcPr>
            <w:tcW w:w="682" w:type="dxa"/>
            <w:tcBorders>
              <w:top w:val="nil"/>
              <w:left w:val="single" w:sz="4" w:space="0" w:color="auto"/>
              <w:bottom w:val="single" w:sz="4" w:space="0" w:color="auto"/>
              <w:right w:val="single" w:sz="4" w:space="0" w:color="auto"/>
            </w:tcBorders>
          </w:tcPr>
          <w:p w14:paraId="53C157FA"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2</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7FB"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FC"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FD"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7FE" w14:textId="77777777" w:rsidR="00EB6F37" w:rsidRPr="00DF7447" w:rsidRDefault="00EB6F37" w:rsidP="00DF7447">
            <w:pPr>
              <w:spacing w:after="0"/>
              <w:jc w:val="center"/>
              <w:rPr>
                <w:rFonts w:ascii="Arial Narrow" w:hAnsi="Arial Narrow"/>
                <w:sz w:val="20"/>
                <w:szCs w:val="20"/>
                <w:lang w:eastAsia="en-AU"/>
              </w:rPr>
            </w:pPr>
          </w:p>
        </w:tc>
        <w:tc>
          <w:tcPr>
            <w:tcW w:w="1032" w:type="dxa"/>
            <w:tcBorders>
              <w:top w:val="nil"/>
              <w:left w:val="nil"/>
              <w:bottom w:val="single" w:sz="4" w:space="0" w:color="auto"/>
              <w:right w:val="single" w:sz="4" w:space="0" w:color="auto"/>
            </w:tcBorders>
          </w:tcPr>
          <w:p w14:paraId="53C157FF"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hideMark/>
          </w:tcPr>
          <w:p w14:paraId="53C15800"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01"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0.01</w:t>
            </w:r>
          </w:p>
        </w:tc>
        <w:tc>
          <w:tcPr>
            <w:tcW w:w="1045" w:type="dxa"/>
            <w:tcBorders>
              <w:top w:val="nil"/>
              <w:left w:val="nil"/>
              <w:bottom w:val="single" w:sz="4" w:space="0" w:color="auto"/>
              <w:right w:val="single" w:sz="4" w:space="0" w:color="auto"/>
            </w:tcBorders>
            <w:shd w:val="clear" w:color="auto" w:fill="auto"/>
            <w:noWrap/>
            <w:hideMark/>
          </w:tcPr>
          <w:p w14:paraId="53C15802"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03"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04"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813" w14:textId="77777777" w:rsidTr="00EB6F37">
        <w:trPr>
          <w:trHeight w:hRule="exact" w:val="284"/>
        </w:trPr>
        <w:tc>
          <w:tcPr>
            <w:tcW w:w="469" w:type="dxa"/>
            <w:vMerge/>
            <w:tcBorders>
              <w:top w:val="nil"/>
              <w:left w:val="single" w:sz="4" w:space="0" w:color="auto"/>
              <w:bottom w:val="single" w:sz="4" w:space="0" w:color="auto"/>
              <w:right w:val="single" w:sz="4" w:space="0" w:color="auto"/>
            </w:tcBorders>
            <w:vAlign w:val="center"/>
          </w:tcPr>
          <w:p w14:paraId="53C15806" w14:textId="77777777" w:rsidR="00EB6F37" w:rsidRPr="00DF7447" w:rsidRDefault="00EB6F37" w:rsidP="00DF7447">
            <w:pPr>
              <w:spacing w:after="0"/>
              <w:jc w:val="left"/>
              <w:rPr>
                <w:rFonts w:ascii="Arial Narrow" w:hAnsi="Arial Narrow"/>
                <w:sz w:val="20"/>
                <w:szCs w:val="20"/>
                <w:lang w:eastAsia="en-AU"/>
              </w:rPr>
            </w:pPr>
          </w:p>
        </w:tc>
        <w:tc>
          <w:tcPr>
            <w:tcW w:w="1985" w:type="dxa"/>
            <w:vMerge/>
            <w:tcBorders>
              <w:left w:val="single" w:sz="4" w:space="0" w:color="auto"/>
              <w:bottom w:val="single" w:sz="4" w:space="0" w:color="auto"/>
              <w:right w:val="single" w:sz="4" w:space="0" w:color="auto"/>
            </w:tcBorders>
            <w:vAlign w:val="center"/>
          </w:tcPr>
          <w:p w14:paraId="53C15807" w14:textId="77777777" w:rsidR="00EB6F37" w:rsidRPr="00DF7447" w:rsidRDefault="00EB6F37" w:rsidP="00DF7447">
            <w:pPr>
              <w:spacing w:after="0"/>
              <w:jc w:val="center"/>
              <w:rPr>
                <w:rFonts w:ascii="Arial Narrow" w:hAnsi="Arial Narrow"/>
                <w:sz w:val="20"/>
                <w:szCs w:val="20"/>
                <w:lang w:eastAsia="en-AU"/>
              </w:rPr>
            </w:pPr>
          </w:p>
        </w:tc>
        <w:tc>
          <w:tcPr>
            <w:tcW w:w="682" w:type="dxa"/>
            <w:tcBorders>
              <w:top w:val="nil"/>
              <w:left w:val="single" w:sz="4" w:space="0" w:color="auto"/>
              <w:bottom w:val="single" w:sz="4" w:space="0" w:color="auto"/>
              <w:right w:val="single" w:sz="4" w:space="0" w:color="auto"/>
            </w:tcBorders>
          </w:tcPr>
          <w:p w14:paraId="53C15808"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5</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809"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0A"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0B"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0C" w14:textId="77777777" w:rsidR="00EB6F37" w:rsidRPr="00DF7447" w:rsidRDefault="00EB6F37" w:rsidP="00DF7447">
            <w:pPr>
              <w:spacing w:after="0"/>
              <w:jc w:val="center"/>
              <w:rPr>
                <w:rFonts w:ascii="Arial Narrow" w:hAnsi="Arial Narrow"/>
                <w:sz w:val="20"/>
                <w:szCs w:val="20"/>
                <w:lang w:eastAsia="en-AU"/>
              </w:rPr>
            </w:pPr>
          </w:p>
        </w:tc>
        <w:tc>
          <w:tcPr>
            <w:tcW w:w="1032" w:type="dxa"/>
            <w:tcBorders>
              <w:top w:val="nil"/>
              <w:left w:val="nil"/>
              <w:bottom w:val="single" w:sz="4" w:space="0" w:color="auto"/>
              <w:right w:val="single" w:sz="4" w:space="0" w:color="auto"/>
            </w:tcBorders>
          </w:tcPr>
          <w:p w14:paraId="53C1580D"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hideMark/>
          </w:tcPr>
          <w:p w14:paraId="53C1580E"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0F"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10"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11"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12"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821" w14:textId="77777777" w:rsidTr="00EB6F37">
        <w:trPr>
          <w:trHeight w:hRule="exact" w:val="284"/>
        </w:trPr>
        <w:tc>
          <w:tcPr>
            <w:tcW w:w="469" w:type="dxa"/>
            <w:vMerge/>
            <w:tcBorders>
              <w:top w:val="nil"/>
              <w:left w:val="single" w:sz="4" w:space="0" w:color="auto"/>
              <w:bottom w:val="single" w:sz="4" w:space="0" w:color="auto"/>
              <w:right w:val="single" w:sz="4" w:space="0" w:color="auto"/>
            </w:tcBorders>
            <w:vAlign w:val="center"/>
          </w:tcPr>
          <w:p w14:paraId="53C15814" w14:textId="77777777" w:rsidR="00EB6F37" w:rsidRPr="00DF7447" w:rsidRDefault="00EB6F37" w:rsidP="00DF7447">
            <w:pPr>
              <w:spacing w:after="0"/>
              <w:jc w:val="left"/>
              <w:rPr>
                <w:rFonts w:ascii="Arial Narrow" w:hAnsi="Arial Narrow"/>
                <w:sz w:val="20"/>
                <w:szCs w:val="20"/>
                <w:lang w:eastAsia="en-AU"/>
              </w:rPr>
            </w:pPr>
          </w:p>
        </w:tc>
        <w:tc>
          <w:tcPr>
            <w:tcW w:w="1985" w:type="dxa"/>
            <w:vMerge w:val="restart"/>
            <w:tcBorders>
              <w:top w:val="nil"/>
              <w:left w:val="single" w:sz="4" w:space="0" w:color="auto"/>
              <w:right w:val="single" w:sz="4" w:space="0" w:color="auto"/>
            </w:tcBorders>
            <w:vAlign w:val="center"/>
          </w:tcPr>
          <w:p w14:paraId="53C15815" w14:textId="77777777" w:rsidR="00EB6F37" w:rsidRPr="00DF7447" w:rsidRDefault="00EB6F37" w:rsidP="00EB6F37">
            <w:pPr>
              <w:spacing w:after="0"/>
              <w:jc w:val="center"/>
              <w:rPr>
                <w:rFonts w:ascii="Arial Narrow" w:hAnsi="Arial Narrow"/>
                <w:sz w:val="20"/>
                <w:szCs w:val="20"/>
                <w:lang w:eastAsia="en-AU"/>
              </w:rPr>
            </w:pPr>
            <w:r w:rsidRPr="00DF7447">
              <w:rPr>
                <w:rFonts w:ascii="Arial Narrow" w:hAnsi="Arial Narrow"/>
                <w:sz w:val="20"/>
                <w:szCs w:val="20"/>
              </w:rPr>
              <w:t>Dent</w:t>
            </w:r>
          </w:p>
        </w:tc>
        <w:tc>
          <w:tcPr>
            <w:tcW w:w="682" w:type="dxa"/>
            <w:tcBorders>
              <w:top w:val="nil"/>
              <w:left w:val="single" w:sz="4" w:space="0" w:color="auto"/>
              <w:bottom w:val="single" w:sz="4" w:space="0" w:color="auto"/>
              <w:right w:val="single" w:sz="4" w:space="0" w:color="auto"/>
            </w:tcBorders>
          </w:tcPr>
          <w:p w14:paraId="53C15816"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2</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817"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0.30</w:t>
            </w:r>
          </w:p>
        </w:tc>
        <w:tc>
          <w:tcPr>
            <w:tcW w:w="1045" w:type="dxa"/>
            <w:tcBorders>
              <w:top w:val="nil"/>
              <w:left w:val="nil"/>
              <w:bottom w:val="single" w:sz="4" w:space="0" w:color="auto"/>
              <w:right w:val="single" w:sz="4" w:space="0" w:color="auto"/>
            </w:tcBorders>
            <w:shd w:val="clear" w:color="auto" w:fill="auto"/>
            <w:noWrap/>
            <w:hideMark/>
          </w:tcPr>
          <w:p w14:paraId="53C15818"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19"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4.00</w:t>
            </w:r>
          </w:p>
        </w:tc>
        <w:tc>
          <w:tcPr>
            <w:tcW w:w="1045" w:type="dxa"/>
            <w:tcBorders>
              <w:top w:val="nil"/>
              <w:left w:val="nil"/>
              <w:bottom w:val="single" w:sz="4" w:space="0" w:color="auto"/>
              <w:right w:val="single" w:sz="4" w:space="0" w:color="auto"/>
            </w:tcBorders>
            <w:shd w:val="clear" w:color="auto" w:fill="auto"/>
            <w:noWrap/>
            <w:hideMark/>
          </w:tcPr>
          <w:p w14:paraId="53C1581A" w14:textId="77777777" w:rsidR="00EB6F37" w:rsidRPr="00DF7447" w:rsidRDefault="00EB6F37" w:rsidP="00DF7447">
            <w:pPr>
              <w:spacing w:after="0"/>
              <w:jc w:val="center"/>
              <w:rPr>
                <w:rFonts w:ascii="Arial Narrow" w:hAnsi="Arial Narrow"/>
                <w:sz w:val="20"/>
                <w:szCs w:val="20"/>
                <w:lang w:eastAsia="en-AU"/>
              </w:rPr>
            </w:pPr>
          </w:p>
        </w:tc>
        <w:tc>
          <w:tcPr>
            <w:tcW w:w="1032" w:type="dxa"/>
            <w:tcBorders>
              <w:top w:val="nil"/>
              <w:left w:val="nil"/>
              <w:bottom w:val="single" w:sz="4" w:space="0" w:color="auto"/>
              <w:right w:val="single" w:sz="4" w:space="0" w:color="auto"/>
            </w:tcBorders>
          </w:tcPr>
          <w:p w14:paraId="53C1581B"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hideMark/>
          </w:tcPr>
          <w:p w14:paraId="53C1581C"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1D"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0.03</w:t>
            </w:r>
          </w:p>
        </w:tc>
        <w:tc>
          <w:tcPr>
            <w:tcW w:w="1045" w:type="dxa"/>
            <w:tcBorders>
              <w:top w:val="nil"/>
              <w:left w:val="nil"/>
              <w:bottom w:val="single" w:sz="4" w:space="0" w:color="auto"/>
              <w:right w:val="single" w:sz="4" w:space="0" w:color="auto"/>
            </w:tcBorders>
            <w:shd w:val="clear" w:color="auto" w:fill="auto"/>
            <w:noWrap/>
            <w:hideMark/>
          </w:tcPr>
          <w:p w14:paraId="53C1581E"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1F"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20"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82F" w14:textId="77777777" w:rsidTr="00EB6F37">
        <w:trPr>
          <w:trHeight w:hRule="exact" w:val="284"/>
        </w:trPr>
        <w:tc>
          <w:tcPr>
            <w:tcW w:w="469" w:type="dxa"/>
            <w:vMerge/>
            <w:tcBorders>
              <w:top w:val="nil"/>
              <w:left w:val="single" w:sz="4" w:space="0" w:color="auto"/>
              <w:bottom w:val="single" w:sz="4" w:space="0" w:color="auto"/>
              <w:right w:val="single" w:sz="4" w:space="0" w:color="auto"/>
            </w:tcBorders>
            <w:vAlign w:val="center"/>
          </w:tcPr>
          <w:p w14:paraId="53C15822" w14:textId="77777777" w:rsidR="00EB6F37" w:rsidRPr="00DF7447" w:rsidRDefault="00EB6F37" w:rsidP="00DF7447">
            <w:pPr>
              <w:spacing w:after="0"/>
              <w:jc w:val="left"/>
              <w:rPr>
                <w:rFonts w:ascii="Arial Narrow" w:hAnsi="Arial Narrow"/>
                <w:sz w:val="20"/>
                <w:szCs w:val="20"/>
                <w:lang w:eastAsia="en-AU"/>
              </w:rPr>
            </w:pPr>
          </w:p>
        </w:tc>
        <w:tc>
          <w:tcPr>
            <w:tcW w:w="1985" w:type="dxa"/>
            <w:vMerge/>
            <w:tcBorders>
              <w:left w:val="single" w:sz="4" w:space="0" w:color="auto"/>
              <w:bottom w:val="single" w:sz="4" w:space="0" w:color="auto"/>
              <w:right w:val="single" w:sz="4" w:space="0" w:color="auto"/>
            </w:tcBorders>
            <w:vAlign w:val="center"/>
          </w:tcPr>
          <w:p w14:paraId="53C15823" w14:textId="77777777" w:rsidR="00EB6F37" w:rsidRPr="00DF7447" w:rsidRDefault="00EB6F37" w:rsidP="00DF7447">
            <w:pPr>
              <w:spacing w:after="0"/>
              <w:jc w:val="center"/>
              <w:rPr>
                <w:rFonts w:ascii="Arial Narrow" w:hAnsi="Arial Narrow"/>
                <w:sz w:val="20"/>
                <w:szCs w:val="20"/>
              </w:rPr>
            </w:pPr>
          </w:p>
        </w:tc>
        <w:tc>
          <w:tcPr>
            <w:tcW w:w="682" w:type="dxa"/>
            <w:tcBorders>
              <w:top w:val="nil"/>
              <w:left w:val="single" w:sz="4" w:space="0" w:color="auto"/>
              <w:bottom w:val="single" w:sz="4" w:space="0" w:color="auto"/>
              <w:right w:val="single" w:sz="4" w:space="0" w:color="auto"/>
            </w:tcBorders>
          </w:tcPr>
          <w:p w14:paraId="53C15824"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5</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825"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0.18</w:t>
            </w:r>
          </w:p>
        </w:tc>
        <w:tc>
          <w:tcPr>
            <w:tcW w:w="1045" w:type="dxa"/>
            <w:tcBorders>
              <w:top w:val="nil"/>
              <w:left w:val="nil"/>
              <w:bottom w:val="single" w:sz="4" w:space="0" w:color="auto"/>
              <w:right w:val="single" w:sz="4" w:space="0" w:color="auto"/>
            </w:tcBorders>
            <w:shd w:val="clear" w:color="auto" w:fill="auto"/>
            <w:noWrap/>
            <w:hideMark/>
          </w:tcPr>
          <w:p w14:paraId="53C15826"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27"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0.31</w:t>
            </w:r>
          </w:p>
        </w:tc>
        <w:tc>
          <w:tcPr>
            <w:tcW w:w="1045" w:type="dxa"/>
            <w:tcBorders>
              <w:top w:val="nil"/>
              <w:left w:val="nil"/>
              <w:bottom w:val="single" w:sz="4" w:space="0" w:color="auto"/>
              <w:right w:val="single" w:sz="4" w:space="0" w:color="auto"/>
            </w:tcBorders>
            <w:shd w:val="clear" w:color="auto" w:fill="auto"/>
            <w:noWrap/>
            <w:hideMark/>
          </w:tcPr>
          <w:p w14:paraId="53C15828" w14:textId="77777777" w:rsidR="00EB6F37" w:rsidRPr="00DF7447" w:rsidRDefault="00EB6F37" w:rsidP="00DF7447">
            <w:pPr>
              <w:spacing w:after="0"/>
              <w:jc w:val="center"/>
              <w:rPr>
                <w:rFonts w:ascii="Arial Narrow" w:hAnsi="Arial Narrow"/>
                <w:sz w:val="20"/>
                <w:szCs w:val="20"/>
                <w:lang w:eastAsia="en-AU"/>
              </w:rPr>
            </w:pPr>
          </w:p>
        </w:tc>
        <w:tc>
          <w:tcPr>
            <w:tcW w:w="1032" w:type="dxa"/>
            <w:tcBorders>
              <w:top w:val="nil"/>
              <w:left w:val="nil"/>
              <w:bottom w:val="single" w:sz="4" w:space="0" w:color="auto"/>
              <w:right w:val="single" w:sz="4" w:space="0" w:color="auto"/>
            </w:tcBorders>
          </w:tcPr>
          <w:p w14:paraId="53C15829"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hideMark/>
          </w:tcPr>
          <w:p w14:paraId="53C1582A"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2B"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2C"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2D"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2E"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83D" w14:textId="77777777" w:rsidTr="00EB6F37">
        <w:trPr>
          <w:trHeight w:hRule="exact" w:val="284"/>
        </w:trPr>
        <w:tc>
          <w:tcPr>
            <w:tcW w:w="469" w:type="dxa"/>
            <w:vMerge/>
            <w:tcBorders>
              <w:top w:val="nil"/>
              <w:left w:val="single" w:sz="4" w:space="0" w:color="auto"/>
              <w:bottom w:val="single" w:sz="4" w:space="0" w:color="auto"/>
              <w:right w:val="single" w:sz="4" w:space="0" w:color="auto"/>
            </w:tcBorders>
            <w:vAlign w:val="center"/>
          </w:tcPr>
          <w:p w14:paraId="53C15830" w14:textId="77777777" w:rsidR="00EB6F37" w:rsidRPr="00DF7447" w:rsidRDefault="00EB6F37" w:rsidP="00DF7447">
            <w:pPr>
              <w:spacing w:after="0"/>
              <w:jc w:val="left"/>
              <w:rPr>
                <w:rFonts w:ascii="Arial Narrow" w:hAnsi="Arial Narrow"/>
                <w:sz w:val="20"/>
                <w:szCs w:val="20"/>
                <w:lang w:eastAsia="en-AU"/>
              </w:rPr>
            </w:pPr>
          </w:p>
        </w:tc>
        <w:tc>
          <w:tcPr>
            <w:tcW w:w="1985" w:type="dxa"/>
            <w:vMerge w:val="restart"/>
            <w:tcBorders>
              <w:top w:val="nil"/>
              <w:left w:val="single" w:sz="4" w:space="0" w:color="auto"/>
              <w:right w:val="single" w:sz="4" w:space="0" w:color="auto"/>
            </w:tcBorders>
            <w:vAlign w:val="center"/>
          </w:tcPr>
          <w:p w14:paraId="53C15831" w14:textId="77777777" w:rsidR="00EB6F37" w:rsidRPr="00DF7447" w:rsidRDefault="00EB6F37" w:rsidP="00EB6F37">
            <w:pPr>
              <w:spacing w:after="0"/>
              <w:jc w:val="center"/>
              <w:rPr>
                <w:rFonts w:ascii="Arial Narrow" w:hAnsi="Arial Narrow"/>
                <w:sz w:val="20"/>
                <w:szCs w:val="20"/>
              </w:rPr>
            </w:pPr>
            <w:r w:rsidRPr="00DF7447">
              <w:rPr>
                <w:rFonts w:ascii="Arial Narrow" w:hAnsi="Arial Narrow"/>
                <w:sz w:val="20"/>
                <w:szCs w:val="20"/>
              </w:rPr>
              <w:t>Shute Harbour</w:t>
            </w:r>
          </w:p>
        </w:tc>
        <w:tc>
          <w:tcPr>
            <w:tcW w:w="682" w:type="dxa"/>
            <w:tcBorders>
              <w:top w:val="nil"/>
              <w:left w:val="single" w:sz="4" w:space="0" w:color="auto"/>
              <w:bottom w:val="single" w:sz="4" w:space="0" w:color="auto"/>
              <w:right w:val="single" w:sz="4" w:space="0" w:color="auto"/>
            </w:tcBorders>
          </w:tcPr>
          <w:p w14:paraId="53C15832"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2</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833"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0.71</w:t>
            </w:r>
          </w:p>
        </w:tc>
        <w:tc>
          <w:tcPr>
            <w:tcW w:w="1045" w:type="dxa"/>
            <w:tcBorders>
              <w:top w:val="nil"/>
              <w:left w:val="nil"/>
              <w:bottom w:val="single" w:sz="4" w:space="0" w:color="auto"/>
              <w:right w:val="single" w:sz="4" w:space="0" w:color="auto"/>
            </w:tcBorders>
            <w:shd w:val="clear" w:color="auto" w:fill="auto"/>
            <w:noWrap/>
            <w:hideMark/>
          </w:tcPr>
          <w:p w14:paraId="53C15834"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35"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0.25</w:t>
            </w:r>
          </w:p>
        </w:tc>
        <w:tc>
          <w:tcPr>
            <w:tcW w:w="1045" w:type="dxa"/>
            <w:tcBorders>
              <w:top w:val="nil"/>
              <w:left w:val="nil"/>
              <w:bottom w:val="single" w:sz="4" w:space="0" w:color="auto"/>
              <w:right w:val="single" w:sz="4" w:space="0" w:color="auto"/>
            </w:tcBorders>
            <w:shd w:val="clear" w:color="auto" w:fill="auto"/>
            <w:noWrap/>
            <w:hideMark/>
          </w:tcPr>
          <w:p w14:paraId="53C15836" w14:textId="77777777" w:rsidR="00EB6F37" w:rsidRPr="00DF7447" w:rsidRDefault="00EB6F37" w:rsidP="00DF7447">
            <w:pPr>
              <w:spacing w:after="0"/>
              <w:jc w:val="center"/>
              <w:rPr>
                <w:rFonts w:ascii="Arial Narrow" w:hAnsi="Arial Narrow"/>
                <w:sz w:val="20"/>
                <w:szCs w:val="20"/>
                <w:lang w:eastAsia="en-AU"/>
              </w:rPr>
            </w:pPr>
          </w:p>
        </w:tc>
        <w:tc>
          <w:tcPr>
            <w:tcW w:w="1032" w:type="dxa"/>
            <w:tcBorders>
              <w:top w:val="nil"/>
              <w:left w:val="nil"/>
              <w:bottom w:val="single" w:sz="4" w:space="0" w:color="auto"/>
              <w:right w:val="single" w:sz="4" w:space="0" w:color="auto"/>
            </w:tcBorders>
          </w:tcPr>
          <w:p w14:paraId="53C15837"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hideMark/>
          </w:tcPr>
          <w:p w14:paraId="53C15838"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39"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0.03</w:t>
            </w:r>
          </w:p>
        </w:tc>
        <w:tc>
          <w:tcPr>
            <w:tcW w:w="1045" w:type="dxa"/>
            <w:tcBorders>
              <w:top w:val="nil"/>
              <w:left w:val="nil"/>
              <w:bottom w:val="single" w:sz="4" w:space="0" w:color="auto"/>
              <w:right w:val="single" w:sz="4" w:space="0" w:color="auto"/>
            </w:tcBorders>
            <w:shd w:val="clear" w:color="auto" w:fill="auto"/>
            <w:noWrap/>
            <w:hideMark/>
          </w:tcPr>
          <w:p w14:paraId="53C1583A"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3B"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3C"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84B" w14:textId="77777777" w:rsidTr="00EB6F37">
        <w:trPr>
          <w:trHeight w:hRule="exact" w:val="284"/>
        </w:trPr>
        <w:tc>
          <w:tcPr>
            <w:tcW w:w="469" w:type="dxa"/>
            <w:vMerge/>
            <w:tcBorders>
              <w:top w:val="nil"/>
              <w:left w:val="single" w:sz="4" w:space="0" w:color="auto"/>
              <w:bottom w:val="single" w:sz="4" w:space="0" w:color="auto"/>
              <w:right w:val="single" w:sz="4" w:space="0" w:color="auto"/>
            </w:tcBorders>
            <w:vAlign w:val="center"/>
          </w:tcPr>
          <w:p w14:paraId="53C1583E" w14:textId="77777777" w:rsidR="00EB6F37" w:rsidRPr="00DF7447" w:rsidRDefault="00EB6F37" w:rsidP="00DF7447">
            <w:pPr>
              <w:spacing w:after="0"/>
              <w:jc w:val="left"/>
              <w:rPr>
                <w:rFonts w:ascii="Arial Narrow" w:hAnsi="Arial Narrow"/>
                <w:sz w:val="20"/>
                <w:szCs w:val="20"/>
                <w:lang w:eastAsia="en-AU"/>
              </w:rPr>
            </w:pPr>
          </w:p>
        </w:tc>
        <w:tc>
          <w:tcPr>
            <w:tcW w:w="1985" w:type="dxa"/>
            <w:vMerge/>
            <w:tcBorders>
              <w:left w:val="single" w:sz="4" w:space="0" w:color="auto"/>
              <w:bottom w:val="single" w:sz="4" w:space="0" w:color="auto"/>
              <w:right w:val="single" w:sz="4" w:space="0" w:color="auto"/>
            </w:tcBorders>
            <w:vAlign w:val="center"/>
          </w:tcPr>
          <w:p w14:paraId="53C1583F" w14:textId="77777777" w:rsidR="00EB6F37" w:rsidRPr="00DF7447" w:rsidRDefault="00EB6F37" w:rsidP="00DF7447">
            <w:pPr>
              <w:spacing w:after="0"/>
              <w:jc w:val="center"/>
              <w:rPr>
                <w:rFonts w:ascii="Arial Narrow" w:hAnsi="Arial Narrow"/>
                <w:sz w:val="20"/>
                <w:szCs w:val="20"/>
              </w:rPr>
            </w:pPr>
          </w:p>
        </w:tc>
        <w:tc>
          <w:tcPr>
            <w:tcW w:w="682" w:type="dxa"/>
            <w:tcBorders>
              <w:top w:val="nil"/>
              <w:left w:val="single" w:sz="4" w:space="0" w:color="auto"/>
              <w:bottom w:val="single" w:sz="4" w:space="0" w:color="auto"/>
              <w:right w:val="single" w:sz="4" w:space="0" w:color="auto"/>
            </w:tcBorders>
          </w:tcPr>
          <w:p w14:paraId="53C15840"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5</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841"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0.43</w:t>
            </w:r>
          </w:p>
        </w:tc>
        <w:tc>
          <w:tcPr>
            <w:tcW w:w="1045" w:type="dxa"/>
            <w:tcBorders>
              <w:top w:val="nil"/>
              <w:left w:val="nil"/>
              <w:bottom w:val="single" w:sz="4" w:space="0" w:color="auto"/>
              <w:right w:val="single" w:sz="4" w:space="0" w:color="auto"/>
            </w:tcBorders>
            <w:shd w:val="clear" w:color="auto" w:fill="auto"/>
            <w:noWrap/>
            <w:hideMark/>
          </w:tcPr>
          <w:p w14:paraId="53C15842"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43"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44" w14:textId="77777777" w:rsidR="00EB6F37" w:rsidRPr="00DF7447" w:rsidRDefault="00EB6F37" w:rsidP="00DF7447">
            <w:pPr>
              <w:spacing w:after="0"/>
              <w:jc w:val="center"/>
              <w:rPr>
                <w:rFonts w:ascii="Arial Narrow" w:hAnsi="Arial Narrow"/>
                <w:sz w:val="20"/>
                <w:szCs w:val="20"/>
                <w:lang w:eastAsia="en-AU"/>
              </w:rPr>
            </w:pPr>
          </w:p>
        </w:tc>
        <w:tc>
          <w:tcPr>
            <w:tcW w:w="1032" w:type="dxa"/>
            <w:tcBorders>
              <w:top w:val="nil"/>
              <w:left w:val="nil"/>
              <w:bottom w:val="single" w:sz="4" w:space="0" w:color="auto"/>
              <w:right w:val="single" w:sz="4" w:space="0" w:color="auto"/>
            </w:tcBorders>
          </w:tcPr>
          <w:p w14:paraId="53C15845"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hideMark/>
          </w:tcPr>
          <w:p w14:paraId="53C15846"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47"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0.01</w:t>
            </w:r>
          </w:p>
        </w:tc>
        <w:tc>
          <w:tcPr>
            <w:tcW w:w="1045" w:type="dxa"/>
            <w:tcBorders>
              <w:top w:val="nil"/>
              <w:left w:val="nil"/>
              <w:bottom w:val="single" w:sz="4" w:space="0" w:color="auto"/>
              <w:right w:val="single" w:sz="4" w:space="0" w:color="auto"/>
            </w:tcBorders>
            <w:shd w:val="clear" w:color="auto" w:fill="auto"/>
            <w:noWrap/>
            <w:hideMark/>
          </w:tcPr>
          <w:p w14:paraId="53C15848"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49"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4A"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85A" w14:textId="77777777" w:rsidTr="00EB6F37">
        <w:trPr>
          <w:trHeight w:hRule="exact" w:val="284"/>
        </w:trPr>
        <w:tc>
          <w:tcPr>
            <w:tcW w:w="469" w:type="dxa"/>
            <w:vMerge/>
            <w:tcBorders>
              <w:top w:val="nil"/>
              <w:left w:val="single" w:sz="4" w:space="0" w:color="auto"/>
              <w:bottom w:val="single" w:sz="4" w:space="0" w:color="auto"/>
              <w:right w:val="single" w:sz="4" w:space="0" w:color="auto"/>
            </w:tcBorders>
            <w:vAlign w:val="center"/>
          </w:tcPr>
          <w:p w14:paraId="53C1584C" w14:textId="77777777" w:rsidR="00EB6F37" w:rsidRPr="00DF7447" w:rsidRDefault="00EB6F37" w:rsidP="00DF7447">
            <w:pPr>
              <w:spacing w:after="0"/>
              <w:jc w:val="left"/>
              <w:rPr>
                <w:rFonts w:ascii="Arial Narrow" w:hAnsi="Arial Narrow"/>
                <w:sz w:val="20"/>
                <w:szCs w:val="20"/>
                <w:lang w:eastAsia="en-AU"/>
              </w:rPr>
            </w:pPr>
          </w:p>
        </w:tc>
        <w:tc>
          <w:tcPr>
            <w:tcW w:w="1985" w:type="dxa"/>
            <w:tcBorders>
              <w:top w:val="single" w:sz="4" w:space="0" w:color="auto"/>
              <w:left w:val="single" w:sz="4" w:space="0" w:color="auto"/>
              <w:bottom w:val="single" w:sz="4" w:space="0" w:color="auto"/>
              <w:right w:val="single" w:sz="4" w:space="0" w:color="auto"/>
            </w:tcBorders>
            <w:vAlign w:val="center"/>
          </w:tcPr>
          <w:p w14:paraId="53C1584D"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Pine</w:t>
            </w:r>
          </w:p>
          <w:p w14:paraId="53C1584E"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Pine</w:t>
            </w:r>
          </w:p>
        </w:tc>
        <w:tc>
          <w:tcPr>
            <w:tcW w:w="682" w:type="dxa"/>
            <w:tcBorders>
              <w:top w:val="nil"/>
              <w:left w:val="single" w:sz="4" w:space="0" w:color="auto"/>
              <w:bottom w:val="single" w:sz="4" w:space="0" w:color="auto"/>
              <w:right w:val="single" w:sz="4" w:space="0" w:color="auto"/>
            </w:tcBorders>
          </w:tcPr>
          <w:p w14:paraId="53C1584F"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2</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850"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0.09</w:t>
            </w:r>
          </w:p>
        </w:tc>
        <w:tc>
          <w:tcPr>
            <w:tcW w:w="1045" w:type="dxa"/>
            <w:tcBorders>
              <w:top w:val="nil"/>
              <w:left w:val="nil"/>
              <w:bottom w:val="single" w:sz="4" w:space="0" w:color="auto"/>
              <w:right w:val="single" w:sz="4" w:space="0" w:color="auto"/>
            </w:tcBorders>
            <w:shd w:val="clear" w:color="auto" w:fill="auto"/>
            <w:noWrap/>
            <w:hideMark/>
          </w:tcPr>
          <w:p w14:paraId="53C15851"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52"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0.13</w:t>
            </w:r>
          </w:p>
        </w:tc>
        <w:tc>
          <w:tcPr>
            <w:tcW w:w="1045" w:type="dxa"/>
            <w:tcBorders>
              <w:top w:val="nil"/>
              <w:left w:val="nil"/>
              <w:bottom w:val="single" w:sz="4" w:space="0" w:color="auto"/>
              <w:right w:val="single" w:sz="4" w:space="0" w:color="auto"/>
            </w:tcBorders>
            <w:shd w:val="clear" w:color="auto" w:fill="auto"/>
            <w:noWrap/>
            <w:hideMark/>
          </w:tcPr>
          <w:p w14:paraId="53C15853" w14:textId="77777777" w:rsidR="00EB6F37" w:rsidRPr="00DF7447" w:rsidRDefault="00EB6F37" w:rsidP="00DF7447">
            <w:pPr>
              <w:spacing w:after="0"/>
              <w:jc w:val="center"/>
              <w:rPr>
                <w:rFonts w:ascii="Arial Narrow" w:hAnsi="Arial Narrow"/>
                <w:sz w:val="20"/>
                <w:szCs w:val="20"/>
                <w:lang w:eastAsia="en-AU"/>
              </w:rPr>
            </w:pPr>
          </w:p>
        </w:tc>
        <w:tc>
          <w:tcPr>
            <w:tcW w:w="1032" w:type="dxa"/>
            <w:tcBorders>
              <w:top w:val="nil"/>
              <w:left w:val="nil"/>
              <w:bottom w:val="single" w:sz="4" w:space="0" w:color="auto"/>
              <w:right w:val="single" w:sz="4" w:space="0" w:color="auto"/>
            </w:tcBorders>
          </w:tcPr>
          <w:p w14:paraId="53C15854"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hideMark/>
          </w:tcPr>
          <w:p w14:paraId="53C15855"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56"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57"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58"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59"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868" w14:textId="77777777" w:rsidTr="00EB6F37">
        <w:trPr>
          <w:trHeight w:hRule="exact" w:val="284"/>
        </w:trPr>
        <w:tc>
          <w:tcPr>
            <w:tcW w:w="469" w:type="dxa"/>
            <w:vMerge/>
            <w:tcBorders>
              <w:top w:val="nil"/>
              <w:left w:val="single" w:sz="4" w:space="0" w:color="auto"/>
              <w:bottom w:val="single" w:sz="4" w:space="0" w:color="auto"/>
              <w:right w:val="single" w:sz="4" w:space="0" w:color="auto"/>
            </w:tcBorders>
            <w:vAlign w:val="center"/>
          </w:tcPr>
          <w:p w14:paraId="53C1585B" w14:textId="77777777" w:rsidR="00EB6F37" w:rsidRPr="00DF7447" w:rsidRDefault="00EB6F37" w:rsidP="00DF7447">
            <w:pPr>
              <w:spacing w:after="0"/>
              <w:jc w:val="left"/>
              <w:rPr>
                <w:rFonts w:ascii="Arial Narrow" w:hAnsi="Arial Narrow"/>
                <w:sz w:val="20"/>
                <w:szCs w:val="20"/>
                <w:lang w:eastAsia="en-AU"/>
              </w:rPr>
            </w:pPr>
          </w:p>
        </w:tc>
        <w:tc>
          <w:tcPr>
            <w:tcW w:w="1985" w:type="dxa"/>
            <w:tcBorders>
              <w:top w:val="single" w:sz="4" w:space="0" w:color="auto"/>
              <w:left w:val="single" w:sz="4" w:space="0" w:color="auto"/>
              <w:bottom w:val="single" w:sz="4" w:space="0" w:color="auto"/>
              <w:right w:val="single" w:sz="4" w:space="0" w:color="auto"/>
            </w:tcBorders>
            <w:vAlign w:val="center"/>
          </w:tcPr>
          <w:p w14:paraId="53C1585C" w14:textId="77777777" w:rsidR="00EB6F37" w:rsidRPr="00DF7447" w:rsidRDefault="00EB6F37" w:rsidP="00DF7447">
            <w:pPr>
              <w:spacing w:after="0"/>
              <w:jc w:val="center"/>
              <w:rPr>
                <w:rFonts w:ascii="Arial Narrow" w:hAnsi="Arial Narrow"/>
                <w:sz w:val="20"/>
                <w:szCs w:val="20"/>
                <w:lang w:eastAsia="en-AU"/>
              </w:rPr>
            </w:pPr>
            <w:r>
              <w:rPr>
                <w:rFonts w:ascii="Arial Narrow" w:hAnsi="Arial Narrow"/>
                <w:sz w:val="20"/>
                <w:szCs w:val="20"/>
                <w:lang w:eastAsia="en-AU"/>
              </w:rPr>
              <w:t>Pine</w:t>
            </w:r>
          </w:p>
        </w:tc>
        <w:tc>
          <w:tcPr>
            <w:tcW w:w="682" w:type="dxa"/>
            <w:tcBorders>
              <w:top w:val="single" w:sz="4" w:space="0" w:color="auto"/>
              <w:left w:val="single" w:sz="4" w:space="0" w:color="auto"/>
              <w:bottom w:val="single" w:sz="4" w:space="0" w:color="auto"/>
              <w:right w:val="single" w:sz="4" w:space="0" w:color="auto"/>
            </w:tcBorders>
          </w:tcPr>
          <w:p w14:paraId="53C1585D"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5</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85E"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0.02</w:t>
            </w:r>
          </w:p>
        </w:tc>
        <w:tc>
          <w:tcPr>
            <w:tcW w:w="1045" w:type="dxa"/>
            <w:tcBorders>
              <w:top w:val="nil"/>
              <w:left w:val="nil"/>
              <w:bottom w:val="single" w:sz="4" w:space="0" w:color="auto"/>
              <w:right w:val="single" w:sz="4" w:space="0" w:color="auto"/>
            </w:tcBorders>
            <w:shd w:val="clear" w:color="auto" w:fill="auto"/>
            <w:noWrap/>
            <w:hideMark/>
          </w:tcPr>
          <w:p w14:paraId="53C1585F"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60"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0.63</w:t>
            </w:r>
          </w:p>
        </w:tc>
        <w:tc>
          <w:tcPr>
            <w:tcW w:w="1045" w:type="dxa"/>
            <w:tcBorders>
              <w:top w:val="nil"/>
              <w:left w:val="nil"/>
              <w:bottom w:val="single" w:sz="4" w:space="0" w:color="auto"/>
              <w:right w:val="single" w:sz="4" w:space="0" w:color="auto"/>
            </w:tcBorders>
            <w:shd w:val="clear" w:color="auto" w:fill="auto"/>
            <w:noWrap/>
            <w:hideMark/>
          </w:tcPr>
          <w:p w14:paraId="53C15861" w14:textId="77777777" w:rsidR="00EB6F37" w:rsidRPr="00DF7447" w:rsidRDefault="00EB6F37" w:rsidP="00DF7447">
            <w:pPr>
              <w:spacing w:after="0"/>
              <w:jc w:val="center"/>
              <w:rPr>
                <w:rFonts w:ascii="Arial Narrow" w:hAnsi="Arial Narrow"/>
                <w:sz w:val="20"/>
                <w:szCs w:val="20"/>
                <w:lang w:eastAsia="en-AU"/>
              </w:rPr>
            </w:pPr>
          </w:p>
        </w:tc>
        <w:tc>
          <w:tcPr>
            <w:tcW w:w="1032" w:type="dxa"/>
            <w:tcBorders>
              <w:top w:val="nil"/>
              <w:left w:val="nil"/>
              <w:bottom w:val="single" w:sz="4" w:space="0" w:color="auto"/>
              <w:right w:val="single" w:sz="4" w:space="0" w:color="auto"/>
            </w:tcBorders>
          </w:tcPr>
          <w:p w14:paraId="53C15862"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hideMark/>
          </w:tcPr>
          <w:p w14:paraId="53C15863"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64"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65"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66"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67"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876" w14:textId="77777777" w:rsidTr="00EB6F37">
        <w:trPr>
          <w:trHeight w:hRule="exact" w:val="284"/>
        </w:trPr>
        <w:tc>
          <w:tcPr>
            <w:tcW w:w="469" w:type="dxa"/>
            <w:vMerge/>
            <w:tcBorders>
              <w:top w:val="nil"/>
              <w:left w:val="single" w:sz="4" w:space="0" w:color="auto"/>
              <w:bottom w:val="single" w:sz="4" w:space="0" w:color="auto"/>
              <w:right w:val="single" w:sz="4" w:space="0" w:color="auto"/>
            </w:tcBorders>
            <w:vAlign w:val="center"/>
          </w:tcPr>
          <w:p w14:paraId="53C15869" w14:textId="77777777" w:rsidR="00EB6F37" w:rsidRPr="00DF7447" w:rsidRDefault="00EB6F37" w:rsidP="00DF7447">
            <w:pPr>
              <w:spacing w:after="0"/>
              <w:jc w:val="left"/>
              <w:rPr>
                <w:rFonts w:ascii="Arial Narrow" w:hAnsi="Arial Narrow"/>
                <w:sz w:val="20"/>
                <w:szCs w:val="20"/>
                <w:lang w:eastAsia="en-AU"/>
              </w:rPr>
            </w:pPr>
          </w:p>
        </w:tc>
        <w:tc>
          <w:tcPr>
            <w:tcW w:w="1985" w:type="dxa"/>
            <w:vMerge w:val="restart"/>
            <w:tcBorders>
              <w:top w:val="nil"/>
              <w:left w:val="single" w:sz="4" w:space="0" w:color="auto"/>
              <w:right w:val="single" w:sz="4" w:space="0" w:color="auto"/>
            </w:tcBorders>
            <w:vAlign w:val="center"/>
          </w:tcPr>
          <w:p w14:paraId="53C1586A" w14:textId="77777777" w:rsidR="00EB6F37" w:rsidRPr="00DF7447" w:rsidRDefault="00EB6F37" w:rsidP="00EB6F37">
            <w:pPr>
              <w:spacing w:after="0"/>
              <w:jc w:val="center"/>
              <w:rPr>
                <w:rFonts w:ascii="Arial Narrow" w:hAnsi="Arial Narrow"/>
                <w:sz w:val="20"/>
                <w:szCs w:val="20"/>
              </w:rPr>
            </w:pPr>
            <w:r w:rsidRPr="00DF7447">
              <w:rPr>
                <w:rFonts w:ascii="Arial Narrow" w:hAnsi="Arial Narrow"/>
                <w:sz w:val="20"/>
                <w:szCs w:val="20"/>
              </w:rPr>
              <w:t>Seaforth</w:t>
            </w:r>
          </w:p>
        </w:tc>
        <w:tc>
          <w:tcPr>
            <w:tcW w:w="682" w:type="dxa"/>
            <w:tcBorders>
              <w:top w:val="nil"/>
              <w:left w:val="single" w:sz="4" w:space="0" w:color="auto"/>
              <w:bottom w:val="single" w:sz="4" w:space="0" w:color="auto"/>
              <w:right w:val="single" w:sz="4" w:space="0" w:color="auto"/>
            </w:tcBorders>
          </w:tcPr>
          <w:p w14:paraId="53C1586B"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2</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86C"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0.43</w:t>
            </w:r>
          </w:p>
        </w:tc>
        <w:tc>
          <w:tcPr>
            <w:tcW w:w="1045" w:type="dxa"/>
            <w:tcBorders>
              <w:top w:val="nil"/>
              <w:left w:val="nil"/>
              <w:bottom w:val="single" w:sz="4" w:space="0" w:color="auto"/>
              <w:right w:val="single" w:sz="4" w:space="0" w:color="auto"/>
            </w:tcBorders>
            <w:shd w:val="clear" w:color="auto" w:fill="auto"/>
            <w:noWrap/>
            <w:hideMark/>
          </w:tcPr>
          <w:p w14:paraId="53C1586D"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0.06</w:t>
            </w:r>
          </w:p>
        </w:tc>
        <w:tc>
          <w:tcPr>
            <w:tcW w:w="1045" w:type="dxa"/>
            <w:tcBorders>
              <w:top w:val="nil"/>
              <w:left w:val="nil"/>
              <w:bottom w:val="single" w:sz="4" w:space="0" w:color="auto"/>
              <w:right w:val="single" w:sz="4" w:space="0" w:color="auto"/>
            </w:tcBorders>
            <w:shd w:val="clear" w:color="auto" w:fill="auto"/>
            <w:noWrap/>
            <w:hideMark/>
          </w:tcPr>
          <w:p w14:paraId="53C1586E"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1.25</w:t>
            </w:r>
          </w:p>
        </w:tc>
        <w:tc>
          <w:tcPr>
            <w:tcW w:w="1045" w:type="dxa"/>
            <w:tcBorders>
              <w:top w:val="nil"/>
              <w:left w:val="nil"/>
              <w:bottom w:val="single" w:sz="4" w:space="0" w:color="auto"/>
              <w:right w:val="single" w:sz="4" w:space="0" w:color="auto"/>
            </w:tcBorders>
            <w:shd w:val="clear" w:color="auto" w:fill="auto"/>
            <w:noWrap/>
            <w:hideMark/>
          </w:tcPr>
          <w:p w14:paraId="53C1586F" w14:textId="77777777" w:rsidR="00EB6F37" w:rsidRPr="00DF7447" w:rsidRDefault="00EB6F37" w:rsidP="00DF7447">
            <w:pPr>
              <w:spacing w:after="0"/>
              <w:jc w:val="center"/>
              <w:rPr>
                <w:rFonts w:ascii="Arial Narrow" w:hAnsi="Arial Narrow"/>
                <w:sz w:val="20"/>
                <w:szCs w:val="20"/>
                <w:lang w:eastAsia="en-AU"/>
              </w:rPr>
            </w:pPr>
          </w:p>
        </w:tc>
        <w:tc>
          <w:tcPr>
            <w:tcW w:w="1032" w:type="dxa"/>
            <w:tcBorders>
              <w:top w:val="nil"/>
              <w:left w:val="nil"/>
              <w:bottom w:val="single" w:sz="4" w:space="0" w:color="auto"/>
              <w:right w:val="single" w:sz="4" w:space="0" w:color="auto"/>
            </w:tcBorders>
          </w:tcPr>
          <w:p w14:paraId="53C15870"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hideMark/>
          </w:tcPr>
          <w:p w14:paraId="53C15871"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72"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73"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74"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0.06</w:t>
            </w:r>
          </w:p>
        </w:tc>
        <w:tc>
          <w:tcPr>
            <w:tcW w:w="1045" w:type="dxa"/>
            <w:tcBorders>
              <w:top w:val="nil"/>
              <w:left w:val="nil"/>
              <w:bottom w:val="single" w:sz="4" w:space="0" w:color="auto"/>
              <w:right w:val="single" w:sz="4" w:space="0" w:color="auto"/>
            </w:tcBorders>
            <w:shd w:val="clear" w:color="auto" w:fill="auto"/>
            <w:noWrap/>
            <w:hideMark/>
          </w:tcPr>
          <w:p w14:paraId="53C15875"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884" w14:textId="77777777" w:rsidTr="00EB6F37">
        <w:trPr>
          <w:trHeight w:hRule="exact" w:val="284"/>
        </w:trPr>
        <w:tc>
          <w:tcPr>
            <w:tcW w:w="469" w:type="dxa"/>
            <w:vMerge/>
            <w:tcBorders>
              <w:top w:val="nil"/>
              <w:left w:val="single" w:sz="4" w:space="0" w:color="auto"/>
              <w:bottom w:val="single" w:sz="4" w:space="0" w:color="auto"/>
              <w:right w:val="single" w:sz="4" w:space="0" w:color="auto"/>
            </w:tcBorders>
            <w:vAlign w:val="center"/>
          </w:tcPr>
          <w:p w14:paraId="53C15877" w14:textId="77777777" w:rsidR="00EB6F37" w:rsidRPr="00DF7447" w:rsidRDefault="00EB6F37" w:rsidP="00DF7447">
            <w:pPr>
              <w:spacing w:after="0"/>
              <w:jc w:val="left"/>
              <w:rPr>
                <w:rFonts w:ascii="Arial Narrow" w:hAnsi="Arial Narrow"/>
                <w:sz w:val="20"/>
                <w:szCs w:val="20"/>
                <w:lang w:eastAsia="en-AU"/>
              </w:rPr>
            </w:pPr>
          </w:p>
        </w:tc>
        <w:tc>
          <w:tcPr>
            <w:tcW w:w="1985" w:type="dxa"/>
            <w:vMerge/>
            <w:tcBorders>
              <w:left w:val="single" w:sz="4" w:space="0" w:color="auto"/>
              <w:bottom w:val="single" w:sz="4" w:space="0" w:color="auto"/>
              <w:right w:val="single" w:sz="4" w:space="0" w:color="auto"/>
            </w:tcBorders>
            <w:vAlign w:val="center"/>
          </w:tcPr>
          <w:p w14:paraId="53C15878" w14:textId="77777777" w:rsidR="00EB6F37" w:rsidRPr="00DF7447" w:rsidRDefault="00EB6F37" w:rsidP="00DF7447">
            <w:pPr>
              <w:spacing w:after="0"/>
              <w:jc w:val="center"/>
              <w:rPr>
                <w:rFonts w:ascii="Arial Narrow" w:hAnsi="Arial Narrow"/>
                <w:sz w:val="20"/>
                <w:szCs w:val="20"/>
              </w:rPr>
            </w:pPr>
          </w:p>
        </w:tc>
        <w:tc>
          <w:tcPr>
            <w:tcW w:w="682" w:type="dxa"/>
            <w:tcBorders>
              <w:top w:val="nil"/>
              <w:left w:val="single" w:sz="4" w:space="0" w:color="auto"/>
              <w:bottom w:val="single" w:sz="4" w:space="0" w:color="auto"/>
              <w:right w:val="single" w:sz="4" w:space="0" w:color="auto"/>
            </w:tcBorders>
          </w:tcPr>
          <w:p w14:paraId="53C15879"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5</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87A"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0.09</w:t>
            </w:r>
          </w:p>
        </w:tc>
        <w:tc>
          <w:tcPr>
            <w:tcW w:w="1045" w:type="dxa"/>
            <w:tcBorders>
              <w:top w:val="nil"/>
              <w:left w:val="nil"/>
              <w:bottom w:val="single" w:sz="4" w:space="0" w:color="auto"/>
              <w:right w:val="single" w:sz="4" w:space="0" w:color="auto"/>
            </w:tcBorders>
            <w:shd w:val="clear" w:color="auto" w:fill="auto"/>
            <w:noWrap/>
            <w:hideMark/>
          </w:tcPr>
          <w:p w14:paraId="53C1587B"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0.94</w:t>
            </w:r>
          </w:p>
        </w:tc>
        <w:tc>
          <w:tcPr>
            <w:tcW w:w="1045" w:type="dxa"/>
            <w:tcBorders>
              <w:top w:val="nil"/>
              <w:left w:val="nil"/>
              <w:bottom w:val="single" w:sz="4" w:space="0" w:color="auto"/>
              <w:right w:val="single" w:sz="4" w:space="0" w:color="auto"/>
            </w:tcBorders>
            <w:shd w:val="clear" w:color="auto" w:fill="auto"/>
            <w:noWrap/>
            <w:hideMark/>
          </w:tcPr>
          <w:p w14:paraId="53C1587C"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1.56</w:t>
            </w:r>
          </w:p>
        </w:tc>
        <w:tc>
          <w:tcPr>
            <w:tcW w:w="1045" w:type="dxa"/>
            <w:tcBorders>
              <w:top w:val="nil"/>
              <w:left w:val="nil"/>
              <w:bottom w:val="single" w:sz="4" w:space="0" w:color="auto"/>
              <w:right w:val="single" w:sz="4" w:space="0" w:color="auto"/>
            </w:tcBorders>
            <w:shd w:val="clear" w:color="auto" w:fill="auto"/>
            <w:noWrap/>
            <w:hideMark/>
          </w:tcPr>
          <w:p w14:paraId="53C1587D" w14:textId="77777777" w:rsidR="00EB6F37" w:rsidRPr="00DF7447" w:rsidRDefault="00EB6F37" w:rsidP="00DF7447">
            <w:pPr>
              <w:spacing w:after="0"/>
              <w:jc w:val="center"/>
              <w:rPr>
                <w:rFonts w:ascii="Arial Narrow" w:hAnsi="Arial Narrow"/>
                <w:sz w:val="20"/>
                <w:szCs w:val="20"/>
                <w:lang w:eastAsia="en-AU"/>
              </w:rPr>
            </w:pPr>
          </w:p>
        </w:tc>
        <w:tc>
          <w:tcPr>
            <w:tcW w:w="1032" w:type="dxa"/>
            <w:tcBorders>
              <w:top w:val="nil"/>
              <w:left w:val="nil"/>
              <w:bottom w:val="single" w:sz="4" w:space="0" w:color="auto"/>
              <w:right w:val="single" w:sz="4" w:space="0" w:color="auto"/>
            </w:tcBorders>
          </w:tcPr>
          <w:p w14:paraId="53C1587E"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hideMark/>
          </w:tcPr>
          <w:p w14:paraId="53C1587F"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80"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81"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0.04</w:t>
            </w:r>
          </w:p>
        </w:tc>
        <w:tc>
          <w:tcPr>
            <w:tcW w:w="1045" w:type="dxa"/>
            <w:tcBorders>
              <w:top w:val="nil"/>
              <w:left w:val="nil"/>
              <w:bottom w:val="single" w:sz="4" w:space="0" w:color="auto"/>
              <w:right w:val="single" w:sz="4" w:space="0" w:color="auto"/>
            </w:tcBorders>
            <w:shd w:val="clear" w:color="auto" w:fill="auto"/>
            <w:noWrap/>
            <w:hideMark/>
          </w:tcPr>
          <w:p w14:paraId="53C15882"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83"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892" w14:textId="77777777" w:rsidTr="00EB6F37">
        <w:trPr>
          <w:trHeight w:hRule="exact" w:val="284"/>
        </w:trPr>
        <w:tc>
          <w:tcPr>
            <w:tcW w:w="469" w:type="dxa"/>
            <w:vMerge/>
            <w:tcBorders>
              <w:top w:val="nil"/>
              <w:left w:val="single" w:sz="4" w:space="0" w:color="auto"/>
              <w:bottom w:val="single" w:sz="4" w:space="0" w:color="auto"/>
              <w:right w:val="single" w:sz="4" w:space="0" w:color="auto"/>
            </w:tcBorders>
            <w:vAlign w:val="center"/>
          </w:tcPr>
          <w:p w14:paraId="53C15885" w14:textId="77777777" w:rsidR="00EB6F37" w:rsidRPr="00DF7447" w:rsidRDefault="00EB6F37" w:rsidP="00DF7447">
            <w:pPr>
              <w:spacing w:after="0"/>
              <w:jc w:val="left"/>
              <w:rPr>
                <w:rFonts w:ascii="Arial Narrow" w:hAnsi="Arial Narrow"/>
                <w:sz w:val="20"/>
                <w:szCs w:val="20"/>
                <w:lang w:eastAsia="en-AU"/>
              </w:rPr>
            </w:pPr>
          </w:p>
        </w:tc>
        <w:tc>
          <w:tcPr>
            <w:tcW w:w="1985" w:type="dxa"/>
            <w:vMerge w:val="restart"/>
            <w:tcBorders>
              <w:top w:val="nil"/>
              <w:left w:val="single" w:sz="4" w:space="0" w:color="auto"/>
              <w:right w:val="single" w:sz="4" w:space="0" w:color="auto"/>
            </w:tcBorders>
            <w:vAlign w:val="center"/>
          </w:tcPr>
          <w:p w14:paraId="53C15886" w14:textId="77777777" w:rsidR="00EB6F37" w:rsidRPr="00DF7447" w:rsidRDefault="00EB6F37" w:rsidP="00EB6F37">
            <w:pPr>
              <w:spacing w:after="0"/>
              <w:jc w:val="center"/>
              <w:rPr>
                <w:rFonts w:ascii="Arial Narrow" w:hAnsi="Arial Narrow"/>
                <w:sz w:val="20"/>
                <w:szCs w:val="20"/>
              </w:rPr>
            </w:pPr>
            <w:r w:rsidRPr="00DF7447">
              <w:rPr>
                <w:rFonts w:ascii="Arial Narrow" w:hAnsi="Arial Narrow"/>
                <w:sz w:val="20"/>
                <w:szCs w:val="20"/>
              </w:rPr>
              <w:t>Barren</w:t>
            </w:r>
          </w:p>
        </w:tc>
        <w:tc>
          <w:tcPr>
            <w:tcW w:w="682" w:type="dxa"/>
            <w:tcBorders>
              <w:top w:val="nil"/>
              <w:left w:val="single" w:sz="4" w:space="0" w:color="auto"/>
              <w:bottom w:val="single" w:sz="4" w:space="0" w:color="auto"/>
              <w:right w:val="single" w:sz="4" w:space="0" w:color="auto"/>
            </w:tcBorders>
          </w:tcPr>
          <w:p w14:paraId="53C15887"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2</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888"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0.29</w:t>
            </w:r>
          </w:p>
        </w:tc>
        <w:tc>
          <w:tcPr>
            <w:tcW w:w="1045" w:type="dxa"/>
            <w:tcBorders>
              <w:top w:val="nil"/>
              <w:left w:val="nil"/>
              <w:bottom w:val="single" w:sz="4" w:space="0" w:color="auto"/>
              <w:right w:val="single" w:sz="4" w:space="0" w:color="auto"/>
            </w:tcBorders>
            <w:shd w:val="clear" w:color="auto" w:fill="auto"/>
            <w:noWrap/>
            <w:hideMark/>
          </w:tcPr>
          <w:p w14:paraId="53C15889"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8A"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0.19</w:t>
            </w:r>
          </w:p>
        </w:tc>
        <w:tc>
          <w:tcPr>
            <w:tcW w:w="1045" w:type="dxa"/>
            <w:tcBorders>
              <w:top w:val="nil"/>
              <w:left w:val="nil"/>
              <w:bottom w:val="single" w:sz="4" w:space="0" w:color="auto"/>
              <w:right w:val="single" w:sz="4" w:space="0" w:color="auto"/>
            </w:tcBorders>
            <w:shd w:val="clear" w:color="auto" w:fill="auto"/>
            <w:noWrap/>
            <w:hideMark/>
          </w:tcPr>
          <w:p w14:paraId="53C1588B" w14:textId="77777777" w:rsidR="00EB6F37" w:rsidRPr="00DF7447" w:rsidRDefault="00EB6F37" w:rsidP="00DF7447">
            <w:pPr>
              <w:spacing w:after="0"/>
              <w:jc w:val="center"/>
              <w:rPr>
                <w:rFonts w:ascii="Arial Narrow" w:hAnsi="Arial Narrow"/>
                <w:sz w:val="20"/>
                <w:szCs w:val="20"/>
                <w:lang w:eastAsia="en-AU"/>
              </w:rPr>
            </w:pPr>
          </w:p>
        </w:tc>
        <w:tc>
          <w:tcPr>
            <w:tcW w:w="1032" w:type="dxa"/>
            <w:tcBorders>
              <w:top w:val="nil"/>
              <w:left w:val="nil"/>
              <w:bottom w:val="single" w:sz="4" w:space="0" w:color="auto"/>
              <w:right w:val="single" w:sz="4" w:space="0" w:color="auto"/>
            </w:tcBorders>
          </w:tcPr>
          <w:p w14:paraId="53C1588C"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hideMark/>
          </w:tcPr>
          <w:p w14:paraId="53C1588D"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0.13</w:t>
            </w:r>
          </w:p>
        </w:tc>
        <w:tc>
          <w:tcPr>
            <w:tcW w:w="1045" w:type="dxa"/>
            <w:tcBorders>
              <w:top w:val="nil"/>
              <w:left w:val="nil"/>
              <w:bottom w:val="single" w:sz="4" w:space="0" w:color="auto"/>
              <w:right w:val="single" w:sz="4" w:space="0" w:color="auto"/>
            </w:tcBorders>
            <w:shd w:val="clear" w:color="auto" w:fill="auto"/>
            <w:noWrap/>
            <w:hideMark/>
          </w:tcPr>
          <w:p w14:paraId="53C1588E"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8F"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0.72</w:t>
            </w:r>
          </w:p>
        </w:tc>
        <w:tc>
          <w:tcPr>
            <w:tcW w:w="1045" w:type="dxa"/>
            <w:tcBorders>
              <w:top w:val="nil"/>
              <w:left w:val="nil"/>
              <w:bottom w:val="single" w:sz="4" w:space="0" w:color="auto"/>
              <w:right w:val="single" w:sz="4" w:space="0" w:color="auto"/>
            </w:tcBorders>
            <w:shd w:val="clear" w:color="auto" w:fill="auto"/>
            <w:noWrap/>
            <w:hideMark/>
          </w:tcPr>
          <w:p w14:paraId="53C15890"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91"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8A0" w14:textId="77777777" w:rsidTr="00EB6F37">
        <w:trPr>
          <w:trHeight w:hRule="exact" w:val="284"/>
        </w:trPr>
        <w:tc>
          <w:tcPr>
            <w:tcW w:w="469" w:type="dxa"/>
            <w:vMerge w:val="restart"/>
            <w:tcBorders>
              <w:top w:val="nil"/>
              <w:left w:val="single" w:sz="4" w:space="0" w:color="auto"/>
              <w:bottom w:val="single" w:sz="4" w:space="0" w:color="auto"/>
              <w:right w:val="single" w:sz="4" w:space="0" w:color="auto"/>
            </w:tcBorders>
            <w:shd w:val="clear" w:color="auto" w:fill="auto"/>
            <w:noWrap/>
            <w:textDirection w:val="btLr"/>
            <w:vAlign w:val="center"/>
          </w:tcPr>
          <w:p w14:paraId="53C15893"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lang w:eastAsia="en-AU"/>
              </w:rPr>
              <w:t>Fitzroy</w:t>
            </w:r>
          </w:p>
        </w:tc>
        <w:tc>
          <w:tcPr>
            <w:tcW w:w="1985" w:type="dxa"/>
            <w:vMerge/>
            <w:tcBorders>
              <w:left w:val="single" w:sz="4" w:space="0" w:color="auto"/>
              <w:bottom w:val="single" w:sz="4" w:space="0" w:color="auto"/>
              <w:right w:val="single" w:sz="4" w:space="0" w:color="auto"/>
            </w:tcBorders>
            <w:vAlign w:val="center"/>
          </w:tcPr>
          <w:p w14:paraId="53C15894" w14:textId="77777777" w:rsidR="00EB6F37" w:rsidRPr="00DF7447" w:rsidRDefault="00EB6F37" w:rsidP="00DF7447">
            <w:pPr>
              <w:spacing w:after="0"/>
              <w:jc w:val="center"/>
              <w:rPr>
                <w:rFonts w:ascii="Arial Narrow" w:hAnsi="Arial Narrow"/>
                <w:sz w:val="20"/>
                <w:szCs w:val="20"/>
              </w:rPr>
            </w:pPr>
          </w:p>
        </w:tc>
        <w:tc>
          <w:tcPr>
            <w:tcW w:w="682" w:type="dxa"/>
            <w:tcBorders>
              <w:top w:val="nil"/>
              <w:left w:val="single" w:sz="4" w:space="0" w:color="auto"/>
              <w:bottom w:val="single" w:sz="4" w:space="0" w:color="auto"/>
              <w:right w:val="single" w:sz="4" w:space="0" w:color="auto"/>
            </w:tcBorders>
          </w:tcPr>
          <w:p w14:paraId="53C15895"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5</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896"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0.02</w:t>
            </w:r>
          </w:p>
        </w:tc>
        <w:tc>
          <w:tcPr>
            <w:tcW w:w="1045" w:type="dxa"/>
            <w:tcBorders>
              <w:top w:val="nil"/>
              <w:left w:val="nil"/>
              <w:bottom w:val="single" w:sz="4" w:space="0" w:color="auto"/>
              <w:right w:val="single" w:sz="4" w:space="0" w:color="auto"/>
            </w:tcBorders>
            <w:shd w:val="clear" w:color="auto" w:fill="auto"/>
            <w:noWrap/>
            <w:hideMark/>
          </w:tcPr>
          <w:p w14:paraId="53C15897"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98"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99" w14:textId="77777777" w:rsidR="00EB6F37" w:rsidRPr="00DF7447" w:rsidRDefault="00EB6F37" w:rsidP="00DF7447">
            <w:pPr>
              <w:spacing w:after="0"/>
              <w:jc w:val="center"/>
              <w:rPr>
                <w:rFonts w:ascii="Arial Narrow" w:hAnsi="Arial Narrow"/>
                <w:sz w:val="20"/>
                <w:szCs w:val="20"/>
                <w:lang w:eastAsia="en-AU"/>
              </w:rPr>
            </w:pPr>
          </w:p>
        </w:tc>
        <w:tc>
          <w:tcPr>
            <w:tcW w:w="1032" w:type="dxa"/>
            <w:tcBorders>
              <w:top w:val="nil"/>
              <w:left w:val="nil"/>
              <w:bottom w:val="single" w:sz="4" w:space="0" w:color="auto"/>
              <w:right w:val="single" w:sz="4" w:space="0" w:color="auto"/>
            </w:tcBorders>
          </w:tcPr>
          <w:p w14:paraId="53C1589A"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hideMark/>
          </w:tcPr>
          <w:p w14:paraId="53C1589B"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9C"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9D"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0.80</w:t>
            </w:r>
          </w:p>
        </w:tc>
        <w:tc>
          <w:tcPr>
            <w:tcW w:w="1045" w:type="dxa"/>
            <w:tcBorders>
              <w:top w:val="nil"/>
              <w:left w:val="nil"/>
              <w:bottom w:val="single" w:sz="4" w:space="0" w:color="auto"/>
              <w:right w:val="single" w:sz="4" w:space="0" w:color="auto"/>
            </w:tcBorders>
            <w:shd w:val="clear" w:color="auto" w:fill="auto"/>
            <w:noWrap/>
            <w:hideMark/>
          </w:tcPr>
          <w:p w14:paraId="53C1589E"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9F"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8AE" w14:textId="77777777" w:rsidTr="00EB6F37">
        <w:trPr>
          <w:trHeight w:hRule="exact" w:val="284"/>
        </w:trPr>
        <w:tc>
          <w:tcPr>
            <w:tcW w:w="469" w:type="dxa"/>
            <w:vMerge/>
            <w:tcBorders>
              <w:top w:val="nil"/>
              <w:left w:val="single" w:sz="4" w:space="0" w:color="auto"/>
              <w:bottom w:val="single" w:sz="4" w:space="0" w:color="auto"/>
              <w:right w:val="single" w:sz="4" w:space="0" w:color="auto"/>
            </w:tcBorders>
            <w:vAlign w:val="center"/>
          </w:tcPr>
          <w:p w14:paraId="53C158A1" w14:textId="77777777" w:rsidR="00EB6F37" w:rsidRPr="00DF7447" w:rsidRDefault="00EB6F37" w:rsidP="00DF7447">
            <w:pPr>
              <w:spacing w:after="0"/>
              <w:jc w:val="left"/>
              <w:rPr>
                <w:rFonts w:ascii="Arial Narrow" w:hAnsi="Arial Narrow"/>
                <w:sz w:val="20"/>
                <w:szCs w:val="20"/>
                <w:lang w:eastAsia="en-AU"/>
              </w:rPr>
            </w:pPr>
          </w:p>
        </w:tc>
        <w:tc>
          <w:tcPr>
            <w:tcW w:w="1985" w:type="dxa"/>
            <w:vMerge w:val="restart"/>
            <w:tcBorders>
              <w:top w:val="nil"/>
              <w:left w:val="single" w:sz="4" w:space="0" w:color="auto"/>
              <w:right w:val="single" w:sz="4" w:space="0" w:color="auto"/>
            </w:tcBorders>
            <w:vAlign w:val="center"/>
          </w:tcPr>
          <w:p w14:paraId="53C158A2" w14:textId="77777777" w:rsidR="00EB6F37" w:rsidRPr="00DF7447" w:rsidRDefault="00EB6F37" w:rsidP="00EB6F37">
            <w:pPr>
              <w:spacing w:after="0"/>
              <w:jc w:val="center"/>
              <w:rPr>
                <w:rFonts w:ascii="Arial Narrow" w:hAnsi="Arial Narrow"/>
                <w:sz w:val="20"/>
                <w:szCs w:val="20"/>
                <w:lang w:eastAsia="en-AU"/>
              </w:rPr>
            </w:pPr>
            <w:r w:rsidRPr="00DF7447">
              <w:rPr>
                <w:rFonts w:ascii="Arial Narrow" w:hAnsi="Arial Narrow"/>
                <w:sz w:val="20"/>
                <w:szCs w:val="20"/>
              </w:rPr>
              <w:t>North Keppel</w:t>
            </w:r>
          </w:p>
        </w:tc>
        <w:tc>
          <w:tcPr>
            <w:tcW w:w="682" w:type="dxa"/>
            <w:tcBorders>
              <w:top w:val="nil"/>
              <w:left w:val="single" w:sz="4" w:space="0" w:color="auto"/>
              <w:bottom w:val="single" w:sz="4" w:space="0" w:color="auto"/>
              <w:right w:val="single" w:sz="4" w:space="0" w:color="auto"/>
            </w:tcBorders>
          </w:tcPr>
          <w:p w14:paraId="53C158A3"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2</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8A4"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A5"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A6"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A7" w14:textId="77777777" w:rsidR="00EB6F37" w:rsidRPr="00DF7447" w:rsidRDefault="00EB6F37" w:rsidP="00DF7447">
            <w:pPr>
              <w:spacing w:after="0"/>
              <w:jc w:val="center"/>
              <w:rPr>
                <w:rFonts w:ascii="Arial Narrow" w:hAnsi="Arial Narrow"/>
                <w:sz w:val="20"/>
                <w:szCs w:val="20"/>
                <w:lang w:eastAsia="en-AU"/>
              </w:rPr>
            </w:pPr>
          </w:p>
        </w:tc>
        <w:tc>
          <w:tcPr>
            <w:tcW w:w="1032" w:type="dxa"/>
            <w:tcBorders>
              <w:top w:val="nil"/>
              <w:left w:val="nil"/>
              <w:bottom w:val="single" w:sz="4" w:space="0" w:color="auto"/>
              <w:right w:val="single" w:sz="4" w:space="0" w:color="auto"/>
            </w:tcBorders>
          </w:tcPr>
          <w:p w14:paraId="53C158A8"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hideMark/>
          </w:tcPr>
          <w:p w14:paraId="53C158A9"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AA"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AB"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AC"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AD"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8BC" w14:textId="77777777" w:rsidTr="00EB6F37">
        <w:trPr>
          <w:trHeight w:hRule="exact" w:val="284"/>
        </w:trPr>
        <w:tc>
          <w:tcPr>
            <w:tcW w:w="469" w:type="dxa"/>
            <w:vMerge/>
            <w:tcBorders>
              <w:top w:val="nil"/>
              <w:left w:val="single" w:sz="4" w:space="0" w:color="auto"/>
              <w:bottom w:val="single" w:sz="4" w:space="0" w:color="auto"/>
              <w:right w:val="single" w:sz="4" w:space="0" w:color="auto"/>
            </w:tcBorders>
            <w:vAlign w:val="center"/>
          </w:tcPr>
          <w:p w14:paraId="53C158AF" w14:textId="77777777" w:rsidR="00EB6F37" w:rsidRPr="00DF7447" w:rsidRDefault="00EB6F37" w:rsidP="00DF7447">
            <w:pPr>
              <w:spacing w:after="0"/>
              <w:jc w:val="left"/>
              <w:rPr>
                <w:rFonts w:ascii="Arial Narrow" w:hAnsi="Arial Narrow"/>
                <w:sz w:val="20"/>
                <w:szCs w:val="20"/>
                <w:lang w:eastAsia="en-AU"/>
              </w:rPr>
            </w:pPr>
          </w:p>
        </w:tc>
        <w:tc>
          <w:tcPr>
            <w:tcW w:w="1985" w:type="dxa"/>
            <w:vMerge/>
            <w:tcBorders>
              <w:left w:val="single" w:sz="4" w:space="0" w:color="auto"/>
              <w:bottom w:val="single" w:sz="4" w:space="0" w:color="auto"/>
              <w:right w:val="single" w:sz="4" w:space="0" w:color="auto"/>
            </w:tcBorders>
            <w:vAlign w:val="center"/>
          </w:tcPr>
          <w:p w14:paraId="53C158B0" w14:textId="77777777" w:rsidR="00EB6F37" w:rsidRPr="00DF7447" w:rsidRDefault="00EB6F37" w:rsidP="00DF7447">
            <w:pPr>
              <w:spacing w:after="0"/>
              <w:jc w:val="center"/>
              <w:rPr>
                <w:rFonts w:ascii="Arial Narrow" w:hAnsi="Arial Narrow"/>
                <w:sz w:val="20"/>
                <w:szCs w:val="20"/>
                <w:lang w:eastAsia="en-AU"/>
              </w:rPr>
            </w:pPr>
          </w:p>
        </w:tc>
        <w:tc>
          <w:tcPr>
            <w:tcW w:w="682" w:type="dxa"/>
            <w:tcBorders>
              <w:top w:val="nil"/>
              <w:left w:val="single" w:sz="4" w:space="0" w:color="auto"/>
              <w:bottom w:val="single" w:sz="4" w:space="0" w:color="auto"/>
              <w:right w:val="single" w:sz="4" w:space="0" w:color="auto"/>
            </w:tcBorders>
          </w:tcPr>
          <w:p w14:paraId="53C158B1"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5</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8B2"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0.06</w:t>
            </w:r>
          </w:p>
        </w:tc>
        <w:tc>
          <w:tcPr>
            <w:tcW w:w="1045" w:type="dxa"/>
            <w:tcBorders>
              <w:top w:val="nil"/>
              <w:left w:val="nil"/>
              <w:bottom w:val="single" w:sz="4" w:space="0" w:color="auto"/>
              <w:right w:val="single" w:sz="4" w:space="0" w:color="auto"/>
            </w:tcBorders>
            <w:shd w:val="clear" w:color="auto" w:fill="auto"/>
            <w:noWrap/>
            <w:hideMark/>
          </w:tcPr>
          <w:p w14:paraId="53C158B3"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B4"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B5" w14:textId="77777777" w:rsidR="00EB6F37" w:rsidRPr="00DF7447" w:rsidRDefault="00EB6F37" w:rsidP="00DF7447">
            <w:pPr>
              <w:spacing w:after="0"/>
              <w:jc w:val="center"/>
              <w:rPr>
                <w:rFonts w:ascii="Arial Narrow" w:hAnsi="Arial Narrow"/>
                <w:sz w:val="20"/>
                <w:szCs w:val="20"/>
                <w:lang w:eastAsia="en-AU"/>
              </w:rPr>
            </w:pPr>
          </w:p>
        </w:tc>
        <w:tc>
          <w:tcPr>
            <w:tcW w:w="1032" w:type="dxa"/>
            <w:tcBorders>
              <w:top w:val="nil"/>
              <w:left w:val="nil"/>
              <w:bottom w:val="single" w:sz="4" w:space="0" w:color="auto"/>
              <w:right w:val="single" w:sz="4" w:space="0" w:color="auto"/>
            </w:tcBorders>
          </w:tcPr>
          <w:p w14:paraId="53C158B6"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hideMark/>
          </w:tcPr>
          <w:p w14:paraId="53C158B7"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B8"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B9"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BA"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BB"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8CA" w14:textId="77777777" w:rsidTr="00EB6F37">
        <w:trPr>
          <w:trHeight w:hRule="exact" w:val="284"/>
        </w:trPr>
        <w:tc>
          <w:tcPr>
            <w:tcW w:w="469" w:type="dxa"/>
            <w:vMerge/>
            <w:tcBorders>
              <w:top w:val="nil"/>
              <w:left w:val="single" w:sz="4" w:space="0" w:color="auto"/>
              <w:bottom w:val="single" w:sz="4" w:space="0" w:color="auto"/>
              <w:right w:val="single" w:sz="4" w:space="0" w:color="auto"/>
            </w:tcBorders>
            <w:vAlign w:val="center"/>
          </w:tcPr>
          <w:p w14:paraId="53C158BD" w14:textId="77777777" w:rsidR="00EB6F37" w:rsidRPr="00DF7447" w:rsidRDefault="00EB6F37" w:rsidP="00DF7447">
            <w:pPr>
              <w:spacing w:after="0"/>
              <w:jc w:val="left"/>
              <w:rPr>
                <w:rFonts w:ascii="Arial Narrow" w:hAnsi="Arial Narrow"/>
                <w:sz w:val="20"/>
                <w:szCs w:val="20"/>
                <w:lang w:eastAsia="en-AU"/>
              </w:rPr>
            </w:pPr>
          </w:p>
        </w:tc>
        <w:tc>
          <w:tcPr>
            <w:tcW w:w="1985" w:type="dxa"/>
            <w:vMerge w:val="restart"/>
            <w:tcBorders>
              <w:top w:val="nil"/>
              <w:left w:val="single" w:sz="4" w:space="0" w:color="auto"/>
              <w:right w:val="single" w:sz="4" w:space="0" w:color="auto"/>
            </w:tcBorders>
            <w:vAlign w:val="center"/>
          </w:tcPr>
          <w:p w14:paraId="53C158BE" w14:textId="77777777" w:rsidR="00EB6F37" w:rsidRPr="00DF7447" w:rsidRDefault="00EB6F37" w:rsidP="00EB6F37">
            <w:pPr>
              <w:spacing w:after="0"/>
              <w:jc w:val="center"/>
              <w:rPr>
                <w:rFonts w:ascii="Arial Narrow" w:hAnsi="Arial Narrow"/>
                <w:sz w:val="20"/>
                <w:szCs w:val="20"/>
              </w:rPr>
            </w:pPr>
            <w:r w:rsidRPr="00DF7447">
              <w:rPr>
                <w:rFonts w:ascii="Arial Narrow" w:hAnsi="Arial Narrow"/>
                <w:sz w:val="20"/>
                <w:szCs w:val="20"/>
              </w:rPr>
              <w:t>Middle</w:t>
            </w:r>
          </w:p>
        </w:tc>
        <w:tc>
          <w:tcPr>
            <w:tcW w:w="682" w:type="dxa"/>
            <w:tcBorders>
              <w:top w:val="nil"/>
              <w:left w:val="single" w:sz="4" w:space="0" w:color="auto"/>
              <w:bottom w:val="single" w:sz="4" w:space="0" w:color="auto"/>
              <w:right w:val="single" w:sz="4" w:space="0" w:color="auto"/>
            </w:tcBorders>
          </w:tcPr>
          <w:p w14:paraId="53C158BF"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2</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8C0"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0.04</w:t>
            </w:r>
          </w:p>
        </w:tc>
        <w:tc>
          <w:tcPr>
            <w:tcW w:w="1045" w:type="dxa"/>
            <w:tcBorders>
              <w:top w:val="nil"/>
              <w:left w:val="nil"/>
              <w:bottom w:val="single" w:sz="4" w:space="0" w:color="auto"/>
              <w:right w:val="single" w:sz="4" w:space="0" w:color="auto"/>
            </w:tcBorders>
            <w:shd w:val="clear" w:color="auto" w:fill="auto"/>
            <w:noWrap/>
            <w:hideMark/>
          </w:tcPr>
          <w:p w14:paraId="53C158C1"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C2"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C3" w14:textId="77777777" w:rsidR="00EB6F37" w:rsidRPr="00DF7447" w:rsidRDefault="00EB6F37" w:rsidP="00DF7447">
            <w:pPr>
              <w:spacing w:after="0"/>
              <w:jc w:val="center"/>
              <w:rPr>
                <w:rFonts w:ascii="Arial Narrow" w:hAnsi="Arial Narrow"/>
                <w:sz w:val="20"/>
                <w:szCs w:val="20"/>
                <w:lang w:eastAsia="en-AU"/>
              </w:rPr>
            </w:pPr>
          </w:p>
        </w:tc>
        <w:tc>
          <w:tcPr>
            <w:tcW w:w="1032" w:type="dxa"/>
            <w:tcBorders>
              <w:top w:val="nil"/>
              <w:left w:val="nil"/>
              <w:bottom w:val="single" w:sz="4" w:space="0" w:color="auto"/>
              <w:right w:val="single" w:sz="4" w:space="0" w:color="auto"/>
            </w:tcBorders>
          </w:tcPr>
          <w:p w14:paraId="53C158C4"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hideMark/>
          </w:tcPr>
          <w:p w14:paraId="53C158C5"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C6"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C7"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0.01</w:t>
            </w:r>
          </w:p>
        </w:tc>
        <w:tc>
          <w:tcPr>
            <w:tcW w:w="1045" w:type="dxa"/>
            <w:tcBorders>
              <w:top w:val="nil"/>
              <w:left w:val="nil"/>
              <w:bottom w:val="single" w:sz="4" w:space="0" w:color="auto"/>
              <w:right w:val="single" w:sz="4" w:space="0" w:color="auto"/>
            </w:tcBorders>
            <w:shd w:val="clear" w:color="auto" w:fill="auto"/>
            <w:noWrap/>
            <w:hideMark/>
          </w:tcPr>
          <w:p w14:paraId="53C158C8"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C9"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8D8" w14:textId="77777777" w:rsidTr="00EB6F37">
        <w:trPr>
          <w:trHeight w:hRule="exact" w:val="284"/>
        </w:trPr>
        <w:tc>
          <w:tcPr>
            <w:tcW w:w="469" w:type="dxa"/>
            <w:vMerge/>
            <w:tcBorders>
              <w:top w:val="nil"/>
              <w:left w:val="single" w:sz="4" w:space="0" w:color="auto"/>
              <w:bottom w:val="single" w:sz="4" w:space="0" w:color="auto"/>
              <w:right w:val="single" w:sz="4" w:space="0" w:color="auto"/>
            </w:tcBorders>
            <w:vAlign w:val="center"/>
          </w:tcPr>
          <w:p w14:paraId="53C158CB" w14:textId="77777777" w:rsidR="00EB6F37" w:rsidRPr="00DF7447" w:rsidRDefault="00EB6F37" w:rsidP="00DF7447">
            <w:pPr>
              <w:spacing w:after="0"/>
              <w:jc w:val="left"/>
              <w:rPr>
                <w:rFonts w:ascii="Arial Narrow" w:hAnsi="Arial Narrow"/>
                <w:sz w:val="20"/>
                <w:szCs w:val="20"/>
                <w:lang w:eastAsia="en-AU"/>
              </w:rPr>
            </w:pPr>
          </w:p>
        </w:tc>
        <w:tc>
          <w:tcPr>
            <w:tcW w:w="1985" w:type="dxa"/>
            <w:vMerge/>
            <w:tcBorders>
              <w:left w:val="single" w:sz="4" w:space="0" w:color="auto"/>
              <w:bottom w:val="single" w:sz="4" w:space="0" w:color="auto"/>
              <w:right w:val="single" w:sz="4" w:space="0" w:color="auto"/>
            </w:tcBorders>
            <w:vAlign w:val="center"/>
          </w:tcPr>
          <w:p w14:paraId="53C158CC" w14:textId="77777777" w:rsidR="00EB6F37" w:rsidRPr="00DF7447" w:rsidRDefault="00EB6F37" w:rsidP="00DF7447">
            <w:pPr>
              <w:spacing w:after="0"/>
              <w:jc w:val="center"/>
              <w:rPr>
                <w:rFonts w:ascii="Arial Narrow" w:hAnsi="Arial Narrow"/>
                <w:sz w:val="20"/>
                <w:szCs w:val="20"/>
              </w:rPr>
            </w:pPr>
          </w:p>
        </w:tc>
        <w:tc>
          <w:tcPr>
            <w:tcW w:w="682" w:type="dxa"/>
            <w:tcBorders>
              <w:top w:val="nil"/>
              <w:left w:val="single" w:sz="4" w:space="0" w:color="auto"/>
              <w:bottom w:val="single" w:sz="4" w:space="0" w:color="auto"/>
              <w:right w:val="single" w:sz="4" w:space="0" w:color="auto"/>
            </w:tcBorders>
          </w:tcPr>
          <w:p w14:paraId="53C158CD"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5</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8CE"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0.08</w:t>
            </w:r>
          </w:p>
        </w:tc>
        <w:tc>
          <w:tcPr>
            <w:tcW w:w="1045" w:type="dxa"/>
            <w:tcBorders>
              <w:top w:val="nil"/>
              <w:left w:val="nil"/>
              <w:bottom w:val="single" w:sz="4" w:space="0" w:color="auto"/>
              <w:right w:val="single" w:sz="4" w:space="0" w:color="auto"/>
            </w:tcBorders>
            <w:shd w:val="clear" w:color="auto" w:fill="auto"/>
            <w:noWrap/>
            <w:hideMark/>
          </w:tcPr>
          <w:p w14:paraId="53C158CF"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D0"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D1" w14:textId="77777777" w:rsidR="00EB6F37" w:rsidRPr="00DF7447" w:rsidRDefault="00EB6F37" w:rsidP="00DF7447">
            <w:pPr>
              <w:spacing w:after="0"/>
              <w:jc w:val="center"/>
              <w:rPr>
                <w:rFonts w:ascii="Arial Narrow" w:hAnsi="Arial Narrow"/>
                <w:sz w:val="20"/>
                <w:szCs w:val="20"/>
                <w:lang w:eastAsia="en-AU"/>
              </w:rPr>
            </w:pPr>
          </w:p>
        </w:tc>
        <w:tc>
          <w:tcPr>
            <w:tcW w:w="1032" w:type="dxa"/>
            <w:tcBorders>
              <w:top w:val="nil"/>
              <w:left w:val="nil"/>
              <w:bottom w:val="single" w:sz="4" w:space="0" w:color="auto"/>
              <w:right w:val="single" w:sz="4" w:space="0" w:color="auto"/>
            </w:tcBorders>
          </w:tcPr>
          <w:p w14:paraId="53C158D2"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hideMark/>
          </w:tcPr>
          <w:p w14:paraId="53C158D3"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D4"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D5"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D6"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D7"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8E6" w14:textId="77777777" w:rsidTr="00EB6F37">
        <w:trPr>
          <w:trHeight w:hRule="exact" w:val="284"/>
        </w:trPr>
        <w:tc>
          <w:tcPr>
            <w:tcW w:w="469" w:type="dxa"/>
            <w:vMerge/>
            <w:tcBorders>
              <w:top w:val="nil"/>
              <w:left w:val="single" w:sz="4" w:space="0" w:color="auto"/>
              <w:bottom w:val="single" w:sz="4" w:space="0" w:color="auto"/>
              <w:right w:val="single" w:sz="4" w:space="0" w:color="auto"/>
            </w:tcBorders>
            <w:vAlign w:val="center"/>
          </w:tcPr>
          <w:p w14:paraId="53C158D9" w14:textId="77777777" w:rsidR="00EB6F37" w:rsidRPr="00DF7447" w:rsidRDefault="00EB6F37" w:rsidP="00DF7447">
            <w:pPr>
              <w:spacing w:after="0"/>
              <w:jc w:val="left"/>
              <w:rPr>
                <w:rFonts w:ascii="Arial Narrow" w:hAnsi="Arial Narrow"/>
                <w:sz w:val="20"/>
                <w:szCs w:val="20"/>
                <w:lang w:eastAsia="en-AU"/>
              </w:rPr>
            </w:pPr>
          </w:p>
        </w:tc>
        <w:tc>
          <w:tcPr>
            <w:tcW w:w="1985" w:type="dxa"/>
            <w:vMerge w:val="restart"/>
            <w:tcBorders>
              <w:top w:val="nil"/>
              <w:left w:val="single" w:sz="4" w:space="0" w:color="auto"/>
              <w:right w:val="single" w:sz="4" w:space="0" w:color="auto"/>
            </w:tcBorders>
            <w:vAlign w:val="center"/>
          </w:tcPr>
          <w:p w14:paraId="53C158DA" w14:textId="77777777" w:rsidR="00EB6F37" w:rsidRPr="00DF7447" w:rsidRDefault="00EB6F37" w:rsidP="00EB6F37">
            <w:pPr>
              <w:spacing w:after="0"/>
              <w:jc w:val="center"/>
              <w:rPr>
                <w:rFonts w:ascii="Arial Narrow" w:hAnsi="Arial Narrow"/>
                <w:sz w:val="20"/>
                <w:szCs w:val="20"/>
              </w:rPr>
            </w:pPr>
            <w:r w:rsidRPr="00DF7447">
              <w:rPr>
                <w:rFonts w:ascii="Arial Narrow" w:hAnsi="Arial Narrow"/>
                <w:sz w:val="20"/>
                <w:szCs w:val="20"/>
              </w:rPr>
              <w:t>Keppels South</w:t>
            </w:r>
          </w:p>
        </w:tc>
        <w:tc>
          <w:tcPr>
            <w:tcW w:w="682" w:type="dxa"/>
            <w:tcBorders>
              <w:top w:val="nil"/>
              <w:left w:val="single" w:sz="4" w:space="0" w:color="auto"/>
              <w:bottom w:val="single" w:sz="4" w:space="0" w:color="auto"/>
              <w:right w:val="single" w:sz="4" w:space="0" w:color="auto"/>
            </w:tcBorders>
          </w:tcPr>
          <w:p w14:paraId="53C158DB"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2</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8DC"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0.06</w:t>
            </w:r>
          </w:p>
        </w:tc>
        <w:tc>
          <w:tcPr>
            <w:tcW w:w="1045" w:type="dxa"/>
            <w:tcBorders>
              <w:top w:val="nil"/>
              <w:left w:val="nil"/>
              <w:bottom w:val="single" w:sz="4" w:space="0" w:color="auto"/>
              <w:right w:val="single" w:sz="4" w:space="0" w:color="auto"/>
            </w:tcBorders>
            <w:shd w:val="clear" w:color="auto" w:fill="auto"/>
            <w:noWrap/>
            <w:hideMark/>
          </w:tcPr>
          <w:p w14:paraId="53C158DD"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DE"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DF" w14:textId="77777777" w:rsidR="00EB6F37" w:rsidRPr="00DF7447" w:rsidRDefault="00EB6F37" w:rsidP="00DF7447">
            <w:pPr>
              <w:spacing w:after="0"/>
              <w:jc w:val="center"/>
              <w:rPr>
                <w:rFonts w:ascii="Arial Narrow" w:hAnsi="Arial Narrow"/>
                <w:sz w:val="20"/>
                <w:szCs w:val="20"/>
                <w:lang w:eastAsia="en-AU"/>
              </w:rPr>
            </w:pPr>
          </w:p>
        </w:tc>
        <w:tc>
          <w:tcPr>
            <w:tcW w:w="1032" w:type="dxa"/>
            <w:tcBorders>
              <w:top w:val="nil"/>
              <w:left w:val="nil"/>
              <w:bottom w:val="single" w:sz="4" w:space="0" w:color="auto"/>
              <w:right w:val="single" w:sz="4" w:space="0" w:color="auto"/>
            </w:tcBorders>
          </w:tcPr>
          <w:p w14:paraId="53C158E0"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hideMark/>
          </w:tcPr>
          <w:p w14:paraId="53C158E1"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E2"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E3"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0.11</w:t>
            </w:r>
          </w:p>
        </w:tc>
        <w:tc>
          <w:tcPr>
            <w:tcW w:w="1045" w:type="dxa"/>
            <w:tcBorders>
              <w:top w:val="nil"/>
              <w:left w:val="nil"/>
              <w:bottom w:val="single" w:sz="4" w:space="0" w:color="auto"/>
              <w:right w:val="single" w:sz="4" w:space="0" w:color="auto"/>
            </w:tcBorders>
            <w:shd w:val="clear" w:color="auto" w:fill="auto"/>
            <w:noWrap/>
            <w:hideMark/>
          </w:tcPr>
          <w:p w14:paraId="53C158E4"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E5"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8F4" w14:textId="77777777" w:rsidTr="00EB6F37">
        <w:trPr>
          <w:trHeight w:hRule="exact" w:val="284"/>
        </w:trPr>
        <w:tc>
          <w:tcPr>
            <w:tcW w:w="469" w:type="dxa"/>
            <w:vMerge/>
            <w:tcBorders>
              <w:top w:val="nil"/>
              <w:left w:val="single" w:sz="4" w:space="0" w:color="auto"/>
              <w:bottom w:val="single" w:sz="4" w:space="0" w:color="auto"/>
              <w:right w:val="single" w:sz="4" w:space="0" w:color="auto"/>
            </w:tcBorders>
            <w:vAlign w:val="center"/>
          </w:tcPr>
          <w:p w14:paraId="53C158E7" w14:textId="77777777" w:rsidR="00EB6F37" w:rsidRPr="00DF7447" w:rsidRDefault="00EB6F37" w:rsidP="00DF7447">
            <w:pPr>
              <w:spacing w:after="0"/>
              <w:jc w:val="left"/>
              <w:rPr>
                <w:rFonts w:ascii="Arial Narrow" w:hAnsi="Arial Narrow"/>
                <w:sz w:val="20"/>
                <w:szCs w:val="20"/>
                <w:lang w:eastAsia="en-AU"/>
              </w:rPr>
            </w:pPr>
          </w:p>
        </w:tc>
        <w:tc>
          <w:tcPr>
            <w:tcW w:w="1985" w:type="dxa"/>
            <w:vMerge/>
            <w:tcBorders>
              <w:left w:val="single" w:sz="4" w:space="0" w:color="auto"/>
              <w:bottom w:val="single" w:sz="4" w:space="0" w:color="auto"/>
              <w:right w:val="single" w:sz="4" w:space="0" w:color="auto"/>
            </w:tcBorders>
            <w:vAlign w:val="center"/>
          </w:tcPr>
          <w:p w14:paraId="53C158E8" w14:textId="77777777" w:rsidR="00EB6F37" w:rsidRPr="00DF7447" w:rsidRDefault="00EB6F37" w:rsidP="00DF7447">
            <w:pPr>
              <w:spacing w:after="0"/>
              <w:jc w:val="center"/>
              <w:rPr>
                <w:rFonts w:ascii="Arial Narrow" w:hAnsi="Arial Narrow"/>
                <w:sz w:val="20"/>
                <w:szCs w:val="20"/>
              </w:rPr>
            </w:pPr>
          </w:p>
        </w:tc>
        <w:tc>
          <w:tcPr>
            <w:tcW w:w="682" w:type="dxa"/>
            <w:tcBorders>
              <w:top w:val="nil"/>
              <w:left w:val="single" w:sz="4" w:space="0" w:color="auto"/>
              <w:bottom w:val="single" w:sz="4" w:space="0" w:color="auto"/>
              <w:right w:val="single" w:sz="4" w:space="0" w:color="auto"/>
            </w:tcBorders>
          </w:tcPr>
          <w:p w14:paraId="53C158E9"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5</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8EA"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0.01</w:t>
            </w:r>
          </w:p>
        </w:tc>
        <w:tc>
          <w:tcPr>
            <w:tcW w:w="1045" w:type="dxa"/>
            <w:tcBorders>
              <w:top w:val="nil"/>
              <w:left w:val="nil"/>
              <w:bottom w:val="single" w:sz="4" w:space="0" w:color="auto"/>
              <w:right w:val="single" w:sz="4" w:space="0" w:color="auto"/>
            </w:tcBorders>
            <w:shd w:val="clear" w:color="auto" w:fill="auto"/>
            <w:noWrap/>
            <w:hideMark/>
          </w:tcPr>
          <w:p w14:paraId="53C158EB"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EC"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ED" w14:textId="77777777" w:rsidR="00EB6F37" w:rsidRPr="00DF7447" w:rsidRDefault="00EB6F37" w:rsidP="00DF7447">
            <w:pPr>
              <w:spacing w:after="0"/>
              <w:jc w:val="center"/>
              <w:rPr>
                <w:rFonts w:ascii="Arial Narrow" w:hAnsi="Arial Narrow"/>
                <w:sz w:val="20"/>
                <w:szCs w:val="20"/>
                <w:lang w:eastAsia="en-AU"/>
              </w:rPr>
            </w:pPr>
          </w:p>
        </w:tc>
        <w:tc>
          <w:tcPr>
            <w:tcW w:w="1032" w:type="dxa"/>
            <w:tcBorders>
              <w:top w:val="nil"/>
              <w:left w:val="nil"/>
              <w:bottom w:val="single" w:sz="4" w:space="0" w:color="auto"/>
              <w:right w:val="single" w:sz="4" w:space="0" w:color="auto"/>
            </w:tcBorders>
          </w:tcPr>
          <w:p w14:paraId="53C158EE"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hideMark/>
          </w:tcPr>
          <w:p w14:paraId="53C158EF"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F0"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F1"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0.05</w:t>
            </w:r>
          </w:p>
        </w:tc>
        <w:tc>
          <w:tcPr>
            <w:tcW w:w="1045" w:type="dxa"/>
            <w:tcBorders>
              <w:top w:val="nil"/>
              <w:left w:val="nil"/>
              <w:bottom w:val="single" w:sz="4" w:space="0" w:color="auto"/>
              <w:right w:val="single" w:sz="4" w:space="0" w:color="auto"/>
            </w:tcBorders>
            <w:shd w:val="clear" w:color="auto" w:fill="auto"/>
            <w:noWrap/>
            <w:hideMark/>
          </w:tcPr>
          <w:p w14:paraId="53C158F2"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F3"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902" w14:textId="77777777" w:rsidTr="00EB6F37">
        <w:trPr>
          <w:trHeight w:hRule="exact" w:val="284"/>
        </w:trPr>
        <w:tc>
          <w:tcPr>
            <w:tcW w:w="469" w:type="dxa"/>
            <w:vMerge/>
            <w:tcBorders>
              <w:top w:val="nil"/>
              <w:left w:val="single" w:sz="4" w:space="0" w:color="auto"/>
              <w:bottom w:val="single" w:sz="4" w:space="0" w:color="auto"/>
              <w:right w:val="single" w:sz="4" w:space="0" w:color="auto"/>
            </w:tcBorders>
            <w:vAlign w:val="center"/>
          </w:tcPr>
          <w:p w14:paraId="53C158F5" w14:textId="77777777" w:rsidR="00EB6F37" w:rsidRPr="00DF7447" w:rsidRDefault="00EB6F37" w:rsidP="00DF7447">
            <w:pPr>
              <w:spacing w:after="0"/>
              <w:jc w:val="left"/>
              <w:rPr>
                <w:rFonts w:ascii="Arial Narrow" w:hAnsi="Arial Narrow"/>
                <w:sz w:val="20"/>
                <w:szCs w:val="20"/>
                <w:lang w:eastAsia="en-AU"/>
              </w:rPr>
            </w:pPr>
          </w:p>
        </w:tc>
        <w:tc>
          <w:tcPr>
            <w:tcW w:w="1985" w:type="dxa"/>
            <w:vMerge w:val="restart"/>
            <w:tcBorders>
              <w:top w:val="nil"/>
              <w:left w:val="single" w:sz="4" w:space="0" w:color="auto"/>
              <w:right w:val="single" w:sz="4" w:space="0" w:color="auto"/>
            </w:tcBorders>
            <w:vAlign w:val="center"/>
          </w:tcPr>
          <w:p w14:paraId="53C158F6" w14:textId="77777777" w:rsidR="00EB6F37" w:rsidRPr="00DF7447" w:rsidRDefault="00EB6F37" w:rsidP="00EB6F37">
            <w:pPr>
              <w:spacing w:after="0"/>
              <w:jc w:val="center"/>
              <w:rPr>
                <w:rFonts w:ascii="Arial Narrow" w:hAnsi="Arial Narrow"/>
                <w:sz w:val="20"/>
                <w:szCs w:val="20"/>
              </w:rPr>
            </w:pPr>
            <w:r w:rsidRPr="00DF7447">
              <w:rPr>
                <w:rFonts w:ascii="Arial Narrow" w:hAnsi="Arial Narrow"/>
                <w:sz w:val="20"/>
                <w:szCs w:val="20"/>
              </w:rPr>
              <w:t>Pelican</w:t>
            </w:r>
          </w:p>
        </w:tc>
        <w:tc>
          <w:tcPr>
            <w:tcW w:w="682" w:type="dxa"/>
            <w:tcBorders>
              <w:top w:val="nil"/>
              <w:left w:val="single" w:sz="4" w:space="0" w:color="auto"/>
              <w:bottom w:val="single" w:sz="4" w:space="0" w:color="auto"/>
              <w:right w:val="single" w:sz="4" w:space="0" w:color="auto"/>
            </w:tcBorders>
          </w:tcPr>
          <w:p w14:paraId="53C158F7"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2</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8F8"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0.02</w:t>
            </w:r>
          </w:p>
        </w:tc>
        <w:tc>
          <w:tcPr>
            <w:tcW w:w="1045" w:type="dxa"/>
            <w:tcBorders>
              <w:top w:val="nil"/>
              <w:left w:val="nil"/>
              <w:bottom w:val="single" w:sz="4" w:space="0" w:color="auto"/>
              <w:right w:val="single" w:sz="4" w:space="0" w:color="auto"/>
            </w:tcBorders>
            <w:shd w:val="clear" w:color="auto" w:fill="auto"/>
            <w:noWrap/>
            <w:hideMark/>
          </w:tcPr>
          <w:p w14:paraId="53C158F9"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FA"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FB" w14:textId="77777777" w:rsidR="00EB6F37" w:rsidRPr="00DF7447" w:rsidRDefault="00EB6F37" w:rsidP="00DF7447">
            <w:pPr>
              <w:spacing w:after="0"/>
              <w:jc w:val="center"/>
              <w:rPr>
                <w:rFonts w:ascii="Arial Narrow" w:hAnsi="Arial Narrow"/>
                <w:sz w:val="20"/>
                <w:szCs w:val="20"/>
                <w:lang w:eastAsia="en-AU"/>
              </w:rPr>
            </w:pPr>
          </w:p>
        </w:tc>
        <w:tc>
          <w:tcPr>
            <w:tcW w:w="1032" w:type="dxa"/>
            <w:tcBorders>
              <w:top w:val="nil"/>
              <w:left w:val="nil"/>
              <w:bottom w:val="single" w:sz="4" w:space="0" w:color="auto"/>
              <w:right w:val="single" w:sz="4" w:space="0" w:color="auto"/>
            </w:tcBorders>
          </w:tcPr>
          <w:p w14:paraId="53C158FC"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hideMark/>
          </w:tcPr>
          <w:p w14:paraId="53C158FD"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FE"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8FF"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0.01</w:t>
            </w:r>
          </w:p>
        </w:tc>
        <w:tc>
          <w:tcPr>
            <w:tcW w:w="1045" w:type="dxa"/>
            <w:tcBorders>
              <w:top w:val="nil"/>
              <w:left w:val="nil"/>
              <w:bottom w:val="single" w:sz="4" w:space="0" w:color="auto"/>
              <w:right w:val="single" w:sz="4" w:space="0" w:color="auto"/>
            </w:tcBorders>
            <w:shd w:val="clear" w:color="auto" w:fill="auto"/>
            <w:noWrap/>
            <w:hideMark/>
          </w:tcPr>
          <w:p w14:paraId="53C15900"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901"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910" w14:textId="77777777" w:rsidTr="00EB6F37">
        <w:trPr>
          <w:trHeight w:hRule="exact" w:val="284"/>
        </w:trPr>
        <w:tc>
          <w:tcPr>
            <w:tcW w:w="469" w:type="dxa"/>
            <w:vMerge/>
            <w:tcBorders>
              <w:top w:val="nil"/>
              <w:left w:val="single" w:sz="4" w:space="0" w:color="auto"/>
              <w:bottom w:val="single" w:sz="4" w:space="0" w:color="auto"/>
              <w:right w:val="single" w:sz="4" w:space="0" w:color="auto"/>
            </w:tcBorders>
            <w:vAlign w:val="center"/>
          </w:tcPr>
          <w:p w14:paraId="53C15903" w14:textId="77777777" w:rsidR="00EB6F37" w:rsidRPr="00DF7447" w:rsidRDefault="00EB6F37" w:rsidP="00DF7447">
            <w:pPr>
              <w:spacing w:after="0"/>
              <w:jc w:val="left"/>
              <w:rPr>
                <w:rFonts w:ascii="Arial Narrow" w:hAnsi="Arial Narrow"/>
                <w:sz w:val="20"/>
                <w:szCs w:val="20"/>
                <w:lang w:eastAsia="en-AU"/>
              </w:rPr>
            </w:pPr>
          </w:p>
        </w:tc>
        <w:tc>
          <w:tcPr>
            <w:tcW w:w="1985" w:type="dxa"/>
            <w:vMerge/>
            <w:tcBorders>
              <w:left w:val="single" w:sz="4" w:space="0" w:color="auto"/>
              <w:bottom w:val="single" w:sz="4" w:space="0" w:color="auto"/>
              <w:right w:val="single" w:sz="4" w:space="0" w:color="auto"/>
            </w:tcBorders>
            <w:vAlign w:val="center"/>
          </w:tcPr>
          <w:p w14:paraId="53C15904" w14:textId="77777777" w:rsidR="00EB6F37" w:rsidRPr="00DF7447" w:rsidRDefault="00EB6F37" w:rsidP="00DF7447">
            <w:pPr>
              <w:spacing w:after="0"/>
              <w:jc w:val="center"/>
              <w:rPr>
                <w:rFonts w:ascii="Arial Narrow" w:hAnsi="Arial Narrow"/>
                <w:sz w:val="20"/>
                <w:szCs w:val="20"/>
              </w:rPr>
            </w:pPr>
          </w:p>
        </w:tc>
        <w:tc>
          <w:tcPr>
            <w:tcW w:w="682" w:type="dxa"/>
            <w:tcBorders>
              <w:top w:val="nil"/>
              <w:left w:val="single" w:sz="4" w:space="0" w:color="auto"/>
              <w:bottom w:val="single" w:sz="4" w:space="0" w:color="auto"/>
              <w:right w:val="single" w:sz="4" w:space="0" w:color="auto"/>
            </w:tcBorders>
          </w:tcPr>
          <w:p w14:paraId="53C15905"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5</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906"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0.66</w:t>
            </w:r>
          </w:p>
        </w:tc>
        <w:tc>
          <w:tcPr>
            <w:tcW w:w="1045" w:type="dxa"/>
            <w:tcBorders>
              <w:top w:val="nil"/>
              <w:left w:val="nil"/>
              <w:bottom w:val="single" w:sz="4" w:space="0" w:color="auto"/>
              <w:right w:val="single" w:sz="4" w:space="0" w:color="auto"/>
            </w:tcBorders>
            <w:shd w:val="clear" w:color="auto" w:fill="auto"/>
            <w:noWrap/>
            <w:hideMark/>
          </w:tcPr>
          <w:p w14:paraId="53C15907"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1.06</w:t>
            </w:r>
          </w:p>
        </w:tc>
        <w:tc>
          <w:tcPr>
            <w:tcW w:w="1045" w:type="dxa"/>
            <w:tcBorders>
              <w:top w:val="nil"/>
              <w:left w:val="nil"/>
              <w:bottom w:val="single" w:sz="4" w:space="0" w:color="auto"/>
              <w:right w:val="single" w:sz="4" w:space="0" w:color="auto"/>
            </w:tcBorders>
            <w:shd w:val="clear" w:color="auto" w:fill="auto"/>
            <w:noWrap/>
            <w:hideMark/>
          </w:tcPr>
          <w:p w14:paraId="53C15908"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909"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0.06</w:t>
            </w:r>
          </w:p>
        </w:tc>
        <w:tc>
          <w:tcPr>
            <w:tcW w:w="1032" w:type="dxa"/>
            <w:tcBorders>
              <w:top w:val="nil"/>
              <w:left w:val="nil"/>
              <w:bottom w:val="single" w:sz="4" w:space="0" w:color="auto"/>
              <w:right w:val="single" w:sz="4" w:space="0" w:color="auto"/>
            </w:tcBorders>
          </w:tcPr>
          <w:p w14:paraId="53C1590A"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0.25</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90B"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90C"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0.01</w:t>
            </w:r>
          </w:p>
        </w:tc>
        <w:tc>
          <w:tcPr>
            <w:tcW w:w="1045" w:type="dxa"/>
            <w:tcBorders>
              <w:top w:val="nil"/>
              <w:left w:val="nil"/>
              <w:bottom w:val="single" w:sz="4" w:space="0" w:color="auto"/>
              <w:right w:val="single" w:sz="4" w:space="0" w:color="auto"/>
            </w:tcBorders>
            <w:shd w:val="clear" w:color="auto" w:fill="auto"/>
            <w:noWrap/>
            <w:hideMark/>
          </w:tcPr>
          <w:p w14:paraId="53C1590D"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0.03</w:t>
            </w:r>
          </w:p>
        </w:tc>
        <w:tc>
          <w:tcPr>
            <w:tcW w:w="1045" w:type="dxa"/>
            <w:tcBorders>
              <w:top w:val="nil"/>
              <w:left w:val="nil"/>
              <w:bottom w:val="single" w:sz="4" w:space="0" w:color="auto"/>
              <w:right w:val="single" w:sz="4" w:space="0" w:color="auto"/>
            </w:tcBorders>
            <w:shd w:val="clear" w:color="auto" w:fill="auto"/>
            <w:noWrap/>
            <w:hideMark/>
          </w:tcPr>
          <w:p w14:paraId="53C1590E"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1.19</w:t>
            </w:r>
          </w:p>
        </w:tc>
        <w:tc>
          <w:tcPr>
            <w:tcW w:w="1045" w:type="dxa"/>
            <w:tcBorders>
              <w:top w:val="nil"/>
              <w:left w:val="nil"/>
              <w:bottom w:val="single" w:sz="4" w:space="0" w:color="auto"/>
              <w:right w:val="single" w:sz="4" w:space="0" w:color="auto"/>
            </w:tcBorders>
            <w:shd w:val="clear" w:color="auto" w:fill="auto"/>
            <w:noWrap/>
            <w:hideMark/>
          </w:tcPr>
          <w:p w14:paraId="53C1590F"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91E" w14:textId="77777777" w:rsidTr="00EB6F37">
        <w:trPr>
          <w:trHeight w:hRule="exact" w:val="284"/>
        </w:trPr>
        <w:tc>
          <w:tcPr>
            <w:tcW w:w="469" w:type="dxa"/>
            <w:vMerge/>
            <w:tcBorders>
              <w:top w:val="nil"/>
              <w:left w:val="single" w:sz="4" w:space="0" w:color="auto"/>
              <w:bottom w:val="single" w:sz="4" w:space="0" w:color="auto"/>
              <w:right w:val="single" w:sz="4" w:space="0" w:color="auto"/>
            </w:tcBorders>
            <w:vAlign w:val="center"/>
          </w:tcPr>
          <w:p w14:paraId="53C15911" w14:textId="77777777" w:rsidR="00EB6F37" w:rsidRPr="00DF7447" w:rsidRDefault="00EB6F37" w:rsidP="00DF7447">
            <w:pPr>
              <w:spacing w:after="0"/>
              <w:jc w:val="left"/>
              <w:rPr>
                <w:rFonts w:ascii="Arial Narrow" w:hAnsi="Arial Narrow"/>
                <w:sz w:val="20"/>
                <w:szCs w:val="20"/>
                <w:lang w:eastAsia="en-AU"/>
              </w:rPr>
            </w:pPr>
          </w:p>
        </w:tc>
        <w:tc>
          <w:tcPr>
            <w:tcW w:w="1985" w:type="dxa"/>
            <w:vMerge w:val="restart"/>
            <w:tcBorders>
              <w:top w:val="nil"/>
              <w:left w:val="single" w:sz="4" w:space="0" w:color="auto"/>
              <w:right w:val="single" w:sz="4" w:space="0" w:color="auto"/>
            </w:tcBorders>
            <w:vAlign w:val="center"/>
          </w:tcPr>
          <w:p w14:paraId="53C15912" w14:textId="77777777" w:rsidR="00EB6F37" w:rsidRPr="00DF7447" w:rsidRDefault="00EB6F37" w:rsidP="00EB6F37">
            <w:pPr>
              <w:spacing w:after="0"/>
              <w:jc w:val="center"/>
              <w:rPr>
                <w:rFonts w:ascii="Arial Narrow" w:hAnsi="Arial Narrow"/>
                <w:sz w:val="20"/>
                <w:szCs w:val="20"/>
              </w:rPr>
            </w:pPr>
            <w:r w:rsidRPr="00DF7447">
              <w:rPr>
                <w:rFonts w:ascii="Arial Narrow" w:hAnsi="Arial Narrow"/>
                <w:sz w:val="20"/>
                <w:szCs w:val="20"/>
              </w:rPr>
              <w:t>Peak</w:t>
            </w:r>
          </w:p>
        </w:tc>
        <w:tc>
          <w:tcPr>
            <w:tcW w:w="682" w:type="dxa"/>
            <w:tcBorders>
              <w:top w:val="nil"/>
              <w:left w:val="single" w:sz="4" w:space="0" w:color="auto"/>
              <w:bottom w:val="single" w:sz="4" w:space="0" w:color="auto"/>
              <w:right w:val="single" w:sz="4" w:space="0" w:color="auto"/>
            </w:tcBorders>
          </w:tcPr>
          <w:p w14:paraId="53C15913"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2</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914"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0.07</w:t>
            </w:r>
          </w:p>
        </w:tc>
        <w:tc>
          <w:tcPr>
            <w:tcW w:w="1045" w:type="dxa"/>
            <w:tcBorders>
              <w:top w:val="nil"/>
              <w:left w:val="nil"/>
              <w:bottom w:val="single" w:sz="4" w:space="0" w:color="auto"/>
              <w:right w:val="single" w:sz="4" w:space="0" w:color="auto"/>
            </w:tcBorders>
            <w:shd w:val="clear" w:color="auto" w:fill="auto"/>
            <w:noWrap/>
            <w:hideMark/>
          </w:tcPr>
          <w:p w14:paraId="53C15915"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0.19</w:t>
            </w:r>
          </w:p>
        </w:tc>
        <w:tc>
          <w:tcPr>
            <w:tcW w:w="1045" w:type="dxa"/>
            <w:tcBorders>
              <w:top w:val="nil"/>
              <w:left w:val="nil"/>
              <w:bottom w:val="single" w:sz="4" w:space="0" w:color="auto"/>
              <w:right w:val="single" w:sz="4" w:space="0" w:color="auto"/>
            </w:tcBorders>
            <w:shd w:val="clear" w:color="auto" w:fill="auto"/>
            <w:noWrap/>
            <w:hideMark/>
          </w:tcPr>
          <w:p w14:paraId="53C15916"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917" w14:textId="77777777" w:rsidR="00EB6F37" w:rsidRPr="00DF7447" w:rsidRDefault="00EB6F37" w:rsidP="00DF7447">
            <w:pPr>
              <w:spacing w:after="0"/>
              <w:jc w:val="center"/>
              <w:rPr>
                <w:rFonts w:ascii="Arial Narrow" w:hAnsi="Arial Narrow"/>
                <w:sz w:val="20"/>
                <w:szCs w:val="20"/>
                <w:lang w:eastAsia="en-AU"/>
              </w:rPr>
            </w:pPr>
          </w:p>
        </w:tc>
        <w:tc>
          <w:tcPr>
            <w:tcW w:w="1032" w:type="dxa"/>
            <w:tcBorders>
              <w:top w:val="nil"/>
              <w:left w:val="nil"/>
              <w:bottom w:val="single" w:sz="4" w:space="0" w:color="auto"/>
              <w:right w:val="single" w:sz="4" w:space="0" w:color="auto"/>
            </w:tcBorders>
          </w:tcPr>
          <w:p w14:paraId="53C15918"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hideMark/>
          </w:tcPr>
          <w:p w14:paraId="53C15919"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91A"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91B"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91C"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0.06</w:t>
            </w:r>
          </w:p>
        </w:tc>
        <w:tc>
          <w:tcPr>
            <w:tcW w:w="1045" w:type="dxa"/>
            <w:tcBorders>
              <w:top w:val="nil"/>
              <w:left w:val="nil"/>
              <w:bottom w:val="single" w:sz="4" w:space="0" w:color="auto"/>
              <w:right w:val="single" w:sz="4" w:space="0" w:color="auto"/>
            </w:tcBorders>
            <w:shd w:val="clear" w:color="auto" w:fill="auto"/>
            <w:noWrap/>
            <w:hideMark/>
          </w:tcPr>
          <w:p w14:paraId="53C1591D" w14:textId="77777777" w:rsidR="00EB6F37" w:rsidRPr="00DF7447" w:rsidRDefault="00EB6F37" w:rsidP="00DF7447">
            <w:pPr>
              <w:spacing w:after="0"/>
              <w:jc w:val="center"/>
              <w:rPr>
                <w:rFonts w:ascii="Arial Narrow" w:hAnsi="Arial Narrow"/>
                <w:sz w:val="20"/>
                <w:szCs w:val="20"/>
                <w:lang w:eastAsia="en-AU"/>
              </w:rPr>
            </w:pPr>
          </w:p>
        </w:tc>
      </w:tr>
      <w:tr w:rsidR="00EB6F37" w:rsidRPr="00DF7447" w14:paraId="53C1592C" w14:textId="77777777" w:rsidTr="00EB6F37">
        <w:trPr>
          <w:trHeight w:hRule="exact" w:val="284"/>
        </w:trPr>
        <w:tc>
          <w:tcPr>
            <w:tcW w:w="469" w:type="dxa"/>
            <w:vMerge/>
            <w:tcBorders>
              <w:top w:val="nil"/>
              <w:left w:val="single" w:sz="4" w:space="0" w:color="auto"/>
              <w:bottom w:val="single" w:sz="4" w:space="0" w:color="auto"/>
              <w:right w:val="single" w:sz="4" w:space="0" w:color="auto"/>
            </w:tcBorders>
            <w:vAlign w:val="center"/>
          </w:tcPr>
          <w:p w14:paraId="53C1591F" w14:textId="77777777" w:rsidR="00EB6F37" w:rsidRPr="00DF7447" w:rsidRDefault="00EB6F37" w:rsidP="00DF7447">
            <w:pPr>
              <w:spacing w:after="0"/>
              <w:jc w:val="left"/>
              <w:rPr>
                <w:rFonts w:ascii="Arial Narrow" w:hAnsi="Arial Narrow"/>
                <w:sz w:val="20"/>
                <w:szCs w:val="20"/>
                <w:lang w:eastAsia="en-AU"/>
              </w:rPr>
            </w:pPr>
          </w:p>
        </w:tc>
        <w:tc>
          <w:tcPr>
            <w:tcW w:w="1985" w:type="dxa"/>
            <w:vMerge/>
            <w:tcBorders>
              <w:left w:val="single" w:sz="4" w:space="0" w:color="auto"/>
              <w:bottom w:val="single" w:sz="4" w:space="0" w:color="auto"/>
              <w:right w:val="single" w:sz="4" w:space="0" w:color="auto"/>
            </w:tcBorders>
          </w:tcPr>
          <w:p w14:paraId="53C15920" w14:textId="77777777" w:rsidR="00EB6F37" w:rsidRPr="00DF7447" w:rsidRDefault="00EB6F37" w:rsidP="00DF7447">
            <w:pPr>
              <w:spacing w:after="0"/>
              <w:jc w:val="center"/>
              <w:rPr>
                <w:rFonts w:ascii="Arial Narrow" w:hAnsi="Arial Narrow"/>
                <w:sz w:val="20"/>
                <w:szCs w:val="20"/>
              </w:rPr>
            </w:pPr>
          </w:p>
        </w:tc>
        <w:tc>
          <w:tcPr>
            <w:tcW w:w="682" w:type="dxa"/>
            <w:tcBorders>
              <w:top w:val="nil"/>
              <w:left w:val="single" w:sz="4" w:space="0" w:color="auto"/>
              <w:bottom w:val="single" w:sz="4" w:space="0" w:color="auto"/>
              <w:right w:val="single" w:sz="4" w:space="0" w:color="auto"/>
            </w:tcBorders>
          </w:tcPr>
          <w:p w14:paraId="53C15921" w14:textId="77777777" w:rsidR="00EB6F37" w:rsidRPr="00DF7447" w:rsidRDefault="00EB6F37" w:rsidP="00DF7447">
            <w:pPr>
              <w:spacing w:after="0"/>
              <w:jc w:val="center"/>
              <w:rPr>
                <w:rFonts w:ascii="Arial Narrow" w:hAnsi="Arial Narrow"/>
                <w:sz w:val="20"/>
                <w:szCs w:val="20"/>
              </w:rPr>
            </w:pPr>
            <w:r w:rsidRPr="00DF7447">
              <w:rPr>
                <w:rFonts w:ascii="Arial Narrow" w:hAnsi="Arial Narrow"/>
                <w:sz w:val="20"/>
                <w:szCs w:val="20"/>
              </w:rPr>
              <w:t>5</w:t>
            </w:r>
          </w:p>
        </w:tc>
        <w:tc>
          <w:tcPr>
            <w:tcW w:w="1045" w:type="dxa"/>
            <w:tcBorders>
              <w:top w:val="nil"/>
              <w:left w:val="single" w:sz="4" w:space="0" w:color="auto"/>
              <w:bottom w:val="single" w:sz="4" w:space="0" w:color="auto"/>
              <w:right w:val="single" w:sz="4" w:space="0" w:color="auto"/>
            </w:tcBorders>
            <w:shd w:val="clear" w:color="auto" w:fill="auto"/>
            <w:noWrap/>
            <w:hideMark/>
          </w:tcPr>
          <w:p w14:paraId="53C15922"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0.10</w:t>
            </w:r>
          </w:p>
        </w:tc>
        <w:tc>
          <w:tcPr>
            <w:tcW w:w="1045" w:type="dxa"/>
            <w:tcBorders>
              <w:top w:val="nil"/>
              <w:left w:val="nil"/>
              <w:bottom w:val="single" w:sz="4" w:space="0" w:color="auto"/>
              <w:right w:val="single" w:sz="4" w:space="0" w:color="auto"/>
            </w:tcBorders>
            <w:shd w:val="clear" w:color="auto" w:fill="auto"/>
            <w:noWrap/>
            <w:hideMark/>
          </w:tcPr>
          <w:p w14:paraId="53C15923"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924"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925" w14:textId="77777777" w:rsidR="00EB6F37" w:rsidRPr="00DF7447" w:rsidRDefault="00EB6F37" w:rsidP="00DF7447">
            <w:pPr>
              <w:spacing w:after="0"/>
              <w:jc w:val="center"/>
              <w:rPr>
                <w:rFonts w:ascii="Arial Narrow" w:hAnsi="Arial Narrow"/>
                <w:sz w:val="20"/>
                <w:szCs w:val="20"/>
                <w:lang w:eastAsia="en-AU"/>
              </w:rPr>
            </w:pPr>
          </w:p>
        </w:tc>
        <w:tc>
          <w:tcPr>
            <w:tcW w:w="1032" w:type="dxa"/>
            <w:tcBorders>
              <w:top w:val="nil"/>
              <w:left w:val="nil"/>
              <w:bottom w:val="single" w:sz="4" w:space="0" w:color="auto"/>
              <w:right w:val="single" w:sz="4" w:space="0" w:color="auto"/>
            </w:tcBorders>
          </w:tcPr>
          <w:p w14:paraId="53C15926"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single" w:sz="4" w:space="0" w:color="auto"/>
              <w:bottom w:val="single" w:sz="4" w:space="0" w:color="auto"/>
              <w:right w:val="single" w:sz="4" w:space="0" w:color="auto"/>
            </w:tcBorders>
            <w:shd w:val="clear" w:color="auto" w:fill="auto"/>
            <w:noWrap/>
            <w:hideMark/>
          </w:tcPr>
          <w:p w14:paraId="53C15927" w14:textId="77777777" w:rsidR="00EB6F37" w:rsidRPr="00DF7447" w:rsidRDefault="00EB6F37" w:rsidP="00DF7447">
            <w:pPr>
              <w:spacing w:after="0"/>
              <w:jc w:val="center"/>
              <w:rPr>
                <w:rFonts w:ascii="Arial Narrow" w:hAnsi="Arial Narrow"/>
                <w:sz w:val="20"/>
                <w:szCs w:val="20"/>
                <w:lang w:eastAsia="en-AU"/>
              </w:rPr>
            </w:pPr>
          </w:p>
        </w:tc>
        <w:tc>
          <w:tcPr>
            <w:tcW w:w="1045" w:type="dxa"/>
            <w:tcBorders>
              <w:top w:val="nil"/>
              <w:left w:val="nil"/>
              <w:bottom w:val="single" w:sz="4" w:space="0" w:color="auto"/>
              <w:right w:val="single" w:sz="4" w:space="0" w:color="auto"/>
            </w:tcBorders>
            <w:shd w:val="clear" w:color="auto" w:fill="auto"/>
            <w:noWrap/>
            <w:hideMark/>
          </w:tcPr>
          <w:p w14:paraId="53C15928"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0.03</w:t>
            </w:r>
          </w:p>
        </w:tc>
        <w:tc>
          <w:tcPr>
            <w:tcW w:w="1045" w:type="dxa"/>
            <w:tcBorders>
              <w:top w:val="nil"/>
              <w:left w:val="nil"/>
              <w:bottom w:val="single" w:sz="4" w:space="0" w:color="auto"/>
              <w:right w:val="single" w:sz="4" w:space="0" w:color="auto"/>
            </w:tcBorders>
            <w:shd w:val="clear" w:color="auto" w:fill="auto"/>
            <w:noWrap/>
            <w:hideMark/>
          </w:tcPr>
          <w:p w14:paraId="53C15929"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0.03</w:t>
            </w:r>
          </w:p>
        </w:tc>
        <w:tc>
          <w:tcPr>
            <w:tcW w:w="1045" w:type="dxa"/>
            <w:tcBorders>
              <w:top w:val="nil"/>
              <w:left w:val="nil"/>
              <w:bottom w:val="single" w:sz="4" w:space="0" w:color="auto"/>
              <w:right w:val="single" w:sz="4" w:space="0" w:color="auto"/>
            </w:tcBorders>
            <w:shd w:val="clear" w:color="auto" w:fill="auto"/>
            <w:noWrap/>
            <w:hideMark/>
          </w:tcPr>
          <w:p w14:paraId="53C1592A" w14:textId="77777777" w:rsidR="00EB6F37" w:rsidRPr="00DF7447" w:rsidRDefault="00EB6F37" w:rsidP="00DF7447">
            <w:pPr>
              <w:spacing w:after="0"/>
              <w:jc w:val="center"/>
              <w:rPr>
                <w:rFonts w:ascii="Arial Narrow" w:hAnsi="Arial Narrow"/>
                <w:sz w:val="20"/>
                <w:szCs w:val="20"/>
                <w:lang w:eastAsia="en-AU"/>
              </w:rPr>
            </w:pPr>
            <w:r w:rsidRPr="00DF7447">
              <w:rPr>
                <w:rFonts w:ascii="Arial Narrow" w:hAnsi="Arial Narrow"/>
                <w:sz w:val="20"/>
                <w:szCs w:val="20"/>
              </w:rPr>
              <w:t>1.31</w:t>
            </w:r>
          </w:p>
        </w:tc>
        <w:tc>
          <w:tcPr>
            <w:tcW w:w="1045" w:type="dxa"/>
            <w:tcBorders>
              <w:top w:val="nil"/>
              <w:left w:val="nil"/>
              <w:bottom w:val="single" w:sz="4" w:space="0" w:color="auto"/>
              <w:right w:val="single" w:sz="4" w:space="0" w:color="auto"/>
            </w:tcBorders>
            <w:shd w:val="clear" w:color="auto" w:fill="auto"/>
            <w:noWrap/>
            <w:hideMark/>
          </w:tcPr>
          <w:p w14:paraId="53C1592B" w14:textId="77777777" w:rsidR="00EB6F37" w:rsidRPr="00DF7447" w:rsidRDefault="00EB6F37" w:rsidP="00DF7447">
            <w:pPr>
              <w:spacing w:after="0"/>
              <w:jc w:val="center"/>
              <w:rPr>
                <w:rFonts w:ascii="Arial Narrow" w:hAnsi="Arial Narrow"/>
                <w:sz w:val="20"/>
                <w:szCs w:val="20"/>
                <w:lang w:eastAsia="en-AU"/>
              </w:rPr>
            </w:pPr>
          </w:p>
        </w:tc>
      </w:tr>
    </w:tbl>
    <w:p w14:paraId="53C1592D" w14:textId="77777777" w:rsidR="00A84742" w:rsidRPr="00CE4E0F" w:rsidRDefault="00A84742" w:rsidP="00A84742">
      <w:pPr>
        <w:rPr>
          <w:color w:val="548DD4" w:themeColor="text2" w:themeTint="99"/>
        </w:rPr>
        <w:sectPr w:rsidR="00A84742" w:rsidRPr="00CE4E0F" w:rsidSect="00BF3FC5">
          <w:pgSz w:w="16840" w:h="11907" w:orient="landscape" w:code="9"/>
          <w:pgMar w:top="1134" w:right="1440" w:bottom="1134" w:left="1418" w:header="862" w:footer="720" w:gutter="0"/>
          <w:cols w:space="720"/>
          <w:docGrid w:linePitch="299"/>
        </w:sectPr>
      </w:pPr>
    </w:p>
    <w:p w14:paraId="53C1592E" w14:textId="07A2702F" w:rsidR="00E41BC6" w:rsidRPr="00F53F85" w:rsidRDefault="003D3C1E" w:rsidP="002B5296">
      <w:pPr>
        <w:pStyle w:val="Caption"/>
        <w:rPr>
          <w:rFonts w:ascii="Arial" w:hAnsi="Arial" w:cs="Arial"/>
          <w:i/>
          <w:vanish/>
          <w:specVanish/>
        </w:rPr>
      </w:pPr>
      <w:bookmarkStart w:id="709" w:name="_Ref30661025"/>
      <w:bookmarkStart w:id="710" w:name="_Toc35519360"/>
      <w:bookmarkStart w:id="711" w:name="_Toc527701055"/>
      <w:bookmarkStart w:id="712" w:name="_Ref528590894"/>
      <w:bookmarkStart w:id="713" w:name="_Ref528591068"/>
      <w:bookmarkStart w:id="714" w:name="_Toc530654886"/>
      <w:r>
        <w:lastRenderedPageBreak/>
        <w:t xml:space="preserve">Table A </w:t>
      </w:r>
      <w:r>
        <w:fldChar w:fldCharType="begin"/>
      </w:r>
      <w:r>
        <w:instrText xml:space="preserve"> SEQ Table_A \* ARABIC </w:instrText>
      </w:r>
      <w:r>
        <w:fldChar w:fldCharType="separate"/>
      </w:r>
      <w:r w:rsidR="003053D1">
        <w:rPr>
          <w:noProof/>
        </w:rPr>
        <w:t>12</w:t>
      </w:r>
      <w:r>
        <w:fldChar w:fldCharType="end"/>
      </w:r>
      <w:bookmarkEnd w:id="709"/>
      <w:r>
        <w:t xml:space="preserve"> </w:t>
      </w:r>
      <w:r w:rsidR="00A84742" w:rsidRPr="00F53F85">
        <w:t>Percent cover of Macroalgae groups 201</w:t>
      </w:r>
      <w:r w:rsidR="005C590E">
        <w:t>9</w:t>
      </w:r>
      <w:bookmarkEnd w:id="710"/>
    </w:p>
    <w:p w14:paraId="53C1592F" w14:textId="77777777" w:rsidR="00A84742" w:rsidRPr="00F53F85" w:rsidRDefault="00E41BC6">
      <w:pPr>
        <w:pStyle w:val="Caption"/>
      </w:pPr>
      <w:r w:rsidRPr="00F53F85">
        <w:t xml:space="preserve">. </w:t>
      </w:r>
      <w:bookmarkEnd w:id="711"/>
      <w:bookmarkEnd w:id="712"/>
      <w:bookmarkEnd w:id="713"/>
      <w:bookmarkEnd w:id="714"/>
      <w:r w:rsidR="00A84742" w:rsidRPr="003E1937">
        <w:rPr>
          <w:rStyle w:val="IntenseReference"/>
        </w:rPr>
        <w:t>Genera for which cover exceeded 0.5% on at least one reef are included, rare or unidentified genera are grouped to ‘Other within major classes of Macroalgae’.</w:t>
      </w:r>
    </w:p>
    <w:tbl>
      <w:tblPr>
        <w:tblW w:w="13682" w:type="dxa"/>
        <w:tblInd w:w="93" w:type="dxa"/>
        <w:tblLook w:val="04A0" w:firstRow="1" w:lastRow="0" w:firstColumn="1" w:lastColumn="0" w:noHBand="0" w:noVBand="1"/>
        <w:tblCaption w:val="Table A 9 Percent cover of Macroalgae groups 2018"/>
        <w:tblDescription w:val="A table listing cover of major macroalgal groups at each reef and depth"/>
      </w:tblPr>
      <w:tblGrid>
        <w:gridCol w:w="611"/>
        <w:gridCol w:w="1134"/>
        <w:gridCol w:w="779"/>
        <w:gridCol w:w="408"/>
        <w:gridCol w:w="219"/>
        <w:gridCol w:w="536"/>
        <w:gridCol w:w="586"/>
        <w:gridCol w:w="564"/>
        <w:gridCol w:w="584"/>
        <w:gridCol w:w="662"/>
        <w:gridCol w:w="875"/>
        <w:gridCol w:w="546"/>
        <w:gridCol w:w="573"/>
        <w:gridCol w:w="799"/>
        <w:gridCol w:w="536"/>
        <w:gridCol w:w="216"/>
        <w:gridCol w:w="430"/>
        <w:gridCol w:w="788"/>
        <w:gridCol w:w="788"/>
        <w:gridCol w:w="788"/>
        <w:gridCol w:w="630"/>
        <w:gridCol w:w="630"/>
      </w:tblGrid>
      <w:tr w:rsidR="00F53F85" w:rsidRPr="00F53F85" w14:paraId="53C15939" w14:textId="77777777" w:rsidTr="005B2CA4">
        <w:trPr>
          <w:trHeight w:val="288"/>
          <w:tblHeader/>
        </w:trPr>
        <w:tc>
          <w:tcPr>
            <w:tcW w:w="611"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noWrap/>
            <w:textDirection w:val="btLr"/>
            <w:vAlign w:val="center"/>
            <w:hideMark/>
          </w:tcPr>
          <w:p w14:paraId="53C15930" w14:textId="77777777" w:rsidR="0094154C" w:rsidRPr="00F53F85" w:rsidRDefault="008E17A4" w:rsidP="00A84742">
            <w:pPr>
              <w:spacing w:after="0"/>
              <w:jc w:val="center"/>
              <w:rPr>
                <w:rFonts w:ascii="Arial Narrow" w:hAnsi="Arial Narrow"/>
                <w:sz w:val="20"/>
                <w:lang w:eastAsia="en-AU"/>
              </w:rPr>
            </w:pPr>
            <w:r>
              <w:rPr>
                <w:rFonts w:ascii="Arial Narrow" w:hAnsi="Arial Narrow"/>
                <w:sz w:val="20"/>
                <w:lang w:eastAsia="en-AU"/>
              </w:rPr>
              <w:t>(</w:t>
            </w:r>
            <w:r w:rsidR="0094154C" w:rsidRPr="00F53F85">
              <w:rPr>
                <w:rFonts w:ascii="Arial Narrow" w:hAnsi="Arial Narrow"/>
                <w:sz w:val="20"/>
                <w:lang w:eastAsia="en-AU"/>
              </w:rPr>
              <w:t>sub</w:t>
            </w:r>
            <w:r>
              <w:rPr>
                <w:rFonts w:ascii="Arial Narrow" w:hAnsi="Arial Narrow"/>
                <w:sz w:val="20"/>
                <w:lang w:eastAsia="en-AU"/>
              </w:rPr>
              <w:t>)-</w:t>
            </w:r>
            <w:r w:rsidR="0094154C" w:rsidRPr="00F53F85">
              <w:rPr>
                <w:rFonts w:ascii="Arial Narrow" w:hAnsi="Arial Narrow"/>
                <w:sz w:val="20"/>
                <w:lang w:eastAsia="en-AU"/>
              </w:rPr>
              <w:t>region</w:t>
            </w:r>
          </w:p>
        </w:tc>
        <w:tc>
          <w:tcPr>
            <w:tcW w:w="1134" w:type="dxa"/>
            <w:vMerge w:val="restart"/>
            <w:tcBorders>
              <w:top w:val="single" w:sz="4" w:space="0" w:color="auto"/>
              <w:left w:val="nil"/>
              <w:right w:val="single" w:sz="4" w:space="0" w:color="auto"/>
            </w:tcBorders>
            <w:shd w:val="clear" w:color="auto" w:fill="F2F2F2" w:themeFill="background1" w:themeFillShade="F2"/>
            <w:vAlign w:val="center"/>
          </w:tcPr>
          <w:p w14:paraId="53C15931" w14:textId="77777777" w:rsidR="0094154C" w:rsidRPr="00F53F85" w:rsidRDefault="0094154C" w:rsidP="0094154C">
            <w:pPr>
              <w:spacing w:after="0"/>
              <w:jc w:val="center"/>
              <w:rPr>
                <w:rFonts w:ascii="Arial Narrow" w:hAnsi="Arial Narrow"/>
                <w:sz w:val="20"/>
                <w:lang w:eastAsia="en-AU"/>
              </w:rPr>
            </w:pPr>
            <w:r w:rsidRPr="00F53F85">
              <w:rPr>
                <w:rFonts w:ascii="Arial Narrow" w:hAnsi="Arial Narrow"/>
                <w:sz w:val="20"/>
                <w:lang w:eastAsia="en-AU"/>
              </w:rPr>
              <w:t>Reef</w:t>
            </w:r>
          </w:p>
        </w:tc>
        <w:tc>
          <w:tcPr>
            <w:tcW w:w="779"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3C15932" w14:textId="77777777" w:rsidR="0094154C" w:rsidRPr="00F53F85" w:rsidRDefault="0094154C" w:rsidP="0094154C">
            <w:pPr>
              <w:spacing w:after="0"/>
              <w:jc w:val="center"/>
              <w:rPr>
                <w:rFonts w:ascii="Arial Narrow" w:hAnsi="Arial Narrow"/>
                <w:sz w:val="20"/>
                <w:lang w:eastAsia="en-AU"/>
              </w:rPr>
            </w:pPr>
            <w:r w:rsidRPr="00F53F85">
              <w:rPr>
                <w:rFonts w:ascii="Arial Narrow" w:hAnsi="Arial Narrow"/>
                <w:sz w:val="20"/>
                <w:lang w:eastAsia="en-AU"/>
              </w:rPr>
              <w:t>Depth</w:t>
            </w:r>
          </w:p>
        </w:tc>
        <w:tc>
          <w:tcPr>
            <w:tcW w:w="408" w:type="dxa"/>
            <w:tcBorders>
              <w:top w:val="single" w:sz="4" w:space="0" w:color="auto"/>
              <w:left w:val="single" w:sz="4" w:space="0" w:color="auto"/>
              <w:bottom w:val="single" w:sz="4" w:space="0" w:color="auto"/>
              <w:right w:val="nil"/>
            </w:tcBorders>
            <w:shd w:val="clear" w:color="auto" w:fill="F2F2F2" w:themeFill="background1" w:themeFillShade="F2"/>
          </w:tcPr>
          <w:p w14:paraId="53C15933" w14:textId="77777777" w:rsidR="0094154C" w:rsidRPr="00F53F85" w:rsidRDefault="0094154C" w:rsidP="00A84742">
            <w:pPr>
              <w:spacing w:after="0"/>
              <w:jc w:val="center"/>
              <w:rPr>
                <w:rFonts w:ascii="Arial Narrow" w:hAnsi="Arial Narrow"/>
                <w:sz w:val="20"/>
                <w:lang w:eastAsia="en-AU"/>
              </w:rPr>
            </w:pPr>
          </w:p>
        </w:tc>
        <w:tc>
          <w:tcPr>
            <w:tcW w:w="755" w:type="dxa"/>
            <w:gridSpan w:val="2"/>
            <w:tcBorders>
              <w:top w:val="single" w:sz="4" w:space="0" w:color="auto"/>
              <w:left w:val="nil"/>
              <w:bottom w:val="single" w:sz="4" w:space="0" w:color="auto"/>
              <w:right w:val="nil"/>
            </w:tcBorders>
            <w:shd w:val="clear" w:color="auto" w:fill="F2F2F2" w:themeFill="background1" w:themeFillShade="F2"/>
          </w:tcPr>
          <w:p w14:paraId="53C15934" w14:textId="77777777" w:rsidR="0094154C" w:rsidRPr="00F53F85" w:rsidRDefault="0094154C" w:rsidP="00A84742">
            <w:pPr>
              <w:spacing w:after="0"/>
              <w:jc w:val="center"/>
              <w:rPr>
                <w:rFonts w:ascii="Arial Narrow" w:hAnsi="Arial Narrow"/>
                <w:sz w:val="20"/>
                <w:lang w:eastAsia="en-AU"/>
              </w:rPr>
            </w:pPr>
          </w:p>
        </w:tc>
        <w:tc>
          <w:tcPr>
            <w:tcW w:w="3271" w:type="dxa"/>
            <w:gridSpan w:val="5"/>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53C15935" w14:textId="77777777" w:rsidR="0094154C" w:rsidRPr="00F53F85" w:rsidRDefault="0094154C" w:rsidP="0094154C">
            <w:pPr>
              <w:spacing w:after="0"/>
              <w:jc w:val="left"/>
              <w:rPr>
                <w:rFonts w:ascii="Arial Narrow" w:hAnsi="Arial Narrow"/>
                <w:sz w:val="20"/>
                <w:lang w:eastAsia="en-AU"/>
              </w:rPr>
            </w:pPr>
            <w:r w:rsidRPr="00F53F85">
              <w:rPr>
                <w:rFonts w:ascii="Arial Narrow" w:hAnsi="Arial Narrow"/>
                <w:sz w:val="20"/>
                <w:lang w:eastAsia="en-AU"/>
              </w:rPr>
              <w:t>Rhodophyta (red algae)</w:t>
            </w:r>
          </w:p>
        </w:tc>
        <w:tc>
          <w:tcPr>
            <w:tcW w:w="1918" w:type="dxa"/>
            <w:gridSpan w:val="3"/>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53C15936" w14:textId="77777777" w:rsidR="0094154C" w:rsidRPr="00F53F85" w:rsidRDefault="0094154C" w:rsidP="00A84742">
            <w:pPr>
              <w:spacing w:after="0"/>
              <w:jc w:val="center"/>
              <w:rPr>
                <w:rFonts w:ascii="Arial Narrow" w:hAnsi="Arial Narrow"/>
                <w:sz w:val="20"/>
                <w:lang w:eastAsia="en-AU"/>
              </w:rPr>
            </w:pPr>
            <w:r w:rsidRPr="00F53F85">
              <w:rPr>
                <w:rFonts w:ascii="Arial Narrow" w:hAnsi="Arial Narrow"/>
                <w:sz w:val="20"/>
                <w:lang w:eastAsia="en-AU"/>
              </w:rPr>
              <w:t>Chlorophyta (green algae)</w:t>
            </w:r>
          </w:p>
        </w:tc>
        <w:tc>
          <w:tcPr>
            <w:tcW w:w="752" w:type="dxa"/>
            <w:gridSpan w:val="2"/>
            <w:tcBorders>
              <w:top w:val="single" w:sz="4" w:space="0" w:color="auto"/>
              <w:left w:val="nil"/>
              <w:bottom w:val="single" w:sz="4" w:space="0" w:color="auto"/>
              <w:right w:val="nil"/>
            </w:tcBorders>
            <w:shd w:val="clear" w:color="auto" w:fill="F2F2F2" w:themeFill="background1" w:themeFillShade="F2"/>
          </w:tcPr>
          <w:p w14:paraId="53C15937" w14:textId="77777777" w:rsidR="0094154C" w:rsidRPr="00F53F85" w:rsidRDefault="0094154C" w:rsidP="00A84742">
            <w:pPr>
              <w:spacing w:after="0"/>
              <w:jc w:val="center"/>
              <w:rPr>
                <w:rFonts w:ascii="Arial Narrow" w:hAnsi="Arial Narrow"/>
                <w:sz w:val="20"/>
                <w:lang w:eastAsia="en-AU"/>
              </w:rPr>
            </w:pPr>
          </w:p>
        </w:tc>
        <w:tc>
          <w:tcPr>
            <w:tcW w:w="4054" w:type="dxa"/>
            <w:gridSpan w:val="6"/>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53C15938" w14:textId="77777777" w:rsidR="0094154C" w:rsidRPr="00F53F85" w:rsidRDefault="0094154C" w:rsidP="00A84742">
            <w:pPr>
              <w:spacing w:after="0"/>
              <w:jc w:val="center"/>
              <w:rPr>
                <w:rFonts w:ascii="Arial Narrow" w:hAnsi="Arial Narrow"/>
                <w:sz w:val="20"/>
                <w:lang w:eastAsia="en-AU"/>
              </w:rPr>
            </w:pPr>
            <w:r w:rsidRPr="00F53F85">
              <w:rPr>
                <w:rFonts w:ascii="Arial Narrow" w:hAnsi="Arial Narrow"/>
                <w:sz w:val="20"/>
                <w:lang w:eastAsia="en-AU"/>
              </w:rPr>
              <w:t>Phaeophyta (brown algae)</w:t>
            </w:r>
          </w:p>
        </w:tc>
      </w:tr>
      <w:tr w:rsidR="00F53F85" w:rsidRPr="00F53F85" w14:paraId="53C1594F" w14:textId="77777777" w:rsidTr="005B2CA4">
        <w:trPr>
          <w:trHeight w:val="1513"/>
          <w:tblHeader/>
        </w:trPr>
        <w:tc>
          <w:tcPr>
            <w:tcW w:w="611"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C1593A" w14:textId="77777777" w:rsidR="0094154C" w:rsidRPr="00F53F85" w:rsidRDefault="0094154C" w:rsidP="00A84742">
            <w:pPr>
              <w:spacing w:after="0"/>
              <w:jc w:val="left"/>
              <w:rPr>
                <w:rFonts w:ascii="Arial Narrow" w:hAnsi="Arial Narrow"/>
                <w:sz w:val="20"/>
                <w:lang w:eastAsia="en-AU"/>
              </w:rPr>
            </w:pPr>
          </w:p>
        </w:tc>
        <w:tc>
          <w:tcPr>
            <w:tcW w:w="1134" w:type="dxa"/>
            <w:vMerge/>
            <w:tcBorders>
              <w:left w:val="nil"/>
              <w:bottom w:val="single" w:sz="4" w:space="0" w:color="auto"/>
              <w:right w:val="single" w:sz="4" w:space="0" w:color="auto"/>
            </w:tcBorders>
            <w:shd w:val="clear" w:color="auto" w:fill="F2F2F2" w:themeFill="background1" w:themeFillShade="F2"/>
            <w:textDirection w:val="btLr"/>
          </w:tcPr>
          <w:p w14:paraId="53C1593B" w14:textId="77777777" w:rsidR="0094154C" w:rsidRPr="00F53F85" w:rsidRDefault="0094154C" w:rsidP="00A84742">
            <w:pPr>
              <w:spacing w:after="0"/>
              <w:jc w:val="center"/>
              <w:rPr>
                <w:rFonts w:ascii="Arial Narrow" w:hAnsi="Arial Narrow"/>
                <w:sz w:val="20"/>
                <w:lang w:eastAsia="en-AU"/>
              </w:rPr>
            </w:pPr>
          </w:p>
        </w:tc>
        <w:tc>
          <w:tcPr>
            <w:tcW w:w="779" w:type="dxa"/>
            <w:vMerge/>
            <w:tcBorders>
              <w:left w:val="single" w:sz="4" w:space="0" w:color="auto"/>
              <w:bottom w:val="single" w:sz="4" w:space="0" w:color="auto"/>
              <w:right w:val="single" w:sz="4" w:space="0" w:color="auto"/>
            </w:tcBorders>
            <w:shd w:val="clear" w:color="auto" w:fill="F2F2F2" w:themeFill="background1" w:themeFillShade="F2"/>
            <w:textDirection w:val="btLr"/>
          </w:tcPr>
          <w:p w14:paraId="53C1593C" w14:textId="77777777" w:rsidR="0094154C" w:rsidRPr="00F53F85" w:rsidRDefault="0094154C" w:rsidP="00A84742">
            <w:pPr>
              <w:spacing w:after="0"/>
              <w:jc w:val="center"/>
              <w:rPr>
                <w:rFonts w:ascii="Arial Narrow" w:hAnsi="Arial Narrow"/>
                <w:sz w:val="20"/>
                <w:lang w:eastAsia="en-AU"/>
              </w:rPr>
            </w:pPr>
          </w:p>
        </w:tc>
        <w:tc>
          <w:tcPr>
            <w:tcW w:w="627" w:type="dxa"/>
            <w:gridSpan w:val="2"/>
            <w:tcBorders>
              <w:top w:val="nil"/>
              <w:left w:val="single" w:sz="4" w:space="0" w:color="auto"/>
              <w:bottom w:val="single" w:sz="4" w:space="0" w:color="auto"/>
              <w:right w:val="single" w:sz="4" w:space="0" w:color="auto"/>
            </w:tcBorders>
            <w:shd w:val="clear" w:color="auto" w:fill="F2F2F2" w:themeFill="background1" w:themeFillShade="F2"/>
            <w:noWrap/>
            <w:textDirection w:val="btLr"/>
            <w:vAlign w:val="center"/>
            <w:hideMark/>
          </w:tcPr>
          <w:p w14:paraId="53C1593D" w14:textId="77777777" w:rsidR="0094154C" w:rsidRPr="00F53F85" w:rsidRDefault="0094154C" w:rsidP="00A84742">
            <w:pPr>
              <w:spacing w:after="0"/>
              <w:jc w:val="center"/>
              <w:rPr>
                <w:rFonts w:ascii="Arial Narrow" w:hAnsi="Arial Narrow"/>
                <w:sz w:val="20"/>
                <w:lang w:eastAsia="en-AU"/>
              </w:rPr>
            </w:pPr>
            <w:r w:rsidRPr="00F53F85">
              <w:rPr>
                <w:rFonts w:ascii="Arial Narrow" w:hAnsi="Arial Narrow"/>
                <w:sz w:val="20"/>
                <w:lang w:eastAsia="en-AU"/>
              </w:rPr>
              <w:t>Hypnea</w:t>
            </w:r>
          </w:p>
        </w:tc>
        <w:tc>
          <w:tcPr>
            <w:tcW w:w="536" w:type="dxa"/>
            <w:tcBorders>
              <w:top w:val="nil"/>
              <w:left w:val="nil"/>
              <w:bottom w:val="single" w:sz="4" w:space="0" w:color="auto"/>
              <w:right w:val="single" w:sz="4" w:space="0" w:color="auto"/>
            </w:tcBorders>
            <w:shd w:val="clear" w:color="auto" w:fill="F2F2F2" w:themeFill="background1" w:themeFillShade="F2"/>
            <w:noWrap/>
            <w:textDirection w:val="btLr"/>
            <w:vAlign w:val="center"/>
            <w:hideMark/>
          </w:tcPr>
          <w:p w14:paraId="53C1593E" w14:textId="77777777" w:rsidR="0094154C" w:rsidRPr="00F53F85" w:rsidRDefault="0094154C" w:rsidP="00A84742">
            <w:pPr>
              <w:spacing w:after="0"/>
              <w:jc w:val="center"/>
              <w:rPr>
                <w:rFonts w:ascii="Arial Narrow" w:hAnsi="Arial Narrow"/>
                <w:sz w:val="20"/>
                <w:lang w:eastAsia="en-AU"/>
              </w:rPr>
            </w:pPr>
            <w:r w:rsidRPr="00F53F85">
              <w:rPr>
                <w:rFonts w:ascii="Arial Narrow" w:hAnsi="Arial Narrow"/>
                <w:sz w:val="20"/>
                <w:lang w:eastAsia="en-AU"/>
              </w:rPr>
              <w:t>Peyssonnelia</w:t>
            </w:r>
          </w:p>
        </w:tc>
        <w:tc>
          <w:tcPr>
            <w:tcW w:w="586" w:type="dxa"/>
            <w:tcBorders>
              <w:top w:val="nil"/>
              <w:left w:val="nil"/>
              <w:bottom w:val="single" w:sz="4" w:space="0" w:color="auto"/>
              <w:right w:val="single" w:sz="4" w:space="0" w:color="auto"/>
            </w:tcBorders>
            <w:shd w:val="clear" w:color="auto" w:fill="F2F2F2" w:themeFill="background1" w:themeFillShade="F2"/>
            <w:noWrap/>
            <w:textDirection w:val="btLr"/>
            <w:vAlign w:val="center"/>
            <w:hideMark/>
          </w:tcPr>
          <w:p w14:paraId="53C1593F" w14:textId="77777777" w:rsidR="0094154C" w:rsidRPr="00F53F85" w:rsidRDefault="0094154C" w:rsidP="00A84742">
            <w:pPr>
              <w:spacing w:after="0"/>
              <w:jc w:val="center"/>
              <w:rPr>
                <w:rFonts w:ascii="Arial Narrow" w:hAnsi="Arial Narrow"/>
                <w:sz w:val="20"/>
                <w:lang w:eastAsia="en-AU"/>
              </w:rPr>
            </w:pPr>
            <w:r w:rsidRPr="00F53F85">
              <w:rPr>
                <w:rFonts w:ascii="Arial Narrow" w:hAnsi="Arial Narrow"/>
                <w:sz w:val="20"/>
                <w:lang w:eastAsia="en-AU"/>
              </w:rPr>
              <w:t xml:space="preserve">Calcareous </w:t>
            </w:r>
          </w:p>
        </w:tc>
        <w:tc>
          <w:tcPr>
            <w:tcW w:w="564" w:type="dxa"/>
            <w:tcBorders>
              <w:top w:val="nil"/>
              <w:left w:val="nil"/>
              <w:bottom w:val="single" w:sz="4" w:space="0" w:color="auto"/>
              <w:right w:val="single" w:sz="4" w:space="0" w:color="auto"/>
            </w:tcBorders>
            <w:shd w:val="clear" w:color="auto" w:fill="F2F2F2" w:themeFill="background1" w:themeFillShade="F2"/>
            <w:textDirection w:val="btLr"/>
          </w:tcPr>
          <w:p w14:paraId="53C15940" w14:textId="77777777" w:rsidR="0094154C" w:rsidRPr="00F53F85" w:rsidRDefault="0094154C" w:rsidP="00A84742">
            <w:pPr>
              <w:spacing w:after="0"/>
              <w:jc w:val="center"/>
              <w:rPr>
                <w:rFonts w:ascii="Arial Narrow" w:hAnsi="Arial Narrow"/>
                <w:sz w:val="20"/>
                <w:lang w:eastAsia="en-AU"/>
              </w:rPr>
            </w:pPr>
            <w:r w:rsidRPr="00F53F85">
              <w:rPr>
                <w:rFonts w:ascii="Arial Narrow" w:hAnsi="Arial Narrow"/>
                <w:sz w:val="20"/>
                <w:lang w:eastAsia="en-AU"/>
              </w:rPr>
              <w:t>Liagora</w:t>
            </w:r>
          </w:p>
        </w:tc>
        <w:tc>
          <w:tcPr>
            <w:tcW w:w="584" w:type="dxa"/>
            <w:tcBorders>
              <w:top w:val="nil"/>
              <w:left w:val="single" w:sz="4" w:space="0" w:color="auto"/>
              <w:bottom w:val="single" w:sz="4" w:space="0" w:color="auto"/>
              <w:right w:val="single" w:sz="4" w:space="0" w:color="auto"/>
            </w:tcBorders>
            <w:shd w:val="clear" w:color="auto" w:fill="F2F2F2" w:themeFill="background1" w:themeFillShade="F2"/>
            <w:noWrap/>
            <w:textDirection w:val="btLr"/>
            <w:vAlign w:val="center"/>
            <w:hideMark/>
          </w:tcPr>
          <w:p w14:paraId="53C15941" w14:textId="77777777" w:rsidR="0094154C" w:rsidRPr="00F53F85" w:rsidRDefault="0094154C" w:rsidP="00A84742">
            <w:pPr>
              <w:spacing w:after="0"/>
              <w:jc w:val="center"/>
              <w:rPr>
                <w:rFonts w:ascii="Arial Narrow" w:hAnsi="Arial Narrow"/>
                <w:sz w:val="20"/>
                <w:lang w:eastAsia="en-AU"/>
              </w:rPr>
            </w:pPr>
            <w:r w:rsidRPr="00F53F85">
              <w:rPr>
                <w:rFonts w:ascii="Arial Narrow" w:hAnsi="Arial Narrow"/>
                <w:sz w:val="20"/>
                <w:lang w:eastAsia="en-AU"/>
              </w:rPr>
              <w:t>Amphiroa</w:t>
            </w:r>
          </w:p>
        </w:tc>
        <w:tc>
          <w:tcPr>
            <w:tcW w:w="662" w:type="dxa"/>
            <w:tcBorders>
              <w:top w:val="nil"/>
              <w:left w:val="nil"/>
              <w:bottom w:val="single" w:sz="4" w:space="0" w:color="auto"/>
              <w:right w:val="single" w:sz="4" w:space="0" w:color="auto"/>
            </w:tcBorders>
            <w:shd w:val="clear" w:color="auto" w:fill="F2F2F2" w:themeFill="background1" w:themeFillShade="F2"/>
            <w:textDirection w:val="btLr"/>
          </w:tcPr>
          <w:p w14:paraId="53C15942" w14:textId="77777777" w:rsidR="0094154C" w:rsidRPr="00F53F85" w:rsidRDefault="0094154C" w:rsidP="00A84742">
            <w:pPr>
              <w:spacing w:after="0"/>
              <w:jc w:val="center"/>
              <w:rPr>
                <w:rFonts w:ascii="Arial Narrow" w:hAnsi="Arial Narrow"/>
                <w:sz w:val="20"/>
                <w:lang w:eastAsia="en-AU"/>
              </w:rPr>
            </w:pPr>
            <w:r w:rsidRPr="00F53F85">
              <w:rPr>
                <w:rFonts w:ascii="Arial Narrow" w:hAnsi="Arial Narrow"/>
                <w:sz w:val="20"/>
                <w:lang w:eastAsia="en-AU"/>
              </w:rPr>
              <w:t>Asparagopsis</w:t>
            </w:r>
          </w:p>
        </w:tc>
        <w:tc>
          <w:tcPr>
            <w:tcW w:w="875" w:type="dxa"/>
            <w:tcBorders>
              <w:top w:val="nil"/>
              <w:left w:val="single" w:sz="4" w:space="0" w:color="auto"/>
              <w:bottom w:val="single" w:sz="4" w:space="0" w:color="auto"/>
              <w:right w:val="single" w:sz="4" w:space="0" w:color="auto"/>
            </w:tcBorders>
            <w:shd w:val="clear" w:color="auto" w:fill="F2F2F2" w:themeFill="background1" w:themeFillShade="F2"/>
            <w:noWrap/>
            <w:textDirection w:val="btLr"/>
            <w:vAlign w:val="center"/>
            <w:hideMark/>
          </w:tcPr>
          <w:p w14:paraId="53C15943" w14:textId="77777777" w:rsidR="0094154C" w:rsidRPr="00F53F85" w:rsidRDefault="0094154C" w:rsidP="00A84742">
            <w:pPr>
              <w:spacing w:after="0"/>
              <w:jc w:val="center"/>
              <w:rPr>
                <w:rFonts w:ascii="Arial Narrow" w:hAnsi="Arial Narrow"/>
                <w:sz w:val="20"/>
                <w:lang w:eastAsia="en-AU"/>
              </w:rPr>
            </w:pPr>
            <w:r w:rsidRPr="00F53F85">
              <w:rPr>
                <w:rFonts w:ascii="Arial Narrow" w:hAnsi="Arial Narrow"/>
                <w:sz w:val="20"/>
                <w:lang w:eastAsia="en-AU"/>
              </w:rPr>
              <w:t>Other</w:t>
            </w:r>
          </w:p>
        </w:tc>
        <w:tc>
          <w:tcPr>
            <w:tcW w:w="546" w:type="dxa"/>
            <w:tcBorders>
              <w:top w:val="nil"/>
              <w:left w:val="nil"/>
              <w:bottom w:val="single" w:sz="4" w:space="0" w:color="auto"/>
              <w:right w:val="single" w:sz="4" w:space="0" w:color="auto"/>
            </w:tcBorders>
            <w:shd w:val="clear" w:color="auto" w:fill="F2F2F2" w:themeFill="background1" w:themeFillShade="F2"/>
            <w:noWrap/>
            <w:textDirection w:val="btLr"/>
            <w:vAlign w:val="center"/>
            <w:hideMark/>
          </w:tcPr>
          <w:p w14:paraId="53C15944" w14:textId="77777777" w:rsidR="0094154C" w:rsidRPr="00F53F85" w:rsidRDefault="0094154C" w:rsidP="00A84742">
            <w:pPr>
              <w:spacing w:after="0"/>
              <w:jc w:val="center"/>
              <w:rPr>
                <w:rFonts w:ascii="Arial Narrow" w:hAnsi="Arial Narrow"/>
                <w:sz w:val="20"/>
                <w:lang w:eastAsia="en-AU"/>
              </w:rPr>
            </w:pPr>
            <w:r w:rsidRPr="00F53F85">
              <w:rPr>
                <w:rFonts w:ascii="Arial Narrow" w:hAnsi="Arial Narrow"/>
                <w:sz w:val="20"/>
                <w:lang w:eastAsia="en-AU"/>
              </w:rPr>
              <w:t>Caulerpa</w:t>
            </w:r>
          </w:p>
        </w:tc>
        <w:tc>
          <w:tcPr>
            <w:tcW w:w="573" w:type="dxa"/>
            <w:tcBorders>
              <w:top w:val="nil"/>
              <w:left w:val="nil"/>
              <w:bottom w:val="single" w:sz="4" w:space="0" w:color="auto"/>
              <w:right w:val="single" w:sz="4" w:space="0" w:color="auto"/>
            </w:tcBorders>
            <w:shd w:val="clear" w:color="auto" w:fill="F2F2F2" w:themeFill="background1" w:themeFillShade="F2"/>
            <w:noWrap/>
            <w:textDirection w:val="btLr"/>
            <w:vAlign w:val="center"/>
            <w:hideMark/>
          </w:tcPr>
          <w:p w14:paraId="53C15945" w14:textId="77777777" w:rsidR="0094154C" w:rsidRPr="00F53F85" w:rsidRDefault="0094154C" w:rsidP="00A84742">
            <w:pPr>
              <w:spacing w:after="0"/>
              <w:jc w:val="center"/>
              <w:rPr>
                <w:rFonts w:ascii="Arial Narrow" w:hAnsi="Arial Narrow"/>
                <w:sz w:val="20"/>
                <w:lang w:eastAsia="en-AU"/>
              </w:rPr>
            </w:pPr>
            <w:r w:rsidRPr="00F53F85">
              <w:rPr>
                <w:rFonts w:ascii="Arial Narrow" w:hAnsi="Arial Narrow"/>
                <w:sz w:val="20"/>
                <w:lang w:eastAsia="en-AU"/>
              </w:rPr>
              <w:t>Halimeda</w:t>
            </w:r>
          </w:p>
        </w:tc>
        <w:tc>
          <w:tcPr>
            <w:tcW w:w="799" w:type="dxa"/>
            <w:tcBorders>
              <w:top w:val="nil"/>
              <w:left w:val="nil"/>
              <w:bottom w:val="single" w:sz="4" w:space="0" w:color="auto"/>
              <w:right w:val="single" w:sz="4" w:space="0" w:color="auto"/>
            </w:tcBorders>
            <w:shd w:val="clear" w:color="auto" w:fill="F2F2F2" w:themeFill="background1" w:themeFillShade="F2"/>
            <w:noWrap/>
            <w:textDirection w:val="btLr"/>
            <w:vAlign w:val="center"/>
            <w:hideMark/>
          </w:tcPr>
          <w:p w14:paraId="53C15946" w14:textId="77777777" w:rsidR="0094154C" w:rsidRPr="00F53F85" w:rsidRDefault="0094154C" w:rsidP="00A84742">
            <w:pPr>
              <w:spacing w:after="0"/>
              <w:jc w:val="center"/>
              <w:rPr>
                <w:rFonts w:ascii="Arial Narrow" w:hAnsi="Arial Narrow"/>
                <w:sz w:val="20"/>
                <w:lang w:eastAsia="en-AU"/>
              </w:rPr>
            </w:pPr>
            <w:r w:rsidRPr="00F53F85">
              <w:rPr>
                <w:rFonts w:ascii="Arial Narrow" w:hAnsi="Arial Narrow"/>
                <w:sz w:val="20"/>
                <w:lang w:eastAsia="en-AU"/>
              </w:rPr>
              <w:t>Other</w:t>
            </w:r>
          </w:p>
        </w:tc>
        <w:tc>
          <w:tcPr>
            <w:tcW w:w="536" w:type="dxa"/>
            <w:tcBorders>
              <w:top w:val="nil"/>
              <w:left w:val="nil"/>
              <w:bottom w:val="single" w:sz="4" w:space="0" w:color="auto"/>
              <w:right w:val="single" w:sz="4" w:space="0" w:color="auto"/>
            </w:tcBorders>
            <w:shd w:val="clear" w:color="auto" w:fill="F2F2F2" w:themeFill="background1" w:themeFillShade="F2"/>
            <w:noWrap/>
            <w:textDirection w:val="btLr"/>
            <w:vAlign w:val="center"/>
            <w:hideMark/>
          </w:tcPr>
          <w:p w14:paraId="53C15947" w14:textId="77777777" w:rsidR="0094154C" w:rsidRPr="00F53F85" w:rsidRDefault="0094154C" w:rsidP="00A84742">
            <w:pPr>
              <w:spacing w:after="0"/>
              <w:jc w:val="center"/>
              <w:rPr>
                <w:rFonts w:ascii="Arial Narrow" w:hAnsi="Arial Narrow"/>
                <w:sz w:val="20"/>
                <w:lang w:eastAsia="en-AU"/>
              </w:rPr>
            </w:pPr>
            <w:r w:rsidRPr="00F53F85">
              <w:rPr>
                <w:rFonts w:ascii="Arial Narrow" w:hAnsi="Arial Narrow"/>
                <w:sz w:val="20"/>
                <w:lang w:eastAsia="en-AU"/>
              </w:rPr>
              <w:t>Spatoglossum</w:t>
            </w:r>
          </w:p>
          <w:p w14:paraId="53C15948" w14:textId="77777777" w:rsidR="0094154C" w:rsidRPr="00F53F85" w:rsidRDefault="0094154C" w:rsidP="00A84742">
            <w:pPr>
              <w:spacing w:after="0"/>
              <w:jc w:val="center"/>
              <w:rPr>
                <w:rFonts w:ascii="Arial Narrow" w:hAnsi="Arial Narrow"/>
                <w:sz w:val="20"/>
                <w:lang w:eastAsia="en-AU"/>
              </w:rPr>
            </w:pPr>
          </w:p>
        </w:tc>
        <w:tc>
          <w:tcPr>
            <w:tcW w:w="646" w:type="dxa"/>
            <w:gridSpan w:val="2"/>
            <w:tcBorders>
              <w:top w:val="nil"/>
              <w:left w:val="nil"/>
              <w:bottom w:val="single" w:sz="4" w:space="0" w:color="auto"/>
              <w:right w:val="single" w:sz="4" w:space="0" w:color="auto"/>
            </w:tcBorders>
            <w:shd w:val="clear" w:color="auto" w:fill="F2F2F2" w:themeFill="background1" w:themeFillShade="F2"/>
            <w:noWrap/>
            <w:textDirection w:val="btLr"/>
            <w:vAlign w:val="center"/>
            <w:hideMark/>
          </w:tcPr>
          <w:p w14:paraId="53C15949" w14:textId="77777777" w:rsidR="0094154C" w:rsidRPr="00F53F85" w:rsidRDefault="0094154C" w:rsidP="00A84742">
            <w:pPr>
              <w:spacing w:after="0"/>
              <w:jc w:val="center"/>
              <w:rPr>
                <w:rFonts w:ascii="Arial Narrow" w:hAnsi="Arial Narrow"/>
                <w:sz w:val="20"/>
                <w:lang w:eastAsia="en-AU"/>
              </w:rPr>
            </w:pPr>
            <w:r w:rsidRPr="00F53F85">
              <w:rPr>
                <w:rFonts w:ascii="Arial Narrow" w:hAnsi="Arial Narrow"/>
                <w:sz w:val="20"/>
                <w:lang w:eastAsia="en-AU"/>
              </w:rPr>
              <w:t>Padina</w:t>
            </w:r>
          </w:p>
        </w:tc>
        <w:tc>
          <w:tcPr>
            <w:tcW w:w="788" w:type="dxa"/>
            <w:tcBorders>
              <w:top w:val="nil"/>
              <w:left w:val="nil"/>
              <w:bottom w:val="single" w:sz="4" w:space="0" w:color="auto"/>
              <w:right w:val="single" w:sz="4" w:space="0" w:color="auto"/>
            </w:tcBorders>
            <w:shd w:val="clear" w:color="auto" w:fill="F2F2F2" w:themeFill="background1" w:themeFillShade="F2"/>
            <w:noWrap/>
            <w:textDirection w:val="btLr"/>
            <w:vAlign w:val="center"/>
            <w:hideMark/>
          </w:tcPr>
          <w:p w14:paraId="53C1594A" w14:textId="77777777" w:rsidR="0094154C" w:rsidRPr="00F53F85" w:rsidRDefault="0094154C" w:rsidP="00A84742">
            <w:pPr>
              <w:spacing w:after="0"/>
              <w:jc w:val="center"/>
              <w:rPr>
                <w:rFonts w:ascii="Arial Narrow" w:hAnsi="Arial Narrow"/>
                <w:sz w:val="20"/>
                <w:lang w:eastAsia="en-AU"/>
              </w:rPr>
            </w:pPr>
            <w:r w:rsidRPr="00F53F85">
              <w:rPr>
                <w:rFonts w:ascii="Arial Narrow" w:hAnsi="Arial Narrow"/>
                <w:sz w:val="20"/>
                <w:lang w:eastAsia="en-AU"/>
              </w:rPr>
              <w:t>Dictyota</w:t>
            </w:r>
          </w:p>
        </w:tc>
        <w:tc>
          <w:tcPr>
            <w:tcW w:w="788" w:type="dxa"/>
            <w:tcBorders>
              <w:top w:val="nil"/>
              <w:left w:val="nil"/>
              <w:bottom w:val="single" w:sz="4" w:space="0" w:color="auto"/>
              <w:right w:val="single" w:sz="4" w:space="0" w:color="auto"/>
            </w:tcBorders>
            <w:shd w:val="clear" w:color="auto" w:fill="F2F2F2" w:themeFill="background1" w:themeFillShade="F2"/>
            <w:noWrap/>
            <w:textDirection w:val="btLr"/>
            <w:vAlign w:val="center"/>
            <w:hideMark/>
          </w:tcPr>
          <w:p w14:paraId="53C1594B" w14:textId="77777777" w:rsidR="0094154C" w:rsidRPr="00F53F85" w:rsidRDefault="0094154C" w:rsidP="00A84742">
            <w:pPr>
              <w:spacing w:after="0"/>
              <w:jc w:val="center"/>
              <w:rPr>
                <w:rFonts w:ascii="Arial Narrow" w:hAnsi="Arial Narrow"/>
                <w:sz w:val="20"/>
                <w:lang w:eastAsia="en-AU"/>
              </w:rPr>
            </w:pPr>
            <w:r w:rsidRPr="00F53F85">
              <w:rPr>
                <w:rFonts w:ascii="Arial Narrow" w:hAnsi="Arial Narrow"/>
                <w:sz w:val="20"/>
                <w:lang w:eastAsia="en-AU"/>
              </w:rPr>
              <w:t>Lobophora</w:t>
            </w:r>
          </w:p>
        </w:tc>
        <w:tc>
          <w:tcPr>
            <w:tcW w:w="788" w:type="dxa"/>
            <w:tcBorders>
              <w:top w:val="nil"/>
              <w:left w:val="nil"/>
              <w:bottom w:val="single" w:sz="4" w:space="0" w:color="auto"/>
              <w:right w:val="single" w:sz="4" w:space="0" w:color="auto"/>
            </w:tcBorders>
            <w:shd w:val="clear" w:color="auto" w:fill="F2F2F2" w:themeFill="background1" w:themeFillShade="F2"/>
            <w:noWrap/>
            <w:textDirection w:val="btLr"/>
            <w:vAlign w:val="center"/>
            <w:hideMark/>
          </w:tcPr>
          <w:p w14:paraId="53C1594C" w14:textId="77777777" w:rsidR="0094154C" w:rsidRPr="00F53F85" w:rsidRDefault="0094154C" w:rsidP="00A84742">
            <w:pPr>
              <w:spacing w:after="0"/>
              <w:jc w:val="center"/>
              <w:rPr>
                <w:rFonts w:ascii="Arial Narrow" w:hAnsi="Arial Narrow"/>
                <w:sz w:val="20"/>
                <w:lang w:eastAsia="en-AU"/>
              </w:rPr>
            </w:pPr>
            <w:r w:rsidRPr="00F53F85">
              <w:rPr>
                <w:rFonts w:ascii="Arial Narrow" w:hAnsi="Arial Narrow"/>
                <w:sz w:val="20"/>
                <w:lang w:eastAsia="en-AU"/>
              </w:rPr>
              <w:t>Sargassum</w:t>
            </w:r>
          </w:p>
        </w:tc>
        <w:tc>
          <w:tcPr>
            <w:tcW w:w="630" w:type="dxa"/>
            <w:tcBorders>
              <w:top w:val="nil"/>
              <w:left w:val="nil"/>
              <w:bottom w:val="single" w:sz="4" w:space="0" w:color="auto"/>
              <w:right w:val="single" w:sz="4" w:space="0" w:color="auto"/>
            </w:tcBorders>
            <w:shd w:val="clear" w:color="auto" w:fill="F2F2F2" w:themeFill="background1" w:themeFillShade="F2"/>
            <w:textDirection w:val="btLr"/>
          </w:tcPr>
          <w:p w14:paraId="53C1594D" w14:textId="77777777" w:rsidR="0094154C" w:rsidRPr="00F53F85" w:rsidRDefault="0094154C" w:rsidP="00A84742">
            <w:pPr>
              <w:spacing w:after="0"/>
              <w:jc w:val="center"/>
              <w:rPr>
                <w:rFonts w:ascii="Arial Narrow" w:hAnsi="Arial Narrow"/>
                <w:sz w:val="20"/>
                <w:lang w:eastAsia="en-AU"/>
              </w:rPr>
            </w:pPr>
            <w:r w:rsidRPr="00F53F85">
              <w:rPr>
                <w:rFonts w:ascii="Arial Narrow" w:hAnsi="Arial Narrow"/>
                <w:sz w:val="20"/>
                <w:lang w:eastAsia="en-AU"/>
              </w:rPr>
              <w:t>Stypopodium</w:t>
            </w:r>
          </w:p>
        </w:tc>
        <w:tc>
          <w:tcPr>
            <w:tcW w:w="630" w:type="dxa"/>
            <w:tcBorders>
              <w:top w:val="nil"/>
              <w:left w:val="single" w:sz="4" w:space="0" w:color="auto"/>
              <w:bottom w:val="single" w:sz="4" w:space="0" w:color="auto"/>
              <w:right w:val="single" w:sz="4" w:space="0" w:color="auto"/>
            </w:tcBorders>
            <w:shd w:val="clear" w:color="auto" w:fill="F2F2F2" w:themeFill="background1" w:themeFillShade="F2"/>
            <w:noWrap/>
            <w:textDirection w:val="btLr"/>
            <w:vAlign w:val="center"/>
            <w:hideMark/>
          </w:tcPr>
          <w:p w14:paraId="53C1594E" w14:textId="77777777" w:rsidR="0094154C" w:rsidRPr="00F53F85" w:rsidRDefault="0094154C" w:rsidP="00A84742">
            <w:pPr>
              <w:spacing w:after="0"/>
              <w:jc w:val="center"/>
              <w:rPr>
                <w:rFonts w:ascii="Arial Narrow" w:hAnsi="Arial Narrow"/>
                <w:sz w:val="20"/>
                <w:lang w:eastAsia="en-AU"/>
              </w:rPr>
            </w:pPr>
            <w:r w:rsidRPr="00F53F85">
              <w:rPr>
                <w:rFonts w:ascii="Arial Narrow" w:hAnsi="Arial Narrow"/>
                <w:sz w:val="20"/>
                <w:lang w:eastAsia="en-AU"/>
              </w:rPr>
              <w:t>Other</w:t>
            </w:r>
          </w:p>
        </w:tc>
      </w:tr>
      <w:tr w:rsidR="00F53F85" w:rsidRPr="00F53F85" w14:paraId="53C15964" w14:textId="77777777" w:rsidTr="005B2CA4">
        <w:trPr>
          <w:trHeight w:val="340"/>
        </w:trPr>
        <w:tc>
          <w:tcPr>
            <w:tcW w:w="611"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53C15950" w14:textId="77777777" w:rsidR="00F53F85" w:rsidRPr="00F53F85" w:rsidRDefault="008E17A4" w:rsidP="00F53F85">
            <w:pPr>
              <w:spacing w:after="0"/>
              <w:jc w:val="center"/>
              <w:rPr>
                <w:rFonts w:ascii="Arial Narrow" w:hAnsi="Arial Narrow"/>
                <w:sz w:val="20"/>
                <w:lang w:eastAsia="en-AU"/>
              </w:rPr>
            </w:pPr>
            <w:r>
              <w:rPr>
                <w:rFonts w:ascii="Arial Narrow" w:hAnsi="Arial Narrow"/>
                <w:sz w:val="20"/>
                <w:lang w:eastAsia="en-AU"/>
              </w:rPr>
              <w:t xml:space="preserve">Barron </w:t>
            </w:r>
            <w:r w:rsidR="00F53F85" w:rsidRPr="00F53F85">
              <w:rPr>
                <w:rFonts w:ascii="Arial Narrow" w:hAnsi="Arial Narrow"/>
                <w:sz w:val="20"/>
                <w:lang w:eastAsia="en-AU"/>
              </w:rPr>
              <w:t>Daintree</w:t>
            </w:r>
          </w:p>
        </w:tc>
        <w:tc>
          <w:tcPr>
            <w:tcW w:w="1134" w:type="dxa"/>
            <w:tcBorders>
              <w:top w:val="single" w:sz="4" w:space="0" w:color="auto"/>
              <w:left w:val="single" w:sz="4" w:space="0" w:color="auto"/>
              <w:bottom w:val="single" w:sz="4" w:space="0" w:color="auto"/>
              <w:right w:val="single" w:sz="4" w:space="0" w:color="auto"/>
            </w:tcBorders>
            <w:vAlign w:val="center"/>
          </w:tcPr>
          <w:p w14:paraId="53C15951" w14:textId="77777777" w:rsidR="00F53F85" w:rsidRPr="00F53F85" w:rsidRDefault="00F53F85" w:rsidP="00316B11">
            <w:pPr>
              <w:spacing w:after="0"/>
              <w:jc w:val="center"/>
              <w:rPr>
                <w:rFonts w:ascii="Arial Narrow" w:hAnsi="Arial Narrow" w:cs="Calibri"/>
                <w:sz w:val="20"/>
                <w:szCs w:val="20"/>
              </w:rPr>
            </w:pPr>
            <w:r w:rsidRPr="00F53F85">
              <w:rPr>
                <w:rFonts w:ascii="Arial Narrow" w:hAnsi="Arial Narrow"/>
                <w:sz w:val="20"/>
                <w:szCs w:val="20"/>
              </w:rPr>
              <w:t>Low Isles</w:t>
            </w:r>
          </w:p>
        </w:tc>
        <w:tc>
          <w:tcPr>
            <w:tcW w:w="779" w:type="dxa"/>
            <w:tcBorders>
              <w:top w:val="single" w:sz="4" w:space="0" w:color="auto"/>
              <w:left w:val="single" w:sz="4" w:space="0" w:color="auto"/>
              <w:bottom w:val="single" w:sz="4" w:space="0" w:color="auto"/>
              <w:right w:val="single" w:sz="4" w:space="0" w:color="auto"/>
            </w:tcBorders>
            <w:vAlign w:val="center"/>
          </w:tcPr>
          <w:p w14:paraId="53C15952" w14:textId="77777777" w:rsidR="00F53F85" w:rsidRPr="00F53F85" w:rsidRDefault="00F53F85" w:rsidP="00316B11">
            <w:pPr>
              <w:spacing w:after="0"/>
              <w:jc w:val="center"/>
              <w:rPr>
                <w:rFonts w:ascii="Arial Narrow" w:hAnsi="Arial Narrow" w:cs="Calibri"/>
                <w:sz w:val="20"/>
                <w:szCs w:val="20"/>
              </w:rPr>
            </w:pPr>
            <w:r w:rsidRPr="00F53F85">
              <w:rPr>
                <w:rFonts w:ascii="Arial Narrow" w:hAnsi="Arial Narrow"/>
                <w:sz w:val="20"/>
                <w:szCs w:val="20"/>
              </w:rPr>
              <w:t>5</w:t>
            </w:r>
          </w:p>
        </w:tc>
        <w:tc>
          <w:tcPr>
            <w:tcW w:w="6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C15953" w14:textId="77777777" w:rsidR="00F53F85" w:rsidRPr="00F53F85" w:rsidRDefault="00F53F85" w:rsidP="00316B11">
            <w:pPr>
              <w:spacing w:after="0"/>
              <w:jc w:val="center"/>
              <w:rPr>
                <w:rFonts w:ascii="Arial Narrow" w:hAnsi="Arial Narrow"/>
                <w:sz w:val="20"/>
                <w:szCs w:val="20"/>
                <w:lang w:eastAsia="en-AU"/>
              </w:rPr>
            </w:pPr>
          </w:p>
        </w:tc>
        <w:tc>
          <w:tcPr>
            <w:tcW w:w="536" w:type="dxa"/>
            <w:tcBorders>
              <w:top w:val="single" w:sz="4" w:space="0" w:color="auto"/>
              <w:left w:val="nil"/>
              <w:bottom w:val="single" w:sz="4" w:space="0" w:color="auto"/>
              <w:right w:val="single" w:sz="4" w:space="0" w:color="auto"/>
            </w:tcBorders>
            <w:shd w:val="clear" w:color="auto" w:fill="auto"/>
            <w:noWrap/>
            <w:vAlign w:val="center"/>
            <w:hideMark/>
          </w:tcPr>
          <w:p w14:paraId="53C15954" w14:textId="77777777" w:rsidR="00F53F85" w:rsidRPr="00F53F85" w:rsidRDefault="00F53F85" w:rsidP="00316B11">
            <w:pPr>
              <w:spacing w:after="0"/>
              <w:jc w:val="center"/>
              <w:rPr>
                <w:rFonts w:ascii="Arial Narrow" w:hAnsi="Arial Narrow"/>
                <w:sz w:val="20"/>
                <w:szCs w:val="20"/>
                <w:lang w:eastAsia="en-AU"/>
              </w:rPr>
            </w:pPr>
          </w:p>
        </w:tc>
        <w:tc>
          <w:tcPr>
            <w:tcW w:w="586" w:type="dxa"/>
            <w:tcBorders>
              <w:top w:val="single" w:sz="4" w:space="0" w:color="auto"/>
              <w:left w:val="nil"/>
              <w:bottom w:val="single" w:sz="4" w:space="0" w:color="auto"/>
              <w:right w:val="single" w:sz="4" w:space="0" w:color="auto"/>
            </w:tcBorders>
            <w:shd w:val="clear" w:color="auto" w:fill="auto"/>
            <w:noWrap/>
            <w:vAlign w:val="center"/>
            <w:hideMark/>
          </w:tcPr>
          <w:p w14:paraId="53C15955" w14:textId="77777777" w:rsidR="00F53F85" w:rsidRPr="00F53F85" w:rsidRDefault="00F53F85" w:rsidP="00316B11">
            <w:pPr>
              <w:spacing w:after="0"/>
              <w:jc w:val="center"/>
              <w:rPr>
                <w:rFonts w:ascii="Arial Narrow" w:hAnsi="Arial Narrow"/>
                <w:sz w:val="20"/>
                <w:szCs w:val="20"/>
                <w:lang w:eastAsia="en-AU"/>
              </w:rPr>
            </w:pPr>
            <w:r w:rsidRPr="00F53F85">
              <w:rPr>
                <w:rFonts w:ascii="Arial Narrow" w:hAnsi="Arial Narrow"/>
                <w:sz w:val="20"/>
                <w:szCs w:val="20"/>
              </w:rPr>
              <w:t>0.23</w:t>
            </w:r>
          </w:p>
        </w:tc>
        <w:tc>
          <w:tcPr>
            <w:tcW w:w="564" w:type="dxa"/>
            <w:tcBorders>
              <w:top w:val="single" w:sz="4" w:space="0" w:color="auto"/>
              <w:left w:val="nil"/>
              <w:bottom w:val="single" w:sz="4" w:space="0" w:color="auto"/>
              <w:right w:val="single" w:sz="4" w:space="0" w:color="auto"/>
            </w:tcBorders>
            <w:vAlign w:val="center"/>
          </w:tcPr>
          <w:p w14:paraId="53C15956" w14:textId="77777777" w:rsidR="00F53F85" w:rsidRPr="00F53F85" w:rsidRDefault="00F53F85" w:rsidP="00316B11">
            <w:pPr>
              <w:spacing w:after="0"/>
              <w:jc w:val="center"/>
              <w:rPr>
                <w:rFonts w:ascii="Arial Narrow" w:hAnsi="Arial Narrow"/>
                <w:sz w:val="20"/>
                <w:szCs w:val="20"/>
              </w:rPr>
            </w:pPr>
          </w:p>
        </w:tc>
        <w:tc>
          <w:tcPr>
            <w:tcW w:w="5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C15957" w14:textId="77777777" w:rsidR="00F53F85" w:rsidRPr="00F53F85" w:rsidRDefault="00F53F85" w:rsidP="00316B11">
            <w:pPr>
              <w:spacing w:after="0"/>
              <w:jc w:val="center"/>
              <w:rPr>
                <w:rFonts w:ascii="Arial Narrow" w:hAnsi="Arial Narrow"/>
                <w:sz w:val="20"/>
                <w:szCs w:val="20"/>
                <w:lang w:eastAsia="en-AU"/>
              </w:rPr>
            </w:pPr>
          </w:p>
        </w:tc>
        <w:tc>
          <w:tcPr>
            <w:tcW w:w="662" w:type="dxa"/>
            <w:tcBorders>
              <w:top w:val="single" w:sz="4" w:space="0" w:color="auto"/>
              <w:left w:val="nil"/>
              <w:bottom w:val="single" w:sz="4" w:space="0" w:color="auto"/>
              <w:right w:val="single" w:sz="4" w:space="0" w:color="auto"/>
            </w:tcBorders>
            <w:vAlign w:val="center"/>
          </w:tcPr>
          <w:p w14:paraId="53C15958" w14:textId="77777777" w:rsidR="00F53F85" w:rsidRPr="00F53F85" w:rsidRDefault="00F53F85" w:rsidP="00316B11">
            <w:pPr>
              <w:spacing w:after="0"/>
              <w:jc w:val="center"/>
              <w:rPr>
                <w:rFonts w:ascii="Arial Narrow" w:hAnsi="Arial Narrow"/>
                <w:sz w:val="20"/>
                <w:szCs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C15959" w14:textId="77777777" w:rsidR="00F53F85" w:rsidRPr="00F53F85" w:rsidRDefault="00F53F85" w:rsidP="00316B11">
            <w:pPr>
              <w:spacing w:after="0"/>
              <w:jc w:val="center"/>
              <w:rPr>
                <w:rFonts w:ascii="Arial Narrow" w:hAnsi="Arial Narrow"/>
                <w:sz w:val="20"/>
                <w:szCs w:val="20"/>
                <w:lang w:eastAsia="en-AU"/>
              </w:rPr>
            </w:pPr>
            <w:r w:rsidRPr="00F53F85">
              <w:rPr>
                <w:rFonts w:ascii="Arial Narrow" w:hAnsi="Arial Narrow"/>
                <w:sz w:val="20"/>
                <w:szCs w:val="20"/>
              </w:rPr>
              <w:t>0.23</w:t>
            </w:r>
          </w:p>
        </w:tc>
        <w:tc>
          <w:tcPr>
            <w:tcW w:w="546" w:type="dxa"/>
            <w:tcBorders>
              <w:top w:val="single" w:sz="4" w:space="0" w:color="auto"/>
              <w:left w:val="nil"/>
              <w:bottom w:val="single" w:sz="4" w:space="0" w:color="auto"/>
              <w:right w:val="single" w:sz="4" w:space="0" w:color="auto"/>
            </w:tcBorders>
            <w:shd w:val="clear" w:color="auto" w:fill="auto"/>
            <w:noWrap/>
            <w:vAlign w:val="center"/>
            <w:hideMark/>
          </w:tcPr>
          <w:p w14:paraId="53C1595A" w14:textId="77777777" w:rsidR="00F53F85" w:rsidRPr="00F53F85" w:rsidRDefault="00F53F85" w:rsidP="00316B11">
            <w:pPr>
              <w:spacing w:after="0"/>
              <w:jc w:val="center"/>
              <w:rPr>
                <w:rFonts w:ascii="Arial Narrow" w:hAnsi="Arial Narrow"/>
                <w:sz w:val="20"/>
                <w:szCs w:val="20"/>
                <w:lang w:eastAsia="en-AU"/>
              </w:rPr>
            </w:pPr>
            <w:r w:rsidRPr="00F53F85">
              <w:rPr>
                <w:rFonts w:ascii="Arial Narrow" w:hAnsi="Arial Narrow"/>
                <w:sz w:val="20"/>
                <w:szCs w:val="20"/>
              </w:rPr>
              <w:t>0.03</w:t>
            </w:r>
          </w:p>
        </w:tc>
        <w:tc>
          <w:tcPr>
            <w:tcW w:w="573" w:type="dxa"/>
            <w:tcBorders>
              <w:top w:val="single" w:sz="4" w:space="0" w:color="auto"/>
              <w:left w:val="nil"/>
              <w:bottom w:val="single" w:sz="4" w:space="0" w:color="auto"/>
              <w:right w:val="single" w:sz="4" w:space="0" w:color="auto"/>
            </w:tcBorders>
            <w:shd w:val="clear" w:color="auto" w:fill="auto"/>
            <w:noWrap/>
            <w:vAlign w:val="center"/>
            <w:hideMark/>
          </w:tcPr>
          <w:p w14:paraId="53C1595B" w14:textId="77777777" w:rsidR="00F53F85" w:rsidRPr="00F53F85" w:rsidRDefault="00F53F85" w:rsidP="00316B11">
            <w:pPr>
              <w:spacing w:after="0"/>
              <w:jc w:val="center"/>
              <w:rPr>
                <w:rFonts w:ascii="Arial Narrow" w:hAnsi="Arial Narrow"/>
                <w:sz w:val="20"/>
                <w:szCs w:val="20"/>
                <w:lang w:eastAsia="en-AU"/>
              </w:rPr>
            </w:pPr>
            <w:r w:rsidRPr="00F53F85">
              <w:rPr>
                <w:rFonts w:ascii="Arial Narrow" w:hAnsi="Arial Narrow"/>
                <w:sz w:val="20"/>
                <w:szCs w:val="20"/>
              </w:rPr>
              <w:t>0.73</w:t>
            </w:r>
          </w:p>
        </w:tc>
        <w:tc>
          <w:tcPr>
            <w:tcW w:w="799" w:type="dxa"/>
            <w:tcBorders>
              <w:top w:val="single" w:sz="4" w:space="0" w:color="auto"/>
              <w:left w:val="nil"/>
              <w:bottom w:val="single" w:sz="4" w:space="0" w:color="auto"/>
              <w:right w:val="single" w:sz="4" w:space="0" w:color="auto"/>
            </w:tcBorders>
            <w:shd w:val="clear" w:color="auto" w:fill="auto"/>
            <w:noWrap/>
            <w:vAlign w:val="center"/>
            <w:hideMark/>
          </w:tcPr>
          <w:p w14:paraId="53C1595C" w14:textId="77777777" w:rsidR="00F53F85" w:rsidRPr="00F53F85" w:rsidRDefault="00F53F85" w:rsidP="00316B11">
            <w:pPr>
              <w:spacing w:after="0"/>
              <w:jc w:val="center"/>
              <w:rPr>
                <w:rFonts w:ascii="Arial Narrow" w:hAnsi="Arial Narrow"/>
                <w:sz w:val="20"/>
                <w:szCs w:val="20"/>
                <w:lang w:eastAsia="en-AU"/>
              </w:rPr>
            </w:pPr>
            <w:r w:rsidRPr="00F53F85">
              <w:rPr>
                <w:rFonts w:ascii="Arial Narrow" w:hAnsi="Arial Narrow"/>
                <w:sz w:val="20"/>
                <w:szCs w:val="20"/>
              </w:rPr>
              <w:t>0.23</w:t>
            </w:r>
          </w:p>
        </w:tc>
        <w:tc>
          <w:tcPr>
            <w:tcW w:w="536" w:type="dxa"/>
            <w:tcBorders>
              <w:top w:val="single" w:sz="4" w:space="0" w:color="auto"/>
              <w:left w:val="nil"/>
              <w:bottom w:val="single" w:sz="4" w:space="0" w:color="auto"/>
              <w:right w:val="single" w:sz="4" w:space="0" w:color="auto"/>
            </w:tcBorders>
            <w:shd w:val="clear" w:color="auto" w:fill="auto"/>
            <w:noWrap/>
            <w:vAlign w:val="center"/>
            <w:hideMark/>
          </w:tcPr>
          <w:p w14:paraId="53C1595D" w14:textId="77777777" w:rsidR="00F53F85" w:rsidRPr="00F53F85" w:rsidRDefault="00F53F85" w:rsidP="00316B11">
            <w:pPr>
              <w:spacing w:after="0"/>
              <w:jc w:val="center"/>
              <w:rPr>
                <w:rFonts w:ascii="Arial Narrow" w:hAnsi="Arial Narrow"/>
                <w:sz w:val="20"/>
                <w:szCs w:val="20"/>
                <w:lang w:eastAsia="en-AU"/>
              </w:rPr>
            </w:pPr>
          </w:p>
        </w:tc>
        <w:tc>
          <w:tcPr>
            <w:tcW w:w="646" w:type="dxa"/>
            <w:gridSpan w:val="2"/>
            <w:tcBorders>
              <w:top w:val="single" w:sz="4" w:space="0" w:color="auto"/>
              <w:left w:val="nil"/>
              <w:bottom w:val="single" w:sz="4" w:space="0" w:color="auto"/>
              <w:right w:val="single" w:sz="4" w:space="0" w:color="auto"/>
            </w:tcBorders>
            <w:shd w:val="clear" w:color="auto" w:fill="auto"/>
            <w:noWrap/>
            <w:vAlign w:val="center"/>
            <w:hideMark/>
          </w:tcPr>
          <w:p w14:paraId="53C1595E" w14:textId="77777777" w:rsidR="00F53F85" w:rsidRPr="00F53F85" w:rsidRDefault="00F53F85" w:rsidP="00316B11">
            <w:pPr>
              <w:spacing w:after="0"/>
              <w:jc w:val="center"/>
              <w:rPr>
                <w:rFonts w:ascii="Arial Narrow" w:hAnsi="Arial Narrow"/>
                <w:sz w:val="20"/>
                <w:szCs w:val="20"/>
                <w:lang w:eastAsia="en-AU"/>
              </w:rPr>
            </w:pPr>
            <w:r w:rsidRPr="00F53F85">
              <w:rPr>
                <w:rFonts w:ascii="Arial Narrow" w:hAnsi="Arial Narrow"/>
                <w:sz w:val="20"/>
                <w:szCs w:val="20"/>
              </w:rPr>
              <w:t>0.17</w:t>
            </w:r>
          </w:p>
        </w:tc>
        <w:tc>
          <w:tcPr>
            <w:tcW w:w="788" w:type="dxa"/>
            <w:tcBorders>
              <w:top w:val="single" w:sz="4" w:space="0" w:color="auto"/>
              <w:left w:val="nil"/>
              <w:bottom w:val="single" w:sz="4" w:space="0" w:color="auto"/>
              <w:right w:val="single" w:sz="4" w:space="0" w:color="auto"/>
            </w:tcBorders>
            <w:shd w:val="clear" w:color="auto" w:fill="auto"/>
            <w:noWrap/>
            <w:vAlign w:val="center"/>
            <w:hideMark/>
          </w:tcPr>
          <w:p w14:paraId="53C1595F" w14:textId="77777777" w:rsidR="00F53F85" w:rsidRPr="00F53F85" w:rsidRDefault="00F53F85" w:rsidP="00316B11">
            <w:pPr>
              <w:spacing w:after="0"/>
              <w:jc w:val="center"/>
              <w:rPr>
                <w:rFonts w:ascii="Arial Narrow" w:hAnsi="Arial Narrow"/>
                <w:sz w:val="20"/>
                <w:szCs w:val="20"/>
                <w:lang w:eastAsia="en-AU"/>
              </w:rPr>
            </w:pPr>
          </w:p>
        </w:tc>
        <w:tc>
          <w:tcPr>
            <w:tcW w:w="788" w:type="dxa"/>
            <w:tcBorders>
              <w:top w:val="single" w:sz="4" w:space="0" w:color="auto"/>
              <w:left w:val="nil"/>
              <w:bottom w:val="single" w:sz="4" w:space="0" w:color="auto"/>
              <w:right w:val="single" w:sz="4" w:space="0" w:color="auto"/>
            </w:tcBorders>
            <w:shd w:val="clear" w:color="auto" w:fill="auto"/>
            <w:noWrap/>
            <w:vAlign w:val="center"/>
            <w:hideMark/>
          </w:tcPr>
          <w:p w14:paraId="53C15960" w14:textId="77777777" w:rsidR="00F53F85" w:rsidRPr="00F53F85" w:rsidRDefault="00F53F85" w:rsidP="00316B11">
            <w:pPr>
              <w:spacing w:after="0"/>
              <w:jc w:val="center"/>
              <w:rPr>
                <w:rFonts w:ascii="Arial Narrow" w:hAnsi="Arial Narrow"/>
                <w:sz w:val="20"/>
                <w:szCs w:val="20"/>
                <w:lang w:eastAsia="en-AU"/>
              </w:rPr>
            </w:pPr>
          </w:p>
        </w:tc>
        <w:tc>
          <w:tcPr>
            <w:tcW w:w="788" w:type="dxa"/>
            <w:tcBorders>
              <w:top w:val="single" w:sz="4" w:space="0" w:color="auto"/>
              <w:left w:val="nil"/>
              <w:bottom w:val="single" w:sz="4" w:space="0" w:color="auto"/>
              <w:right w:val="single" w:sz="4" w:space="0" w:color="auto"/>
            </w:tcBorders>
            <w:shd w:val="clear" w:color="auto" w:fill="auto"/>
            <w:noWrap/>
            <w:vAlign w:val="center"/>
            <w:hideMark/>
          </w:tcPr>
          <w:p w14:paraId="53C15961" w14:textId="77777777" w:rsidR="00F53F85" w:rsidRPr="00F53F85" w:rsidRDefault="00F53F85" w:rsidP="00316B11">
            <w:pPr>
              <w:spacing w:after="0"/>
              <w:jc w:val="center"/>
              <w:rPr>
                <w:rFonts w:ascii="Arial Narrow" w:hAnsi="Arial Narrow"/>
                <w:sz w:val="20"/>
                <w:szCs w:val="20"/>
                <w:lang w:eastAsia="en-AU"/>
              </w:rPr>
            </w:pPr>
          </w:p>
        </w:tc>
        <w:tc>
          <w:tcPr>
            <w:tcW w:w="630" w:type="dxa"/>
            <w:tcBorders>
              <w:top w:val="single" w:sz="4" w:space="0" w:color="auto"/>
              <w:left w:val="nil"/>
              <w:bottom w:val="single" w:sz="4" w:space="0" w:color="auto"/>
              <w:right w:val="single" w:sz="4" w:space="0" w:color="auto"/>
            </w:tcBorders>
            <w:vAlign w:val="center"/>
          </w:tcPr>
          <w:p w14:paraId="53C15962" w14:textId="77777777" w:rsidR="00F53F85" w:rsidRPr="00F53F85" w:rsidRDefault="00F53F85" w:rsidP="00316B11">
            <w:pPr>
              <w:spacing w:after="0"/>
              <w:jc w:val="center"/>
              <w:rPr>
                <w:rFonts w:ascii="Arial Narrow" w:hAnsi="Arial Narrow"/>
                <w:sz w:val="20"/>
                <w:szCs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C15963" w14:textId="77777777" w:rsidR="00F53F85" w:rsidRPr="00F53F85" w:rsidRDefault="00F53F85" w:rsidP="00316B11">
            <w:pPr>
              <w:spacing w:after="0"/>
              <w:jc w:val="center"/>
              <w:rPr>
                <w:rFonts w:ascii="Arial Narrow" w:hAnsi="Arial Narrow"/>
                <w:sz w:val="20"/>
                <w:szCs w:val="20"/>
                <w:lang w:eastAsia="en-AU"/>
              </w:rPr>
            </w:pPr>
            <w:r w:rsidRPr="00F53F85">
              <w:rPr>
                <w:rFonts w:ascii="Arial Narrow" w:hAnsi="Arial Narrow"/>
                <w:sz w:val="20"/>
                <w:szCs w:val="20"/>
              </w:rPr>
              <w:t>0.20</w:t>
            </w:r>
          </w:p>
        </w:tc>
      </w:tr>
      <w:tr w:rsidR="00316B11" w:rsidRPr="00F53F85" w14:paraId="53C15979" w14:textId="77777777" w:rsidTr="005B2CA4">
        <w:trPr>
          <w:trHeight w:val="340"/>
        </w:trPr>
        <w:tc>
          <w:tcPr>
            <w:tcW w:w="611" w:type="dxa"/>
            <w:vMerge/>
            <w:tcBorders>
              <w:top w:val="nil"/>
              <w:left w:val="single" w:sz="4" w:space="0" w:color="auto"/>
              <w:bottom w:val="single" w:sz="4" w:space="0" w:color="auto"/>
              <w:right w:val="single" w:sz="4" w:space="0" w:color="auto"/>
            </w:tcBorders>
            <w:vAlign w:val="center"/>
            <w:hideMark/>
          </w:tcPr>
          <w:p w14:paraId="53C15965" w14:textId="77777777" w:rsidR="00316B11" w:rsidRPr="00F53F85" w:rsidRDefault="00316B11" w:rsidP="00F53F85">
            <w:pPr>
              <w:spacing w:after="0"/>
              <w:jc w:val="left"/>
              <w:rPr>
                <w:rFonts w:ascii="Arial Narrow" w:hAnsi="Arial Narrow"/>
                <w:sz w:val="20"/>
                <w:lang w:eastAsia="en-AU"/>
              </w:rPr>
            </w:pPr>
          </w:p>
        </w:tc>
        <w:tc>
          <w:tcPr>
            <w:tcW w:w="1134" w:type="dxa"/>
            <w:vMerge w:val="restart"/>
            <w:tcBorders>
              <w:top w:val="nil"/>
              <w:left w:val="single" w:sz="4" w:space="0" w:color="auto"/>
              <w:right w:val="single" w:sz="4" w:space="0" w:color="auto"/>
            </w:tcBorders>
            <w:vAlign w:val="center"/>
          </w:tcPr>
          <w:p w14:paraId="53C15966"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Snapper North</w:t>
            </w:r>
          </w:p>
        </w:tc>
        <w:tc>
          <w:tcPr>
            <w:tcW w:w="779" w:type="dxa"/>
            <w:tcBorders>
              <w:top w:val="nil"/>
              <w:left w:val="single" w:sz="4" w:space="0" w:color="auto"/>
              <w:bottom w:val="single" w:sz="4" w:space="0" w:color="auto"/>
              <w:right w:val="single" w:sz="4" w:space="0" w:color="auto"/>
            </w:tcBorders>
            <w:vAlign w:val="center"/>
          </w:tcPr>
          <w:p w14:paraId="53C15967"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2</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968"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0.04</w:t>
            </w:r>
          </w:p>
        </w:tc>
        <w:tc>
          <w:tcPr>
            <w:tcW w:w="536" w:type="dxa"/>
            <w:tcBorders>
              <w:top w:val="nil"/>
              <w:left w:val="nil"/>
              <w:bottom w:val="single" w:sz="4" w:space="0" w:color="auto"/>
              <w:right w:val="single" w:sz="4" w:space="0" w:color="auto"/>
            </w:tcBorders>
            <w:shd w:val="clear" w:color="auto" w:fill="auto"/>
            <w:noWrap/>
            <w:vAlign w:val="center"/>
            <w:hideMark/>
          </w:tcPr>
          <w:p w14:paraId="53C15969"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0.38</w:t>
            </w:r>
          </w:p>
        </w:tc>
        <w:tc>
          <w:tcPr>
            <w:tcW w:w="586" w:type="dxa"/>
            <w:tcBorders>
              <w:top w:val="nil"/>
              <w:left w:val="nil"/>
              <w:bottom w:val="single" w:sz="4" w:space="0" w:color="auto"/>
              <w:right w:val="single" w:sz="4" w:space="0" w:color="auto"/>
            </w:tcBorders>
            <w:shd w:val="clear" w:color="auto" w:fill="auto"/>
            <w:noWrap/>
            <w:vAlign w:val="center"/>
            <w:hideMark/>
          </w:tcPr>
          <w:p w14:paraId="53C1596A"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0.71</w:t>
            </w:r>
          </w:p>
        </w:tc>
        <w:tc>
          <w:tcPr>
            <w:tcW w:w="564" w:type="dxa"/>
            <w:tcBorders>
              <w:top w:val="nil"/>
              <w:left w:val="nil"/>
              <w:bottom w:val="single" w:sz="4" w:space="0" w:color="auto"/>
              <w:right w:val="single" w:sz="4" w:space="0" w:color="auto"/>
            </w:tcBorders>
            <w:vAlign w:val="center"/>
          </w:tcPr>
          <w:p w14:paraId="53C1596B" w14:textId="77777777" w:rsidR="00316B11" w:rsidRPr="00F53F85" w:rsidRDefault="00316B11" w:rsidP="00316B11">
            <w:pPr>
              <w:spacing w:after="0"/>
              <w:jc w:val="center"/>
              <w:rPr>
                <w:rFonts w:ascii="Arial Narrow" w:hAnsi="Arial Narrow"/>
                <w:sz w:val="20"/>
                <w:szCs w:val="20"/>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96C" w14:textId="77777777" w:rsidR="00316B11" w:rsidRPr="00F53F85" w:rsidRDefault="00316B11"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96D"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3.88</w:t>
            </w: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96E"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35.92</w:t>
            </w:r>
          </w:p>
        </w:tc>
        <w:tc>
          <w:tcPr>
            <w:tcW w:w="546" w:type="dxa"/>
            <w:tcBorders>
              <w:top w:val="nil"/>
              <w:left w:val="nil"/>
              <w:bottom w:val="single" w:sz="4" w:space="0" w:color="auto"/>
              <w:right w:val="single" w:sz="4" w:space="0" w:color="auto"/>
            </w:tcBorders>
            <w:shd w:val="clear" w:color="auto" w:fill="auto"/>
            <w:noWrap/>
            <w:vAlign w:val="center"/>
            <w:hideMark/>
          </w:tcPr>
          <w:p w14:paraId="53C1596F"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0.46</w:t>
            </w:r>
          </w:p>
        </w:tc>
        <w:tc>
          <w:tcPr>
            <w:tcW w:w="573" w:type="dxa"/>
            <w:tcBorders>
              <w:top w:val="nil"/>
              <w:left w:val="nil"/>
              <w:bottom w:val="single" w:sz="4" w:space="0" w:color="auto"/>
              <w:right w:val="single" w:sz="4" w:space="0" w:color="auto"/>
            </w:tcBorders>
            <w:shd w:val="clear" w:color="auto" w:fill="auto"/>
            <w:noWrap/>
            <w:vAlign w:val="center"/>
            <w:hideMark/>
          </w:tcPr>
          <w:p w14:paraId="53C15970"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2.54</w:t>
            </w:r>
          </w:p>
        </w:tc>
        <w:tc>
          <w:tcPr>
            <w:tcW w:w="799" w:type="dxa"/>
            <w:tcBorders>
              <w:top w:val="nil"/>
              <w:left w:val="nil"/>
              <w:bottom w:val="single" w:sz="4" w:space="0" w:color="auto"/>
              <w:right w:val="single" w:sz="4" w:space="0" w:color="auto"/>
            </w:tcBorders>
            <w:shd w:val="clear" w:color="auto" w:fill="auto"/>
            <w:noWrap/>
            <w:vAlign w:val="center"/>
            <w:hideMark/>
          </w:tcPr>
          <w:p w14:paraId="53C15971"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0.25</w:t>
            </w:r>
          </w:p>
        </w:tc>
        <w:tc>
          <w:tcPr>
            <w:tcW w:w="536" w:type="dxa"/>
            <w:tcBorders>
              <w:top w:val="nil"/>
              <w:left w:val="nil"/>
              <w:bottom w:val="single" w:sz="4" w:space="0" w:color="auto"/>
              <w:right w:val="single" w:sz="4" w:space="0" w:color="auto"/>
            </w:tcBorders>
            <w:shd w:val="clear" w:color="auto" w:fill="auto"/>
            <w:noWrap/>
            <w:vAlign w:val="center"/>
            <w:hideMark/>
          </w:tcPr>
          <w:p w14:paraId="53C15972" w14:textId="77777777" w:rsidR="00316B11" w:rsidRPr="00F53F85" w:rsidRDefault="00316B11"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973"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0.13</w:t>
            </w:r>
          </w:p>
        </w:tc>
        <w:tc>
          <w:tcPr>
            <w:tcW w:w="788" w:type="dxa"/>
            <w:tcBorders>
              <w:top w:val="nil"/>
              <w:left w:val="nil"/>
              <w:bottom w:val="single" w:sz="4" w:space="0" w:color="auto"/>
              <w:right w:val="single" w:sz="4" w:space="0" w:color="auto"/>
            </w:tcBorders>
            <w:shd w:val="clear" w:color="auto" w:fill="auto"/>
            <w:noWrap/>
            <w:vAlign w:val="center"/>
            <w:hideMark/>
          </w:tcPr>
          <w:p w14:paraId="53C15974"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16.38</w:t>
            </w:r>
          </w:p>
        </w:tc>
        <w:tc>
          <w:tcPr>
            <w:tcW w:w="788" w:type="dxa"/>
            <w:tcBorders>
              <w:top w:val="nil"/>
              <w:left w:val="nil"/>
              <w:bottom w:val="single" w:sz="4" w:space="0" w:color="auto"/>
              <w:right w:val="single" w:sz="4" w:space="0" w:color="auto"/>
            </w:tcBorders>
            <w:shd w:val="clear" w:color="auto" w:fill="auto"/>
            <w:noWrap/>
            <w:vAlign w:val="center"/>
            <w:hideMark/>
          </w:tcPr>
          <w:p w14:paraId="53C15975"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0.04</w:t>
            </w:r>
          </w:p>
        </w:tc>
        <w:tc>
          <w:tcPr>
            <w:tcW w:w="788" w:type="dxa"/>
            <w:tcBorders>
              <w:top w:val="nil"/>
              <w:left w:val="nil"/>
              <w:bottom w:val="single" w:sz="4" w:space="0" w:color="auto"/>
              <w:right w:val="single" w:sz="4" w:space="0" w:color="auto"/>
            </w:tcBorders>
            <w:shd w:val="clear" w:color="auto" w:fill="auto"/>
            <w:noWrap/>
            <w:vAlign w:val="center"/>
            <w:hideMark/>
          </w:tcPr>
          <w:p w14:paraId="53C15976" w14:textId="77777777" w:rsidR="00316B11" w:rsidRPr="00F53F85" w:rsidRDefault="00316B11" w:rsidP="00316B11">
            <w:pPr>
              <w:spacing w:after="0"/>
              <w:jc w:val="center"/>
              <w:rPr>
                <w:rFonts w:ascii="Arial Narrow" w:hAnsi="Arial Narrow"/>
                <w:sz w:val="20"/>
                <w:szCs w:val="20"/>
                <w:lang w:eastAsia="en-AU"/>
              </w:rPr>
            </w:pPr>
          </w:p>
        </w:tc>
        <w:tc>
          <w:tcPr>
            <w:tcW w:w="630" w:type="dxa"/>
            <w:tcBorders>
              <w:top w:val="nil"/>
              <w:left w:val="nil"/>
              <w:bottom w:val="single" w:sz="4" w:space="0" w:color="auto"/>
              <w:right w:val="single" w:sz="4" w:space="0" w:color="auto"/>
            </w:tcBorders>
            <w:vAlign w:val="center"/>
          </w:tcPr>
          <w:p w14:paraId="53C15977" w14:textId="77777777" w:rsidR="00316B11" w:rsidRPr="00F53F85" w:rsidRDefault="00316B11" w:rsidP="00316B11">
            <w:pPr>
              <w:spacing w:after="0"/>
              <w:jc w:val="center"/>
              <w:rPr>
                <w:rFonts w:ascii="Arial Narrow" w:hAnsi="Arial Narrow"/>
                <w:sz w:val="20"/>
                <w:szCs w:val="20"/>
                <w:lang w:eastAsia="en-AU"/>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978"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0.75</w:t>
            </w:r>
          </w:p>
        </w:tc>
      </w:tr>
      <w:tr w:rsidR="00316B11" w:rsidRPr="00F53F85" w14:paraId="53C1598E" w14:textId="77777777" w:rsidTr="005B2CA4">
        <w:trPr>
          <w:trHeight w:val="84"/>
        </w:trPr>
        <w:tc>
          <w:tcPr>
            <w:tcW w:w="611" w:type="dxa"/>
            <w:vMerge/>
            <w:tcBorders>
              <w:top w:val="nil"/>
              <w:left w:val="single" w:sz="4" w:space="0" w:color="auto"/>
              <w:bottom w:val="single" w:sz="4" w:space="0" w:color="auto"/>
              <w:right w:val="single" w:sz="4" w:space="0" w:color="auto"/>
            </w:tcBorders>
            <w:vAlign w:val="center"/>
            <w:hideMark/>
          </w:tcPr>
          <w:p w14:paraId="53C1597A" w14:textId="77777777" w:rsidR="00316B11" w:rsidRPr="00F53F85" w:rsidRDefault="00316B11" w:rsidP="00F53F85">
            <w:pPr>
              <w:spacing w:after="0"/>
              <w:jc w:val="left"/>
              <w:rPr>
                <w:rFonts w:ascii="Arial Narrow" w:hAnsi="Arial Narrow"/>
                <w:sz w:val="20"/>
                <w:lang w:eastAsia="en-AU"/>
              </w:rPr>
            </w:pPr>
          </w:p>
        </w:tc>
        <w:tc>
          <w:tcPr>
            <w:tcW w:w="1134" w:type="dxa"/>
            <w:vMerge/>
            <w:tcBorders>
              <w:left w:val="single" w:sz="4" w:space="0" w:color="auto"/>
              <w:bottom w:val="single" w:sz="4" w:space="0" w:color="auto"/>
              <w:right w:val="single" w:sz="4" w:space="0" w:color="auto"/>
            </w:tcBorders>
            <w:vAlign w:val="center"/>
          </w:tcPr>
          <w:p w14:paraId="53C1597B" w14:textId="77777777" w:rsidR="00316B11" w:rsidRPr="00F53F85" w:rsidRDefault="00316B11" w:rsidP="00316B11">
            <w:pPr>
              <w:spacing w:after="0"/>
              <w:jc w:val="center"/>
              <w:rPr>
                <w:rFonts w:ascii="Arial Narrow" w:hAnsi="Arial Narrow"/>
                <w:sz w:val="20"/>
                <w:szCs w:val="20"/>
                <w:lang w:eastAsia="en-AU"/>
              </w:rPr>
            </w:pPr>
          </w:p>
        </w:tc>
        <w:tc>
          <w:tcPr>
            <w:tcW w:w="779" w:type="dxa"/>
            <w:tcBorders>
              <w:top w:val="nil"/>
              <w:left w:val="single" w:sz="4" w:space="0" w:color="auto"/>
              <w:bottom w:val="single" w:sz="4" w:space="0" w:color="auto"/>
              <w:right w:val="single" w:sz="4" w:space="0" w:color="auto"/>
            </w:tcBorders>
            <w:vAlign w:val="center"/>
          </w:tcPr>
          <w:p w14:paraId="53C1597C"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5</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97D" w14:textId="77777777" w:rsidR="00316B11" w:rsidRPr="00F53F85" w:rsidRDefault="00316B11"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97E"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0.19</w:t>
            </w:r>
          </w:p>
        </w:tc>
        <w:tc>
          <w:tcPr>
            <w:tcW w:w="586" w:type="dxa"/>
            <w:tcBorders>
              <w:top w:val="nil"/>
              <w:left w:val="nil"/>
              <w:bottom w:val="single" w:sz="4" w:space="0" w:color="auto"/>
              <w:right w:val="single" w:sz="4" w:space="0" w:color="auto"/>
            </w:tcBorders>
            <w:shd w:val="clear" w:color="auto" w:fill="auto"/>
            <w:noWrap/>
            <w:vAlign w:val="center"/>
            <w:hideMark/>
          </w:tcPr>
          <w:p w14:paraId="53C1597F"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564" w:type="dxa"/>
            <w:tcBorders>
              <w:top w:val="nil"/>
              <w:left w:val="nil"/>
              <w:bottom w:val="single" w:sz="4" w:space="0" w:color="auto"/>
              <w:right w:val="single" w:sz="4" w:space="0" w:color="auto"/>
            </w:tcBorders>
            <w:vAlign w:val="center"/>
          </w:tcPr>
          <w:p w14:paraId="53C15980" w14:textId="77777777" w:rsidR="00316B11" w:rsidRPr="00F53F85" w:rsidRDefault="00316B11"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981" w14:textId="77777777" w:rsidR="00316B11" w:rsidRPr="00F53F85" w:rsidRDefault="00316B11"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982" w14:textId="77777777" w:rsidR="00316B11" w:rsidRPr="00F53F85" w:rsidRDefault="00316B11"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983"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0.38</w:t>
            </w:r>
          </w:p>
        </w:tc>
        <w:tc>
          <w:tcPr>
            <w:tcW w:w="546" w:type="dxa"/>
            <w:tcBorders>
              <w:top w:val="nil"/>
              <w:left w:val="nil"/>
              <w:bottom w:val="single" w:sz="4" w:space="0" w:color="auto"/>
              <w:right w:val="single" w:sz="4" w:space="0" w:color="auto"/>
            </w:tcBorders>
            <w:shd w:val="clear" w:color="auto" w:fill="auto"/>
            <w:noWrap/>
            <w:vAlign w:val="center"/>
            <w:hideMark/>
          </w:tcPr>
          <w:p w14:paraId="53C15984" w14:textId="77777777" w:rsidR="00316B11" w:rsidRPr="00F53F85" w:rsidRDefault="00316B11" w:rsidP="00316B11">
            <w:pPr>
              <w:spacing w:after="0"/>
              <w:jc w:val="center"/>
              <w:rPr>
                <w:rFonts w:ascii="Arial Narrow" w:hAnsi="Arial Narrow"/>
                <w:sz w:val="20"/>
                <w:szCs w:val="20"/>
                <w:lang w:eastAsia="en-AU"/>
              </w:rPr>
            </w:pPr>
          </w:p>
        </w:tc>
        <w:tc>
          <w:tcPr>
            <w:tcW w:w="573" w:type="dxa"/>
            <w:tcBorders>
              <w:top w:val="nil"/>
              <w:left w:val="nil"/>
              <w:bottom w:val="single" w:sz="4" w:space="0" w:color="auto"/>
              <w:right w:val="single" w:sz="4" w:space="0" w:color="auto"/>
            </w:tcBorders>
            <w:shd w:val="clear" w:color="auto" w:fill="auto"/>
            <w:noWrap/>
            <w:vAlign w:val="center"/>
            <w:hideMark/>
          </w:tcPr>
          <w:p w14:paraId="53C15985"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0.13</w:t>
            </w:r>
          </w:p>
        </w:tc>
        <w:tc>
          <w:tcPr>
            <w:tcW w:w="799" w:type="dxa"/>
            <w:tcBorders>
              <w:top w:val="nil"/>
              <w:left w:val="nil"/>
              <w:bottom w:val="single" w:sz="4" w:space="0" w:color="auto"/>
              <w:right w:val="single" w:sz="4" w:space="0" w:color="auto"/>
            </w:tcBorders>
            <w:shd w:val="clear" w:color="auto" w:fill="auto"/>
            <w:noWrap/>
            <w:vAlign w:val="center"/>
            <w:hideMark/>
          </w:tcPr>
          <w:p w14:paraId="53C15986"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536" w:type="dxa"/>
            <w:tcBorders>
              <w:top w:val="nil"/>
              <w:left w:val="nil"/>
              <w:bottom w:val="single" w:sz="4" w:space="0" w:color="auto"/>
              <w:right w:val="single" w:sz="4" w:space="0" w:color="auto"/>
            </w:tcBorders>
            <w:shd w:val="clear" w:color="auto" w:fill="auto"/>
            <w:noWrap/>
            <w:vAlign w:val="center"/>
            <w:hideMark/>
          </w:tcPr>
          <w:p w14:paraId="53C15987" w14:textId="77777777" w:rsidR="00316B11" w:rsidRPr="00F53F85" w:rsidRDefault="00316B11"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988"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989"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4.38</w:t>
            </w:r>
          </w:p>
        </w:tc>
        <w:tc>
          <w:tcPr>
            <w:tcW w:w="788" w:type="dxa"/>
            <w:tcBorders>
              <w:top w:val="nil"/>
              <w:left w:val="nil"/>
              <w:bottom w:val="single" w:sz="4" w:space="0" w:color="auto"/>
              <w:right w:val="single" w:sz="4" w:space="0" w:color="auto"/>
            </w:tcBorders>
            <w:shd w:val="clear" w:color="auto" w:fill="auto"/>
            <w:noWrap/>
            <w:vAlign w:val="center"/>
            <w:hideMark/>
          </w:tcPr>
          <w:p w14:paraId="53C1598A"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98B" w14:textId="77777777" w:rsidR="00316B11" w:rsidRPr="00F53F85" w:rsidRDefault="00316B11" w:rsidP="00316B11">
            <w:pPr>
              <w:spacing w:after="0"/>
              <w:jc w:val="center"/>
              <w:rPr>
                <w:rFonts w:ascii="Arial Narrow" w:hAnsi="Arial Narrow"/>
                <w:sz w:val="20"/>
                <w:szCs w:val="20"/>
                <w:lang w:eastAsia="en-AU"/>
              </w:rPr>
            </w:pPr>
          </w:p>
        </w:tc>
        <w:tc>
          <w:tcPr>
            <w:tcW w:w="630" w:type="dxa"/>
            <w:tcBorders>
              <w:top w:val="nil"/>
              <w:left w:val="nil"/>
              <w:bottom w:val="single" w:sz="4" w:space="0" w:color="auto"/>
              <w:right w:val="single" w:sz="4" w:space="0" w:color="auto"/>
            </w:tcBorders>
            <w:vAlign w:val="center"/>
          </w:tcPr>
          <w:p w14:paraId="53C1598C" w14:textId="77777777" w:rsidR="00316B11" w:rsidRPr="00F53F85" w:rsidRDefault="00316B11" w:rsidP="00316B11">
            <w:pPr>
              <w:spacing w:after="0"/>
              <w:jc w:val="center"/>
              <w:rPr>
                <w:rFonts w:ascii="Arial Narrow" w:hAnsi="Arial Narrow"/>
                <w:sz w:val="20"/>
                <w:szCs w:val="20"/>
                <w:lang w:eastAsia="en-AU"/>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98D"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0.13</w:t>
            </w:r>
          </w:p>
        </w:tc>
      </w:tr>
      <w:tr w:rsidR="00316B11" w:rsidRPr="00F53F85" w14:paraId="53C159A3" w14:textId="77777777" w:rsidTr="005B2CA4">
        <w:trPr>
          <w:trHeight w:val="340"/>
        </w:trPr>
        <w:tc>
          <w:tcPr>
            <w:tcW w:w="611" w:type="dxa"/>
            <w:vMerge/>
            <w:tcBorders>
              <w:top w:val="nil"/>
              <w:left w:val="single" w:sz="4" w:space="0" w:color="auto"/>
              <w:bottom w:val="single" w:sz="4" w:space="0" w:color="auto"/>
              <w:right w:val="single" w:sz="4" w:space="0" w:color="auto"/>
            </w:tcBorders>
            <w:vAlign w:val="center"/>
            <w:hideMark/>
          </w:tcPr>
          <w:p w14:paraId="53C1598F" w14:textId="77777777" w:rsidR="00316B11" w:rsidRPr="00F53F85" w:rsidRDefault="00316B11" w:rsidP="00F53F85">
            <w:pPr>
              <w:spacing w:after="0"/>
              <w:jc w:val="left"/>
              <w:rPr>
                <w:rFonts w:ascii="Arial Narrow" w:hAnsi="Arial Narrow"/>
                <w:sz w:val="20"/>
                <w:lang w:eastAsia="en-AU"/>
              </w:rPr>
            </w:pPr>
          </w:p>
        </w:tc>
        <w:tc>
          <w:tcPr>
            <w:tcW w:w="1134" w:type="dxa"/>
            <w:vMerge w:val="restart"/>
            <w:tcBorders>
              <w:top w:val="nil"/>
              <w:left w:val="single" w:sz="4" w:space="0" w:color="auto"/>
              <w:right w:val="single" w:sz="4" w:space="0" w:color="auto"/>
            </w:tcBorders>
            <w:vAlign w:val="center"/>
          </w:tcPr>
          <w:p w14:paraId="53C15990" w14:textId="77777777" w:rsidR="00316B11" w:rsidRPr="00F53F85" w:rsidRDefault="00316B11" w:rsidP="00316B11">
            <w:pPr>
              <w:spacing w:after="0"/>
              <w:jc w:val="center"/>
              <w:rPr>
                <w:rFonts w:ascii="Arial Narrow" w:hAnsi="Arial Narrow" w:cs="Calibri"/>
                <w:sz w:val="20"/>
                <w:szCs w:val="20"/>
              </w:rPr>
            </w:pPr>
            <w:r w:rsidRPr="00F53F85">
              <w:rPr>
                <w:rFonts w:ascii="Arial Narrow" w:hAnsi="Arial Narrow"/>
                <w:sz w:val="20"/>
                <w:szCs w:val="20"/>
              </w:rPr>
              <w:t>Snapper South</w:t>
            </w:r>
          </w:p>
        </w:tc>
        <w:tc>
          <w:tcPr>
            <w:tcW w:w="779" w:type="dxa"/>
            <w:tcBorders>
              <w:top w:val="nil"/>
              <w:left w:val="single" w:sz="4" w:space="0" w:color="auto"/>
              <w:bottom w:val="single" w:sz="4" w:space="0" w:color="auto"/>
              <w:right w:val="single" w:sz="4" w:space="0" w:color="auto"/>
            </w:tcBorders>
            <w:vAlign w:val="center"/>
          </w:tcPr>
          <w:p w14:paraId="53C15991" w14:textId="77777777" w:rsidR="00316B11" w:rsidRPr="00F53F85" w:rsidRDefault="00316B11" w:rsidP="00316B11">
            <w:pPr>
              <w:spacing w:after="0"/>
              <w:jc w:val="center"/>
              <w:rPr>
                <w:rFonts w:ascii="Arial Narrow" w:hAnsi="Arial Narrow" w:cs="Calibri"/>
                <w:sz w:val="20"/>
                <w:szCs w:val="20"/>
              </w:rPr>
            </w:pPr>
            <w:r w:rsidRPr="00F53F85">
              <w:rPr>
                <w:rFonts w:ascii="Arial Narrow" w:hAnsi="Arial Narrow"/>
                <w:sz w:val="20"/>
                <w:szCs w:val="20"/>
              </w:rPr>
              <w:t>2</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992" w14:textId="77777777" w:rsidR="00316B11" w:rsidRPr="00F53F85" w:rsidRDefault="00316B11"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993"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0.04</w:t>
            </w:r>
          </w:p>
        </w:tc>
        <w:tc>
          <w:tcPr>
            <w:tcW w:w="586" w:type="dxa"/>
            <w:tcBorders>
              <w:top w:val="nil"/>
              <w:left w:val="nil"/>
              <w:bottom w:val="single" w:sz="4" w:space="0" w:color="auto"/>
              <w:right w:val="single" w:sz="4" w:space="0" w:color="auto"/>
            </w:tcBorders>
            <w:shd w:val="clear" w:color="auto" w:fill="auto"/>
            <w:noWrap/>
            <w:vAlign w:val="center"/>
            <w:hideMark/>
          </w:tcPr>
          <w:p w14:paraId="53C15994"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0.08</w:t>
            </w:r>
          </w:p>
        </w:tc>
        <w:tc>
          <w:tcPr>
            <w:tcW w:w="564" w:type="dxa"/>
            <w:tcBorders>
              <w:top w:val="nil"/>
              <w:left w:val="nil"/>
              <w:bottom w:val="single" w:sz="4" w:space="0" w:color="auto"/>
              <w:right w:val="single" w:sz="4" w:space="0" w:color="auto"/>
            </w:tcBorders>
            <w:vAlign w:val="center"/>
          </w:tcPr>
          <w:p w14:paraId="53C15995" w14:textId="77777777" w:rsidR="00316B11" w:rsidRPr="00F53F85" w:rsidRDefault="00316B11"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996" w14:textId="77777777" w:rsidR="00316B11" w:rsidRPr="00F53F85" w:rsidRDefault="00316B11"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997" w14:textId="77777777" w:rsidR="00316B11" w:rsidRPr="00F53F85" w:rsidRDefault="00316B11"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998"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0.13</w:t>
            </w:r>
          </w:p>
        </w:tc>
        <w:tc>
          <w:tcPr>
            <w:tcW w:w="546" w:type="dxa"/>
            <w:tcBorders>
              <w:top w:val="nil"/>
              <w:left w:val="nil"/>
              <w:bottom w:val="single" w:sz="4" w:space="0" w:color="auto"/>
              <w:right w:val="single" w:sz="4" w:space="0" w:color="auto"/>
            </w:tcBorders>
            <w:shd w:val="clear" w:color="auto" w:fill="auto"/>
            <w:noWrap/>
            <w:vAlign w:val="center"/>
            <w:hideMark/>
          </w:tcPr>
          <w:p w14:paraId="53C15999" w14:textId="77777777" w:rsidR="00316B11" w:rsidRPr="00F53F85" w:rsidRDefault="00316B11" w:rsidP="00316B11">
            <w:pPr>
              <w:spacing w:after="0"/>
              <w:jc w:val="center"/>
              <w:rPr>
                <w:rFonts w:ascii="Arial Narrow" w:hAnsi="Arial Narrow"/>
                <w:sz w:val="20"/>
                <w:szCs w:val="20"/>
                <w:lang w:eastAsia="en-AU"/>
              </w:rPr>
            </w:pPr>
          </w:p>
        </w:tc>
        <w:tc>
          <w:tcPr>
            <w:tcW w:w="573" w:type="dxa"/>
            <w:tcBorders>
              <w:top w:val="nil"/>
              <w:left w:val="nil"/>
              <w:bottom w:val="single" w:sz="4" w:space="0" w:color="auto"/>
              <w:right w:val="single" w:sz="4" w:space="0" w:color="auto"/>
            </w:tcBorders>
            <w:shd w:val="clear" w:color="auto" w:fill="auto"/>
            <w:noWrap/>
            <w:vAlign w:val="center"/>
            <w:hideMark/>
          </w:tcPr>
          <w:p w14:paraId="53C1599A" w14:textId="77777777" w:rsidR="00316B11" w:rsidRPr="00F53F85" w:rsidRDefault="00316B11"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99B"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0.25</w:t>
            </w:r>
          </w:p>
        </w:tc>
        <w:tc>
          <w:tcPr>
            <w:tcW w:w="536" w:type="dxa"/>
            <w:tcBorders>
              <w:top w:val="nil"/>
              <w:left w:val="nil"/>
              <w:bottom w:val="single" w:sz="4" w:space="0" w:color="auto"/>
              <w:right w:val="single" w:sz="4" w:space="0" w:color="auto"/>
            </w:tcBorders>
            <w:shd w:val="clear" w:color="auto" w:fill="auto"/>
            <w:noWrap/>
            <w:vAlign w:val="center"/>
            <w:hideMark/>
          </w:tcPr>
          <w:p w14:paraId="53C1599C" w14:textId="77777777" w:rsidR="00316B11" w:rsidRPr="00F53F85" w:rsidRDefault="00316B11"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99D"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99E"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99F"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9A0" w14:textId="77777777" w:rsidR="00316B11" w:rsidRPr="00F53F85" w:rsidRDefault="00316B11" w:rsidP="00316B11">
            <w:pPr>
              <w:spacing w:after="0"/>
              <w:jc w:val="center"/>
              <w:rPr>
                <w:rFonts w:ascii="Arial Narrow" w:hAnsi="Arial Narrow"/>
                <w:sz w:val="20"/>
                <w:szCs w:val="20"/>
                <w:lang w:eastAsia="en-AU"/>
              </w:rPr>
            </w:pPr>
          </w:p>
        </w:tc>
        <w:tc>
          <w:tcPr>
            <w:tcW w:w="630" w:type="dxa"/>
            <w:tcBorders>
              <w:top w:val="nil"/>
              <w:left w:val="nil"/>
              <w:bottom w:val="single" w:sz="4" w:space="0" w:color="auto"/>
              <w:right w:val="single" w:sz="4" w:space="0" w:color="auto"/>
            </w:tcBorders>
            <w:vAlign w:val="center"/>
          </w:tcPr>
          <w:p w14:paraId="53C159A1" w14:textId="77777777" w:rsidR="00316B11" w:rsidRPr="00F53F85" w:rsidRDefault="00316B11" w:rsidP="00316B11">
            <w:pPr>
              <w:spacing w:after="0"/>
              <w:jc w:val="center"/>
              <w:rPr>
                <w:rFonts w:ascii="Arial Narrow" w:hAnsi="Arial Narrow"/>
                <w:sz w:val="20"/>
                <w:szCs w:val="20"/>
                <w:lang w:eastAsia="en-AU"/>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9A2" w14:textId="77777777" w:rsidR="00316B11" w:rsidRPr="00F53F85" w:rsidRDefault="00316B11" w:rsidP="00316B11">
            <w:pPr>
              <w:spacing w:after="0"/>
              <w:jc w:val="center"/>
              <w:rPr>
                <w:rFonts w:ascii="Arial Narrow" w:hAnsi="Arial Narrow"/>
                <w:sz w:val="20"/>
                <w:szCs w:val="20"/>
                <w:lang w:eastAsia="en-AU"/>
              </w:rPr>
            </w:pPr>
          </w:p>
        </w:tc>
      </w:tr>
      <w:tr w:rsidR="00316B11" w:rsidRPr="00F53F85" w14:paraId="53C159B8" w14:textId="77777777" w:rsidTr="005B2CA4">
        <w:trPr>
          <w:trHeight w:val="64"/>
        </w:trPr>
        <w:tc>
          <w:tcPr>
            <w:tcW w:w="611" w:type="dxa"/>
            <w:vMerge/>
            <w:tcBorders>
              <w:top w:val="nil"/>
              <w:left w:val="single" w:sz="4" w:space="0" w:color="auto"/>
              <w:bottom w:val="single" w:sz="4" w:space="0" w:color="auto"/>
              <w:right w:val="single" w:sz="4" w:space="0" w:color="auto"/>
            </w:tcBorders>
            <w:vAlign w:val="center"/>
            <w:hideMark/>
          </w:tcPr>
          <w:p w14:paraId="53C159A4" w14:textId="77777777" w:rsidR="00316B11" w:rsidRPr="00F53F85" w:rsidRDefault="00316B11" w:rsidP="00F53F85">
            <w:pPr>
              <w:spacing w:after="0"/>
              <w:jc w:val="left"/>
              <w:rPr>
                <w:rFonts w:ascii="Arial Narrow" w:hAnsi="Arial Narrow"/>
                <w:sz w:val="20"/>
                <w:lang w:eastAsia="en-AU"/>
              </w:rPr>
            </w:pPr>
          </w:p>
        </w:tc>
        <w:tc>
          <w:tcPr>
            <w:tcW w:w="1134" w:type="dxa"/>
            <w:vMerge/>
            <w:tcBorders>
              <w:left w:val="single" w:sz="4" w:space="0" w:color="auto"/>
              <w:bottom w:val="single" w:sz="4" w:space="0" w:color="auto"/>
              <w:right w:val="single" w:sz="4" w:space="0" w:color="auto"/>
            </w:tcBorders>
            <w:vAlign w:val="center"/>
          </w:tcPr>
          <w:p w14:paraId="53C159A5" w14:textId="77777777" w:rsidR="00316B11" w:rsidRPr="00F53F85" w:rsidRDefault="00316B11" w:rsidP="00316B11">
            <w:pPr>
              <w:spacing w:after="0"/>
              <w:jc w:val="center"/>
              <w:rPr>
                <w:rFonts w:ascii="Arial Narrow" w:hAnsi="Arial Narrow"/>
                <w:sz w:val="20"/>
                <w:szCs w:val="20"/>
                <w:lang w:eastAsia="en-AU"/>
              </w:rPr>
            </w:pPr>
          </w:p>
        </w:tc>
        <w:tc>
          <w:tcPr>
            <w:tcW w:w="779" w:type="dxa"/>
            <w:tcBorders>
              <w:top w:val="nil"/>
              <w:left w:val="single" w:sz="4" w:space="0" w:color="auto"/>
              <w:bottom w:val="single" w:sz="4" w:space="0" w:color="auto"/>
              <w:right w:val="single" w:sz="4" w:space="0" w:color="auto"/>
            </w:tcBorders>
            <w:vAlign w:val="center"/>
          </w:tcPr>
          <w:p w14:paraId="53C159A6"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5</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9A7"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0.56</w:t>
            </w:r>
          </w:p>
        </w:tc>
        <w:tc>
          <w:tcPr>
            <w:tcW w:w="536" w:type="dxa"/>
            <w:tcBorders>
              <w:top w:val="nil"/>
              <w:left w:val="nil"/>
              <w:bottom w:val="single" w:sz="4" w:space="0" w:color="auto"/>
              <w:right w:val="single" w:sz="4" w:space="0" w:color="auto"/>
            </w:tcBorders>
            <w:shd w:val="clear" w:color="auto" w:fill="auto"/>
            <w:noWrap/>
            <w:vAlign w:val="center"/>
            <w:hideMark/>
          </w:tcPr>
          <w:p w14:paraId="53C159A8"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0.44</w:t>
            </w:r>
          </w:p>
        </w:tc>
        <w:tc>
          <w:tcPr>
            <w:tcW w:w="586" w:type="dxa"/>
            <w:tcBorders>
              <w:top w:val="nil"/>
              <w:left w:val="nil"/>
              <w:bottom w:val="single" w:sz="4" w:space="0" w:color="auto"/>
              <w:right w:val="single" w:sz="4" w:space="0" w:color="auto"/>
            </w:tcBorders>
            <w:shd w:val="clear" w:color="auto" w:fill="auto"/>
            <w:noWrap/>
            <w:vAlign w:val="center"/>
            <w:hideMark/>
          </w:tcPr>
          <w:p w14:paraId="53C159A9"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1.75</w:t>
            </w:r>
          </w:p>
        </w:tc>
        <w:tc>
          <w:tcPr>
            <w:tcW w:w="564" w:type="dxa"/>
            <w:tcBorders>
              <w:top w:val="nil"/>
              <w:left w:val="nil"/>
              <w:bottom w:val="single" w:sz="4" w:space="0" w:color="auto"/>
              <w:right w:val="single" w:sz="4" w:space="0" w:color="auto"/>
            </w:tcBorders>
            <w:vAlign w:val="center"/>
          </w:tcPr>
          <w:p w14:paraId="53C159AA" w14:textId="77777777" w:rsidR="00316B11" w:rsidRPr="00F53F85" w:rsidRDefault="00316B11"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9AB" w14:textId="77777777" w:rsidR="00316B11" w:rsidRPr="00F53F85" w:rsidRDefault="00316B11"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9AC" w14:textId="77777777" w:rsidR="00316B11" w:rsidRPr="00F53F85" w:rsidRDefault="00316B11"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9AD"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5.50</w:t>
            </w:r>
          </w:p>
        </w:tc>
        <w:tc>
          <w:tcPr>
            <w:tcW w:w="546" w:type="dxa"/>
            <w:tcBorders>
              <w:top w:val="nil"/>
              <w:left w:val="nil"/>
              <w:bottom w:val="single" w:sz="4" w:space="0" w:color="auto"/>
              <w:right w:val="single" w:sz="4" w:space="0" w:color="auto"/>
            </w:tcBorders>
            <w:shd w:val="clear" w:color="auto" w:fill="auto"/>
            <w:noWrap/>
            <w:vAlign w:val="center"/>
            <w:hideMark/>
          </w:tcPr>
          <w:p w14:paraId="53C159AE" w14:textId="77777777" w:rsidR="00316B11" w:rsidRPr="00F53F85" w:rsidRDefault="00316B11" w:rsidP="00316B11">
            <w:pPr>
              <w:spacing w:after="0"/>
              <w:jc w:val="center"/>
              <w:rPr>
                <w:rFonts w:ascii="Arial Narrow" w:hAnsi="Arial Narrow"/>
                <w:sz w:val="20"/>
                <w:szCs w:val="20"/>
                <w:lang w:eastAsia="en-AU"/>
              </w:rPr>
            </w:pPr>
          </w:p>
        </w:tc>
        <w:tc>
          <w:tcPr>
            <w:tcW w:w="573" w:type="dxa"/>
            <w:tcBorders>
              <w:top w:val="nil"/>
              <w:left w:val="nil"/>
              <w:bottom w:val="single" w:sz="4" w:space="0" w:color="auto"/>
              <w:right w:val="single" w:sz="4" w:space="0" w:color="auto"/>
            </w:tcBorders>
            <w:shd w:val="clear" w:color="auto" w:fill="auto"/>
            <w:noWrap/>
            <w:vAlign w:val="center"/>
            <w:hideMark/>
          </w:tcPr>
          <w:p w14:paraId="53C159AF" w14:textId="77777777" w:rsidR="00316B11" w:rsidRPr="00F53F85" w:rsidRDefault="00316B11"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9B0" w14:textId="77777777" w:rsidR="00316B11" w:rsidRPr="00F53F85" w:rsidRDefault="00316B11"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9B1" w14:textId="77777777" w:rsidR="00316B11" w:rsidRPr="00F53F85" w:rsidRDefault="00316B11"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9B2"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9B3"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0.75</w:t>
            </w:r>
          </w:p>
        </w:tc>
        <w:tc>
          <w:tcPr>
            <w:tcW w:w="788" w:type="dxa"/>
            <w:tcBorders>
              <w:top w:val="nil"/>
              <w:left w:val="nil"/>
              <w:bottom w:val="single" w:sz="4" w:space="0" w:color="auto"/>
              <w:right w:val="single" w:sz="4" w:space="0" w:color="auto"/>
            </w:tcBorders>
            <w:shd w:val="clear" w:color="auto" w:fill="auto"/>
            <w:noWrap/>
            <w:vAlign w:val="center"/>
            <w:hideMark/>
          </w:tcPr>
          <w:p w14:paraId="53C159B4"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788" w:type="dxa"/>
            <w:tcBorders>
              <w:top w:val="nil"/>
              <w:left w:val="nil"/>
              <w:bottom w:val="single" w:sz="4" w:space="0" w:color="auto"/>
              <w:right w:val="single" w:sz="4" w:space="0" w:color="auto"/>
            </w:tcBorders>
            <w:shd w:val="clear" w:color="auto" w:fill="auto"/>
            <w:noWrap/>
            <w:vAlign w:val="center"/>
            <w:hideMark/>
          </w:tcPr>
          <w:p w14:paraId="53C159B5" w14:textId="77777777" w:rsidR="00316B11" w:rsidRPr="00F53F85" w:rsidRDefault="00316B11" w:rsidP="00316B11">
            <w:pPr>
              <w:spacing w:after="0"/>
              <w:jc w:val="center"/>
              <w:rPr>
                <w:rFonts w:ascii="Arial Narrow" w:hAnsi="Arial Narrow"/>
                <w:sz w:val="20"/>
                <w:szCs w:val="20"/>
                <w:lang w:eastAsia="en-AU"/>
              </w:rPr>
            </w:pPr>
          </w:p>
        </w:tc>
        <w:tc>
          <w:tcPr>
            <w:tcW w:w="630" w:type="dxa"/>
            <w:tcBorders>
              <w:top w:val="nil"/>
              <w:left w:val="nil"/>
              <w:bottom w:val="single" w:sz="4" w:space="0" w:color="auto"/>
              <w:right w:val="single" w:sz="4" w:space="0" w:color="auto"/>
            </w:tcBorders>
            <w:vAlign w:val="center"/>
          </w:tcPr>
          <w:p w14:paraId="53C159B6" w14:textId="77777777" w:rsidR="00316B11" w:rsidRPr="00F53F85" w:rsidRDefault="00316B11" w:rsidP="00316B11">
            <w:pPr>
              <w:spacing w:after="0"/>
              <w:jc w:val="center"/>
              <w:rPr>
                <w:rFonts w:ascii="Arial Narrow" w:hAnsi="Arial Narrow"/>
                <w:sz w:val="20"/>
                <w:szCs w:val="20"/>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9B7" w14:textId="77777777" w:rsidR="00316B11" w:rsidRPr="00F53F85" w:rsidRDefault="00316B11" w:rsidP="00316B11">
            <w:pPr>
              <w:spacing w:after="0"/>
              <w:jc w:val="center"/>
              <w:rPr>
                <w:rFonts w:ascii="Arial Narrow" w:hAnsi="Arial Narrow"/>
                <w:sz w:val="20"/>
                <w:szCs w:val="20"/>
                <w:lang w:eastAsia="en-AU"/>
              </w:rPr>
            </w:pPr>
          </w:p>
        </w:tc>
      </w:tr>
      <w:tr w:rsidR="00F53F85" w:rsidRPr="00F53F85" w14:paraId="53C159CD" w14:textId="77777777" w:rsidTr="005B2CA4">
        <w:trPr>
          <w:trHeight w:val="340"/>
        </w:trPr>
        <w:tc>
          <w:tcPr>
            <w:tcW w:w="611" w:type="dxa"/>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14:paraId="53C159B9" w14:textId="77777777" w:rsidR="00F53F85" w:rsidRPr="00F53F85" w:rsidRDefault="00F53F85" w:rsidP="00F53F85">
            <w:pPr>
              <w:spacing w:after="0"/>
              <w:jc w:val="center"/>
              <w:rPr>
                <w:rFonts w:ascii="Arial Narrow" w:hAnsi="Arial Narrow"/>
                <w:sz w:val="20"/>
                <w:lang w:eastAsia="en-AU"/>
              </w:rPr>
            </w:pPr>
            <w:r w:rsidRPr="00F53F85">
              <w:rPr>
                <w:rFonts w:ascii="Arial Narrow" w:hAnsi="Arial Narrow"/>
                <w:sz w:val="20"/>
                <w:lang w:eastAsia="en-AU"/>
              </w:rPr>
              <w:t>Johnstone</w:t>
            </w:r>
            <w:r w:rsidR="008E17A4">
              <w:rPr>
                <w:rFonts w:ascii="Arial Narrow" w:hAnsi="Arial Narrow"/>
                <w:sz w:val="20"/>
                <w:lang w:eastAsia="en-AU"/>
              </w:rPr>
              <w:t xml:space="preserve"> Russell-Mulgrave</w:t>
            </w:r>
          </w:p>
        </w:tc>
        <w:tc>
          <w:tcPr>
            <w:tcW w:w="1134" w:type="dxa"/>
            <w:tcBorders>
              <w:top w:val="nil"/>
              <w:left w:val="single" w:sz="4" w:space="0" w:color="auto"/>
              <w:bottom w:val="single" w:sz="4" w:space="0" w:color="auto"/>
              <w:right w:val="single" w:sz="4" w:space="0" w:color="auto"/>
            </w:tcBorders>
            <w:vAlign w:val="center"/>
          </w:tcPr>
          <w:p w14:paraId="53C159BA" w14:textId="77777777" w:rsidR="00F53F85" w:rsidRPr="00F53F85" w:rsidRDefault="00F53F85" w:rsidP="00316B11">
            <w:pPr>
              <w:spacing w:after="0"/>
              <w:jc w:val="center"/>
              <w:rPr>
                <w:rFonts w:ascii="Arial Narrow" w:hAnsi="Arial Narrow"/>
                <w:sz w:val="20"/>
                <w:szCs w:val="20"/>
                <w:lang w:eastAsia="en-AU"/>
              </w:rPr>
            </w:pPr>
            <w:r w:rsidRPr="00F53F85">
              <w:rPr>
                <w:rFonts w:ascii="Arial Narrow" w:hAnsi="Arial Narrow"/>
                <w:sz w:val="20"/>
                <w:szCs w:val="20"/>
              </w:rPr>
              <w:t>Green</w:t>
            </w:r>
          </w:p>
        </w:tc>
        <w:tc>
          <w:tcPr>
            <w:tcW w:w="779" w:type="dxa"/>
            <w:tcBorders>
              <w:top w:val="nil"/>
              <w:left w:val="single" w:sz="4" w:space="0" w:color="auto"/>
              <w:bottom w:val="single" w:sz="4" w:space="0" w:color="auto"/>
              <w:right w:val="single" w:sz="4" w:space="0" w:color="auto"/>
            </w:tcBorders>
            <w:vAlign w:val="center"/>
          </w:tcPr>
          <w:p w14:paraId="53C159BB" w14:textId="77777777" w:rsidR="00F53F85" w:rsidRPr="00F53F85" w:rsidRDefault="00F53F85" w:rsidP="00316B11">
            <w:pPr>
              <w:spacing w:after="0"/>
              <w:jc w:val="center"/>
              <w:rPr>
                <w:rFonts w:ascii="Arial Narrow" w:hAnsi="Arial Narrow"/>
                <w:sz w:val="20"/>
                <w:szCs w:val="20"/>
                <w:lang w:eastAsia="en-AU"/>
              </w:rPr>
            </w:pPr>
            <w:r w:rsidRPr="00F53F85">
              <w:rPr>
                <w:rFonts w:ascii="Arial Narrow" w:hAnsi="Arial Narrow"/>
                <w:sz w:val="20"/>
                <w:szCs w:val="20"/>
              </w:rPr>
              <w:t>5</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9BC" w14:textId="77777777" w:rsidR="00F53F85" w:rsidRPr="00F53F85" w:rsidRDefault="00F53F85"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9BD" w14:textId="77777777" w:rsidR="00F53F85" w:rsidRPr="00F53F85" w:rsidRDefault="00F53F85" w:rsidP="00316B11">
            <w:pPr>
              <w:spacing w:after="0"/>
              <w:jc w:val="center"/>
              <w:rPr>
                <w:rFonts w:ascii="Arial Narrow" w:hAnsi="Arial Narrow"/>
                <w:sz w:val="20"/>
                <w:szCs w:val="20"/>
                <w:lang w:eastAsia="en-AU"/>
              </w:rPr>
            </w:pPr>
          </w:p>
        </w:tc>
        <w:tc>
          <w:tcPr>
            <w:tcW w:w="586" w:type="dxa"/>
            <w:tcBorders>
              <w:top w:val="nil"/>
              <w:left w:val="nil"/>
              <w:bottom w:val="single" w:sz="4" w:space="0" w:color="auto"/>
              <w:right w:val="single" w:sz="4" w:space="0" w:color="auto"/>
            </w:tcBorders>
            <w:shd w:val="clear" w:color="auto" w:fill="auto"/>
            <w:noWrap/>
            <w:vAlign w:val="center"/>
            <w:hideMark/>
          </w:tcPr>
          <w:p w14:paraId="53C159BE" w14:textId="77777777" w:rsidR="00F53F85" w:rsidRPr="00F53F85" w:rsidRDefault="00F53F85" w:rsidP="00316B11">
            <w:pPr>
              <w:spacing w:after="0"/>
              <w:jc w:val="center"/>
              <w:rPr>
                <w:rFonts w:ascii="Arial Narrow" w:hAnsi="Arial Narrow"/>
                <w:sz w:val="20"/>
                <w:szCs w:val="20"/>
                <w:lang w:eastAsia="en-AU"/>
              </w:rPr>
            </w:pPr>
            <w:r w:rsidRPr="00F53F85">
              <w:rPr>
                <w:rFonts w:ascii="Arial Narrow" w:hAnsi="Arial Narrow"/>
                <w:sz w:val="20"/>
                <w:szCs w:val="20"/>
              </w:rPr>
              <w:t>0.14</w:t>
            </w:r>
          </w:p>
        </w:tc>
        <w:tc>
          <w:tcPr>
            <w:tcW w:w="564" w:type="dxa"/>
            <w:tcBorders>
              <w:top w:val="nil"/>
              <w:left w:val="nil"/>
              <w:bottom w:val="single" w:sz="4" w:space="0" w:color="auto"/>
              <w:right w:val="single" w:sz="4" w:space="0" w:color="auto"/>
            </w:tcBorders>
            <w:vAlign w:val="center"/>
          </w:tcPr>
          <w:p w14:paraId="53C159BF" w14:textId="77777777" w:rsidR="00F53F85" w:rsidRPr="00F53F85" w:rsidRDefault="00F53F85"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9C0" w14:textId="77777777" w:rsidR="00F53F85" w:rsidRPr="00F53F85" w:rsidRDefault="00F53F85"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9C1" w14:textId="77777777" w:rsidR="00F53F85" w:rsidRPr="00F53F85" w:rsidRDefault="00F53F85"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9C2" w14:textId="77777777" w:rsidR="00F53F85" w:rsidRPr="00F53F85" w:rsidRDefault="00F53F85" w:rsidP="00316B11">
            <w:pPr>
              <w:spacing w:after="0"/>
              <w:jc w:val="center"/>
              <w:rPr>
                <w:rFonts w:ascii="Arial Narrow" w:hAnsi="Arial Narrow"/>
                <w:sz w:val="20"/>
                <w:szCs w:val="20"/>
                <w:lang w:eastAsia="en-AU"/>
              </w:rPr>
            </w:pPr>
            <w:r w:rsidRPr="00F53F85">
              <w:rPr>
                <w:rFonts w:ascii="Arial Narrow" w:hAnsi="Arial Narrow"/>
                <w:sz w:val="20"/>
                <w:szCs w:val="20"/>
              </w:rPr>
              <w:t>1.03</w:t>
            </w:r>
          </w:p>
        </w:tc>
        <w:tc>
          <w:tcPr>
            <w:tcW w:w="546" w:type="dxa"/>
            <w:tcBorders>
              <w:top w:val="nil"/>
              <w:left w:val="nil"/>
              <w:bottom w:val="single" w:sz="4" w:space="0" w:color="auto"/>
              <w:right w:val="single" w:sz="4" w:space="0" w:color="auto"/>
            </w:tcBorders>
            <w:shd w:val="clear" w:color="auto" w:fill="auto"/>
            <w:noWrap/>
            <w:vAlign w:val="center"/>
            <w:hideMark/>
          </w:tcPr>
          <w:p w14:paraId="53C159C3" w14:textId="77777777" w:rsidR="00F53F85" w:rsidRPr="00F53F85" w:rsidRDefault="00F53F85" w:rsidP="00316B11">
            <w:pPr>
              <w:spacing w:after="0"/>
              <w:jc w:val="center"/>
              <w:rPr>
                <w:rFonts w:ascii="Arial Narrow" w:hAnsi="Arial Narrow"/>
                <w:sz w:val="20"/>
                <w:szCs w:val="20"/>
                <w:lang w:eastAsia="en-AU"/>
              </w:rPr>
            </w:pPr>
          </w:p>
        </w:tc>
        <w:tc>
          <w:tcPr>
            <w:tcW w:w="573" w:type="dxa"/>
            <w:tcBorders>
              <w:top w:val="nil"/>
              <w:left w:val="nil"/>
              <w:bottom w:val="single" w:sz="4" w:space="0" w:color="auto"/>
              <w:right w:val="single" w:sz="4" w:space="0" w:color="auto"/>
            </w:tcBorders>
            <w:shd w:val="clear" w:color="auto" w:fill="auto"/>
            <w:noWrap/>
            <w:vAlign w:val="center"/>
            <w:hideMark/>
          </w:tcPr>
          <w:p w14:paraId="53C159C4" w14:textId="77777777" w:rsidR="00F53F85" w:rsidRPr="00F53F85" w:rsidRDefault="00F53F85" w:rsidP="00316B11">
            <w:pPr>
              <w:spacing w:after="0"/>
              <w:jc w:val="center"/>
              <w:rPr>
                <w:rFonts w:ascii="Arial Narrow" w:hAnsi="Arial Narrow"/>
                <w:sz w:val="20"/>
                <w:szCs w:val="20"/>
                <w:lang w:eastAsia="en-AU"/>
              </w:rPr>
            </w:pPr>
            <w:r w:rsidRPr="00F53F85">
              <w:rPr>
                <w:rFonts w:ascii="Arial Narrow" w:hAnsi="Arial Narrow"/>
                <w:sz w:val="20"/>
                <w:szCs w:val="20"/>
              </w:rPr>
              <w:t>6.77</w:t>
            </w:r>
          </w:p>
        </w:tc>
        <w:tc>
          <w:tcPr>
            <w:tcW w:w="799" w:type="dxa"/>
            <w:tcBorders>
              <w:top w:val="nil"/>
              <w:left w:val="nil"/>
              <w:bottom w:val="single" w:sz="4" w:space="0" w:color="auto"/>
              <w:right w:val="single" w:sz="4" w:space="0" w:color="auto"/>
            </w:tcBorders>
            <w:shd w:val="clear" w:color="auto" w:fill="auto"/>
            <w:noWrap/>
            <w:vAlign w:val="center"/>
            <w:hideMark/>
          </w:tcPr>
          <w:p w14:paraId="53C159C5" w14:textId="77777777" w:rsidR="00F53F85" w:rsidRPr="00F53F85" w:rsidRDefault="00F53F85" w:rsidP="00316B11">
            <w:pPr>
              <w:spacing w:after="0"/>
              <w:jc w:val="center"/>
              <w:rPr>
                <w:rFonts w:ascii="Arial Narrow" w:hAnsi="Arial Narrow"/>
                <w:sz w:val="20"/>
                <w:szCs w:val="20"/>
                <w:lang w:eastAsia="en-AU"/>
              </w:rPr>
            </w:pPr>
            <w:r w:rsidRPr="00F53F85">
              <w:rPr>
                <w:rFonts w:ascii="Arial Narrow" w:hAnsi="Arial Narrow"/>
                <w:sz w:val="20"/>
                <w:szCs w:val="20"/>
              </w:rPr>
              <w:t>0.15</w:t>
            </w:r>
          </w:p>
        </w:tc>
        <w:tc>
          <w:tcPr>
            <w:tcW w:w="536" w:type="dxa"/>
            <w:tcBorders>
              <w:top w:val="nil"/>
              <w:left w:val="nil"/>
              <w:bottom w:val="single" w:sz="4" w:space="0" w:color="auto"/>
              <w:right w:val="single" w:sz="4" w:space="0" w:color="auto"/>
            </w:tcBorders>
            <w:shd w:val="clear" w:color="auto" w:fill="auto"/>
            <w:noWrap/>
            <w:vAlign w:val="center"/>
            <w:hideMark/>
          </w:tcPr>
          <w:p w14:paraId="53C159C6" w14:textId="77777777" w:rsidR="00F53F85" w:rsidRPr="00F53F85" w:rsidRDefault="00F53F85"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9C7" w14:textId="77777777" w:rsidR="00F53F85" w:rsidRPr="00F53F85" w:rsidRDefault="00F53F85"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9C8" w14:textId="77777777" w:rsidR="00F53F85" w:rsidRPr="00F53F85" w:rsidRDefault="00F53F85"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9C9" w14:textId="77777777" w:rsidR="00F53F85" w:rsidRPr="00F53F85" w:rsidRDefault="00F53F85"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9CA" w14:textId="77777777" w:rsidR="00F53F85" w:rsidRPr="00F53F85" w:rsidRDefault="00F53F85" w:rsidP="00316B11">
            <w:pPr>
              <w:spacing w:after="0"/>
              <w:jc w:val="center"/>
              <w:rPr>
                <w:rFonts w:ascii="Arial Narrow" w:hAnsi="Arial Narrow"/>
                <w:sz w:val="20"/>
                <w:szCs w:val="20"/>
                <w:lang w:eastAsia="en-AU"/>
              </w:rPr>
            </w:pPr>
          </w:p>
        </w:tc>
        <w:tc>
          <w:tcPr>
            <w:tcW w:w="630" w:type="dxa"/>
            <w:tcBorders>
              <w:top w:val="nil"/>
              <w:left w:val="nil"/>
              <w:bottom w:val="single" w:sz="4" w:space="0" w:color="auto"/>
              <w:right w:val="single" w:sz="4" w:space="0" w:color="auto"/>
            </w:tcBorders>
            <w:vAlign w:val="center"/>
          </w:tcPr>
          <w:p w14:paraId="53C159CB" w14:textId="77777777" w:rsidR="00F53F85" w:rsidRPr="00F53F85" w:rsidRDefault="00F53F85" w:rsidP="00316B11">
            <w:pPr>
              <w:spacing w:after="0"/>
              <w:jc w:val="center"/>
              <w:rPr>
                <w:rFonts w:ascii="Arial Narrow" w:hAnsi="Arial Narrow"/>
                <w:sz w:val="20"/>
                <w:szCs w:val="20"/>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9CC" w14:textId="77777777" w:rsidR="00F53F85" w:rsidRPr="00F53F85" w:rsidRDefault="00F53F85" w:rsidP="00316B11">
            <w:pPr>
              <w:spacing w:after="0"/>
              <w:jc w:val="center"/>
              <w:rPr>
                <w:rFonts w:ascii="Arial Narrow" w:hAnsi="Arial Narrow"/>
                <w:sz w:val="20"/>
                <w:szCs w:val="20"/>
                <w:lang w:eastAsia="en-AU"/>
              </w:rPr>
            </w:pPr>
            <w:r w:rsidRPr="00F53F85">
              <w:rPr>
                <w:rFonts w:ascii="Arial Narrow" w:hAnsi="Arial Narrow"/>
                <w:sz w:val="20"/>
                <w:szCs w:val="20"/>
              </w:rPr>
              <w:t>0.19</w:t>
            </w:r>
          </w:p>
        </w:tc>
      </w:tr>
      <w:tr w:rsidR="00316B11" w:rsidRPr="00F53F85" w14:paraId="53C159E2" w14:textId="77777777" w:rsidTr="005B2CA4">
        <w:trPr>
          <w:trHeight w:val="340"/>
        </w:trPr>
        <w:tc>
          <w:tcPr>
            <w:tcW w:w="611" w:type="dxa"/>
            <w:vMerge/>
            <w:tcBorders>
              <w:top w:val="nil"/>
              <w:left w:val="single" w:sz="4" w:space="0" w:color="auto"/>
              <w:bottom w:val="single" w:sz="4" w:space="0" w:color="auto"/>
              <w:right w:val="single" w:sz="4" w:space="0" w:color="auto"/>
            </w:tcBorders>
            <w:vAlign w:val="center"/>
            <w:hideMark/>
          </w:tcPr>
          <w:p w14:paraId="53C159CE" w14:textId="77777777" w:rsidR="00316B11" w:rsidRPr="00F53F85" w:rsidRDefault="00316B11" w:rsidP="00F53F85">
            <w:pPr>
              <w:spacing w:after="0"/>
              <w:jc w:val="left"/>
              <w:rPr>
                <w:rFonts w:ascii="Arial Narrow" w:hAnsi="Arial Narrow"/>
                <w:sz w:val="20"/>
                <w:lang w:eastAsia="en-AU"/>
              </w:rPr>
            </w:pPr>
          </w:p>
        </w:tc>
        <w:tc>
          <w:tcPr>
            <w:tcW w:w="1134" w:type="dxa"/>
            <w:vMerge w:val="restart"/>
            <w:tcBorders>
              <w:top w:val="nil"/>
              <w:left w:val="single" w:sz="4" w:space="0" w:color="auto"/>
              <w:right w:val="single" w:sz="4" w:space="0" w:color="auto"/>
            </w:tcBorders>
            <w:vAlign w:val="center"/>
          </w:tcPr>
          <w:p w14:paraId="53C159CF"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Fitzroy East</w:t>
            </w:r>
          </w:p>
        </w:tc>
        <w:tc>
          <w:tcPr>
            <w:tcW w:w="779" w:type="dxa"/>
            <w:tcBorders>
              <w:top w:val="nil"/>
              <w:left w:val="single" w:sz="4" w:space="0" w:color="auto"/>
              <w:bottom w:val="single" w:sz="4" w:space="0" w:color="auto"/>
              <w:right w:val="single" w:sz="4" w:space="0" w:color="auto"/>
            </w:tcBorders>
            <w:vAlign w:val="center"/>
          </w:tcPr>
          <w:p w14:paraId="53C159D0"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2</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9D1" w14:textId="77777777" w:rsidR="00316B11" w:rsidRPr="00F53F85" w:rsidRDefault="00316B11"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9D2"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586" w:type="dxa"/>
            <w:tcBorders>
              <w:top w:val="nil"/>
              <w:left w:val="nil"/>
              <w:bottom w:val="single" w:sz="4" w:space="0" w:color="auto"/>
              <w:right w:val="single" w:sz="4" w:space="0" w:color="auto"/>
            </w:tcBorders>
            <w:shd w:val="clear" w:color="auto" w:fill="auto"/>
            <w:noWrap/>
            <w:vAlign w:val="center"/>
            <w:hideMark/>
          </w:tcPr>
          <w:p w14:paraId="53C159D3"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0.13</w:t>
            </w:r>
          </w:p>
        </w:tc>
        <w:tc>
          <w:tcPr>
            <w:tcW w:w="564" w:type="dxa"/>
            <w:tcBorders>
              <w:top w:val="nil"/>
              <w:left w:val="nil"/>
              <w:bottom w:val="single" w:sz="4" w:space="0" w:color="auto"/>
              <w:right w:val="single" w:sz="4" w:space="0" w:color="auto"/>
            </w:tcBorders>
            <w:vAlign w:val="center"/>
          </w:tcPr>
          <w:p w14:paraId="53C159D4" w14:textId="77777777" w:rsidR="00316B11" w:rsidRPr="00F53F85" w:rsidRDefault="00316B11" w:rsidP="00316B11">
            <w:pPr>
              <w:spacing w:after="0"/>
              <w:jc w:val="center"/>
              <w:rPr>
                <w:rFonts w:ascii="Arial Narrow" w:hAnsi="Arial Narrow"/>
                <w:sz w:val="20"/>
                <w:szCs w:val="20"/>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9D5" w14:textId="77777777" w:rsidR="00316B11" w:rsidRPr="00F53F85" w:rsidRDefault="00316B11"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9D6" w14:textId="77777777" w:rsidR="00316B11" w:rsidRPr="00F53F85" w:rsidRDefault="00316B11"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9D7"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0.31</w:t>
            </w:r>
          </w:p>
        </w:tc>
        <w:tc>
          <w:tcPr>
            <w:tcW w:w="546" w:type="dxa"/>
            <w:tcBorders>
              <w:top w:val="nil"/>
              <w:left w:val="nil"/>
              <w:bottom w:val="single" w:sz="4" w:space="0" w:color="auto"/>
              <w:right w:val="single" w:sz="4" w:space="0" w:color="auto"/>
            </w:tcBorders>
            <w:shd w:val="clear" w:color="auto" w:fill="auto"/>
            <w:noWrap/>
            <w:vAlign w:val="center"/>
            <w:hideMark/>
          </w:tcPr>
          <w:p w14:paraId="53C159D8" w14:textId="77777777" w:rsidR="00316B11" w:rsidRPr="00F53F85" w:rsidRDefault="00316B11" w:rsidP="00316B11">
            <w:pPr>
              <w:spacing w:after="0"/>
              <w:jc w:val="center"/>
              <w:rPr>
                <w:rFonts w:ascii="Arial Narrow" w:hAnsi="Arial Narrow"/>
                <w:sz w:val="20"/>
                <w:szCs w:val="20"/>
                <w:lang w:eastAsia="en-AU"/>
              </w:rPr>
            </w:pPr>
          </w:p>
        </w:tc>
        <w:tc>
          <w:tcPr>
            <w:tcW w:w="573" w:type="dxa"/>
            <w:tcBorders>
              <w:top w:val="nil"/>
              <w:left w:val="nil"/>
              <w:bottom w:val="single" w:sz="4" w:space="0" w:color="auto"/>
              <w:right w:val="single" w:sz="4" w:space="0" w:color="auto"/>
            </w:tcBorders>
            <w:shd w:val="clear" w:color="auto" w:fill="auto"/>
            <w:noWrap/>
            <w:vAlign w:val="center"/>
            <w:hideMark/>
          </w:tcPr>
          <w:p w14:paraId="53C159D9" w14:textId="77777777" w:rsidR="00316B11" w:rsidRPr="00F53F85" w:rsidRDefault="00316B11"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9DA" w14:textId="77777777" w:rsidR="00316B11" w:rsidRPr="00F53F85" w:rsidRDefault="00316B11"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9DB" w14:textId="77777777" w:rsidR="00316B11" w:rsidRPr="00F53F85" w:rsidRDefault="00316B11"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9DC"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9DD"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9DE"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9DF" w14:textId="77777777" w:rsidR="00316B11" w:rsidRPr="00F53F85" w:rsidRDefault="00316B11" w:rsidP="00316B11">
            <w:pPr>
              <w:spacing w:after="0"/>
              <w:jc w:val="center"/>
              <w:rPr>
                <w:rFonts w:ascii="Arial Narrow" w:hAnsi="Arial Narrow"/>
                <w:sz w:val="20"/>
                <w:szCs w:val="20"/>
                <w:lang w:eastAsia="en-AU"/>
              </w:rPr>
            </w:pPr>
          </w:p>
        </w:tc>
        <w:tc>
          <w:tcPr>
            <w:tcW w:w="630" w:type="dxa"/>
            <w:tcBorders>
              <w:top w:val="nil"/>
              <w:left w:val="nil"/>
              <w:bottom w:val="single" w:sz="4" w:space="0" w:color="auto"/>
              <w:right w:val="single" w:sz="4" w:space="0" w:color="auto"/>
            </w:tcBorders>
            <w:vAlign w:val="center"/>
          </w:tcPr>
          <w:p w14:paraId="53C159E0" w14:textId="77777777" w:rsidR="00316B11" w:rsidRPr="00F53F85" w:rsidRDefault="00316B11" w:rsidP="00316B11">
            <w:pPr>
              <w:spacing w:after="0"/>
              <w:jc w:val="center"/>
              <w:rPr>
                <w:rFonts w:ascii="Arial Narrow" w:hAnsi="Arial Narrow"/>
                <w:sz w:val="20"/>
                <w:szCs w:val="20"/>
                <w:lang w:eastAsia="en-AU"/>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9E1" w14:textId="77777777" w:rsidR="00316B11" w:rsidRPr="00F53F85" w:rsidRDefault="00316B11" w:rsidP="00316B11">
            <w:pPr>
              <w:spacing w:after="0"/>
              <w:jc w:val="center"/>
              <w:rPr>
                <w:rFonts w:ascii="Arial Narrow" w:hAnsi="Arial Narrow"/>
                <w:sz w:val="20"/>
                <w:szCs w:val="20"/>
                <w:lang w:eastAsia="en-AU"/>
              </w:rPr>
            </w:pPr>
          </w:p>
        </w:tc>
      </w:tr>
      <w:tr w:rsidR="00316B11" w:rsidRPr="00F53F85" w14:paraId="53C159F7" w14:textId="77777777" w:rsidTr="005B2CA4">
        <w:trPr>
          <w:trHeight w:val="248"/>
        </w:trPr>
        <w:tc>
          <w:tcPr>
            <w:tcW w:w="611" w:type="dxa"/>
            <w:vMerge/>
            <w:tcBorders>
              <w:top w:val="nil"/>
              <w:left w:val="single" w:sz="4" w:space="0" w:color="auto"/>
              <w:bottom w:val="single" w:sz="4" w:space="0" w:color="auto"/>
              <w:right w:val="single" w:sz="4" w:space="0" w:color="auto"/>
            </w:tcBorders>
            <w:vAlign w:val="center"/>
            <w:hideMark/>
          </w:tcPr>
          <w:p w14:paraId="53C159E3" w14:textId="77777777" w:rsidR="00316B11" w:rsidRPr="00F53F85" w:rsidRDefault="00316B11" w:rsidP="00F53F85">
            <w:pPr>
              <w:spacing w:after="0"/>
              <w:jc w:val="left"/>
              <w:rPr>
                <w:rFonts w:ascii="Arial Narrow" w:hAnsi="Arial Narrow"/>
                <w:sz w:val="20"/>
                <w:lang w:eastAsia="en-AU"/>
              </w:rPr>
            </w:pPr>
          </w:p>
        </w:tc>
        <w:tc>
          <w:tcPr>
            <w:tcW w:w="1134" w:type="dxa"/>
            <w:vMerge/>
            <w:tcBorders>
              <w:left w:val="single" w:sz="4" w:space="0" w:color="auto"/>
              <w:bottom w:val="single" w:sz="4" w:space="0" w:color="auto"/>
              <w:right w:val="single" w:sz="4" w:space="0" w:color="auto"/>
            </w:tcBorders>
            <w:vAlign w:val="center"/>
          </w:tcPr>
          <w:p w14:paraId="53C159E4" w14:textId="77777777" w:rsidR="00316B11" w:rsidRPr="00F53F85" w:rsidRDefault="00316B11" w:rsidP="00316B11">
            <w:pPr>
              <w:spacing w:after="0"/>
              <w:jc w:val="center"/>
              <w:rPr>
                <w:rFonts w:ascii="Arial Narrow" w:hAnsi="Arial Narrow"/>
                <w:sz w:val="20"/>
                <w:szCs w:val="20"/>
                <w:lang w:eastAsia="en-AU"/>
              </w:rPr>
            </w:pPr>
          </w:p>
        </w:tc>
        <w:tc>
          <w:tcPr>
            <w:tcW w:w="779" w:type="dxa"/>
            <w:tcBorders>
              <w:top w:val="nil"/>
              <w:left w:val="single" w:sz="4" w:space="0" w:color="auto"/>
              <w:bottom w:val="single" w:sz="4" w:space="0" w:color="auto"/>
              <w:right w:val="single" w:sz="4" w:space="0" w:color="auto"/>
            </w:tcBorders>
            <w:vAlign w:val="center"/>
          </w:tcPr>
          <w:p w14:paraId="53C159E5"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5</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9E6" w14:textId="77777777" w:rsidR="00316B11" w:rsidRPr="00F53F85" w:rsidRDefault="00316B11"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9E7"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0.38</w:t>
            </w:r>
          </w:p>
        </w:tc>
        <w:tc>
          <w:tcPr>
            <w:tcW w:w="586" w:type="dxa"/>
            <w:tcBorders>
              <w:top w:val="nil"/>
              <w:left w:val="nil"/>
              <w:bottom w:val="single" w:sz="4" w:space="0" w:color="auto"/>
              <w:right w:val="single" w:sz="4" w:space="0" w:color="auto"/>
            </w:tcBorders>
            <w:shd w:val="clear" w:color="auto" w:fill="auto"/>
            <w:noWrap/>
            <w:vAlign w:val="center"/>
            <w:hideMark/>
          </w:tcPr>
          <w:p w14:paraId="53C159E8"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564" w:type="dxa"/>
            <w:tcBorders>
              <w:top w:val="nil"/>
              <w:left w:val="nil"/>
              <w:bottom w:val="single" w:sz="4" w:space="0" w:color="auto"/>
              <w:right w:val="single" w:sz="4" w:space="0" w:color="auto"/>
            </w:tcBorders>
            <w:vAlign w:val="center"/>
          </w:tcPr>
          <w:p w14:paraId="53C159E9" w14:textId="77777777" w:rsidR="00316B11" w:rsidRPr="00F53F85" w:rsidRDefault="00316B11"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9EA" w14:textId="77777777" w:rsidR="00316B11" w:rsidRPr="00F53F85" w:rsidRDefault="00316B11"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9EB" w14:textId="77777777" w:rsidR="00316B11" w:rsidRPr="00F53F85" w:rsidRDefault="00316B11"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9EC"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1.50</w:t>
            </w:r>
          </w:p>
        </w:tc>
        <w:tc>
          <w:tcPr>
            <w:tcW w:w="546" w:type="dxa"/>
            <w:tcBorders>
              <w:top w:val="nil"/>
              <w:left w:val="nil"/>
              <w:bottom w:val="single" w:sz="4" w:space="0" w:color="auto"/>
              <w:right w:val="single" w:sz="4" w:space="0" w:color="auto"/>
            </w:tcBorders>
            <w:shd w:val="clear" w:color="auto" w:fill="auto"/>
            <w:noWrap/>
            <w:vAlign w:val="center"/>
            <w:hideMark/>
          </w:tcPr>
          <w:p w14:paraId="53C159ED" w14:textId="77777777" w:rsidR="00316B11" w:rsidRPr="00F53F85" w:rsidRDefault="00316B11" w:rsidP="00316B11">
            <w:pPr>
              <w:spacing w:after="0"/>
              <w:jc w:val="center"/>
              <w:rPr>
                <w:rFonts w:ascii="Arial Narrow" w:hAnsi="Arial Narrow"/>
                <w:sz w:val="20"/>
                <w:szCs w:val="20"/>
                <w:lang w:eastAsia="en-AU"/>
              </w:rPr>
            </w:pPr>
          </w:p>
        </w:tc>
        <w:tc>
          <w:tcPr>
            <w:tcW w:w="573" w:type="dxa"/>
            <w:tcBorders>
              <w:top w:val="nil"/>
              <w:left w:val="nil"/>
              <w:bottom w:val="single" w:sz="4" w:space="0" w:color="auto"/>
              <w:right w:val="single" w:sz="4" w:space="0" w:color="auto"/>
            </w:tcBorders>
            <w:shd w:val="clear" w:color="auto" w:fill="auto"/>
            <w:noWrap/>
            <w:vAlign w:val="center"/>
            <w:hideMark/>
          </w:tcPr>
          <w:p w14:paraId="53C159EE" w14:textId="77777777" w:rsidR="00316B11" w:rsidRPr="00F53F85" w:rsidRDefault="00316B11"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9EF"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536" w:type="dxa"/>
            <w:tcBorders>
              <w:top w:val="nil"/>
              <w:left w:val="nil"/>
              <w:bottom w:val="single" w:sz="4" w:space="0" w:color="auto"/>
              <w:right w:val="single" w:sz="4" w:space="0" w:color="auto"/>
            </w:tcBorders>
            <w:shd w:val="clear" w:color="auto" w:fill="auto"/>
            <w:noWrap/>
            <w:vAlign w:val="center"/>
            <w:hideMark/>
          </w:tcPr>
          <w:p w14:paraId="53C159F0" w14:textId="77777777" w:rsidR="00316B11" w:rsidRPr="00F53F85" w:rsidRDefault="00316B11"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9F1"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9F2"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9F3"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9F4" w14:textId="77777777" w:rsidR="00316B11" w:rsidRPr="00F53F85" w:rsidRDefault="00316B11" w:rsidP="00316B11">
            <w:pPr>
              <w:spacing w:after="0"/>
              <w:jc w:val="center"/>
              <w:rPr>
                <w:rFonts w:ascii="Arial Narrow" w:hAnsi="Arial Narrow"/>
                <w:sz w:val="20"/>
                <w:szCs w:val="20"/>
                <w:lang w:eastAsia="en-AU"/>
              </w:rPr>
            </w:pPr>
          </w:p>
        </w:tc>
        <w:tc>
          <w:tcPr>
            <w:tcW w:w="630" w:type="dxa"/>
            <w:tcBorders>
              <w:top w:val="nil"/>
              <w:left w:val="nil"/>
              <w:bottom w:val="single" w:sz="4" w:space="0" w:color="auto"/>
              <w:right w:val="single" w:sz="4" w:space="0" w:color="auto"/>
            </w:tcBorders>
            <w:vAlign w:val="center"/>
          </w:tcPr>
          <w:p w14:paraId="53C159F5" w14:textId="77777777" w:rsidR="00316B11" w:rsidRPr="00F53F85" w:rsidRDefault="00316B11" w:rsidP="00316B11">
            <w:pPr>
              <w:spacing w:after="0"/>
              <w:jc w:val="center"/>
              <w:rPr>
                <w:rFonts w:ascii="Arial Narrow" w:hAnsi="Arial Narrow"/>
                <w:sz w:val="20"/>
                <w:szCs w:val="20"/>
                <w:lang w:eastAsia="en-AU"/>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9F6" w14:textId="77777777" w:rsidR="00316B11" w:rsidRPr="00F53F85" w:rsidRDefault="00316B11" w:rsidP="00316B11">
            <w:pPr>
              <w:spacing w:after="0"/>
              <w:jc w:val="center"/>
              <w:rPr>
                <w:rFonts w:ascii="Arial Narrow" w:hAnsi="Arial Narrow"/>
                <w:sz w:val="20"/>
                <w:szCs w:val="20"/>
                <w:lang w:eastAsia="en-AU"/>
              </w:rPr>
            </w:pPr>
          </w:p>
        </w:tc>
      </w:tr>
      <w:tr w:rsidR="00316B11" w:rsidRPr="00F53F85" w14:paraId="53C15A0C" w14:textId="77777777" w:rsidTr="005B2CA4">
        <w:trPr>
          <w:trHeight w:val="340"/>
        </w:trPr>
        <w:tc>
          <w:tcPr>
            <w:tcW w:w="611" w:type="dxa"/>
            <w:vMerge/>
            <w:tcBorders>
              <w:top w:val="nil"/>
              <w:left w:val="single" w:sz="4" w:space="0" w:color="auto"/>
              <w:bottom w:val="single" w:sz="4" w:space="0" w:color="auto"/>
              <w:right w:val="single" w:sz="4" w:space="0" w:color="auto"/>
            </w:tcBorders>
            <w:vAlign w:val="center"/>
            <w:hideMark/>
          </w:tcPr>
          <w:p w14:paraId="53C159F8" w14:textId="77777777" w:rsidR="00316B11" w:rsidRPr="00F53F85" w:rsidRDefault="00316B11" w:rsidP="00F53F85">
            <w:pPr>
              <w:spacing w:after="0"/>
              <w:jc w:val="left"/>
              <w:rPr>
                <w:rFonts w:ascii="Arial Narrow" w:hAnsi="Arial Narrow"/>
                <w:sz w:val="20"/>
                <w:lang w:eastAsia="en-AU"/>
              </w:rPr>
            </w:pPr>
          </w:p>
        </w:tc>
        <w:tc>
          <w:tcPr>
            <w:tcW w:w="1134" w:type="dxa"/>
            <w:vMerge w:val="restart"/>
            <w:tcBorders>
              <w:top w:val="nil"/>
              <w:left w:val="single" w:sz="4" w:space="0" w:color="auto"/>
              <w:right w:val="single" w:sz="4" w:space="0" w:color="auto"/>
            </w:tcBorders>
            <w:vAlign w:val="center"/>
          </w:tcPr>
          <w:p w14:paraId="53C159F9"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Fitzroy West</w:t>
            </w:r>
          </w:p>
        </w:tc>
        <w:tc>
          <w:tcPr>
            <w:tcW w:w="779" w:type="dxa"/>
            <w:tcBorders>
              <w:top w:val="nil"/>
              <w:left w:val="single" w:sz="4" w:space="0" w:color="auto"/>
              <w:bottom w:val="single" w:sz="4" w:space="0" w:color="auto"/>
              <w:right w:val="single" w:sz="4" w:space="0" w:color="auto"/>
            </w:tcBorders>
            <w:vAlign w:val="center"/>
          </w:tcPr>
          <w:p w14:paraId="53C159FA"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2</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9FB"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0.13</w:t>
            </w:r>
          </w:p>
        </w:tc>
        <w:tc>
          <w:tcPr>
            <w:tcW w:w="536" w:type="dxa"/>
            <w:tcBorders>
              <w:top w:val="nil"/>
              <w:left w:val="nil"/>
              <w:bottom w:val="single" w:sz="4" w:space="0" w:color="auto"/>
              <w:right w:val="single" w:sz="4" w:space="0" w:color="auto"/>
            </w:tcBorders>
            <w:shd w:val="clear" w:color="auto" w:fill="auto"/>
            <w:noWrap/>
            <w:vAlign w:val="center"/>
            <w:hideMark/>
          </w:tcPr>
          <w:p w14:paraId="53C159FC"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0.13</w:t>
            </w:r>
          </w:p>
        </w:tc>
        <w:tc>
          <w:tcPr>
            <w:tcW w:w="586" w:type="dxa"/>
            <w:tcBorders>
              <w:top w:val="nil"/>
              <w:left w:val="nil"/>
              <w:bottom w:val="single" w:sz="4" w:space="0" w:color="auto"/>
              <w:right w:val="single" w:sz="4" w:space="0" w:color="auto"/>
            </w:tcBorders>
            <w:shd w:val="clear" w:color="auto" w:fill="auto"/>
            <w:noWrap/>
            <w:vAlign w:val="center"/>
            <w:hideMark/>
          </w:tcPr>
          <w:p w14:paraId="53C159FD"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0.31</w:t>
            </w:r>
          </w:p>
        </w:tc>
        <w:tc>
          <w:tcPr>
            <w:tcW w:w="564" w:type="dxa"/>
            <w:tcBorders>
              <w:top w:val="nil"/>
              <w:left w:val="nil"/>
              <w:bottom w:val="single" w:sz="4" w:space="0" w:color="auto"/>
              <w:right w:val="single" w:sz="4" w:space="0" w:color="auto"/>
            </w:tcBorders>
            <w:vAlign w:val="center"/>
          </w:tcPr>
          <w:p w14:paraId="53C159FE" w14:textId="77777777" w:rsidR="00316B11" w:rsidRPr="00F53F85" w:rsidRDefault="00316B11"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9FF" w14:textId="77777777" w:rsidR="00316B11" w:rsidRPr="00F53F85" w:rsidRDefault="00316B11"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A00" w14:textId="77777777" w:rsidR="00316B11" w:rsidRPr="00F53F85" w:rsidRDefault="00316B11"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A01"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0.44</w:t>
            </w:r>
          </w:p>
        </w:tc>
        <w:tc>
          <w:tcPr>
            <w:tcW w:w="546" w:type="dxa"/>
            <w:tcBorders>
              <w:top w:val="nil"/>
              <w:left w:val="nil"/>
              <w:bottom w:val="single" w:sz="4" w:space="0" w:color="auto"/>
              <w:right w:val="single" w:sz="4" w:space="0" w:color="auto"/>
            </w:tcBorders>
            <w:shd w:val="clear" w:color="auto" w:fill="auto"/>
            <w:noWrap/>
            <w:vAlign w:val="center"/>
            <w:hideMark/>
          </w:tcPr>
          <w:p w14:paraId="53C15A02" w14:textId="77777777" w:rsidR="00316B11" w:rsidRPr="00F53F85" w:rsidRDefault="00316B11" w:rsidP="00316B11">
            <w:pPr>
              <w:spacing w:after="0"/>
              <w:jc w:val="center"/>
              <w:rPr>
                <w:rFonts w:ascii="Arial Narrow" w:hAnsi="Arial Narrow"/>
                <w:sz w:val="20"/>
                <w:szCs w:val="20"/>
                <w:lang w:eastAsia="en-AU"/>
              </w:rPr>
            </w:pPr>
          </w:p>
        </w:tc>
        <w:tc>
          <w:tcPr>
            <w:tcW w:w="573" w:type="dxa"/>
            <w:tcBorders>
              <w:top w:val="nil"/>
              <w:left w:val="nil"/>
              <w:bottom w:val="single" w:sz="4" w:space="0" w:color="auto"/>
              <w:right w:val="single" w:sz="4" w:space="0" w:color="auto"/>
            </w:tcBorders>
            <w:shd w:val="clear" w:color="auto" w:fill="auto"/>
            <w:noWrap/>
            <w:vAlign w:val="center"/>
            <w:hideMark/>
          </w:tcPr>
          <w:p w14:paraId="53C15A03"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799" w:type="dxa"/>
            <w:tcBorders>
              <w:top w:val="nil"/>
              <w:left w:val="nil"/>
              <w:bottom w:val="single" w:sz="4" w:space="0" w:color="auto"/>
              <w:right w:val="single" w:sz="4" w:space="0" w:color="auto"/>
            </w:tcBorders>
            <w:shd w:val="clear" w:color="auto" w:fill="auto"/>
            <w:noWrap/>
            <w:vAlign w:val="center"/>
            <w:hideMark/>
          </w:tcPr>
          <w:p w14:paraId="53C15A04"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0.25</w:t>
            </w:r>
          </w:p>
        </w:tc>
        <w:tc>
          <w:tcPr>
            <w:tcW w:w="536" w:type="dxa"/>
            <w:tcBorders>
              <w:top w:val="nil"/>
              <w:left w:val="nil"/>
              <w:bottom w:val="single" w:sz="4" w:space="0" w:color="auto"/>
              <w:right w:val="single" w:sz="4" w:space="0" w:color="auto"/>
            </w:tcBorders>
            <w:shd w:val="clear" w:color="auto" w:fill="auto"/>
            <w:noWrap/>
            <w:vAlign w:val="center"/>
            <w:hideMark/>
          </w:tcPr>
          <w:p w14:paraId="53C15A05" w14:textId="77777777" w:rsidR="00316B11" w:rsidRPr="00F53F85" w:rsidRDefault="00316B11"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A06"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A07"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A08"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A09" w14:textId="77777777" w:rsidR="00316B11" w:rsidRPr="00F53F85" w:rsidRDefault="00316B11" w:rsidP="00316B11">
            <w:pPr>
              <w:spacing w:after="0"/>
              <w:jc w:val="center"/>
              <w:rPr>
                <w:rFonts w:ascii="Arial Narrow" w:hAnsi="Arial Narrow"/>
                <w:sz w:val="20"/>
                <w:szCs w:val="20"/>
                <w:lang w:eastAsia="en-AU"/>
              </w:rPr>
            </w:pPr>
          </w:p>
        </w:tc>
        <w:tc>
          <w:tcPr>
            <w:tcW w:w="630" w:type="dxa"/>
            <w:tcBorders>
              <w:top w:val="nil"/>
              <w:left w:val="nil"/>
              <w:bottom w:val="single" w:sz="4" w:space="0" w:color="auto"/>
              <w:right w:val="single" w:sz="4" w:space="0" w:color="auto"/>
            </w:tcBorders>
            <w:vAlign w:val="center"/>
          </w:tcPr>
          <w:p w14:paraId="53C15A0A" w14:textId="77777777" w:rsidR="00316B11" w:rsidRPr="00F53F85" w:rsidRDefault="00316B11" w:rsidP="00316B11">
            <w:pPr>
              <w:spacing w:after="0"/>
              <w:jc w:val="center"/>
              <w:rPr>
                <w:rFonts w:ascii="Arial Narrow" w:hAnsi="Arial Narrow"/>
                <w:sz w:val="20"/>
                <w:szCs w:val="20"/>
                <w:lang w:eastAsia="en-AU"/>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A0B" w14:textId="77777777" w:rsidR="00316B11" w:rsidRPr="00F53F85" w:rsidRDefault="00316B11" w:rsidP="00316B11">
            <w:pPr>
              <w:spacing w:after="0"/>
              <w:jc w:val="center"/>
              <w:rPr>
                <w:rFonts w:ascii="Arial Narrow" w:hAnsi="Arial Narrow"/>
                <w:sz w:val="20"/>
                <w:szCs w:val="20"/>
                <w:lang w:eastAsia="en-AU"/>
              </w:rPr>
            </w:pPr>
          </w:p>
        </w:tc>
      </w:tr>
      <w:tr w:rsidR="00316B11" w:rsidRPr="00F53F85" w14:paraId="53C15A21" w14:textId="77777777" w:rsidTr="005B2CA4">
        <w:trPr>
          <w:trHeight w:val="228"/>
        </w:trPr>
        <w:tc>
          <w:tcPr>
            <w:tcW w:w="611" w:type="dxa"/>
            <w:vMerge/>
            <w:tcBorders>
              <w:top w:val="nil"/>
              <w:left w:val="single" w:sz="4" w:space="0" w:color="auto"/>
              <w:bottom w:val="single" w:sz="4" w:space="0" w:color="auto"/>
              <w:right w:val="single" w:sz="4" w:space="0" w:color="auto"/>
            </w:tcBorders>
            <w:vAlign w:val="center"/>
            <w:hideMark/>
          </w:tcPr>
          <w:p w14:paraId="53C15A0D" w14:textId="77777777" w:rsidR="00316B11" w:rsidRPr="00F53F85" w:rsidRDefault="00316B11" w:rsidP="00F53F85">
            <w:pPr>
              <w:spacing w:after="0"/>
              <w:jc w:val="left"/>
              <w:rPr>
                <w:rFonts w:ascii="Arial Narrow" w:hAnsi="Arial Narrow"/>
                <w:sz w:val="20"/>
                <w:lang w:eastAsia="en-AU"/>
              </w:rPr>
            </w:pPr>
          </w:p>
        </w:tc>
        <w:tc>
          <w:tcPr>
            <w:tcW w:w="1134" w:type="dxa"/>
            <w:vMerge/>
            <w:tcBorders>
              <w:left w:val="single" w:sz="4" w:space="0" w:color="auto"/>
              <w:bottom w:val="single" w:sz="4" w:space="0" w:color="auto"/>
              <w:right w:val="single" w:sz="4" w:space="0" w:color="auto"/>
            </w:tcBorders>
            <w:vAlign w:val="center"/>
          </w:tcPr>
          <w:p w14:paraId="53C15A0E" w14:textId="77777777" w:rsidR="00316B11" w:rsidRPr="00F53F85" w:rsidRDefault="00316B11" w:rsidP="00316B11">
            <w:pPr>
              <w:spacing w:after="0"/>
              <w:jc w:val="center"/>
              <w:rPr>
                <w:rFonts w:ascii="Arial Narrow" w:hAnsi="Arial Narrow" w:cs="Calibri"/>
                <w:sz w:val="20"/>
                <w:szCs w:val="20"/>
              </w:rPr>
            </w:pPr>
          </w:p>
        </w:tc>
        <w:tc>
          <w:tcPr>
            <w:tcW w:w="779" w:type="dxa"/>
            <w:tcBorders>
              <w:top w:val="nil"/>
              <w:left w:val="single" w:sz="4" w:space="0" w:color="auto"/>
              <w:bottom w:val="single" w:sz="4" w:space="0" w:color="auto"/>
              <w:right w:val="single" w:sz="4" w:space="0" w:color="auto"/>
            </w:tcBorders>
            <w:vAlign w:val="center"/>
          </w:tcPr>
          <w:p w14:paraId="53C15A0F" w14:textId="77777777" w:rsidR="00316B11" w:rsidRPr="00F53F85" w:rsidRDefault="00316B11" w:rsidP="00316B11">
            <w:pPr>
              <w:spacing w:after="0"/>
              <w:jc w:val="center"/>
              <w:rPr>
                <w:rFonts w:ascii="Arial Narrow" w:hAnsi="Arial Narrow" w:cs="Calibri"/>
                <w:sz w:val="20"/>
                <w:szCs w:val="20"/>
              </w:rPr>
            </w:pPr>
            <w:r w:rsidRPr="00F53F85">
              <w:rPr>
                <w:rFonts w:ascii="Arial Narrow" w:hAnsi="Arial Narrow"/>
                <w:sz w:val="20"/>
                <w:szCs w:val="20"/>
              </w:rPr>
              <w:t>5</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A10" w14:textId="77777777" w:rsidR="00316B11" w:rsidRPr="00F53F85" w:rsidRDefault="00316B11"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A11"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0.31</w:t>
            </w:r>
          </w:p>
        </w:tc>
        <w:tc>
          <w:tcPr>
            <w:tcW w:w="586" w:type="dxa"/>
            <w:tcBorders>
              <w:top w:val="nil"/>
              <w:left w:val="nil"/>
              <w:bottom w:val="single" w:sz="4" w:space="0" w:color="auto"/>
              <w:right w:val="single" w:sz="4" w:space="0" w:color="auto"/>
            </w:tcBorders>
            <w:shd w:val="clear" w:color="auto" w:fill="auto"/>
            <w:noWrap/>
            <w:vAlign w:val="center"/>
            <w:hideMark/>
          </w:tcPr>
          <w:p w14:paraId="53C15A12" w14:textId="77777777" w:rsidR="00316B11" w:rsidRPr="00F53F85" w:rsidRDefault="00316B11" w:rsidP="00316B11">
            <w:pPr>
              <w:spacing w:after="0"/>
              <w:jc w:val="center"/>
              <w:rPr>
                <w:rFonts w:ascii="Arial Narrow" w:hAnsi="Arial Narrow"/>
                <w:sz w:val="20"/>
                <w:szCs w:val="20"/>
                <w:lang w:eastAsia="en-AU"/>
              </w:rPr>
            </w:pPr>
          </w:p>
        </w:tc>
        <w:tc>
          <w:tcPr>
            <w:tcW w:w="564" w:type="dxa"/>
            <w:tcBorders>
              <w:top w:val="nil"/>
              <w:left w:val="nil"/>
              <w:bottom w:val="single" w:sz="4" w:space="0" w:color="auto"/>
              <w:right w:val="single" w:sz="4" w:space="0" w:color="auto"/>
            </w:tcBorders>
            <w:vAlign w:val="center"/>
          </w:tcPr>
          <w:p w14:paraId="53C15A13" w14:textId="77777777" w:rsidR="00316B11" w:rsidRPr="00F53F85" w:rsidRDefault="00316B11"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A14" w14:textId="77777777" w:rsidR="00316B11" w:rsidRPr="00F53F85" w:rsidRDefault="00316B11"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A15" w14:textId="77777777" w:rsidR="00316B11" w:rsidRPr="00F53F85" w:rsidRDefault="00316B11"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A16"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0.31</w:t>
            </w:r>
          </w:p>
        </w:tc>
        <w:tc>
          <w:tcPr>
            <w:tcW w:w="546" w:type="dxa"/>
            <w:tcBorders>
              <w:top w:val="nil"/>
              <w:left w:val="nil"/>
              <w:bottom w:val="single" w:sz="4" w:space="0" w:color="auto"/>
              <w:right w:val="single" w:sz="4" w:space="0" w:color="auto"/>
            </w:tcBorders>
            <w:shd w:val="clear" w:color="auto" w:fill="auto"/>
            <w:noWrap/>
            <w:vAlign w:val="center"/>
            <w:hideMark/>
          </w:tcPr>
          <w:p w14:paraId="53C15A17" w14:textId="77777777" w:rsidR="00316B11" w:rsidRPr="00F53F85" w:rsidRDefault="00316B11" w:rsidP="00316B11">
            <w:pPr>
              <w:spacing w:after="0"/>
              <w:jc w:val="center"/>
              <w:rPr>
                <w:rFonts w:ascii="Arial Narrow" w:hAnsi="Arial Narrow"/>
                <w:sz w:val="20"/>
                <w:szCs w:val="20"/>
                <w:lang w:eastAsia="en-AU"/>
              </w:rPr>
            </w:pPr>
          </w:p>
        </w:tc>
        <w:tc>
          <w:tcPr>
            <w:tcW w:w="573" w:type="dxa"/>
            <w:tcBorders>
              <w:top w:val="nil"/>
              <w:left w:val="nil"/>
              <w:bottom w:val="single" w:sz="4" w:space="0" w:color="auto"/>
              <w:right w:val="single" w:sz="4" w:space="0" w:color="auto"/>
            </w:tcBorders>
            <w:shd w:val="clear" w:color="auto" w:fill="auto"/>
            <w:noWrap/>
            <w:vAlign w:val="center"/>
            <w:hideMark/>
          </w:tcPr>
          <w:p w14:paraId="53C15A18" w14:textId="77777777" w:rsidR="00316B11" w:rsidRPr="00F53F85" w:rsidRDefault="00316B11"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A19" w14:textId="77777777" w:rsidR="00316B11" w:rsidRPr="00F53F85" w:rsidRDefault="00316B11"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A1A" w14:textId="77777777" w:rsidR="00316B11" w:rsidRPr="00F53F85" w:rsidRDefault="00316B11"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A1B"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A1C"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A1D"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A1E" w14:textId="77777777" w:rsidR="00316B11" w:rsidRPr="00F53F85" w:rsidRDefault="00316B11" w:rsidP="00316B11">
            <w:pPr>
              <w:spacing w:after="0"/>
              <w:jc w:val="center"/>
              <w:rPr>
                <w:rFonts w:ascii="Arial Narrow" w:hAnsi="Arial Narrow"/>
                <w:sz w:val="20"/>
                <w:szCs w:val="20"/>
                <w:lang w:eastAsia="en-AU"/>
              </w:rPr>
            </w:pPr>
          </w:p>
        </w:tc>
        <w:tc>
          <w:tcPr>
            <w:tcW w:w="630" w:type="dxa"/>
            <w:tcBorders>
              <w:top w:val="nil"/>
              <w:left w:val="nil"/>
              <w:bottom w:val="single" w:sz="4" w:space="0" w:color="auto"/>
              <w:right w:val="single" w:sz="4" w:space="0" w:color="auto"/>
            </w:tcBorders>
            <w:vAlign w:val="center"/>
          </w:tcPr>
          <w:p w14:paraId="53C15A1F" w14:textId="77777777" w:rsidR="00316B11" w:rsidRPr="00F53F85" w:rsidRDefault="00316B11" w:rsidP="00316B11">
            <w:pPr>
              <w:spacing w:after="0"/>
              <w:jc w:val="center"/>
              <w:rPr>
                <w:rFonts w:ascii="Arial Narrow" w:hAnsi="Arial Narrow"/>
                <w:sz w:val="20"/>
                <w:szCs w:val="20"/>
                <w:lang w:eastAsia="en-AU"/>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A20"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0.06</w:t>
            </w:r>
          </w:p>
        </w:tc>
      </w:tr>
      <w:tr w:rsidR="00F53F85" w:rsidRPr="00F53F85" w14:paraId="53C15A36" w14:textId="77777777" w:rsidTr="005B2CA4">
        <w:trPr>
          <w:trHeight w:val="401"/>
        </w:trPr>
        <w:tc>
          <w:tcPr>
            <w:tcW w:w="611" w:type="dxa"/>
            <w:vMerge/>
            <w:tcBorders>
              <w:top w:val="nil"/>
              <w:left w:val="single" w:sz="4" w:space="0" w:color="auto"/>
              <w:bottom w:val="single" w:sz="4" w:space="0" w:color="auto"/>
              <w:right w:val="single" w:sz="4" w:space="0" w:color="auto"/>
            </w:tcBorders>
            <w:vAlign w:val="center"/>
            <w:hideMark/>
          </w:tcPr>
          <w:p w14:paraId="53C15A22" w14:textId="77777777" w:rsidR="00F53F85" w:rsidRPr="00F53F85" w:rsidRDefault="00F53F85" w:rsidP="00F53F85">
            <w:pPr>
              <w:spacing w:after="0"/>
              <w:jc w:val="left"/>
              <w:rPr>
                <w:rFonts w:ascii="Arial Narrow" w:hAnsi="Arial Narrow"/>
                <w:sz w:val="20"/>
                <w:lang w:eastAsia="en-AU"/>
              </w:rPr>
            </w:pPr>
          </w:p>
        </w:tc>
        <w:tc>
          <w:tcPr>
            <w:tcW w:w="1134" w:type="dxa"/>
            <w:tcBorders>
              <w:top w:val="nil"/>
              <w:left w:val="single" w:sz="4" w:space="0" w:color="auto"/>
              <w:bottom w:val="single" w:sz="4" w:space="0" w:color="auto"/>
              <w:right w:val="single" w:sz="4" w:space="0" w:color="auto"/>
            </w:tcBorders>
            <w:vAlign w:val="center"/>
          </w:tcPr>
          <w:p w14:paraId="53C15A23" w14:textId="77777777" w:rsidR="00F53F85" w:rsidRPr="005B2CA4" w:rsidRDefault="00F53F85" w:rsidP="00316B11">
            <w:pPr>
              <w:spacing w:after="0"/>
              <w:jc w:val="center"/>
              <w:rPr>
                <w:rFonts w:ascii="Arial Narrow" w:hAnsi="Arial Narrow"/>
                <w:sz w:val="20"/>
                <w:szCs w:val="20"/>
                <w:lang w:eastAsia="en-AU"/>
              </w:rPr>
            </w:pPr>
            <w:r w:rsidRPr="005B2CA4">
              <w:rPr>
                <w:rFonts w:ascii="Arial Narrow" w:hAnsi="Arial Narrow"/>
                <w:sz w:val="20"/>
                <w:szCs w:val="20"/>
              </w:rPr>
              <w:t>Fitzroy West LTMP</w:t>
            </w:r>
          </w:p>
        </w:tc>
        <w:tc>
          <w:tcPr>
            <w:tcW w:w="779" w:type="dxa"/>
            <w:tcBorders>
              <w:top w:val="nil"/>
              <w:left w:val="single" w:sz="4" w:space="0" w:color="auto"/>
              <w:bottom w:val="single" w:sz="4" w:space="0" w:color="auto"/>
              <w:right w:val="single" w:sz="4" w:space="0" w:color="auto"/>
            </w:tcBorders>
            <w:vAlign w:val="center"/>
          </w:tcPr>
          <w:p w14:paraId="53C15A24" w14:textId="77777777" w:rsidR="00F53F85" w:rsidRPr="00F53F85" w:rsidRDefault="00F53F85" w:rsidP="00316B11">
            <w:pPr>
              <w:spacing w:after="0"/>
              <w:jc w:val="center"/>
              <w:rPr>
                <w:rFonts w:ascii="Arial Narrow" w:hAnsi="Arial Narrow"/>
                <w:sz w:val="20"/>
                <w:szCs w:val="20"/>
                <w:lang w:eastAsia="en-AU"/>
              </w:rPr>
            </w:pPr>
            <w:r w:rsidRPr="00F53F85">
              <w:rPr>
                <w:rFonts w:ascii="Arial Narrow" w:hAnsi="Arial Narrow"/>
                <w:sz w:val="20"/>
                <w:szCs w:val="20"/>
              </w:rPr>
              <w:t>5</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A25" w14:textId="77777777" w:rsidR="00F53F85" w:rsidRPr="00F53F85" w:rsidRDefault="00F53F85"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A26" w14:textId="77777777" w:rsidR="00F53F85" w:rsidRPr="00F53F85" w:rsidRDefault="00F53F85" w:rsidP="00316B11">
            <w:pPr>
              <w:spacing w:after="0"/>
              <w:jc w:val="center"/>
              <w:rPr>
                <w:rFonts w:ascii="Arial Narrow" w:hAnsi="Arial Narrow"/>
                <w:sz w:val="20"/>
                <w:szCs w:val="20"/>
                <w:lang w:eastAsia="en-AU"/>
              </w:rPr>
            </w:pPr>
          </w:p>
        </w:tc>
        <w:tc>
          <w:tcPr>
            <w:tcW w:w="586" w:type="dxa"/>
            <w:tcBorders>
              <w:top w:val="nil"/>
              <w:left w:val="nil"/>
              <w:bottom w:val="single" w:sz="4" w:space="0" w:color="auto"/>
              <w:right w:val="single" w:sz="4" w:space="0" w:color="auto"/>
            </w:tcBorders>
            <w:shd w:val="clear" w:color="auto" w:fill="auto"/>
            <w:noWrap/>
            <w:vAlign w:val="center"/>
            <w:hideMark/>
          </w:tcPr>
          <w:p w14:paraId="53C15A27" w14:textId="77777777" w:rsidR="00F53F85" w:rsidRPr="00F53F85" w:rsidRDefault="00F53F85" w:rsidP="00316B11">
            <w:pPr>
              <w:spacing w:after="0"/>
              <w:jc w:val="center"/>
              <w:rPr>
                <w:rFonts w:ascii="Arial Narrow" w:hAnsi="Arial Narrow"/>
                <w:sz w:val="20"/>
                <w:szCs w:val="20"/>
                <w:lang w:eastAsia="en-AU"/>
              </w:rPr>
            </w:pPr>
          </w:p>
        </w:tc>
        <w:tc>
          <w:tcPr>
            <w:tcW w:w="564" w:type="dxa"/>
            <w:tcBorders>
              <w:top w:val="nil"/>
              <w:left w:val="nil"/>
              <w:bottom w:val="single" w:sz="4" w:space="0" w:color="auto"/>
              <w:right w:val="single" w:sz="4" w:space="0" w:color="auto"/>
            </w:tcBorders>
            <w:vAlign w:val="center"/>
          </w:tcPr>
          <w:p w14:paraId="53C15A28" w14:textId="77777777" w:rsidR="00F53F85" w:rsidRPr="00F53F85" w:rsidRDefault="00F53F85"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A29" w14:textId="77777777" w:rsidR="00F53F85" w:rsidRPr="00F53F85" w:rsidRDefault="00F53F85"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A2A" w14:textId="77777777" w:rsidR="00F53F85" w:rsidRPr="00F53F85" w:rsidRDefault="00F53F85"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A2B" w14:textId="77777777" w:rsidR="00F53F85" w:rsidRPr="00F53F85" w:rsidRDefault="00F53F85" w:rsidP="00316B11">
            <w:pPr>
              <w:spacing w:after="0"/>
              <w:jc w:val="center"/>
              <w:rPr>
                <w:rFonts w:ascii="Arial Narrow" w:hAnsi="Arial Narrow"/>
                <w:sz w:val="20"/>
                <w:szCs w:val="20"/>
                <w:lang w:eastAsia="en-AU"/>
              </w:rPr>
            </w:pPr>
            <w:r w:rsidRPr="00F53F85">
              <w:rPr>
                <w:rFonts w:ascii="Arial Narrow" w:hAnsi="Arial Narrow"/>
                <w:sz w:val="20"/>
                <w:szCs w:val="20"/>
              </w:rPr>
              <w:t>0.29</w:t>
            </w:r>
          </w:p>
        </w:tc>
        <w:tc>
          <w:tcPr>
            <w:tcW w:w="546" w:type="dxa"/>
            <w:tcBorders>
              <w:top w:val="nil"/>
              <w:left w:val="nil"/>
              <w:bottom w:val="single" w:sz="4" w:space="0" w:color="auto"/>
              <w:right w:val="single" w:sz="4" w:space="0" w:color="auto"/>
            </w:tcBorders>
            <w:shd w:val="clear" w:color="auto" w:fill="auto"/>
            <w:noWrap/>
            <w:vAlign w:val="center"/>
            <w:hideMark/>
          </w:tcPr>
          <w:p w14:paraId="53C15A2C" w14:textId="77777777" w:rsidR="00F53F85" w:rsidRPr="00F53F85" w:rsidRDefault="00F53F85" w:rsidP="00316B11">
            <w:pPr>
              <w:spacing w:after="0"/>
              <w:jc w:val="center"/>
              <w:rPr>
                <w:rFonts w:ascii="Arial Narrow" w:hAnsi="Arial Narrow"/>
                <w:sz w:val="20"/>
                <w:szCs w:val="20"/>
                <w:lang w:eastAsia="en-AU"/>
              </w:rPr>
            </w:pPr>
          </w:p>
        </w:tc>
        <w:tc>
          <w:tcPr>
            <w:tcW w:w="573" w:type="dxa"/>
            <w:tcBorders>
              <w:top w:val="nil"/>
              <w:left w:val="nil"/>
              <w:bottom w:val="single" w:sz="4" w:space="0" w:color="auto"/>
              <w:right w:val="single" w:sz="4" w:space="0" w:color="auto"/>
            </w:tcBorders>
            <w:shd w:val="clear" w:color="auto" w:fill="auto"/>
            <w:noWrap/>
            <w:vAlign w:val="center"/>
            <w:hideMark/>
          </w:tcPr>
          <w:p w14:paraId="53C15A2D" w14:textId="77777777" w:rsidR="00F53F85" w:rsidRPr="00F53F85" w:rsidRDefault="00F53F85" w:rsidP="00316B11">
            <w:pPr>
              <w:spacing w:after="0"/>
              <w:jc w:val="center"/>
              <w:rPr>
                <w:rFonts w:ascii="Arial Narrow" w:hAnsi="Arial Narrow"/>
                <w:sz w:val="20"/>
                <w:szCs w:val="20"/>
                <w:lang w:eastAsia="en-AU"/>
              </w:rPr>
            </w:pPr>
            <w:r w:rsidRPr="00F53F85">
              <w:rPr>
                <w:rFonts w:ascii="Arial Narrow" w:hAnsi="Arial Narrow"/>
                <w:sz w:val="20"/>
                <w:szCs w:val="20"/>
              </w:rPr>
              <w:t>0.20</w:t>
            </w:r>
          </w:p>
        </w:tc>
        <w:tc>
          <w:tcPr>
            <w:tcW w:w="799" w:type="dxa"/>
            <w:tcBorders>
              <w:top w:val="nil"/>
              <w:left w:val="nil"/>
              <w:bottom w:val="single" w:sz="4" w:space="0" w:color="auto"/>
              <w:right w:val="single" w:sz="4" w:space="0" w:color="auto"/>
            </w:tcBorders>
            <w:shd w:val="clear" w:color="auto" w:fill="auto"/>
            <w:noWrap/>
            <w:vAlign w:val="center"/>
            <w:hideMark/>
          </w:tcPr>
          <w:p w14:paraId="53C15A2E" w14:textId="77777777" w:rsidR="00F53F85" w:rsidRPr="00F53F85" w:rsidRDefault="00F53F85"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A2F" w14:textId="77777777" w:rsidR="00F53F85" w:rsidRPr="00F53F85" w:rsidRDefault="00F53F85"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A30" w14:textId="77777777" w:rsidR="00F53F85" w:rsidRPr="00F53F85" w:rsidRDefault="00F53F85"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A31" w14:textId="77777777" w:rsidR="00F53F85" w:rsidRPr="00F53F85" w:rsidRDefault="00F53F85"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A32" w14:textId="77777777" w:rsidR="00F53F85" w:rsidRPr="00F53F85" w:rsidRDefault="00F53F85"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A33" w14:textId="77777777" w:rsidR="00F53F85" w:rsidRPr="00F53F85" w:rsidRDefault="00F53F85" w:rsidP="00316B11">
            <w:pPr>
              <w:spacing w:after="0"/>
              <w:jc w:val="center"/>
              <w:rPr>
                <w:rFonts w:ascii="Arial Narrow" w:hAnsi="Arial Narrow"/>
                <w:sz w:val="20"/>
                <w:szCs w:val="20"/>
                <w:lang w:eastAsia="en-AU"/>
              </w:rPr>
            </w:pPr>
          </w:p>
        </w:tc>
        <w:tc>
          <w:tcPr>
            <w:tcW w:w="630" w:type="dxa"/>
            <w:tcBorders>
              <w:top w:val="nil"/>
              <w:left w:val="nil"/>
              <w:bottom w:val="single" w:sz="4" w:space="0" w:color="auto"/>
              <w:right w:val="single" w:sz="4" w:space="0" w:color="auto"/>
            </w:tcBorders>
            <w:vAlign w:val="center"/>
          </w:tcPr>
          <w:p w14:paraId="53C15A34" w14:textId="77777777" w:rsidR="00F53F85" w:rsidRPr="00F53F85" w:rsidRDefault="00F53F85" w:rsidP="00316B11">
            <w:pPr>
              <w:spacing w:after="0"/>
              <w:jc w:val="center"/>
              <w:rPr>
                <w:rFonts w:ascii="Arial Narrow" w:hAnsi="Arial Narrow"/>
                <w:sz w:val="20"/>
                <w:szCs w:val="20"/>
                <w:lang w:eastAsia="en-AU"/>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A35" w14:textId="77777777" w:rsidR="00F53F85" w:rsidRPr="00F53F85" w:rsidRDefault="00F53F85" w:rsidP="00316B11">
            <w:pPr>
              <w:spacing w:after="0"/>
              <w:jc w:val="center"/>
              <w:rPr>
                <w:rFonts w:ascii="Arial Narrow" w:hAnsi="Arial Narrow"/>
                <w:sz w:val="20"/>
                <w:szCs w:val="20"/>
                <w:lang w:eastAsia="en-AU"/>
              </w:rPr>
            </w:pPr>
            <w:r w:rsidRPr="00F53F85">
              <w:rPr>
                <w:rFonts w:ascii="Arial Narrow" w:hAnsi="Arial Narrow"/>
                <w:sz w:val="20"/>
                <w:szCs w:val="20"/>
              </w:rPr>
              <w:t>0.09</w:t>
            </w:r>
          </w:p>
        </w:tc>
      </w:tr>
      <w:tr w:rsidR="00316B11" w:rsidRPr="00F53F85" w14:paraId="53C15A4B" w14:textId="77777777" w:rsidTr="005B2CA4">
        <w:trPr>
          <w:trHeight w:val="340"/>
        </w:trPr>
        <w:tc>
          <w:tcPr>
            <w:tcW w:w="611" w:type="dxa"/>
            <w:vMerge/>
            <w:tcBorders>
              <w:top w:val="nil"/>
              <w:left w:val="single" w:sz="4" w:space="0" w:color="auto"/>
              <w:bottom w:val="single" w:sz="4" w:space="0" w:color="auto"/>
              <w:right w:val="single" w:sz="4" w:space="0" w:color="auto"/>
            </w:tcBorders>
            <w:vAlign w:val="center"/>
            <w:hideMark/>
          </w:tcPr>
          <w:p w14:paraId="53C15A37" w14:textId="77777777" w:rsidR="00316B11" w:rsidRPr="00F53F85" w:rsidRDefault="00316B11" w:rsidP="00F53F85">
            <w:pPr>
              <w:spacing w:after="0"/>
              <w:jc w:val="left"/>
              <w:rPr>
                <w:rFonts w:ascii="Arial Narrow" w:hAnsi="Arial Narrow"/>
                <w:sz w:val="20"/>
                <w:lang w:eastAsia="en-AU"/>
              </w:rPr>
            </w:pPr>
          </w:p>
        </w:tc>
        <w:tc>
          <w:tcPr>
            <w:tcW w:w="1134" w:type="dxa"/>
            <w:vMerge w:val="restart"/>
            <w:tcBorders>
              <w:top w:val="nil"/>
              <w:left w:val="single" w:sz="4" w:space="0" w:color="auto"/>
              <w:right w:val="single" w:sz="4" w:space="0" w:color="auto"/>
            </w:tcBorders>
            <w:vAlign w:val="center"/>
          </w:tcPr>
          <w:p w14:paraId="53C15A38" w14:textId="77777777" w:rsidR="00316B11" w:rsidRPr="00F53F85" w:rsidRDefault="00316B11" w:rsidP="00316B11">
            <w:pPr>
              <w:spacing w:after="0"/>
              <w:jc w:val="center"/>
              <w:rPr>
                <w:rFonts w:ascii="Arial Narrow" w:hAnsi="Arial Narrow" w:cs="Calibri"/>
                <w:sz w:val="20"/>
                <w:szCs w:val="20"/>
              </w:rPr>
            </w:pPr>
            <w:r w:rsidRPr="00F53F85">
              <w:rPr>
                <w:rFonts w:ascii="Arial Narrow" w:hAnsi="Arial Narrow"/>
                <w:sz w:val="20"/>
                <w:szCs w:val="20"/>
              </w:rPr>
              <w:t>Franklands East</w:t>
            </w:r>
          </w:p>
        </w:tc>
        <w:tc>
          <w:tcPr>
            <w:tcW w:w="779" w:type="dxa"/>
            <w:tcBorders>
              <w:top w:val="nil"/>
              <w:left w:val="single" w:sz="4" w:space="0" w:color="auto"/>
              <w:bottom w:val="single" w:sz="4" w:space="0" w:color="auto"/>
              <w:right w:val="single" w:sz="4" w:space="0" w:color="auto"/>
            </w:tcBorders>
            <w:vAlign w:val="center"/>
          </w:tcPr>
          <w:p w14:paraId="53C15A39" w14:textId="77777777" w:rsidR="00316B11" w:rsidRPr="00F53F85" w:rsidRDefault="00316B11" w:rsidP="00316B11">
            <w:pPr>
              <w:spacing w:after="0"/>
              <w:jc w:val="center"/>
              <w:rPr>
                <w:rFonts w:ascii="Arial Narrow" w:hAnsi="Arial Narrow" w:cs="Calibri"/>
                <w:sz w:val="20"/>
                <w:szCs w:val="20"/>
              </w:rPr>
            </w:pPr>
            <w:r w:rsidRPr="00F53F85">
              <w:rPr>
                <w:rFonts w:ascii="Arial Narrow" w:hAnsi="Arial Narrow"/>
                <w:sz w:val="20"/>
                <w:szCs w:val="20"/>
              </w:rPr>
              <w:t>2</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A3A"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0.25</w:t>
            </w:r>
          </w:p>
        </w:tc>
        <w:tc>
          <w:tcPr>
            <w:tcW w:w="536" w:type="dxa"/>
            <w:tcBorders>
              <w:top w:val="nil"/>
              <w:left w:val="nil"/>
              <w:bottom w:val="single" w:sz="4" w:space="0" w:color="auto"/>
              <w:right w:val="single" w:sz="4" w:space="0" w:color="auto"/>
            </w:tcBorders>
            <w:shd w:val="clear" w:color="auto" w:fill="auto"/>
            <w:noWrap/>
            <w:vAlign w:val="center"/>
            <w:hideMark/>
          </w:tcPr>
          <w:p w14:paraId="53C15A3B"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586" w:type="dxa"/>
            <w:tcBorders>
              <w:top w:val="nil"/>
              <w:left w:val="nil"/>
              <w:bottom w:val="single" w:sz="4" w:space="0" w:color="auto"/>
              <w:right w:val="single" w:sz="4" w:space="0" w:color="auto"/>
            </w:tcBorders>
            <w:shd w:val="clear" w:color="auto" w:fill="auto"/>
            <w:noWrap/>
            <w:vAlign w:val="center"/>
            <w:hideMark/>
          </w:tcPr>
          <w:p w14:paraId="53C15A3C"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0.13</w:t>
            </w:r>
          </w:p>
        </w:tc>
        <w:tc>
          <w:tcPr>
            <w:tcW w:w="564" w:type="dxa"/>
            <w:tcBorders>
              <w:top w:val="nil"/>
              <w:left w:val="nil"/>
              <w:bottom w:val="single" w:sz="4" w:space="0" w:color="auto"/>
              <w:right w:val="single" w:sz="4" w:space="0" w:color="auto"/>
            </w:tcBorders>
            <w:vAlign w:val="center"/>
          </w:tcPr>
          <w:p w14:paraId="53C15A3D" w14:textId="77777777" w:rsidR="00316B11" w:rsidRPr="00F53F85" w:rsidRDefault="00316B11"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A3E" w14:textId="77777777" w:rsidR="00316B11" w:rsidRPr="00F53F85" w:rsidRDefault="00316B11"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A3F" w14:textId="77777777" w:rsidR="00316B11" w:rsidRPr="00F53F85" w:rsidRDefault="00316B11"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A40"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0.38</w:t>
            </w:r>
          </w:p>
        </w:tc>
        <w:tc>
          <w:tcPr>
            <w:tcW w:w="546" w:type="dxa"/>
            <w:tcBorders>
              <w:top w:val="nil"/>
              <w:left w:val="nil"/>
              <w:bottom w:val="single" w:sz="4" w:space="0" w:color="auto"/>
              <w:right w:val="single" w:sz="4" w:space="0" w:color="auto"/>
            </w:tcBorders>
            <w:shd w:val="clear" w:color="auto" w:fill="auto"/>
            <w:noWrap/>
            <w:vAlign w:val="center"/>
            <w:hideMark/>
          </w:tcPr>
          <w:p w14:paraId="53C15A41" w14:textId="77777777" w:rsidR="00316B11" w:rsidRPr="00F53F85" w:rsidRDefault="00316B11" w:rsidP="00316B11">
            <w:pPr>
              <w:spacing w:after="0"/>
              <w:jc w:val="center"/>
              <w:rPr>
                <w:rFonts w:ascii="Arial Narrow" w:hAnsi="Arial Narrow"/>
                <w:sz w:val="20"/>
                <w:szCs w:val="20"/>
                <w:lang w:eastAsia="en-AU"/>
              </w:rPr>
            </w:pPr>
          </w:p>
        </w:tc>
        <w:tc>
          <w:tcPr>
            <w:tcW w:w="573" w:type="dxa"/>
            <w:tcBorders>
              <w:top w:val="nil"/>
              <w:left w:val="nil"/>
              <w:bottom w:val="single" w:sz="4" w:space="0" w:color="auto"/>
              <w:right w:val="single" w:sz="4" w:space="0" w:color="auto"/>
            </w:tcBorders>
            <w:shd w:val="clear" w:color="auto" w:fill="auto"/>
            <w:noWrap/>
            <w:vAlign w:val="center"/>
            <w:hideMark/>
          </w:tcPr>
          <w:p w14:paraId="53C15A42" w14:textId="77777777" w:rsidR="00316B11" w:rsidRPr="00F53F85" w:rsidRDefault="00316B11"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A43"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536" w:type="dxa"/>
            <w:tcBorders>
              <w:top w:val="nil"/>
              <w:left w:val="nil"/>
              <w:bottom w:val="single" w:sz="4" w:space="0" w:color="auto"/>
              <w:right w:val="single" w:sz="4" w:space="0" w:color="auto"/>
            </w:tcBorders>
            <w:shd w:val="clear" w:color="auto" w:fill="auto"/>
            <w:noWrap/>
            <w:vAlign w:val="center"/>
            <w:hideMark/>
          </w:tcPr>
          <w:p w14:paraId="53C15A44" w14:textId="77777777" w:rsidR="00316B11" w:rsidRPr="00F53F85" w:rsidRDefault="00316B11"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A45"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A46"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A47"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A48" w14:textId="77777777" w:rsidR="00316B11" w:rsidRPr="00F53F85" w:rsidRDefault="00316B11" w:rsidP="00316B11">
            <w:pPr>
              <w:spacing w:after="0"/>
              <w:jc w:val="center"/>
              <w:rPr>
                <w:rFonts w:ascii="Arial Narrow" w:hAnsi="Arial Narrow"/>
                <w:sz w:val="20"/>
                <w:szCs w:val="20"/>
                <w:lang w:eastAsia="en-AU"/>
              </w:rPr>
            </w:pPr>
          </w:p>
        </w:tc>
        <w:tc>
          <w:tcPr>
            <w:tcW w:w="630" w:type="dxa"/>
            <w:tcBorders>
              <w:top w:val="nil"/>
              <w:left w:val="nil"/>
              <w:bottom w:val="single" w:sz="4" w:space="0" w:color="auto"/>
              <w:right w:val="single" w:sz="4" w:space="0" w:color="auto"/>
            </w:tcBorders>
            <w:vAlign w:val="center"/>
          </w:tcPr>
          <w:p w14:paraId="53C15A49" w14:textId="77777777" w:rsidR="00316B11" w:rsidRPr="00F53F85" w:rsidRDefault="00316B11" w:rsidP="00316B11">
            <w:pPr>
              <w:spacing w:after="0"/>
              <w:jc w:val="center"/>
              <w:rPr>
                <w:rFonts w:ascii="Arial Narrow" w:hAnsi="Arial Narrow"/>
                <w:sz w:val="20"/>
                <w:szCs w:val="20"/>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A4A" w14:textId="77777777" w:rsidR="00316B11" w:rsidRPr="00F53F85" w:rsidRDefault="00316B11" w:rsidP="00316B11">
            <w:pPr>
              <w:spacing w:after="0"/>
              <w:jc w:val="center"/>
              <w:rPr>
                <w:rFonts w:ascii="Arial Narrow" w:hAnsi="Arial Narrow"/>
                <w:sz w:val="20"/>
                <w:szCs w:val="20"/>
                <w:lang w:eastAsia="en-AU"/>
              </w:rPr>
            </w:pPr>
          </w:p>
        </w:tc>
      </w:tr>
      <w:tr w:rsidR="00316B11" w:rsidRPr="00F53F85" w14:paraId="53C15A60" w14:textId="77777777" w:rsidTr="005B2CA4">
        <w:trPr>
          <w:trHeight w:val="158"/>
        </w:trPr>
        <w:tc>
          <w:tcPr>
            <w:tcW w:w="611" w:type="dxa"/>
            <w:vMerge/>
            <w:tcBorders>
              <w:top w:val="nil"/>
              <w:left w:val="single" w:sz="4" w:space="0" w:color="auto"/>
              <w:bottom w:val="single" w:sz="4" w:space="0" w:color="auto"/>
              <w:right w:val="single" w:sz="4" w:space="0" w:color="auto"/>
            </w:tcBorders>
            <w:vAlign w:val="center"/>
            <w:hideMark/>
          </w:tcPr>
          <w:p w14:paraId="53C15A4C" w14:textId="77777777" w:rsidR="00316B11" w:rsidRPr="00F53F85" w:rsidRDefault="00316B11" w:rsidP="00F53F85">
            <w:pPr>
              <w:spacing w:after="0"/>
              <w:jc w:val="left"/>
              <w:rPr>
                <w:rFonts w:ascii="Arial Narrow" w:hAnsi="Arial Narrow"/>
                <w:sz w:val="20"/>
                <w:lang w:eastAsia="en-AU"/>
              </w:rPr>
            </w:pPr>
          </w:p>
        </w:tc>
        <w:tc>
          <w:tcPr>
            <w:tcW w:w="1134" w:type="dxa"/>
            <w:vMerge/>
            <w:tcBorders>
              <w:left w:val="single" w:sz="4" w:space="0" w:color="auto"/>
              <w:bottom w:val="single" w:sz="4" w:space="0" w:color="auto"/>
              <w:right w:val="single" w:sz="4" w:space="0" w:color="auto"/>
            </w:tcBorders>
            <w:vAlign w:val="center"/>
          </w:tcPr>
          <w:p w14:paraId="53C15A4D" w14:textId="77777777" w:rsidR="00316B11" w:rsidRPr="00F53F85" w:rsidRDefault="00316B11" w:rsidP="00316B11">
            <w:pPr>
              <w:spacing w:after="0"/>
              <w:jc w:val="center"/>
              <w:rPr>
                <w:rFonts w:ascii="Arial Narrow" w:hAnsi="Arial Narrow" w:cs="Calibri"/>
                <w:sz w:val="20"/>
                <w:szCs w:val="20"/>
              </w:rPr>
            </w:pPr>
          </w:p>
        </w:tc>
        <w:tc>
          <w:tcPr>
            <w:tcW w:w="779" w:type="dxa"/>
            <w:tcBorders>
              <w:top w:val="nil"/>
              <w:left w:val="single" w:sz="4" w:space="0" w:color="auto"/>
              <w:bottom w:val="single" w:sz="4" w:space="0" w:color="auto"/>
              <w:right w:val="single" w:sz="4" w:space="0" w:color="auto"/>
            </w:tcBorders>
            <w:vAlign w:val="center"/>
          </w:tcPr>
          <w:p w14:paraId="53C15A4E" w14:textId="77777777" w:rsidR="00316B11" w:rsidRPr="00F53F85" w:rsidRDefault="00316B11" w:rsidP="00316B11">
            <w:pPr>
              <w:spacing w:after="0"/>
              <w:jc w:val="center"/>
              <w:rPr>
                <w:rFonts w:ascii="Arial Narrow" w:hAnsi="Arial Narrow" w:cs="Calibri"/>
                <w:sz w:val="20"/>
                <w:szCs w:val="20"/>
              </w:rPr>
            </w:pPr>
            <w:r w:rsidRPr="00F53F85">
              <w:rPr>
                <w:rFonts w:ascii="Arial Narrow" w:hAnsi="Arial Narrow"/>
                <w:sz w:val="20"/>
                <w:szCs w:val="20"/>
              </w:rPr>
              <w:t>5</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A4F"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0.19</w:t>
            </w:r>
          </w:p>
        </w:tc>
        <w:tc>
          <w:tcPr>
            <w:tcW w:w="536" w:type="dxa"/>
            <w:tcBorders>
              <w:top w:val="nil"/>
              <w:left w:val="nil"/>
              <w:bottom w:val="single" w:sz="4" w:space="0" w:color="auto"/>
              <w:right w:val="single" w:sz="4" w:space="0" w:color="auto"/>
            </w:tcBorders>
            <w:shd w:val="clear" w:color="auto" w:fill="auto"/>
            <w:noWrap/>
            <w:vAlign w:val="center"/>
            <w:hideMark/>
          </w:tcPr>
          <w:p w14:paraId="53C15A50" w14:textId="77777777" w:rsidR="00316B11" w:rsidRPr="00F53F85" w:rsidRDefault="00316B11" w:rsidP="00316B11">
            <w:pPr>
              <w:spacing w:after="0"/>
              <w:jc w:val="center"/>
              <w:rPr>
                <w:rFonts w:ascii="Arial Narrow" w:hAnsi="Arial Narrow"/>
                <w:sz w:val="20"/>
                <w:szCs w:val="20"/>
                <w:lang w:eastAsia="en-AU"/>
              </w:rPr>
            </w:pPr>
          </w:p>
        </w:tc>
        <w:tc>
          <w:tcPr>
            <w:tcW w:w="586" w:type="dxa"/>
            <w:tcBorders>
              <w:top w:val="nil"/>
              <w:left w:val="nil"/>
              <w:bottom w:val="single" w:sz="4" w:space="0" w:color="auto"/>
              <w:right w:val="single" w:sz="4" w:space="0" w:color="auto"/>
            </w:tcBorders>
            <w:shd w:val="clear" w:color="auto" w:fill="auto"/>
            <w:noWrap/>
            <w:vAlign w:val="center"/>
            <w:hideMark/>
          </w:tcPr>
          <w:p w14:paraId="53C15A51"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1.31</w:t>
            </w:r>
          </w:p>
        </w:tc>
        <w:tc>
          <w:tcPr>
            <w:tcW w:w="564" w:type="dxa"/>
            <w:tcBorders>
              <w:top w:val="nil"/>
              <w:left w:val="nil"/>
              <w:bottom w:val="single" w:sz="4" w:space="0" w:color="auto"/>
              <w:right w:val="single" w:sz="4" w:space="0" w:color="auto"/>
            </w:tcBorders>
            <w:vAlign w:val="center"/>
          </w:tcPr>
          <w:p w14:paraId="53C15A52" w14:textId="77777777" w:rsidR="00316B11" w:rsidRPr="00F53F85" w:rsidRDefault="00316B11"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A53" w14:textId="77777777" w:rsidR="00316B11" w:rsidRPr="00F53F85" w:rsidRDefault="00316B11"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A54" w14:textId="77777777" w:rsidR="00316B11" w:rsidRPr="00F53F85" w:rsidRDefault="00316B11"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A55"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0.50</w:t>
            </w:r>
          </w:p>
        </w:tc>
        <w:tc>
          <w:tcPr>
            <w:tcW w:w="546" w:type="dxa"/>
            <w:tcBorders>
              <w:top w:val="nil"/>
              <w:left w:val="nil"/>
              <w:bottom w:val="single" w:sz="4" w:space="0" w:color="auto"/>
              <w:right w:val="single" w:sz="4" w:space="0" w:color="auto"/>
            </w:tcBorders>
            <w:shd w:val="clear" w:color="auto" w:fill="auto"/>
            <w:noWrap/>
            <w:vAlign w:val="center"/>
            <w:hideMark/>
          </w:tcPr>
          <w:p w14:paraId="53C15A56" w14:textId="77777777" w:rsidR="00316B11" w:rsidRPr="00F53F85" w:rsidRDefault="00316B11" w:rsidP="00316B11">
            <w:pPr>
              <w:spacing w:after="0"/>
              <w:jc w:val="center"/>
              <w:rPr>
                <w:rFonts w:ascii="Arial Narrow" w:hAnsi="Arial Narrow"/>
                <w:sz w:val="20"/>
                <w:szCs w:val="20"/>
                <w:lang w:eastAsia="en-AU"/>
              </w:rPr>
            </w:pPr>
          </w:p>
        </w:tc>
        <w:tc>
          <w:tcPr>
            <w:tcW w:w="573" w:type="dxa"/>
            <w:tcBorders>
              <w:top w:val="nil"/>
              <w:left w:val="nil"/>
              <w:bottom w:val="single" w:sz="4" w:space="0" w:color="auto"/>
              <w:right w:val="single" w:sz="4" w:space="0" w:color="auto"/>
            </w:tcBorders>
            <w:shd w:val="clear" w:color="auto" w:fill="auto"/>
            <w:noWrap/>
            <w:vAlign w:val="center"/>
            <w:hideMark/>
          </w:tcPr>
          <w:p w14:paraId="53C15A57" w14:textId="77777777" w:rsidR="00316B11" w:rsidRPr="00F53F85" w:rsidRDefault="00316B11"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A58" w14:textId="77777777" w:rsidR="00316B11" w:rsidRPr="00F53F85" w:rsidRDefault="00316B11"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A59" w14:textId="77777777" w:rsidR="00316B11" w:rsidRPr="00F53F85" w:rsidRDefault="00316B11"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A5A"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A5B"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A5C"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A5D" w14:textId="77777777" w:rsidR="00316B11" w:rsidRPr="00F53F85" w:rsidRDefault="00316B11" w:rsidP="00316B11">
            <w:pPr>
              <w:spacing w:after="0"/>
              <w:jc w:val="center"/>
              <w:rPr>
                <w:rFonts w:ascii="Arial Narrow" w:hAnsi="Arial Narrow"/>
                <w:sz w:val="20"/>
                <w:szCs w:val="20"/>
                <w:lang w:eastAsia="en-AU"/>
              </w:rPr>
            </w:pPr>
          </w:p>
        </w:tc>
        <w:tc>
          <w:tcPr>
            <w:tcW w:w="630" w:type="dxa"/>
            <w:tcBorders>
              <w:top w:val="nil"/>
              <w:left w:val="nil"/>
              <w:bottom w:val="single" w:sz="4" w:space="0" w:color="auto"/>
              <w:right w:val="single" w:sz="4" w:space="0" w:color="auto"/>
            </w:tcBorders>
            <w:vAlign w:val="center"/>
          </w:tcPr>
          <w:p w14:paraId="53C15A5E" w14:textId="77777777" w:rsidR="00316B11" w:rsidRPr="00F53F85" w:rsidRDefault="00316B11" w:rsidP="00316B11">
            <w:pPr>
              <w:spacing w:after="0"/>
              <w:jc w:val="center"/>
              <w:rPr>
                <w:rFonts w:ascii="Arial Narrow" w:hAnsi="Arial Narrow"/>
                <w:sz w:val="20"/>
                <w:szCs w:val="20"/>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A5F"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0.63</w:t>
            </w:r>
          </w:p>
        </w:tc>
      </w:tr>
      <w:tr w:rsidR="00316B11" w:rsidRPr="00F53F85" w14:paraId="53C15A75" w14:textId="77777777" w:rsidTr="005B2CA4">
        <w:trPr>
          <w:trHeight w:val="340"/>
        </w:trPr>
        <w:tc>
          <w:tcPr>
            <w:tcW w:w="611" w:type="dxa"/>
            <w:vMerge/>
            <w:tcBorders>
              <w:top w:val="nil"/>
              <w:left w:val="single" w:sz="4" w:space="0" w:color="auto"/>
              <w:bottom w:val="single" w:sz="4" w:space="0" w:color="auto"/>
              <w:right w:val="single" w:sz="4" w:space="0" w:color="auto"/>
            </w:tcBorders>
            <w:vAlign w:val="center"/>
            <w:hideMark/>
          </w:tcPr>
          <w:p w14:paraId="53C15A61" w14:textId="77777777" w:rsidR="00316B11" w:rsidRPr="00F53F85" w:rsidRDefault="00316B11" w:rsidP="00F53F85">
            <w:pPr>
              <w:spacing w:after="0"/>
              <w:jc w:val="left"/>
              <w:rPr>
                <w:rFonts w:ascii="Arial Narrow" w:hAnsi="Arial Narrow"/>
                <w:sz w:val="20"/>
                <w:lang w:eastAsia="en-AU"/>
              </w:rPr>
            </w:pPr>
          </w:p>
        </w:tc>
        <w:tc>
          <w:tcPr>
            <w:tcW w:w="1134" w:type="dxa"/>
            <w:vMerge w:val="restart"/>
            <w:tcBorders>
              <w:top w:val="nil"/>
              <w:left w:val="single" w:sz="4" w:space="0" w:color="auto"/>
              <w:right w:val="single" w:sz="4" w:space="0" w:color="auto"/>
            </w:tcBorders>
            <w:vAlign w:val="center"/>
          </w:tcPr>
          <w:p w14:paraId="53C15A62" w14:textId="77777777" w:rsidR="00316B11" w:rsidRPr="00F53F85" w:rsidRDefault="00316B11" w:rsidP="00316B11">
            <w:pPr>
              <w:spacing w:after="0"/>
              <w:jc w:val="center"/>
              <w:rPr>
                <w:rFonts w:ascii="Arial Narrow" w:hAnsi="Arial Narrow" w:cs="Calibri"/>
                <w:sz w:val="20"/>
                <w:szCs w:val="20"/>
              </w:rPr>
            </w:pPr>
            <w:r w:rsidRPr="00F53F85">
              <w:rPr>
                <w:rFonts w:ascii="Arial Narrow" w:hAnsi="Arial Narrow"/>
                <w:sz w:val="20"/>
                <w:szCs w:val="20"/>
              </w:rPr>
              <w:t>Franklands West</w:t>
            </w:r>
          </w:p>
        </w:tc>
        <w:tc>
          <w:tcPr>
            <w:tcW w:w="779" w:type="dxa"/>
            <w:tcBorders>
              <w:top w:val="nil"/>
              <w:left w:val="single" w:sz="4" w:space="0" w:color="auto"/>
              <w:bottom w:val="single" w:sz="4" w:space="0" w:color="auto"/>
              <w:right w:val="single" w:sz="4" w:space="0" w:color="auto"/>
            </w:tcBorders>
            <w:vAlign w:val="center"/>
          </w:tcPr>
          <w:p w14:paraId="53C15A63" w14:textId="77777777" w:rsidR="00316B11" w:rsidRPr="00F53F85" w:rsidRDefault="00316B11" w:rsidP="00316B11">
            <w:pPr>
              <w:spacing w:after="0"/>
              <w:jc w:val="center"/>
              <w:rPr>
                <w:rFonts w:ascii="Arial Narrow" w:hAnsi="Arial Narrow" w:cs="Calibri"/>
                <w:sz w:val="20"/>
                <w:szCs w:val="20"/>
              </w:rPr>
            </w:pPr>
            <w:r w:rsidRPr="00F53F85">
              <w:rPr>
                <w:rFonts w:ascii="Arial Narrow" w:hAnsi="Arial Narrow"/>
                <w:sz w:val="20"/>
                <w:szCs w:val="20"/>
              </w:rPr>
              <w:t>2</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A64"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0.63</w:t>
            </w:r>
          </w:p>
        </w:tc>
        <w:tc>
          <w:tcPr>
            <w:tcW w:w="536" w:type="dxa"/>
            <w:tcBorders>
              <w:top w:val="nil"/>
              <w:left w:val="nil"/>
              <w:bottom w:val="single" w:sz="4" w:space="0" w:color="auto"/>
              <w:right w:val="single" w:sz="4" w:space="0" w:color="auto"/>
            </w:tcBorders>
            <w:shd w:val="clear" w:color="auto" w:fill="auto"/>
            <w:noWrap/>
            <w:vAlign w:val="center"/>
            <w:hideMark/>
          </w:tcPr>
          <w:p w14:paraId="53C15A65"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0.19</w:t>
            </w:r>
          </w:p>
        </w:tc>
        <w:tc>
          <w:tcPr>
            <w:tcW w:w="586" w:type="dxa"/>
            <w:tcBorders>
              <w:top w:val="nil"/>
              <w:left w:val="nil"/>
              <w:bottom w:val="single" w:sz="4" w:space="0" w:color="auto"/>
              <w:right w:val="single" w:sz="4" w:space="0" w:color="auto"/>
            </w:tcBorders>
            <w:shd w:val="clear" w:color="auto" w:fill="auto"/>
            <w:noWrap/>
            <w:vAlign w:val="center"/>
            <w:hideMark/>
          </w:tcPr>
          <w:p w14:paraId="53C15A66"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2.25</w:t>
            </w:r>
          </w:p>
        </w:tc>
        <w:tc>
          <w:tcPr>
            <w:tcW w:w="564" w:type="dxa"/>
            <w:tcBorders>
              <w:top w:val="nil"/>
              <w:left w:val="nil"/>
              <w:bottom w:val="single" w:sz="4" w:space="0" w:color="auto"/>
              <w:right w:val="single" w:sz="4" w:space="0" w:color="auto"/>
            </w:tcBorders>
            <w:vAlign w:val="center"/>
          </w:tcPr>
          <w:p w14:paraId="53C15A67" w14:textId="77777777" w:rsidR="00316B11" w:rsidRPr="00F53F85" w:rsidRDefault="00316B11"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A68" w14:textId="77777777" w:rsidR="00316B11" w:rsidRPr="00F53F85" w:rsidRDefault="00316B11"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A69" w14:textId="77777777" w:rsidR="00316B11" w:rsidRPr="00F53F85" w:rsidRDefault="00316B11"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A6A"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3.06</w:t>
            </w:r>
          </w:p>
        </w:tc>
        <w:tc>
          <w:tcPr>
            <w:tcW w:w="546" w:type="dxa"/>
            <w:tcBorders>
              <w:top w:val="nil"/>
              <w:left w:val="nil"/>
              <w:bottom w:val="single" w:sz="4" w:space="0" w:color="auto"/>
              <w:right w:val="single" w:sz="4" w:space="0" w:color="auto"/>
            </w:tcBorders>
            <w:shd w:val="clear" w:color="auto" w:fill="auto"/>
            <w:noWrap/>
            <w:vAlign w:val="center"/>
            <w:hideMark/>
          </w:tcPr>
          <w:p w14:paraId="53C15A6B" w14:textId="77777777" w:rsidR="00316B11" w:rsidRPr="00F53F85" w:rsidRDefault="00316B11" w:rsidP="00316B11">
            <w:pPr>
              <w:spacing w:after="0"/>
              <w:jc w:val="center"/>
              <w:rPr>
                <w:rFonts w:ascii="Arial Narrow" w:hAnsi="Arial Narrow"/>
                <w:sz w:val="20"/>
                <w:szCs w:val="20"/>
                <w:lang w:eastAsia="en-AU"/>
              </w:rPr>
            </w:pPr>
          </w:p>
        </w:tc>
        <w:tc>
          <w:tcPr>
            <w:tcW w:w="573" w:type="dxa"/>
            <w:tcBorders>
              <w:top w:val="nil"/>
              <w:left w:val="nil"/>
              <w:bottom w:val="single" w:sz="4" w:space="0" w:color="auto"/>
              <w:right w:val="single" w:sz="4" w:space="0" w:color="auto"/>
            </w:tcBorders>
            <w:shd w:val="clear" w:color="auto" w:fill="auto"/>
            <w:noWrap/>
            <w:vAlign w:val="center"/>
            <w:hideMark/>
          </w:tcPr>
          <w:p w14:paraId="53C15A6C"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799" w:type="dxa"/>
            <w:tcBorders>
              <w:top w:val="nil"/>
              <w:left w:val="nil"/>
              <w:bottom w:val="single" w:sz="4" w:space="0" w:color="auto"/>
              <w:right w:val="single" w:sz="4" w:space="0" w:color="auto"/>
            </w:tcBorders>
            <w:shd w:val="clear" w:color="auto" w:fill="auto"/>
            <w:noWrap/>
            <w:vAlign w:val="center"/>
            <w:hideMark/>
          </w:tcPr>
          <w:p w14:paraId="53C15A6D" w14:textId="77777777" w:rsidR="00316B11" w:rsidRPr="00F53F85" w:rsidRDefault="00316B11"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A6E" w14:textId="77777777" w:rsidR="00316B11" w:rsidRPr="00F53F85" w:rsidRDefault="00316B11"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A6F"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A70"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0.50</w:t>
            </w:r>
          </w:p>
        </w:tc>
        <w:tc>
          <w:tcPr>
            <w:tcW w:w="788" w:type="dxa"/>
            <w:tcBorders>
              <w:top w:val="nil"/>
              <w:left w:val="nil"/>
              <w:bottom w:val="single" w:sz="4" w:space="0" w:color="auto"/>
              <w:right w:val="single" w:sz="4" w:space="0" w:color="auto"/>
            </w:tcBorders>
            <w:shd w:val="clear" w:color="auto" w:fill="auto"/>
            <w:noWrap/>
            <w:vAlign w:val="center"/>
            <w:hideMark/>
          </w:tcPr>
          <w:p w14:paraId="53C15A71"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788" w:type="dxa"/>
            <w:tcBorders>
              <w:top w:val="nil"/>
              <w:left w:val="nil"/>
              <w:bottom w:val="single" w:sz="4" w:space="0" w:color="auto"/>
              <w:right w:val="single" w:sz="4" w:space="0" w:color="auto"/>
            </w:tcBorders>
            <w:shd w:val="clear" w:color="auto" w:fill="auto"/>
            <w:noWrap/>
            <w:vAlign w:val="center"/>
            <w:hideMark/>
          </w:tcPr>
          <w:p w14:paraId="53C15A72" w14:textId="77777777" w:rsidR="00316B11" w:rsidRPr="00F53F85" w:rsidRDefault="00316B11" w:rsidP="00316B11">
            <w:pPr>
              <w:spacing w:after="0"/>
              <w:jc w:val="center"/>
              <w:rPr>
                <w:rFonts w:ascii="Arial Narrow" w:hAnsi="Arial Narrow"/>
                <w:sz w:val="20"/>
                <w:szCs w:val="20"/>
                <w:lang w:eastAsia="en-AU"/>
              </w:rPr>
            </w:pPr>
          </w:p>
        </w:tc>
        <w:tc>
          <w:tcPr>
            <w:tcW w:w="630" w:type="dxa"/>
            <w:tcBorders>
              <w:top w:val="nil"/>
              <w:left w:val="nil"/>
              <w:bottom w:val="single" w:sz="4" w:space="0" w:color="auto"/>
              <w:right w:val="single" w:sz="4" w:space="0" w:color="auto"/>
            </w:tcBorders>
            <w:vAlign w:val="center"/>
          </w:tcPr>
          <w:p w14:paraId="53C15A73" w14:textId="77777777" w:rsidR="00316B11" w:rsidRPr="00F53F85" w:rsidRDefault="00316B11" w:rsidP="00316B11">
            <w:pPr>
              <w:spacing w:after="0"/>
              <w:jc w:val="center"/>
              <w:rPr>
                <w:rFonts w:ascii="Arial Narrow" w:hAnsi="Arial Narrow"/>
                <w:sz w:val="20"/>
                <w:szCs w:val="20"/>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A74"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0.19</w:t>
            </w:r>
          </w:p>
        </w:tc>
      </w:tr>
      <w:tr w:rsidR="00316B11" w:rsidRPr="00F53F85" w14:paraId="53C15A8A" w14:textId="77777777" w:rsidTr="005B2CA4">
        <w:trPr>
          <w:trHeight w:val="340"/>
        </w:trPr>
        <w:tc>
          <w:tcPr>
            <w:tcW w:w="611" w:type="dxa"/>
            <w:vMerge/>
            <w:tcBorders>
              <w:top w:val="nil"/>
              <w:left w:val="single" w:sz="4" w:space="0" w:color="auto"/>
              <w:bottom w:val="single" w:sz="4" w:space="0" w:color="auto"/>
              <w:right w:val="single" w:sz="4" w:space="0" w:color="auto"/>
            </w:tcBorders>
            <w:vAlign w:val="center"/>
            <w:hideMark/>
          </w:tcPr>
          <w:p w14:paraId="53C15A76" w14:textId="77777777" w:rsidR="00316B11" w:rsidRPr="00F53F85" w:rsidRDefault="00316B11" w:rsidP="00F53F85">
            <w:pPr>
              <w:spacing w:after="0"/>
              <w:jc w:val="left"/>
              <w:rPr>
                <w:rFonts w:ascii="Arial Narrow" w:hAnsi="Arial Narrow"/>
                <w:sz w:val="20"/>
                <w:lang w:eastAsia="en-AU"/>
              </w:rPr>
            </w:pPr>
          </w:p>
        </w:tc>
        <w:tc>
          <w:tcPr>
            <w:tcW w:w="1134" w:type="dxa"/>
            <w:vMerge/>
            <w:tcBorders>
              <w:left w:val="single" w:sz="4" w:space="0" w:color="auto"/>
              <w:bottom w:val="single" w:sz="4" w:space="0" w:color="auto"/>
              <w:right w:val="single" w:sz="4" w:space="0" w:color="auto"/>
            </w:tcBorders>
            <w:vAlign w:val="center"/>
          </w:tcPr>
          <w:p w14:paraId="53C15A77" w14:textId="77777777" w:rsidR="00316B11" w:rsidRPr="00F53F85" w:rsidRDefault="00316B11" w:rsidP="00316B11">
            <w:pPr>
              <w:spacing w:after="0"/>
              <w:jc w:val="center"/>
              <w:rPr>
                <w:rFonts w:ascii="Arial Narrow" w:hAnsi="Arial Narrow" w:cs="Calibri"/>
                <w:sz w:val="20"/>
                <w:szCs w:val="20"/>
              </w:rPr>
            </w:pPr>
          </w:p>
        </w:tc>
        <w:tc>
          <w:tcPr>
            <w:tcW w:w="779" w:type="dxa"/>
            <w:tcBorders>
              <w:top w:val="nil"/>
              <w:left w:val="single" w:sz="4" w:space="0" w:color="auto"/>
              <w:bottom w:val="single" w:sz="4" w:space="0" w:color="auto"/>
              <w:right w:val="single" w:sz="4" w:space="0" w:color="auto"/>
            </w:tcBorders>
            <w:vAlign w:val="center"/>
          </w:tcPr>
          <w:p w14:paraId="53C15A78" w14:textId="77777777" w:rsidR="00316B11" w:rsidRPr="00F53F85" w:rsidRDefault="00316B11" w:rsidP="00316B11">
            <w:pPr>
              <w:spacing w:after="0"/>
              <w:jc w:val="center"/>
              <w:rPr>
                <w:rFonts w:ascii="Arial Narrow" w:hAnsi="Arial Narrow" w:cs="Calibri"/>
                <w:sz w:val="20"/>
                <w:szCs w:val="20"/>
              </w:rPr>
            </w:pPr>
            <w:r w:rsidRPr="00F53F85">
              <w:rPr>
                <w:rFonts w:ascii="Arial Narrow" w:hAnsi="Arial Narrow"/>
                <w:sz w:val="20"/>
                <w:szCs w:val="20"/>
              </w:rPr>
              <w:t>5</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A79"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0.19</w:t>
            </w:r>
          </w:p>
        </w:tc>
        <w:tc>
          <w:tcPr>
            <w:tcW w:w="536" w:type="dxa"/>
            <w:tcBorders>
              <w:top w:val="nil"/>
              <w:left w:val="nil"/>
              <w:bottom w:val="single" w:sz="4" w:space="0" w:color="auto"/>
              <w:right w:val="single" w:sz="4" w:space="0" w:color="auto"/>
            </w:tcBorders>
            <w:shd w:val="clear" w:color="auto" w:fill="auto"/>
            <w:noWrap/>
            <w:vAlign w:val="center"/>
            <w:hideMark/>
          </w:tcPr>
          <w:p w14:paraId="53C15A7A" w14:textId="77777777" w:rsidR="00316B11" w:rsidRPr="00F53F85" w:rsidRDefault="00316B11" w:rsidP="00316B11">
            <w:pPr>
              <w:spacing w:after="0"/>
              <w:jc w:val="center"/>
              <w:rPr>
                <w:rFonts w:ascii="Arial Narrow" w:hAnsi="Arial Narrow"/>
                <w:sz w:val="20"/>
                <w:szCs w:val="20"/>
                <w:lang w:eastAsia="en-AU"/>
              </w:rPr>
            </w:pPr>
          </w:p>
        </w:tc>
        <w:tc>
          <w:tcPr>
            <w:tcW w:w="586" w:type="dxa"/>
            <w:tcBorders>
              <w:top w:val="nil"/>
              <w:left w:val="nil"/>
              <w:bottom w:val="single" w:sz="4" w:space="0" w:color="auto"/>
              <w:right w:val="single" w:sz="4" w:space="0" w:color="auto"/>
            </w:tcBorders>
            <w:shd w:val="clear" w:color="auto" w:fill="auto"/>
            <w:noWrap/>
            <w:vAlign w:val="center"/>
            <w:hideMark/>
          </w:tcPr>
          <w:p w14:paraId="53C15A7B"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3.19</w:t>
            </w:r>
          </w:p>
        </w:tc>
        <w:tc>
          <w:tcPr>
            <w:tcW w:w="564" w:type="dxa"/>
            <w:tcBorders>
              <w:top w:val="nil"/>
              <w:left w:val="nil"/>
              <w:bottom w:val="single" w:sz="4" w:space="0" w:color="auto"/>
              <w:right w:val="single" w:sz="4" w:space="0" w:color="auto"/>
            </w:tcBorders>
            <w:vAlign w:val="center"/>
          </w:tcPr>
          <w:p w14:paraId="53C15A7C"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3.06</w:t>
            </w: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A7D" w14:textId="77777777" w:rsidR="00316B11" w:rsidRPr="00F53F85" w:rsidRDefault="00316B11"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A7E" w14:textId="77777777" w:rsidR="00316B11" w:rsidRPr="00F53F85" w:rsidRDefault="00316B11"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A7F"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19.38</w:t>
            </w:r>
          </w:p>
        </w:tc>
        <w:tc>
          <w:tcPr>
            <w:tcW w:w="546" w:type="dxa"/>
            <w:tcBorders>
              <w:top w:val="nil"/>
              <w:left w:val="nil"/>
              <w:bottom w:val="single" w:sz="4" w:space="0" w:color="auto"/>
              <w:right w:val="single" w:sz="4" w:space="0" w:color="auto"/>
            </w:tcBorders>
            <w:shd w:val="clear" w:color="auto" w:fill="auto"/>
            <w:noWrap/>
            <w:vAlign w:val="center"/>
            <w:hideMark/>
          </w:tcPr>
          <w:p w14:paraId="53C15A80" w14:textId="77777777" w:rsidR="00316B11" w:rsidRPr="00F53F85" w:rsidRDefault="00316B11" w:rsidP="00316B11">
            <w:pPr>
              <w:spacing w:after="0"/>
              <w:jc w:val="center"/>
              <w:rPr>
                <w:rFonts w:ascii="Arial Narrow" w:hAnsi="Arial Narrow"/>
                <w:sz w:val="20"/>
                <w:szCs w:val="20"/>
                <w:lang w:eastAsia="en-AU"/>
              </w:rPr>
            </w:pPr>
          </w:p>
        </w:tc>
        <w:tc>
          <w:tcPr>
            <w:tcW w:w="573" w:type="dxa"/>
            <w:tcBorders>
              <w:top w:val="nil"/>
              <w:left w:val="nil"/>
              <w:bottom w:val="single" w:sz="4" w:space="0" w:color="auto"/>
              <w:right w:val="single" w:sz="4" w:space="0" w:color="auto"/>
            </w:tcBorders>
            <w:shd w:val="clear" w:color="auto" w:fill="auto"/>
            <w:noWrap/>
            <w:vAlign w:val="center"/>
            <w:hideMark/>
          </w:tcPr>
          <w:p w14:paraId="53C15A81"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0.13</w:t>
            </w:r>
          </w:p>
        </w:tc>
        <w:tc>
          <w:tcPr>
            <w:tcW w:w="799" w:type="dxa"/>
            <w:tcBorders>
              <w:top w:val="nil"/>
              <w:left w:val="nil"/>
              <w:bottom w:val="single" w:sz="4" w:space="0" w:color="auto"/>
              <w:right w:val="single" w:sz="4" w:space="0" w:color="auto"/>
            </w:tcBorders>
            <w:shd w:val="clear" w:color="auto" w:fill="auto"/>
            <w:noWrap/>
            <w:vAlign w:val="center"/>
            <w:hideMark/>
          </w:tcPr>
          <w:p w14:paraId="53C15A82" w14:textId="77777777" w:rsidR="00316B11" w:rsidRPr="00F53F85" w:rsidRDefault="00316B11"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A83" w14:textId="77777777" w:rsidR="00316B11" w:rsidRPr="00F53F85" w:rsidRDefault="00316B11"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A84"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A85"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A86"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A87" w14:textId="77777777" w:rsidR="00316B11" w:rsidRPr="00F53F85" w:rsidRDefault="00316B11" w:rsidP="00316B11">
            <w:pPr>
              <w:spacing w:after="0"/>
              <w:jc w:val="center"/>
              <w:rPr>
                <w:rFonts w:ascii="Arial Narrow" w:hAnsi="Arial Narrow"/>
                <w:sz w:val="20"/>
                <w:szCs w:val="20"/>
                <w:lang w:eastAsia="en-AU"/>
              </w:rPr>
            </w:pPr>
          </w:p>
        </w:tc>
        <w:tc>
          <w:tcPr>
            <w:tcW w:w="630" w:type="dxa"/>
            <w:tcBorders>
              <w:top w:val="nil"/>
              <w:left w:val="nil"/>
              <w:bottom w:val="single" w:sz="4" w:space="0" w:color="auto"/>
              <w:right w:val="single" w:sz="4" w:space="0" w:color="auto"/>
            </w:tcBorders>
            <w:vAlign w:val="center"/>
          </w:tcPr>
          <w:p w14:paraId="53C15A88" w14:textId="77777777" w:rsidR="00316B11" w:rsidRPr="00F53F85" w:rsidRDefault="00316B11" w:rsidP="00316B11">
            <w:pPr>
              <w:spacing w:after="0"/>
              <w:jc w:val="center"/>
              <w:rPr>
                <w:rFonts w:ascii="Arial Narrow" w:hAnsi="Arial Narrow"/>
                <w:sz w:val="20"/>
                <w:szCs w:val="20"/>
                <w:lang w:eastAsia="en-AU"/>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A89" w14:textId="77777777" w:rsidR="00316B11" w:rsidRPr="00F53F85" w:rsidRDefault="00316B11" w:rsidP="00316B11">
            <w:pPr>
              <w:spacing w:after="0"/>
              <w:jc w:val="center"/>
              <w:rPr>
                <w:rFonts w:ascii="Arial Narrow" w:hAnsi="Arial Narrow"/>
                <w:sz w:val="20"/>
                <w:szCs w:val="20"/>
                <w:lang w:eastAsia="en-AU"/>
              </w:rPr>
            </w:pPr>
          </w:p>
        </w:tc>
      </w:tr>
      <w:tr w:rsidR="00316B11" w:rsidRPr="00F53F85" w14:paraId="53C15A9F" w14:textId="77777777" w:rsidTr="005B2CA4">
        <w:trPr>
          <w:trHeight w:val="340"/>
        </w:trPr>
        <w:tc>
          <w:tcPr>
            <w:tcW w:w="611" w:type="dxa"/>
            <w:vMerge/>
            <w:tcBorders>
              <w:top w:val="nil"/>
              <w:left w:val="single" w:sz="4" w:space="0" w:color="auto"/>
              <w:bottom w:val="single" w:sz="4" w:space="0" w:color="auto"/>
              <w:right w:val="single" w:sz="4" w:space="0" w:color="auto"/>
            </w:tcBorders>
            <w:vAlign w:val="center"/>
            <w:hideMark/>
          </w:tcPr>
          <w:p w14:paraId="53C15A8B" w14:textId="77777777" w:rsidR="00316B11" w:rsidRPr="00F53F85" w:rsidRDefault="00316B11" w:rsidP="00F53F85">
            <w:pPr>
              <w:spacing w:after="0"/>
              <w:jc w:val="left"/>
              <w:rPr>
                <w:rFonts w:ascii="Arial Narrow" w:hAnsi="Arial Narrow"/>
                <w:sz w:val="20"/>
                <w:lang w:eastAsia="en-AU"/>
              </w:rPr>
            </w:pPr>
          </w:p>
        </w:tc>
        <w:tc>
          <w:tcPr>
            <w:tcW w:w="1134" w:type="dxa"/>
            <w:vMerge w:val="restart"/>
            <w:tcBorders>
              <w:top w:val="nil"/>
              <w:left w:val="single" w:sz="4" w:space="0" w:color="auto"/>
              <w:right w:val="single" w:sz="4" w:space="0" w:color="auto"/>
            </w:tcBorders>
            <w:vAlign w:val="center"/>
          </w:tcPr>
          <w:p w14:paraId="53C15A8C" w14:textId="77777777" w:rsidR="00316B11" w:rsidRPr="00F53F85" w:rsidRDefault="00316B11" w:rsidP="00316B11">
            <w:pPr>
              <w:spacing w:after="0"/>
              <w:jc w:val="center"/>
              <w:rPr>
                <w:rFonts w:ascii="Arial Narrow" w:hAnsi="Arial Narrow" w:cs="Calibri"/>
                <w:sz w:val="20"/>
                <w:szCs w:val="20"/>
              </w:rPr>
            </w:pPr>
            <w:r w:rsidRPr="00F53F85">
              <w:rPr>
                <w:rFonts w:ascii="Arial Narrow" w:hAnsi="Arial Narrow"/>
                <w:sz w:val="20"/>
                <w:szCs w:val="20"/>
              </w:rPr>
              <w:t>High East</w:t>
            </w:r>
          </w:p>
        </w:tc>
        <w:tc>
          <w:tcPr>
            <w:tcW w:w="779" w:type="dxa"/>
            <w:tcBorders>
              <w:top w:val="nil"/>
              <w:left w:val="single" w:sz="4" w:space="0" w:color="auto"/>
              <w:bottom w:val="single" w:sz="4" w:space="0" w:color="auto"/>
              <w:right w:val="single" w:sz="4" w:space="0" w:color="auto"/>
            </w:tcBorders>
            <w:vAlign w:val="center"/>
          </w:tcPr>
          <w:p w14:paraId="53C15A8D" w14:textId="77777777" w:rsidR="00316B11" w:rsidRPr="00F53F85" w:rsidRDefault="00316B11" w:rsidP="00316B11">
            <w:pPr>
              <w:spacing w:after="0"/>
              <w:jc w:val="center"/>
              <w:rPr>
                <w:rFonts w:ascii="Arial Narrow" w:hAnsi="Arial Narrow" w:cs="Calibri"/>
                <w:sz w:val="20"/>
                <w:szCs w:val="20"/>
              </w:rPr>
            </w:pPr>
            <w:r w:rsidRPr="00F53F85">
              <w:rPr>
                <w:rFonts w:ascii="Arial Narrow" w:hAnsi="Arial Narrow"/>
                <w:sz w:val="20"/>
                <w:szCs w:val="20"/>
              </w:rPr>
              <w:t>2</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A8E"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2.38</w:t>
            </w:r>
          </w:p>
        </w:tc>
        <w:tc>
          <w:tcPr>
            <w:tcW w:w="536" w:type="dxa"/>
            <w:tcBorders>
              <w:top w:val="nil"/>
              <w:left w:val="nil"/>
              <w:bottom w:val="single" w:sz="4" w:space="0" w:color="auto"/>
              <w:right w:val="single" w:sz="4" w:space="0" w:color="auto"/>
            </w:tcBorders>
            <w:shd w:val="clear" w:color="auto" w:fill="auto"/>
            <w:noWrap/>
            <w:vAlign w:val="center"/>
            <w:hideMark/>
          </w:tcPr>
          <w:p w14:paraId="53C15A8F" w14:textId="77777777" w:rsidR="00316B11" w:rsidRPr="00F53F85" w:rsidRDefault="00316B11" w:rsidP="00316B11">
            <w:pPr>
              <w:spacing w:after="0"/>
              <w:jc w:val="center"/>
              <w:rPr>
                <w:rFonts w:ascii="Arial Narrow" w:hAnsi="Arial Narrow"/>
                <w:sz w:val="20"/>
                <w:szCs w:val="20"/>
                <w:lang w:eastAsia="en-AU"/>
              </w:rPr>
            </w:pPr>
          </w:p>
        </w:tc>
        <w:tc>
          <w:tcPr>
            <w:tcW w:w="586" w:type="dxa"/>
            <w:tcBorders>
              <w:top w:val="nil"/>
              <w:left w:val="nil"/>
              <w:bottom w:val="single" w:sz="4" w:space="0" w:color="auto"/>
              <w:right w:val="single" w:sz="4" w:space="0" w:color="auto"/>
            </w:tcBorders>
            <w:shd w:val="clear" w:color="auto" w:fill="auto"/>
            <w:noWrap/>
            <w:vAlign w:val="center"/>
            <w:hideMark/>
          </w:tcPr>
          <w:p w14:paraId="53C15A90"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564" w:type="dxa"/>
            <w:tcBorders>
              <w:top w:val="nil"/>
              <w:left w:val="nil"/>
              <w:bottom w:val="single" w:sz="4" w:space="0" w:color="auto"/>
              <w:right w:val="single" w:sz="4" w:space="0" w:color="auto"/>
            </w:tcBorders>
            <w:vAlign w:val="center"/>
          </w:tcPr>
          <w:p w14:paraId="53C15A91" w14:textId="77777777" w:rsidR="00316B11" w:rsidRPr="00F53F85" w:rsidRDefault="00316B11"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A92" w14:textId="77777777" w:rsidR="00316B11" w:rsidRPr="00F53F85" w:rsidRDefault="00316B11"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A93" w14:textId="77777777" w:rsidR="00316B11" w:rsidRPr="00F53F85" w:rsidRDefault="00316B11"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A94"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2.75</w:t>
            </w:r>
          </w:p>
        </w:tc>
        <w:tc>
          <w:tcPr>
            <w:tcW w:w="546" w:type="dxa"/>
            <w:tcBorders>
              <w:top w:val="nil"/>
              <w:left w:val="nil"/>
              <w:bottom w:val="single" w:sz="4" w:space="0" w:color="auto"/>
              <w:right w:val="single" w:sz="4" w:space="0" w:color="auto"/>
            </w:tcBorders>
            <w:shd w:val="clear" w:color="auto" w:fill="auto"/>
            <w:noWrap/>
            <w:vAlign w:val="center"/>
            <w:hideMark/>
          </w:tcPr>
          <w:p w14:paraId="53C15A95" w14:textId="77777777" w:rsidR="00316B11" w:rsidRPr="00F53F85" w:rsidRDefault="00316B11" w:rsidP="00316B11">
            <w:pPr>
              <w:spacing w:after="0"/>
              <w:jc w:val="center"/>
              <w:rPr>
                <w:rFonts w:ascii="Arial Narrow" w:hAnsi="Arial Narrow"/>
                <w:sz w:val="20"/>
                <w:szCs w:val="20"/>
                <w:lang w:eastAsia="en-AU"/>
              </w:rPr>
            </w:pPr>
          </w:p>
        </w:tc>
        <w:tc>
          <w:tcPr>
            <w:tcW w:w="573" w:type="dxa"/>
            <w:tcBorders>
              <w:top w:val="nil"/>
              <w:left w:val="nil"/>
              <w:bottom w:val="single" w:sz="4" w:space="0" w:color="auto"/>
              <w:right w:val="single" w:sz="4" w:space="0" w:color="auto"/>
            </w:tcBorders>
            <w:shd w:val="clear" w:color="auto" w:fill="auto"/>
            <w:noWrap/>
            <w:vAlign w:val="center"/>
            <w:hideMark/>
          </w:tcPr>
          <w:p w14:paraId="53C15A96" w14:textId="77777777" w:rsidR="00316B11" w:rsidRPr="00F53F85" w:rsidRDefault="00316B11"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A97" w14:textId="77777777" w:rsidR="00316B11" w:rsidRPr="00F53F85" w:rsidRDefault="00316B11"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A98" w14:textId="77777777" w:rsidR="00316B11" w:rsidRPr="00F53F85" w:rsidRDefault="00316B11"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A99"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A9A"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788" w:type="dxa"/>
            <w:tcBorders>
              <w:top w:val="nil"/>
              <w:left w:val="nil"/>
              <w:bottom w:val="single" w:sz="4" w:space="0" w:color="auto"/>
              <w:right w:val="single" w:sz="4" w:space="0" w:color="auto"/>
            </w:tcBorders>
            <w:shd w:val="clear" w:color="auto" w:fill="auto"/>
            <w:noWrap/>
            <w:vAlign w:val="center"/>
            <w:hideMark/>
          </w:tcPr>
          <w:p w14:paraId="53C15A9B"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A9C" w14:textId="77777777" w:rsidR="00316B11" w:rsidRPr="00F53F85" w:rsidRDefault="00316B11" w:rsidP="00316B11">
            <w:pPr>
              <w:spacing w:after="0"/>
              <w:jc w:val="center"/>
              <w:rPr>
                <w:rFonts w:ascii="Arial Narrow" w:hAnsi="Arial Narrow"/>
                <w:sz w:val="20"/>
                <w:szCs w:val="20"/>
                <w:lang w:eastAsia="en-AU"/>
              </w:rPr>
            </w:pPr>
          </w:p>
        </w:tc>
        <w:tc>
          <w:tcPr>
            <w:tcW w:w="630" w:type="dxa"/>
            <w:tcBorders>
              <w:top w:val="nil"/>
              <w:left w:val="nil"/>
              <w:bottom w:val="single" w:sz="4" w:space="0" w:color="auto"/>
              <w:right w:val="single" w:sz="4" w:space="0" w:color="auto"/>
            </w:tcBorders>
            <w:vAlign w:val="center"/>
          </w:tcPr>
          <w:p w14:paraId="53C15A9D" w14:textId="77777777" w:rsidR="00316B11" w:rsidRPr="00F53F85" w:rsidRDefault="00316B11" w:rsidP="00316B11">
            <w:pPr>
              <w:spacing w:after="0"/>
              <w:jc w:val="center"/>
              <w:rPr>
                <w:rFonts w:ascii="Arial Narrow" w:hAnsi="Arial Narrow"/>
                <w:sz w:val="20"/>
                <w:szCs w:val="20"/>
                <w:lang w:eastAsia="en-AU"/>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A9E" w14:textId="77777777" w:rsidR="00316B11" w:rsidRPr="00F53F85" w:rsidRDefault="00316B11" w:rsidP="00316B11">
            <w:pPr>
              <w:spacing w:after="0"/>
              <w:jc w:val="center"/>
              <w:rPr>
                <w:rFonts w:ascii="Arial Narrow" w:hAnsi="Arial Narrow"/>
                <w:sz w:val="20"/>
                <w:szCs w:val="20"/>
                <w:lang w:eastAsia="en-AU"/>
              </w:rPr>
            </w:pPr>
          </w:p>
        </w:tc>
      </w:tr>
      <w:tr w:rsidR="00316B11" w:rsidRPr="00F53F85" w14:paraId="53C15AB4" w14:textId="77777777" w:rsidTr="005B2CA4">
        <w:trPr>
          <w:trHeight w:val="340"/>
        </w:trPr>
        <w:tc>
          <w:tcPr>
            <w:tcW w:w="611" w:type="dxa"/>
            <w:vMerge/>
            <w:tcBorders>
              <w:top w:val="nil"/>
              <w:left w:val="single" w:sz="4" w:space="0" w:color="auto"/>
              <w:bottom w:val="single" w:sz="4" w:space="0" w:color="auto"/>
              <w:right w:val="single" w:sz="4" w:space="0" w:color="auto"/>
            </w:tcBorders>
            <w:vAlign w:val="center"/>
            <w:hideMark/>
          </w:tcPr>
          <w:p w14:paraId="53C15AA0" w14:textId="77777777" w:rsidR="00316B11" w:rsidRPr="00F53F85" w:rsidRDefault="00316B11" w:rsidP="00F53F85">
            <w:pPr>
              <w:spacing w:after="0"/>
              <w:jc w:val="left"/>
              <w:rPr>
                <w:rFonts w:ascii="Arial Narrow" w:hAnsi="Arial Narrow"/>
                <w:sz w:val="20"/>
                <w:lang w:eastAsia="en-AU"/>
              </w:rPr>
            </w:pPr>
          </w:p>
        </w:tc>
        <w:tc>
          <w:tcPr>
            <w:tcW w:w="1134" w:type="dxa"/>
            <w:vMerge/>
            <w:tcBorders>
              <w:left w:val="single" w:sz="4" w:space="0" w:color="auto"/>
              <w:bottom w:val="single" w:sz="4" w:space="0" w:color="auto"/>
              <w:right w:val="single" w:sz="4" w:space="0" w:color="auto"/>
            </w:tcBorders>
            <w:vAlign w:val="center"/>
          </w:tcPr>
          <w:p w14:paraId="53C15AA1" w14:textId="77777777" w:rsidR="00316B11" w:rsidRPr="00F53F85" w:rsidRDefault="00316B11" w:rsidP="00316B11">
            <w:pPr>
              <w:spacing w:after="0"/>
              <w:jc w:val="center"/>
              <w:rPr>
                <w:rFonts w:ascii="Arial Narrow" w:hAnsi="Arial Narrow" w:cs="Calibri"/>
                <w:sz w:val="20"/>
                <w:szCs w:val="20"/>
              </w:rPr>
            </w:pPr>
          </w:p>
        </w:tc>
        <w:tc>
          <w:tcPr>
            <w:tcW w:w="779" w:type="dxa"/>
            <w:tcBorders>
              <w:top w:val="nil"/>
              <w:left w:val="single" w:sz="4" w:space="0" w:color="auto"/>
              <w:bottom w:val="single" w:sz="4" w:space="0" w:color="auto"/>
              <w:right w:val="single" w:sz="4" w:space="0" w:color="auto"/>
            </w:tcBorders>
            <w:vAlign w:val="center"/>
          </w:tcPr>
          <w:p w14:paraId="53C15AA2" w14:textId="77777777" w:rsidR="00316B11" w:rsidRPr="00F53F85" w:rsidRDefault="00316B11" w:rsidP="00316B11">
            <w:pPr>
              <w:spacing w:after="0"/>
              <w:jc w:val="center"/>
              <w:rPr>
                <w:rFonts w:ascii="Arial Narrow" w:hAnsi="Arial Narrow" w:cs="Calibri"/>
                <w:sz w:val="20"/>
                <w:szCs w:val="20"/>
              </w:rPr>
            </w:pPr>
            <w:r w:rsidRPr="00F53F85">
              <w:rPr>
                <w:rFonts w:ascii="Arial Narrow" w:hAnsi="Arial Narrow"/>
                <w:sz w:val="20"/>
                <w:szCs w:val="20"/>
              </w:rPr>
              <w:t>5</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AA3"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0.63</w:t>
            </w:r>
          </w:p>
        </w:tc>
        <w:tc>
          <w:tcPr>
            <w:tcW w:w="536" w:type="dxa"/>
            <w:tcBorders>
              <w:top w:val="nil"/>
              <w:left w:val="nil"/>
              <w:bottom w:val="single" w:sz="4" w:space="0" w:color="auto"/>
              <w:right w:val="single" w:sz="4" w:space="0" w:color="auto"/>
            </w:tcBorders>
            <w:shd w:val="clear" w:color="auto" w:fill="auto"/>
            <w:noWrap/>
            <w:vAlign w:val="center"/>
            <w:hideMark/>
          </w:tcPr>
          <w:p w14:paraId="53C15AA4"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0.19</w:t>
            </w:r>
          </w:p>
        </w:tc>
        <w:tc>
          <w:tcPr>
            <w:tcW w:w="586" w:type="dxa"/>
            <w:tcBorders>
              <w:top w:val="nil"/>
              <w:left w:val="nil"/>
              <w:bottom w:val="single" w:sz="4" w:space="0" w:color="auto"/>
              <w:right w:val="single" w:sz="4" w:space="0" w:color="auto"/>
            </w:tcBorders>
            <w:shd w:val="clear" w:color="auto" w:fill="auto"/>
            <w:noWrap/>
            <w:vAlign w:val="center"/>
            <w:hideMark/>
          </w:tcPr>
          <w:p w14:paraId="53C15AA5"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0.13</w:t>
            </w:r>
          </w:p>
        </w:tc>
        <w:tc>
          <w:tcPr>
            <w:tcW w:w="564" w:type="dxa"/>
            <w:tcBorders>
              <w:top w:val="nil"/>
              <w:left w:val="nil"/>
              <w:bottom w:val="single" w:sz="4" w:space="0" w:color="auto"/>
              <w:right w:val="single" w:sz="4" w:space="0" w:color="auto"/>
            </w:tcBorders>
            <w:vAlign w:val="center"/>
          </w:tcPr>
          <w:p w14:paraId="53C15AA6" w14:textId="77777777" w:rsidR="00316B11" w:rsidRPr="00F53F85" w:rsidRDefault="00316B11"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AA7"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662" w:type="dxa"/>
            <w:tcBorders>
              <w:top w:val="nil"/>
              <w:left w:val="nil"/>
              <w:bottom w:val="single" w:sz="4" w:space="0" w:color="auto"/>
              <w:right w:val="single" w:sz="4" w:space="0" w:color="auto"/>
            </w:tcBorders>
            <w:vAlign w:val="center"/>
          </w:tcPr>
          <w:p w14:paraId="53C15AA8" w14:textId="77777777" w:rsidR="00316B11" w:rsidRPr="00F53F85" w:rsidRDefault="00316B11"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AA9"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0.31</w:t>
            </w:r>
          </w:p>
        </w:tc>
        <w:tc>
          <w:tcPr>
            <w:tcW w:w="546" w:type="dxa"/>
            <w:tcBorders>
              <w:top w:val="nil"/>
              <w:left w:val="nil"/>
              <w:bottom w:val="single" w:sz="4" w:space="0" w:color="auto"/>
              <w:right w:val="single" w:sz="4" w:space="0" w:color="auto"/>
            </w:tcBorders>
            <w:shd w:val="clear" w:color="auto" w:fill="auto"/>
            <w:noWrap/>
            <w:vAlign w:val="center"/>
            <w:hideMark/>
          </w:tcPr>
          <w:p w14:paraId="53C15AAA" w14:textId="77777777" w:rsidR="00316B11" w:rsidRPr="00F53F85" w:rsidRDefault="00316B11" w:rsidP="00316B11">
            <w:pPr>
              <w:spacing w:after="0"/>
              <w:jc w:val="center"/>
              <w:rPr>
                <w:rFonts w:ascii="Arial Narrow" w:hAnsi="Arial Narrow"/>
                <w:sz w:val="20"/>
                <w:szCs w:val="20"/>
                <w:lang w:eastAsia="en-AU"/>
              </w:rPr>
            </w:pPr>
          </w:p>
        </w:tc>
        <w:tc>
          <w:tcPr>
            <w:tcW w:w="573" w:type="dxa"/>
            <w:tcBorders>
              <w:top w:val="nil"/>
              <w:left w:val="nil"/>
              <w:bottom w:val="single" w:sz="4" w:space="0" w:color="auto"/>
              <w:right w:val="single" w:sz="4" w:space="0" w:color="auto"/>
            </w:tcBorders>
            <w:shd w:val="clear" w:color="auto" w:fill="auto"/>
            <w:noWrap/>
            <w:vAlign w:val="center"/>
            <w:hideMark/>
          </w:tcPr>
          <w:p w14:paraId="53C15AAB" w14:textId="77777777" w:rsidR="00316B11" w:rsidRPr="00F53F85" w:rsidRDefault="00316B11"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AAC"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536" w:type="dxa"/>
            <w:tcBorders>
              <w:top w:val="nil"/>
              <w:left w:val="nil"/>
              <w:bottom w:val="single" w:sz="4" w:space="0" w:color="auto"/>
              <w:right w:val="single" w:sz="4" w:space="0" w:color="auto"/>
            </w:tcBorders>
            <w:shd w:val="clear" w:color="auto" w:fill="auto"/>
            <w:noWrap/>
            <w:vAlign w:val="center"/>
            <w:hideMark/>
          </w:tcPr>
          <w:p w14:paraId="53C15AAD" w14:textId="77777777" w:rsidR="00316B11" w:rsidRPr="00F53F85" w:rsidRDefault="00316B11"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AAE"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AAF"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AB0"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AB1" w14:textId="77777777" w:rsidR="00316B11" w:rsidRPr="00F53F85" w:rsidRDefault="00316B11" w:rsidP="00316B11">
            <w:pPr>
              <w:spacing w:after="0"/>
              <w:jc w:val="center"/>
              <w:rPr>
                <w:rFonts w:ascii="Arial Narrow" w:hAnsi="Arial Narrow"/>
                <w:sz w:val="20"/>
                <w:szCs w:val="20"/>
                <w:lang w:eastAsia="en-AU"/>
              </w:rPr>
            </w:pPr>
          </w:p>
        </w:tc>
        <w:tc>
          <w:tcPr>
            <w:tcW w:w="630" w:type="dxa"/>
            <w:tcBorders>
              <w:top w:val="nil"/>
              <w:left w:val="nil"/>
              <w:bottom w:val="single" w:sz="4" w:space="0" w:color="auto"/>
              <w:right w:val="single" w:sz="4" w:space="0" w:color="auto"/>
            </w:tcBorders>
            <w:vAlign w:val="center"/>
          </w:tcPr>
          <w:p w14:paraId="53C15AB2" w14:textId="77777777" w:rsidR="00316B11" w:rsidRPr="00F53F85" w:rsidRDefault="00316B11" w:rsidP="00316B11">
            <w:pPr>
              <w:spacing w:after="0"/>
              <w:jc w:val="center"/>
              <w:rPr>
                <w:rFonts w:ascii="Arial Narrow" w:hAnsi="Arial Narrow"/>
                <w:sz w:val="20"/>
                <w:szCs w:val="20"/>
                <w:lang w:eastAsia="en-AU"/>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AB3" w14:textId="77777777" w:rsidR="00316B11" w:rsidRPr="00F53F85" w:rsidRDefault="00316B11" w:rsidP="00316B11">
            <w:pPr>
              <w:spacing w:after="0"/>
              <w:jc w:val="center"/>
              <w:rPr>
                <w:rFonts w:ascii="Arial Narrow" w:hAnsi="Arial Narrow"/>
                <w:sz w:val="20"/>
                <w:szCs w:val="20"/>
                <w:lang w:eastAsia="en-AU"/>
              </w:rPr>
            </w:pPr>
          </w:p>
        </w:tc>
      </w:tr>
      <w:tr w:rsidR="00316B11" w:rsidRPr="00F53F85" w14:paraId="53C15AC9" w14:textId="77777777" w:rsidTr="005B2CA4">
        <w:trPr>
          <w:trHeight w:val="340"/>
        </w:trPr>
        <w:tc>
          <w:tcPr>
            <w:tcW w:w="611" w:type="dxa"/>
            <w:vMerge/>
            <w:tcBorders>
              <w:top w:val="nil"/>
              <w:left w:val="single" w:sz="4" w:space="0" w:color="auto"/>
              <w:bottom w:val="single" w:sz="4" w:space="0" w:color="auto"/>
              <w:right w:val="single" w:sz="4" w:space="0" w:color="auto"/>
            </w:tcBorders>
            <w:vAlign w:val="center"/>
            <w:hideMark/>
          </w:tcPr>
          <w:p w14:paraId="53C15AB5" w14:textId="77777777" w:rsidR="00316B11" w:rsidRPr="00F53F85" w:rsidRDefault="00316B11" w:rsidP="00F53F85">
            <w:pPr>
              <w:spacing w:after="0"/>
              <w:jc w:val="left"/>
              <w:rPr>
                <w:rFonts w:ascii="Arial Narrow" w:hAnsi="Arial Narrow"/>
                <w:sz w:val="20"/>
                <w:lang w:eastAsia="en-AU"/>
              </w:rPr>
            </w:pPr>
          </w:p>
        </w:tc>
        <w:tc>
          <w:tcPr>
            <w:tcW w:w="1134" w:type="dxa"/>
            <w:vMerge w:val="restart"/>
            <w:tcBorders>
              <w:top w:val="nil"/>
              <w:left w:val="single" w:sz="4" w:space="0" w:color="auto"/>
              <w:right w:val="single" w:sz="4" w:space="0" w:color="auto"/>
            </w:tcBorders>
            <w:vAlign w:val="center"/>
          </w:tcPr>
          <w:p w14:paraId="53C15AB6" w14:textId="77777777" w:rsidR="00316B11" w:rsidRPr="00F53F85" w:rsidRDefault="00316B11" w:rsidP="005B2CA4">
            <w:pPr>
              <w:spacing w:after="0"/>
              <w:jc w:val="center"/>
              <w:rPr>
                <w:rFonts w:ascii="Arial Narrow" w:hAnsi="Arial Narrow" w:cs="Calibri"/>
                <w:sz w:val="20"/>
                <w:szCs w:val="20"/>
              </w:rPr>
            </w:pPr>
            <w:r w:rsidRPr="00F53F85">
              <w:rPr>
                <w:rFonts w:ascii="Arial Narrow" w:hAnsi="Arial Narrow"/>
                <w:sz w:val="20"/>
                <w:szCs w:val="20"/>
              </w:rPr>
              <w:t>High West</w:t>
            </w:r>
          </w:p>
        </w:tc>
        <w:tc>
          <w:tcPr>
            <w:tcW w:w="779" w:type="dxa"/>
            <w:tcBorders>
              <w:top w:val="nil"/>
              <w:left w:val="single" w:sz="4" w:space="0" w:color="auto"/>
              <w:bottom w:val="single" w:sz="4" w:space="0" w:color="auto"/>
              <w:right w:val="single" w:sz="4" w:space="0" w:color="auto"/>
            </w:tcBorders>
            <w:vAlign w:val="center"/>
          </w:tcPr>
          <w:p w14:paraId="53C15AB7" w14:textId="77777777" w:rsidR="00316B11" w:rsidRPr="00F53F85" w:rsidRDefault="00316B11" w:rsidP="00316B11">
            <w:pPr>
              <w:spacing w:after="0"/>
              <w:jc w:val="center"/>
              <w:rPr>
                <w:rFonts w:ascii="Arial Narrow" w:hAnsi="Arial Narrow" w:cs="Calibri"/>
                <w:sz w:val="20"/>
                <w:szCs w:val="20"/>
              </w:rPr>
            </w:pPr>
            <w:r w:rsidRPr="00F53F85">
              <w:rPr>
                <w:rFonts w:ascii="Arial Narrow" w:hAnsi="Arial Narrow"/>
                <w:sz w:val="20"/>
                <w:szCs w:val="20"/>
              </w:rPr>
              <w:t>2</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AB8"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0.75</w:t>
            </w:r>
          </w:p>
        </w:tc>
        <w:tc>
          <w:tcPr>
            <w:tcW w:w="536" w:type="dxa"/>
            <w:tcBorders>
              <w:top w:val="nil"/>
              <w:left w:val="nil"/>
              <w:bottom w:val="single" w:sz="4" w:space="0" w:color="auto"/>
              <w:right w:val="single" w:sz="4" w:space="0" w:color="auto"/>
            </w:tcBorders>
            <w:shd w:val="clear" w:color="auto" w:fill="auto"/>
            <w:noWrap/>
            <w:vAlign w:val="center"/>
            <w:hideMark/>
          </w:tcPr>
          <w:p w14:paraId="53C15AB9"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0.13</w:t>
            </w:r>
          </w:p>
        </w:tc>
        <w:tc>
          <w:tcPr>
            <w:tcW w:w="586" w:type="dxa"/>
            <w:tcBorders>
              <w:top w:val="nil"/>
              <w:left w:val="nil"/>
              <w:bottom w:val="single" w:sz="4" w:space="0" w:color="auto"/>
              <w:right w:val="single" w:sz="4" w:space="0" w:color="auto"/>
            </w:tcBorders>
            <w:shd w:val="clear" w:color="auto" w:fill="auto"/>
            <w:noWrap/>
            <w:vAlign w:val="center"/>
            <w:hideMark/>
          </w:tcPr>
          <w:p w14:paraId="53C15ABA" w14:textId="77777777" w:rsidR="00316B11" w:rsidRPr="00F53F85" w:rsidRDefault="00316B11" w:rsidP="00316B11">
            <w:pPr>
              <w:spacing w:after="0"/>
              <w:jc w:val="center"/>
              <w:rPr>
                <w:rFonts w:ascii="Arial Narrow" w:hAnsi="Arial Narrow"/>
                <w:sz w:val="20"/>
                <w:szCs w:val="20"/>
                <w:lang w:eastAsia="en-AU"/>
              </w:rPr>
            </w:pPr>
          </w:p>
        </w:tc>
        <w:tc>
          <w:tcPr>
            <w:tcW w:w="564" w:type="dxa"/>
            <w:tcBorders>
              <w:top w:val="nil"/>
              <w:left w:val="nil"/>
              <w:bottom w:val="single" w:sz="4" w:space="0" w:color="auto"/>
              <w:right w:val="single" w:sz="4" w:space="0" w:color="auto"/>
            </w:tcBorders>
            <w:vAlign w:val="center"/>
          </w:tcPr>
          <w:p w14:paraId="53C15ABB" w14:textId="77777777" w:rsidR="00316B11" w:rsidRPr="00F53F85" w:rsidRDefault="00316B11"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ABC" w14:textId="77777777" w:rsidR="00316B11" w:rsidRPr="00F53F85" w:rsidRDefault="00316B11"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ABD" w14:textId="77777777" w:rsidR="00316B11" w:rsidRPr="00F53F85" w:rsidRDefault="00316B11"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ABE"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4.38</w:t>
            </w:r>
          </w:p>
        </w:tc>
        <w:tc>
          <w:tcPr>
            <w:tcW w:w="546" w:type="dxa"/>
            <w:tcBorders>
              <w:top w:val="nil"/>
              <w:left w:val="nil"/>
              <w:bottom w:val="single" w:sz="4" w:space="0" w:color="auto"/>
              <w:right w:val="single" w:sz="4" w:space="0" w:color="auto"/>
            </w:tcBorders>
            <w:shd w:val="clear" w:color="auto" w:fill="auto"/>
            <w:noWrap/>
            <w:vAlign w:val="center"/>
            <w:hideMark/>
          </w:tcPr>
          <w:p w14:paraId="53C15ABF" w14:textId="77777777" w:rsidR="00316B11" w:rsidRPr="00F53F85" w:rsidRDefault="00316B11" w:rsidP="00316B11">
            <w:pPr>
              <w:spacing w:after="0"/>
              <w:jc w:val="center"/>
              <w:rPr>
                <w:rFonts w:ascii="Arial Narrow" w:hAnsi="Arial Narrow"/>
                <w:sz w:val="20"/>
                <w:szCs w:val="20"/>
                <w:lang w:eastAsia="en-AU"/>
              </w:rPr>
            </w:pPr>
          </w:p>
        </w:tc>
        <w:tc>
          <w:tcPr>
            <w:tcW w:w="573" w:type="dxa"/>
            <w:tcBorders>
              <w:top w:val="nil"/>
              <w:left w:val="nil"/>
              <w:bottom w:val="single" w:sz="4" w:space="0" w:color="auto"/>
              <w:right w:val="single" w:sz="4" w:space="0" w:color="auto"/>
            </w:tcBorders>
            <w:shd w:val="clear" w:color="auto" w:fill="auto"/>
            <w:noWrap/>
            <w:vAlign w:val="center"/>
            <w:hideMark/>
          </w:tcPr>
          <w:p w14:paraId="53C15AC0" w14:textId="77777777" w:rsidR="00316B11" w:rsidRPr="00F53F85" w:rsidRDefault="00316B11"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AC1" w14:textId="77777777" w:rsidR="00316B11" w:rsidRPr="00F53F85" w:rsidRDefault="00316B11"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AC2" w14:textId="77777777" w:rsidR="00316B11" w:rsidRPr="00F53F85" w:rsidRDefault="00316B11"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AC3"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AC4"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AC5"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AC6" w14:textId="77777777" w:rsidR="00316B11" w:rsidRPr="00F53F85" w:rsidRDefault="00316B11" w:rsidP="00316B11">
            <w:pPr>
              <w:spacing w:after="0"/>
              <w:jc w:val="center"/>
              <w:rPr>
                <w:rFonts w:ascii="Arial Narrow" w:hAnsi="Arial Narrow"/>
                <w:sz w:val="20"/>
                <w:szCs w:val="20"/>
                <w:lang w:eastAsia="en-AU"/>
              </w:rPr>
            </w:pPr>
          </w:p>
        </w:tc>
        <w:tc>
          <w:tcPr>
            <w:tcW w:w="630" w:type="dxa"/>
            <w:tcBorders>
              <w:top w:val="nil"/>
              <w:left w:val="nil"/>
              <w:bottom w:val="single" w:sz="4" w:space="0" w:color="auto"/>
              <w:right w:val="single" w:sz="4" w:space="0" w:color="auto"/>
            </w:tcBorders>
            <w:vAlign w:val="center"/>
          </w:tcPr>
          <w:p w14:paraId="53C15AC7" w14:textId="77777777" w:rsidR="00316B11" w:rsidRPr="00F53F85" w:rsidRDefault="00316B11" w:rsidP="00316B11">
            <w:pPr>
              <w:spacing w:after="0"/>
              <w:jc w:val="center"/>
              <w:rPr>
                <w:rFonts w:ascii="Arial Narrow" w:hAnsi="Arial Narrow"/>
                <w:sz w:val="20"/>
                <w:szCs w:val="20"/>
                <w:lang w:eastAsia="en-AU"/>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AC8" w14:textId="77777777" w:rsidR="00316B11" w:rsidRPr="00F53F85" w:rsidRDefault="00316B11" w:rsidP="00316B11">
            <w:pPr>
              <w:spacing w:after="0"/>
              <w:jc w:val="center"/>
              <w:rPr>
                <w:rFonts w:ascii="Arial Narrow" w:hAnsi="Arial Narrow"/>
                <w:sz w:val="20"/>
                <w:szCs w:val="20"/>
                <w:lang w:eastAsia="en-AU"/>
              </w:rPr>
            </w:pPr>
          </w:p>
        </w:tc>
      </w:tr>
      <w:tr w:rsidR="00316B11" w:rsidRPr="00F53F85" w14:paraId="53C15ADE" w14:textId="77777777" w:rsidTr="005B2CA4">
        <w:trPr>
          <w:trHeight w:val="340"/>
        </w:trPr>
        <w:tc>
          <w:tcPr>
            <w:tcW w:w="611" w:type="dxa"/>
            <w:vMerge/>
            <w:tcBorders>
              <w:top w:val="nil"/>
              <w:left w:val="single" w:sz="4" w:space="0" w:color="auto"/>
              <w:bottom w:val="single" w:sz="4" w:space="0" w:color="auto"/>
              <w:right w:val="single" w:sz="4" w:space="0" w:color="auto"/>
            </w:tcBorders>
            <w:vAlign w:val="center"/>
            <w:hideMark/>
          </w:tcPr>
          <w:p w14:paraId="53C15ACA" w14:textId="77777777" w:rsidR="00316B11" w:rsidRPr="00F53F85" w:rsidRDefault="00316B11" w:rsidP="00F53F85">
            <w:pPr>
              <w:spacing w:after="0"/>
              <w:jc w:val="left"/>
              <w:rPr>
                <w:rFonts w:ascii="Arial Narrow" w:hAnsi="Arial Narrow"/>
                <w:sz w:val="20"/>
                <w:lang w:eastAsia="en-AU"/>
              </w:rPr>
            </w:pPr>
          </w:p>
        </w:tc>
        <w:tc>
          <w:tcPr>
            <w:tcW w:w="1134" w:type="dxa"/>
            <w:vMerge/>
            <w:tcBorders>
              <w:left w:val="single" w:sz="4" w:space="0" w:color="auto"/>
              <w:bottom w:val="single" w:sz="4" w:space="0" w:color="auto"/>
              <w:right w:val="single" w:sz="4" w:space="0" w:color="auto"/>
            </w:tcBorders>
            <w:vAlign w:val="center"/>
          </w:tcPr>
          <w:p w14:paraId="53C15ACB" w14:textId="77777777" w:rsidR="00316B11" w:rsidRPr="00F53F85" w:rsidRDefault="00316B11" w:rsidP="00316B11">
            <w:pPr>
              <w:spacing w:after="0"/>
              <w:jc w:val="center"/>
              <w:rPr>
                <w:rFonts w:ascii="Arial Narrow" w:hAnsi="Arial Narrow"/>
                <w:sz w:val="20"/>
                <w:szCs w:val="20"/>
                <w:lang w:eastAsia="en-AU"/>
              </w:rPr>
            </w:pPr>
          </w:p>
        </w:tc>
        <w:tc>
          <w:tcPr>
            <w:tcW w:w="779" w:type="dxa"/>
            <w:tcBorders>
              <w:top w:val="nil"/>
              <w:left w:val="single" w:sz="4" w:space="0" w:color="auto"/>
              <w:bottom w:val="single" w:sz="4" w:space="0" w:color="auto"/>
              <w:right w:val="single" w:sz="4" w:space="0" w:color="auto"/>
            </w:tcBorders>
            <w:vAlign w:val="center"/>
          </w:tcPr>
          <w:p w14:paraId="53C15ACC"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5</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ACD" w14:textId="77777777" w:rsidR="00316B11" w:rsidRPr="00F53F85" w:rsidRDefault="00316B11"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ACE"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586" w:type="dxa"/>
            <w:tcBorders>
              <w:top w:val="nil"/>
              <w:left w:val="nil"/>
              <w:bottom w:val="single" w:sz="4" w:space="0" w:color="auto"/>
              <w:right w:val="single" w:sz="4" w:space="0" w:color="auto"/>
            </w:tcBorders>
            <w:shd w:val="clear" w:color="auto" w:fill="auto"/>
            <w:noWrap/>
            <w:vAlign w:val="center"/>
            <w:hideMark/>
          </w:tcPr>
          <w:p w14:paraId="53C15ACF" w14:textId="77777777" w:rsidR="00316B11" w:rsidRPr="00F53F85" w:rsidRDefault="00316B11" w:rsidP="00316B11">
            <w:pPr>
              <w:spacing w:after="0"/>
              <w:jc w:val="center"/>
              <w:rPr>
                <w:rFonts w:ascii="Arial Narrow" w:hAnsi="Arial Narrow"/>
                <w:sz w:val="20"/>
                <w:szCs w:val="20"/>
                <w:lang w:eastAsia="en-AU"/>
              </w:rPr>
            </w:pPr>
          </w:p>
        </w:tc>
        <w:tc>
          <w:tcPr>
            <w:tcW w:w="564" w:type="dxa"/>
            <w:tcBorders>
              <w:top w:val="nil"/>
              <w:left w:val="nil"/>
              <w:bottom w:val="single" w:sz="4" w:space="0" w:color="auto"/>
              <w:right w:val="single" w:sz="4" w:space="0" w:color="auto"/>
            </w:tcBorders>
            <w:vAlign w:val="center"/>
          </w:tcPr>
          <w:p w14:paraId="53C15AD0" w14:textId="77777777" w:rsidR="00316B11" w:rsidRPr="00F53F85" w:rsidRDefault="00316B11"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AD1" w14:textId="77777777" w:rsidR="00316B11" w:rsidRPr="00F53F85" w:rsidRDefault="00316B11"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AD2" w14:textId="77777777" w:rsidR="00316B11" w:rsidRPr="00F53F85" w:rsidRDefault="00316B11"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AD3"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1.06</w:t>
            </w:r>
          </w:p>
        </w:tc>
        <w:tc>
          <w:tcPr>
            <w:tcW w:w="546" w:type="dxa"/>
            <w:tcBorders>
              <w:top w:val="nil"/>
              <w:left w:val="nil"/>
              <w:bottom w:val="single" w:sz="4" w:space="0" w:color="auto"/>
              <w:right w:val="single" w:sz="4" w:space="0" w:color="auto"/>
            </w:tcBorders>
            <w:shd w:val="clear" w:color="auto" w:fill="auto"/>
            <w:noWrap/>
            <w:vAlign w:val="center"/>
            <w:hideMark/>
          </w:tcPr>
          <w:p w14:paraId="53C15AD4" w14:textId="77777777" w:rsidR="00316B11" w:rsidRPr="00F53F85" w:rsidRDefault="00316B11" w:rsidP="00316B11">
            <w:pPr>
              <w:spacing w:after="0"/>
              <w:jc w:val="center"/>
              <w:rPr>
                <w:rFonts w:ascii="Arial Narrow" w:hAnsi="Arial Narrow"/>
                <w:sz w:val="20"/>
                <w:szCs w:val="20"/>
                <w:lang w:eastAsia="en-AU"/>
              </w:rPr>
            </w:pPr>
          </w:p>
        </w:tc>
        <w:tc>
          <w:tcPr>
            <w:tcW w:w="573" w:type="dxa"/>
            <w:tcBorders>
              <w:top w:val="nil"/>
              <w:left w:val="nil"/>
              <w:bottom w:val="single" w:sz="4" w:space="0" w:color="auto"/>
              <w:right w:val="single" w:sz="4" w:space="0" w:color="auto"/>
            </w:tcBorders>
            <w:shd w:val="clear" w:color="auto" w:fill="auto"/>
            <w:noWrap/>
            <w:vAlign w:val="center"/>
            <w:hideMark/>
          </w:tcPr>
          <w:p w14:paraId="53C15AD5" w14:textId="77777777" w:rsidR="00316B11" w:rsidRPr="00F53F85" w:rsidRDefault="00316B11"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AD6" w14:textId="77777777" w:rsidR="00316B11" w:rsidRPr="00F53F85" w:rsidRDefault="00316B11"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AD7" w14:textId="77777777" w:rsidR="00316B11" w:rsidRPr="00F53F85" w:rsidRDefault="00316B11"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AD8"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AD9"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ADA"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ADB" w14:textId="77777777" w:rsidR="00316B11" w:rsidRPr="00F53F85" w:rsidRDefault="00316B11" w:rsidP="00316B11">
            <w:pPr>
              <w:spacing w:after="0"/>
              <w:jc w:val="center"/>
              <w:rPr>
                <w:rFonts w:ascii="Arial Narrow" w:hAnsi="Arial Narrow"/>
                <w:sz w:val="20"/>
                <w:szCs w:val="20"/>
                <w:lang w:eastAsia="en-AU"/>
              </w:rPr>
            </w:pPr>
          </w:p>
        </w:tc>
        <w:tc>
          <w:tcPr>
            <w:tcW w:w="630" w:type="dxa"/>
            <w:tcBorders>
              <w:top w:val="nil"/>
              <w:left w:val="nil"/>
              <w:bottom w:val="single" w:sz="4" w:space="0" w:color="auto"/>
              <w:right w:val="single" w:sz="4" w:space="0" w:color="auto"/>
            </w:tcBorders>
            <w:vAlign w:val="center"/>
          </w:tcPr>
          <w:p w14:paraId="53C15ADC" w14:textId="77777777" w:rsidR="00316B11" w:rsidRPr="00F53F85" w:rsidRDefault="00316B11" w:rsidP="00316B11">
            <w:pPr>
              <w:spacing w:after="0"/>
              <w:jc w:val="center"/>
              <w:rPr>
                <w:rFonts w:ascii="Arial Narrow" w:hAnsi="Arial Narrow"/>
                <w:sz w:val="20"/>
                <w:szCs w:val="20"/>
                <w:lang w:eastAsia="en-AU"/>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ADD" w14:textId="77777777" w:rsidR="00316B11" w:rsidRPr="00F53F85" w:rsidRDefault="00316B11" w:rsidP="00316B11">
            <w:pPr>
              <w:spacing w:after="0"/>
              <w:jc w:val="center"/>
              <w:rPr>
                <w:rFonts w:ascii="Arial Narrow" w:hAnsi="Arial Narrow"/>
                <w:sz w:val="20"/>
                <w:szCs w:val="20"/>
                <w:lang w:eastAsia="en-AU"/>
              </w:rPr>
            </w:pPr>
          </w:p>
        </w:tc>
      </w:tr>
      <w:tr w:rsidR="00316B11" w:rsidRPr="00F53F85" w14:paraId="53C15AF3" w14:textId="77777777" w:rsidTr="005B2CA4">
        <w:trPr>
          <w:trHeight w:val="340"/>
        </w:trPr>
        <w:tc>
          <w:tcPr>
            <w:tcW w:w="611" w:type="dxa"/>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14:paraId="53C15ADF" w14:textId="77777777" w:rsidR="00316B11" w:rsidRPr="00F53F85" w:rsidRDefault="008E17A4" w:rsidP="00F53F85">
            <w:pPr>
              <w:spacing w:after="0"/>
              <w:ind w:left="113" w:right="113"/>
              <w:jc w:val="center"/>
              <w:rPr>
                <w:rFonts w:ascii="Arial Narrow" w:hAnsi="Arial Narrow"/>
                <w:sz w:val="20"/>
                <w:lang w:eastAsia="en-AU"/>
              </w:rPr>
            </w:pPr>
            <w:r>
              <w:rPr>
                <w:rFonts w:ascii="Arial Narrow" w:hAnsi="Arial Narrow"/>
                <w:sz w:val="20"/>
                <w:lang w:eastAsia="en-AU"/>
              </w:rPr>
              <w:t xml:space="preserve">Herbert </w:t>
            </w:r>
            <w:r w:rsidR="00316B11">
              <w:rPr>
                <w:rFonts w:ascii="Arial Narrow" w:hAnsi="Arial Narrow"/>
                <w:sz w:val="20"/>
                <w:lang w:eastAsia="en-AU"/>
              </w:rPr>
              <w:t>Tully</w:t>
            </w:r>
          </w:p>
        </w:tc>
        <w:tc>
          <w:tcPr>
            <w:tcW w:w="1134" w:type="dxa"/>
            <w:vMerge w:val="restart"/>
            <w:tcBorders>
              <w:top w:val="nil"/>
              <w:left w:val="single" w:sz="4" w:space="0" w:color="auto"/>
              <w:right w:val="single" w:sz="4" w:space="0" w:color="auto"/>
            </w:tcBorders>
            <w:vAlign w:val="center"/>
          </w:tcPr>
          <w:p w14:paraId="53C15AE0" w14:textId="77777777" w:rsidR="00316B11" w:rsidRPr="00F53F85" w:rsidRDefault="00316B11" w:rsidP="00316B11">
            <w:pPr>
              <w:spacing w:after="0"/>
              <w:jc w:val="center"/>
              <w:rPr>
                <w:rFonts w:ascii="Arial Narrow" w:hAnsi="Arial Narrow" w:cs="Calibri"/>
                <w:sz w:val="20"/>
                <w:szCs w:val="20"/>
              </w:rPr>
            </w:pPr>
            <w:r w:rsidRPr="00F53F85">
              <w:rPr>
                <w:rFonts w:ascii="Arial Narrow" w:hAnsi="Arial Narrow"/>
                <w:sz w:val="20"/>
                <w:szCs w:val="20"/>
              </w:rPr>
              <w:t>Barnards</w:t>
            </w:r>
          </w:p>
        </w:tc>
        <w:tc>
          <w:tcPr>
            <w:tcW w:w="779" w:type="dxa"/>
            <w:tcBorders>
              <w:top w:val="nil"/>
              <w:left w:val="single" w:sz="4" w:space="0" w:color="auto"/>
              <w:bottom w:val="single" w:sz="4" w:space="0" w:color="auto"/>
              <w:right w:val="single" w:sz="4" w:space="0" w:color="auto"/>
            </w:tcBorders>
            <w:vAlign w:val="center"/>
          </w:tcPr>
          <w:p w14:paraId="53C15AE1" w14:textId="77777777" w:rsidR="00316B11" w:rsidRPr="00F53F85" w:rsidRDefault="00316B11" w:rsidP="00316B11">
            <w:pPr>
              <w:spacing w:after="0"/>
              <w:jc w:val="center"/>
              <w:rPr>
                <w:rFonts w:ascii="Arial Narrow" w:hAnsi="Arial Narrow" w:cs="Calibri"/>
                <w:sz w:val="20"/>
                <w:szCs w:val="20"/>
              </w:rPr>
            </w:pPr>
            <w:r w:rsidRPr="00F53F85">
              <w:rPr>
                <w:rFonts w:ascii="Arial Narrow" w:hAnsi="Arial Narrow"/>
                <w:sz w:val="20"/>
                <w:szCs w:val="20"/>
              </w:rPr>
              <w:t>2</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tcPr>
          <w:p w14:paraId="53C15AE2"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0.19</w:t>
            </w:r>
          </w:p>
        </w:tc>
        <w:tc>
          <w:tcPr>
            <w:tcW w:w="536" w:type="dxa"/>
            <w:tcBorders>
              <w:top w:val="nil"/>
              <w:left w:val="nil"/>
              <w:bottom w:val="single" w:sz="4" w:space="0" w:color="auto"/>
              <w:right w:val="single" w:sz="4" w:space="0" w:color="auto"/>
            </w:tcBorders>
            <w:shd w:val="clear" w:color="auto" w:fill="auto"/>
            <w:noWrap/>
            <w:vAlign w:val="center"/>
            <w:hideMark/>
          </w:tcPr>
          <w:p w14:paraId="53C15AE3"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0.31</w:t>
            </w:r>
          </w:p>
        </w:tc>
        <w:tc>
          <w:tcPr>
            <w:tcW w:w="586" w:type="dxa"/>
            <w:tcBorders>
              <w:top w:val="nil"/>
              <w:left w:val="nil"/>
              <w:bottom w:val="single" w:sz="4" w:space="0" w:color="auto"/>
              <w:right w:val="single" w:sz="4" w:space="0" w:color="auto"/>
            </w:tcBorders>
            <w:shd w:val="clear" w:color="auto" w:fill="auto"/>
            <w:noWrap/>
            <w:vAlign w:val="center"/>
            <w:hideMark/>
          </w:tcPr>
          <w:p w14:paraId="53C15AE4" w14:textId="77777777" w:rsidR="00316B11" w:rsidRPr="00F53F85" w:rsidRDefault="00316B11" w:rsidP="00316B11">
            <w:pPr>
              <w:spacing w:after="0"/>
              <w:jc w:val="center"/>
              <w:rPr>
                <w:rFonts w:ascii="Arial Narrow" w:hAnsi="Arial Narrow"/>
                <w:sz w:val="20"/>
                <w:szCs w:val="20"/>
                <w:lang w:eastAsia="en-AU"/>
              </w:rPr>
            </w:pPr>
          </w:p>
        </w:tc>
        <w:tc>
          <w:tcPr>
            <w:tcW w:w="564" w:type="dxa"/>
            <w:tcBorders>
              <w:top w:val="nil"/>
              <w:left w:val="nil"/>
              <w:bottom w:val="single" w:sz="4" w:space="0" w:color="auto"/>
              <w:right w:val="single" w:sz="4" w:space="0" w:color="auto"/>
            </w:tcBorders>
            <w:vAlign w:val="center"/>
          </w:tcPr>
          <w:p w14:paraId="53C15AE5" w14:textId="77777777" w:rsidR="00316B11" w:rsidRPr="00F53F85" w:rsidRDefault="00316B11"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AE6" w14:textId="77777777" w:rsidR="00316B11" w:rsidRPr="00F53F85" w:rsidRDefault="00316B11"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AE7" w14:textId="77777777" w:rsidR="00316B11" w:rsidRPr="00F53F85" w:rsidRDefault="00316B11" w:rsidP="00316B11">
            <w:pPr>
              <w:spacing w:after="0"/>
              <w:jc w:val="center"/>
              <w:rPr>
                <w:rFonts w:ascii="Arial Narrow" w:hAnsi="Arial Narrow"/>
                <w:sz w:val="20"/>
                <w:szCs w:val="20"/>
                <w:lang w:eastAsia="en-AU"/>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AE8"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0.13</w:t>
            </w:r>
          </w:p>
        </w:tc>
        <w:tc>
          <w:tcPr>
            <w:tcW w:w="546" w:type="dxa"/>
            <w:tcBorders>
              <w:top w:val="nil"/>
              <w:left w:val="nil"/>
              <w:bottom w:val="single" w:sz="4" w:space="0" w:color="auto"/>
              <w:right w:val="single" w:sz="4" w:space="0" w:color="auto"/>
            </w:tcBorders>
            <w:shd w:val="clear" w:color="auto" w:fill="auto"/>
            <w:noWrap/>
            <w:vAlign w:val="center"/>
            <w:hideMark/>
          </w:tcPr>
          <w:p w14:paraId="53C15AE9" w14:textId="77777777" w:rsidR="00316B11" w:rsidRPr="00F53F85" w:rsidRDefault="00316B11" w:rsidP="00316B11">
            <w:pPr>
              <w:spacing w:after="0"/>
              <w:jc w:val="center"/>
              <w:rPr>
                <w:rFonts w:ascii="Arial Narrow" w:hAnsi="Arial Narrow"/>
                <w:sz w:val="20"/>
                <w:szCs w:val="20"/>
                <w:lang w:eastAsia="en-AU"/>
              </w:rPr>
            </w:pPr>
          </w:p>
        </w:tc>
        <w:tc>
          <w:tcPr>
            <w:tcW w:w="573" w:type="dxa"/>
            <w:tcBorders>
              <w:top w:val="nil"/>
              <w:left w:val="nil"/>
              <w:bottom w:val="single" w:sz="4" w:space="0" w:color="auto"/>
              <w:right w:val="single" w:sz="4" w:space="0" w:color="auto"/>
            </w:tcBorders>
            <w:shd w:val="clear" w:color="auto" w:fill="auto"/>
            <w:noWrap/>
            <w:vAlign w:val="center"/>
            <w:hideMark/>
          </w:tcPr>
          <w:p w14:paraId="53C15AEA" w14:textId="77777777" w:rsidR="00316B11" w:rsidRPr="00F53F85" w:rsidRDefault="00316B11"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AEB" w14:textId="77777777" w:rsidR="00316B11" w:rsidRPr="00F53F85" w:rsidRDefault="00316B11"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AEC" w14:textId="77777777" w:rsidR="00316B11" w:rsidRPr="00F53F85" w:rsidRDefault="00316B11"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AED"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AEE"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0.31</w:t>
            </w:r>
          </w:p>
        </w:tc>
        <w:tc>
          <w:tcPr>
            <w:tcW w:w="788" w:type="dxa"/>
            <w:tcBorders>
              <w:top w:val="nil"/>
              <w:left w:val="nil"/>
              <w:bottom w:val="single" w:sz="4" w:space="0" w:color="auto"/>
              <w:right w:val="single" w:sz="4" w:space="0" w:color="auto"/>
            </w:tcBorders>
            <w:shd w:val="clear" w:color="auto" w:fill="auto"/>
            <w:noWrap/>
            <w:vAlign w:val="center"/>
            <w:hideMark/>
          </w:tcPr>
          <w:p w14:paraId="53C15AEF"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AF0" w14:textId="77777777" w:rsidR="00316B11" w:rsidRPr="00F53F85" w:rsidRDefault="00316B11" w:rsidP="00316B11">
            <w:pPr>
              <w:spacing w:after="0"/>
              <w:jc w:val="center"/>
              <w:rPr>
                <w:rFonts w:ascii="Arial Narrow" w:hAnsi="Arial Narrow"/>
                <w:sz w:val="20"/>
                <w:szCs w:val="20"/>
                <w:lang w:eastAsia="en-AU"/>
              </w:rPr>
            </w:pPr>
          </w:p>
        </w:tc>
        <w:tc>
          <w:tcPr>
            <w:tcW w:w="630" w:type="dxa"/>
            <w:tcBorders>
              <w:top w:val="nil"/>
              <w:left w:val="nil"/>
              <w:bottom w:val="single" w:sz="4" w:space="0" w:color="auto"/>
              <w:right w:val="single" w:sz="4" w:space="0" w:color="auto"/>
            </w:tcBorders>
            <w:vAlign w:val="center"/>
          </w:tcPr>
          <w:p w14:paraId="53C15AF1" w14:textId="77777777" w:rsidR="00316B11" w:rsidRPr="00F53F85" w:rsidRDefault="00316B11" w:rsidP="00316B11">
            <w:pPr>
              <w:spacing w:after="0"/>
              <w:jc w:val="center"/>
              <w:rPr>
                <w:rFonts w:ascii="Arial Narrow" w:hAnsi="Arial Narrow"/>
                <w:sz w:val="20"/>
                <w:szCs w:val="20"/>
                <w:lang w:eastAsia="en-AU"/>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AF2"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0.06</w:t>
            </w:r>
          </w:p>
        </w:tc>
      </w:tr>
      <w:tr w:rsidR="00316B11" w:rsidRPr="00F53F85" w14:paraId="53C15B08" w14:textId="77777777" w:rsidTr="005B2CA4">
        <w:trPr>
          <w:trHeight w:val="340"/>
        </w:trPr>
        <w:tc>
          <w:tcPr>
            <w:tcW w:w="611" w:type="dxa"/>
            <w:vMerge/>
            <w:tcBorders>
              <w:top w:val="nil"/>
              <w:left w:val="single" w:sz="4" w:space="0" w:color="auto"/>
              <w:bottom w:val="single" w:sz="4" w:space="0" w:color="auto"/>
              <w:right w:val="single" w:sz="4" w:space="0" w:color="auto"/>
            </w:tcBorders>
            <w:vAlign w:val="center"/>
            <w:hideMark/>
          </w:tcPr>
          <w:p w14:paraId="53C15AF4" w14:textId="77777777" w:rsidR="00316B11" w:rsidRPr="00F53F85" w:rsidRDefault="00316B11" w:rsidP="00F53F85">
            <w:pPr>
              <w:spacing w:after="0"/>
              <w:jc w:val="left"/>
              <w:rPr>
                <w:rFonts w:ascii="Arial Narrow" w:hAnsi="Arial Narrow"/>
                <w:sz w:val="20"/>
                <w:lang w:eastAsia="en-AU"/>
              </w:rPr>
            </w:pPr>
          </w:p>
        </w:tc>
        <w:tc>
          <w:tcPr>
            <w:tcW w:w="1134" w:type="dxa"/>
            <w:vMerge/>
            <w:tcBorders>
              <w:left w:val="single" w:sz="4" w:space="0" w:color="auto"/>
              <w:bottom w:val="single" w:sz="4" w:space="0" w:color="auto"/>
              <w:right w:val="single" w:sz="4" w:space="0" w:color="auto"/>
            </w:tcBorders>
            <w:vAlign w:val="center"/>
          </w:tcPr>
          <w:p w14:paraId="53C15AF5" w14:textId="77777777" w:rsidR="00316B11" w:rsidRPr="00F53F85" w:rsidRDefault="00316B11" w:rsidP="00316B11">
            <w:pPr>
              <w:spacing w:after="0"/>
              <w:jc w:val="center"/>
              <w:rPr>
                <w:rFonts w:ascii="Arial Narrow" w:hAnsi="Arial Narrow"/>
                <w:sz w:val="20"/>
                <w:szCs w:val="20"/>
                <w:lang w:eastAsia="en-AU"/>
              </w:rPr>
            </w:pPr>
          </w:p>
        </w:tc>
        <w:tc>
          <w:tcPr>
            <w:tcW w:w="779" w:type="dxa"/>
            <w:tcBorders>
              <w:top w:val="nil"/>
              <w:left w:val="single" w:sz="4" w:space="0" w:color="auto"/>
              <w:bottom w:val="single" w:sz="4" w:space="0" w:color="auto"/>
              <w:right w:val="single" w:sz="4" w:space="0" w:color="auto"/>
            </w:tcBorders>
            <w:vAlign w:val="center"/>
          </w:tcPr>
          <w:p w14:paraId="53C15AF6"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5</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tcPr>
          <w:p w14:paraId="53C15AF7" w14:textId="77777777" w:rsidR="00316B11" w:rsidRPr="00F53F85" w:rsidRDefault="00316B11"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AF8"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0.38</w:t>
            </w:r>
          </w:p>
        </w:tc>
        <w:tc>
          <w:tcPr>
            <w:tcW w:w="586" w:type="dxa"/>
            <w:tcBorders>
              <w:top w:val="nil"/>
              <w:left w:val="nil"/>
              <w:bottom w:val="single" w:sz="4" w:space="0" w:color="auto"/>
              <w:right w:val="single" w:sz="4" w:space="0" w:color="auto"/>
            </w:tcBorders>
            <w:shd w:val="clear" w:color="auto" w:fill="auto"/>
            <w:noWrap/>
            <w:vAlign w:val="center"/>
            <w:hideMark/>
          </w:tcPr>
          <w:p w14:paraId="53C15AF9"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564" w:type="dxa"/>
            <w:tcBorders>
              <w:top w:val="nil"/>
              <w:left w:val="nil"/>
              <w:bottom w:val="single" w:sz="4" w:space="0" w:color="auto"/>
              <w:right w:val="single" w:sz="4" w:space="0" w:color="auto"/>
            </w:tcBorders>
            <w:vAlign w:val="center"/>
          </w:tcPr>
          <w:p w14:paraId="53C15AFA" w14:textId="77777777" w:rsidR="00316B11" w:rsidRPr="00F53F85" w:rsidRDefault="00316B11" w:rsidP="00316B11">
            <w:pPr>
              <w:spacing w:after="0"/>
              <w:jc w:val="center"/>
              <w:rPr>
                <w:rFonts w:ascii="Arial Narrow" w:hAnsi="Arial Narrow"/>
                <w:sz w:val="20"/>
                <w:szCs w:val="20"/>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AFB" w14:textId="77777777" w:rsidR="00316B11" w:rsidRPr="00F53F85" w:rsidRDefault="00316B11"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AFC" w14:textId="77777777" w:rsidR="00316B11" w:rsidRPr="00F53F85" w:rsidRDefault="00316B11" w:rsidP="00316B11">
            <w:pPr>
              <w:spacing w:after="0"/>
              <w:jc w:val="center"/>
              <w:rPr>
                <w:rFonts w:ascii="Arial Narrow" w:hAnsi="Arial Narrow"/>
                <w:sz w:val="20"/>
                <w:szCs w:val="20"/>
                <w:lang w:eastAsia="en-AU"/>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AFD"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0.19</w:t>
            </w:r>
          </w:p>
        </w:tc>
        <w:tc>
          <w:tcPr>
            <w:tcW w:w="546" w:type="dxa"/>
            <w:tcBorders>
              <w:top w:val="nil"/>
              <w:left w:val="nil"/>
              <w:bottom w:val="single" w:sz="4" w:space="0" w:color="auto"/>
              <w:right w:val="single" w:sz="4" w:space="0" w:color="auto"/>
            </w:tcBorders>
            <w:shd w:val="clear" w:color="auto" w:fill="auto"/>
            <w:noWrap/>
            <w:vAlign w:val="center"/>
            <w:hideMark/>
          </w:tcPr>
          <w:p w14:paraId="53C15AFE"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0.31</w:t>
            </w:r>
          </w:p>
        </w:tc>
        <w:tc>
          <w:tcPr>
            <w:tcW w:w="573" w:type="dxa"/>
            <w:tcBorders>
              <w:top w:val="nil"/>
              <w:left w:val="nil"/>
              <w:bottom w:val="single" w:sz="4" w:space="0" w:color="auto"/>
              <w:right w:val="single" w:sz="4" w:space="0" w:color="auto"/>
            </w:tcBorders>
            <w:shd w:val="clear" w:color="auto" w:fill="auto"/>
            <w:noWrap/>
            <w:vAlign w:val="center"/>
            <w:hideMark/>
          </w:tcPr>
          <w:p w14:paraId="53C15AFF" w14:textId="77777777" w:rsidR="00316B11" w:rsidRPr="00F53F85" w:rsidRDefault="00316B11"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B00" w14:textId="77777777" w:rsidR="00316B11" w:rsidRPr="00F53F85" w:rsidRDefault="00316B11"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B01" w14:textId="77777777" w:rsidR="00316B11" w:rsidRPr="00F53F85" w:rsidRDefault="00316B11"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B02"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B03"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0.38</w:t>
            </w:r>
          </w:p>
        </w:tc>
        <w:tc>
          <w:tcPr>
            <w:tcW w:w="788" w:type="dxa"/>
            <w:tcBorders>
              <w:top w:val="nil"/>
              <w:left w:val="nil"/>
              <w:bottom w:val="single" w:sz="4" w:space="0" w:color="auto"/>
              <w:right w:val="single" w:sz="4" w:space="0" w:color="auto"/>
            </w:tcBorders>
            <w:shd w:val="clear" w:color="auto" w:fill="auto"/>
            <w:noWrap/>
            <w:vAlign w:val="center"/>
            <w:hideMark/>
          </w:tcPr>
          <w:p w14:paraId="53C15B04"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B05" w14:textId="77777777" w:rsidR="00316B11" w:rsidRPr="00F53F85" w:rsidRDefault="00316B11" w:rsidP="00316B11">
            <w:pPr>
              <w:spacing w:after="0"/>
              <w:jc w:val="center"/>
              <w:rPr>
                <w:rFonts w:ascii="Arial Narrow" w:hAnsi="Arial Narrow"/>
                <w:sz w:val="20"/>
                <w:szCs w:val="20"/>
                <w:lang w:eastAsia="en-AU"/>
              </w:rPr>
            </w:pPr>
          </w:p>
        </w:tc>
        <w:tc>
          <w:tcPr>
            <w:tcW w:w="630" w:type="dxa"/>
            <w:tcBorders>
              <w:top w:val="nil"/>
              <w:left w:val="nil"/>
              <w:bottom w:val="single" w:sz="4" w:space="0" w:color="auto"/>
              <w:right w:val="single" w:sz="4" w:space="0" w:color="auto"/>
            </w:tcBorders>
            <w:vAlign w:val="center"/>
          </w:tcPr>
          <w:p w14:paraId="53C15B06" w14:textId="77777777" w:rsidR="00316B11" w:rsidRPr="00F53F85" w:rsidRDefault="00316B11" w:rsidP="00316B11">
            <w:pPr>
              <w:spacing w:after="0"/>
              <w:jc w:val="center"/>
              <w:rPr>
                <w:rFonts w:ascii="Arial Narrow" w:hAnsi="Arial Narrow"/>
                <w:sz w:val="20"/>
                <w:szCs w:val="20"/>
                <w:lang w:eastAsia="en-AU"/>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B07"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0.06</w:t>
            </w:r>
          </w:p>
        </w:tc>
      </w:tr>
      <w:tr w:rsidR="00316B11" w:rsidRPr="00F53F85" w14:paraId="53C15B1D" w14:textId="77777777" w:rsidTr="005B2CA4">
        <w:trPr>
          <w:trHeight w:val="340"/>
        </w:trPr>
        <w:tc>
          <w:tcPr>
            <w:tcW w:w="611" w:type="dxa"/>
            <w:vMerge/>
            <w:tcBorders>
              <w:top w:val="nil"/>
              <w:left w:val="single" w:sz="4" w:space="0" w:color="auto"/>
              <w:bottom w:val="single" w:sz="4" w:space="0" w:color="auto"/>
              <w:right w:val="single" w:sz="4" w:space="0" w:color="auto"/>
            </w:tcBorders>
            <w:vAlign w:val="center"/>
            <w:hideMark/>
          </w:tcPr>
          <w:p w14:paraId="53C15B09" w14:textId="77777777" w:rsidR="00316B11" w:rsidRPr="00F53F85" w:rsidRDefault="00316B11" w:rsidP="00F53F85">
            <w:pPr>
              <w:spacing w:after="0"/>
              <w:jc w:val="left"/>
              <w:rPr>
                <w:rFonts w:ascii="Arial Narrow" w:hAnsi="Arial Narrow"/>
                <w:sz w:val="20"/>
                <w:lang w:eastAsia="en-AU"/>
              </w:rPr>
            </w:pPr>
          </w:p>
        </w:tc>
        <w:tc>
          <w:tcPr>
            <w:tcW w:w="1134" w:type="dxa"/>
            <w:vMerge w:val="restart"/>
            <w:tcBorders>
              <w:top w:val="nil"/>
              <w:left w:val="single" w:sz="4" w:space="0" w:color="auto"/>
              <w:right w:val="single" w:sz="4" w:space="0" w:color="auto"/>
            </w:tcBorders>
            <w:vAlign w:val="center"/>
          </w:tcPr>
          <w:p w14:paraId="53C15B0A"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Dunk North</w:t>
            </w:r>
          </w:p>
        </w:tc>
        <w:tc>
          <w:tcPr>
            <w:tcW w:w="779" w:type="dxa"/>
            <w:tcBorders>
              <w:top w:val="nil"/>
              <w:left w:val="single" w:sz="4" w:space="0" w:color="auto"/>
              <w:bottom w:val="single" w:sz="4" w:space="0" w:color="auto"/>
              <w:right w:val="single" w:sz="4" w:space="0" w:color="auto"/>
            </w:tcBorders>
            <w:vAlign w:val="center"/>
          </w:tcPr>
          <w:p w14:paraId="53C15B0B"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2</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tcPr>
          <w:p w14:paraId="53C15B0C" w14:textId="77777777" w:rsidR="00316B11" w:rsidRPr="00F53F85" w:rsidRDefault="00316B11"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B0D"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0.25</w:t>
            </w:r>
          </w:p>
        </w:tc>
        <w:tc>
          <w:tcPr>
            <w:tcW w:w="586" w:type="dxa"/>
            <w:tcBorders>
              <w:top w:val="nil"/>
              <w:left w:val="nil"/>
              <w:bottom w:val="single" w:sz="4" w:space="0" w:color="auto"/>
              <w:right w:val="single" w:sz="4" w:space="0" w:color="auto"/>
            </w:tcBorders>
            <w:shd w:val="clear" w:color="auto" w:fill="auto"/>
            <w:noWrap/>
            <w:vAlign w:val="center"/>
            <w:hideMark/>
          </w:tcPr>
          <w:p w14:paraId="53C15B0E"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0.31</w:t>
            </w:r>
          </w:p>
        </w:tc>
        <w:tc>
          <w:tcPr>
            <w:tcW w:w="564" w:type="dxa"/>
            <w:tcBorders>
              <w:top w:val="nil"/>
              <w:left w:val="nil"/>
              <w:bottom w:val="single" w:sz="4" w:space="0" w:color="auto"/>
              <w:right w:val="single" w:sz="4" w:space="0" w:color="auto"/>
            </w:tcBorders>
            <w:vAlign w:val="center"/>
          </w:tcPr>
          <w:p w14:paraId="53C15B0F" w14:textId="77777777" w:rsidR="00316B11" w:rsidRPr="00F53F85" w:rsidRDefault="00316B11"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B10" w14:textId="77777777" w:rsidR="00316B11" w:rsidRPr="00F53F85" w:rsidRDefault="00316B11"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B11" w14:textId="77777777" w:rsidR="00316B11" w:rsidRPr="00F53F85" w:rsidRDefault="00316B11"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B12"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1.75</w:t>
            </w:r>
          </w:p>
        </w:tc>
        <w:tc>
          <w:tcPr>
            <w:tcW w:w="546" w:type="dxa"/>
            <w:tcBorders>
              <w:top w:val="nil"/>
              <w:left w:val="nil"/>
              <w:bottom w:val="single" w:sz="4" w:space="0" w:color="auto"/>
              <w:right w:val="single" w:sz="4" w:space="0" w:color="auto"/>
            </w:tcBorders>
            <w:shd w:val="clear" w:color="auto" w:fill="auto"/>
            <w:noWrap/>
            <w:vAlign w:val="center"/>
            <w:hideMark/>
          </w:tcPr>
          <w:p w14:paraId="53C15B13" w14:textId="77777777" w:rsidR="00316B11" w:rsidRPr="00F53F85" w:rsidRDefault="00316B11" w:rsidP="00316B11">
            <w:pPr>
              <w:spacing w:after="0"/>
              <w:jc w:val="center"/>
              <w:rPr>
                <w:rFonts w:ascii="Arial Narrow" w:hAnsi="Arial Narrow"/>
                <w:sz w:val="20"/>
                <w:szCs w:val="20"/>
                <w:lang w:eastAsia="en-AU"/>
              </w:rPr>
            </w:pPr>
          </w:p>
        </w:tc>
        <w:tc>
          <w:tcPr>
            <w:tcW w:w="573" w:type="dxa"/>
            <w:tcBorders>
              <w:top w:val="nil"/>
              <w:left w:val="nil"/>
              <w:bottom w:val="single" w:sz="4" w:space="0" w:color="auto"/>
              <w:right w:val="single" w:sz="4" w:space="0" w:color="auto"/>
            </w:tcBorders>
            <w:shd w:val="clear" w:color="auto" w:fill="auto"/>
            <w:noWrap/>
            <w:vAlign w:val="center"/>
            <w:hideMark/>
          </w:tcPr>
          <w:p w14:paraId="53C15B14" w14:textId="77777777" w:rsidR="00316B11" w:rsidRPr="00F53F85" w:rsidRDefault="00316B11"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B15" w14:textId="77777777" w:rsidR="00316B11" w:rsidRPr="00F53F85" w:rsidRDefault="00316B11"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B16" w14:textId="77777777" w:rsidR="00316B11" w:rsidRPr="00F53F85" w:rsidRDefault="00316B11"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B17"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B18"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0.13</w:t>
            </w:r>
          </w:p>
        </w:tc>
        <w:tc>
          <w:tcPr>
            <w:tcW w:w="788" w:type="dxa"/>
            <w:tcBorders>
              <w:top w:val="nil"/>
              <w:left w:val="nil"/>
              <w:bottom w:val="single" w:sz="4" w:space="0" w:color="auto"/>
              <w:right w:val="single" w:sz="4" w:space="0" w:color="auto"/>
            </w:tcBorders>
            <w:shd w:val="clear" w:color="auto" w:fill="auto"/>
            <w:noWrap/>
            <w:vAlign w:val="center"/>
            <w:hideMark/>
          </w:tcPr>
          <w:p w14:paraId="53C15B19"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0.81</w:t>
            </w:r>
          </w:p>
        </w:tc>
        <w:tc>
          <w:tcPr>
            <w:tcW w:w="788" w:type="dxa"/>
            <w:tcBorders>
              <w:top w:val="nil"/>
              <w:left w:val="nil"/>
              <w:bottom w:val="single" w:sz="4" w:space="0" w:color="auto"/>
              <w:right w:val="single" w:sz="4" w:space="0" w:color="auto"/>
            </w:tcBorders>
            <w:shd w:val="clear" w:color="auto" w:fill="auto"/>
            <w:noWrap/>
            <w:vAlign w:val="center"/>
            <w:hideMark/>
          </w:tcPr>
          <w:p w14:paraId="53C15B1A"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7.44</w:t>
            </w:r>
          </w:p>
        </w:tc>
        <w:tc>
          <w:tcPr>
            <w:tcW w:w="630" w:type="dxa"/>
            <w:tcBorders>
              <w:top w:val="nil"/>
              <w:left w:val="nil"/>
              <w:bottom w:val="single" w:sz="4" w:space="0" w:color="auto"/>
              <w:right w:val="single" w:sz="4" w:space="0" w:color="auto"/>
            </w:tcBorders>
            <w:vAlign w:val="center"/>
          </w:tcPr>
          <w:p w14:paraId="53C15B1B" w14:textId="77777777" w:rsidR="00316B11" w:rsidRPr="00F53F85" w:rsidRDefault="00316B11" w:rsidP="00316B11">
            <w:pPr>
              <w:spacing w:after="0"/>
              <w:jc w:val="center"/>
              <w:rPr>
                <w:rFonts w:ascii="Arial Narrow" w:hAnsi="Arial Narrow"/>
                <w:sz w:val="20"/>
                <w:szCs w:val="20"/>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B1C"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0.56</w:t>
            </w:r>
          </w:p>
        </w:tc>
      </w:tr>
      <w:tr w:rsidR="00316B11" w:rsidRPr="00F53F85" w14:paraId="53C15B32" w14:textId="77777777" w:rsidTr="005B2CA4">
        <w:trPr>
          <w:trHeight w:val="340"/>
        </w:trPr>
        <w:tc>
          <w:tcPr>
            <w:tcW w:w="611" w:type="dxa"/>
            <w:vMerge/>
            <w:tcBorders>
              <w:top w:val="nil"/>
              <w:left w:val="single" w:sz="4" w:space="0" w:color="auto"/>
              <w:bottom w:val="single" w:sz="4" w:space="0" w:color="auto"/>
              <w:right w:val="single" w:sz="4" w:space="0" w:color="auto"/>
            </w:tcBorders>
            <w:vAlign w:val="center"/>
            <w:hideMark/>
          </w:tcPr>
          <w:p w14:paraId="53C15B1E" w14:textId="77777777" w:rsidR="00316B11" w:rsidRPr="00F53F85" w:rsidRDefault="00316B11" w:rsidP="00F53F85">
            <w:pPr>
              <w:spacing w:after="0"/>
              <w:jc w:val="left"/>
              <w:rPr>
                <w:rFonts w:ascii="Arial Narrow" w:hAnsi="Arial Narrow"/>
                <w:sz w:val="20"/>
                <w:lang w:eastAsia="en-AU"/>
              </w:rPr>
            </w:pPr>
          </w:p>
        </w:tc>
        <w:tc>
          <w:tcPr>
            <w:tcW w:w="1134" w:type="dxa"/>
            <w:vMerge/>
            <w:tcBorders>
              <w:left w:val="single" w:sz="4" w:space="0" w:color="auto"/>
              <w:bottom w:val="single" w:sz="4" w:space="0" w:color="auto"/>
              <w:right w:val="single" w:sz="4" w:space="0" w:color="auto"/>
            </w:tcBorders>
            <w:vAlign w:val="center"/>
          </w:tcPr>
          <w:p w14:paraId="53C15B1F" w14:textId="77777777" w:rsidR="00316B11" w:rsidRPr="00F53F85" w:rsidRDefault="00316B11" w:rsidP="00316B11">
            <w:pPr>
              <w:spacing w:after="0"/>
              <w:jc w:val="center"/>
              <w:rPr>
                <w:rFonts w:ascii="Arial Narrow" w:hAnsi="Arial Narrow"/>
                <w:sz w:val="20"/>
                <w:szCs w:val="20"/>
                <w:lang w:eastAsia="en-AU"/>
              </w:rPr>
            </w:pPr>
          </w:p>
        </w:tc>
        <w:tc>
          <w:tcPr>
            <w:tcW w:w="779" w:type="dxa"/>
            <w:tcBorders>
              <w:top w:val="nil"/>
              <w:left w:val="single" w:sz="4" w:space="0" w:color="auto"/>
              <w:bottom w:val="single" w:sz="4" w:space="0" w:color="auto"/>
              <w:right w:val="single" w:sz="4" w:space="0" w:color="auto"/>
            </w:tcBorders>
            <w:vAlign w:val="center"/>
          </w:tcPr>
          <w:p w14:paraId="53C15B20"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5</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tcPr>
          <w:p w14:paraId="53C15B21" w14:textId="77777777" w:rsidR="00316B11" w:rsidRPr="00F53F85" w:rsidRDefault="00316B11"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B22"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0.56</w:t>
            </w:r>
          </w:p>
        </w:tc>
        <w:tc>
          <w:tcPr>
            <w:tcW w:w="586" w:type="dxa"/>
            <w:tcBorders>
              <w:top w:val="nil"/>
              <w:left w:val="nil"/>
              <w:bottom w:val="single" w:sz="4" w:space="0" w:color="auto"/>
              <w:right w:val="single" w:sz="4" w:space="0" w:color="auto"/>
            </w:tcBorders>
            <w:shd w:val="clear" w:color="auto" w:fill="auto"/>
            <w:noWrap/>
            <w:vAlign w:val="center"/>
            <w:hideMark/>
          </w:tcPr>
          <w:p w14:paraId="53C15B23"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564" w:type="dxa"/>
            <w:tcBorders>
              <w:top w:val="nil"/>
              <w:left w:val="nil"/>
              <w:bottom w:val="single" w:sz="4" w:space="0" w:color="auto"/>
              <w:right w:val="single" w:sz="4" w:space="0" w:color="auto"/>
            </w:tcBorders>
            <w:vAlign w:val="center"/>
          </w:tcPr>
          <w:p w14:paraId="53C15B24" w14:textId="77777777" w:rsidR="00316B11" w:rsidRPr="00F53F85" w:rsidRDefault="00316B11"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B25" w14:textId="77777777" w:rsidR="00316B11" w:rsidRPr="00F53F85" w:rsidRDefault="00316B11"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B26" w14:textId="77777777" w:rsidR="00316B11" w:rsidRPr="00F53F85" w:rsidRDefault="00316B11"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B27"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0.19</w:t>
            </w:r>
          </w:p>
        </w:tc>
        <w:tc>
          <w:tcPr>
            <w:tcW w:w="546" w:type="dxa"/>
            <w:tcBorders>
              <w:top w:val="nil"/>
              <w:left w:val="nil"/>
              <w:bottom w:val="single" w:sz="4" w:space="0" w:color="auto"/>
              <w:right w:val="single" w:sz="4" w:space="0" w:color="auto"/>
            </w:tcBorders>
            <w:shd w:val="clear" w:color="auto" w:fill="auto"/>
            <w:noWrap/>
            <w:vAlign w:val="center"/>
            <w:hideMark/>
          </w:tcPr>
          <w:p w14:paraId="53C15B28" w14:textId="77777777" w:rsidR="00316B11" w:rsidRPr="00F53F85" w:rsidRDefault="00316B11" w:rsidP="00316B11">
            <w:pPr>
              <w:spacing w:after="0"/>
              <w:jc w:val="center"/>
              <w:rPr>
                <w:rFonts w:ascii="Arial Narrow" w:hAnsi="Arial Narrow"/>
                <w:sz w:val="20"/>
                <w:szCs w:val="20"/>
                <w:lang w:eastAsia="en-AU"/>
              </w:rPr>
            </w:pPr>
          </w:p>
        </w:tc>
        <w:tc>
          <w:tcPr>
            <w:tcW w:w="573" w:type="dxa"/>
            <w:tcBorders>
              <w:top w:val="nil"/>
              <w:left w:val="nil"/>
              <w:bottom w:val="single" w:sz="4" w:space="0" w:color="auto"/>
              <w:right w:val="single" w:sz="4" w:space="0" w:color="auto"/>
            </w:tcBorders>
            <w:shd w:val="clear" w:color="auto" w:fill="auto"/>
            <w:noWrap/>
            <w:vAlign w:val="center"/>
            <w:hideMark/>
          </w:tcPr>
          <w:p w14:paraId="53C15B29" w14:textId="77777777" w:rsidR="00316B11" w:rsidRPr="00F53F85" w:rsidRDefault="00316B11"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B2A" w14:textId="77777777" w:rsidR="00316B11" w:rsidRPr="00F53F85" w:rsidRDefault="00316B11"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B2B" w14:textId="77777777" w:rsidR="00316B11" w:rsidRPr="00F53F85" w:rsidRDefault="00316B11"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B2C"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B2D"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0.44</w:t>
            </w:r>
          </w:p>
        </w:tc>
        <w:tc>
          <w:tcPr>
            <w:tcW w:w="788" w:type="dxa"/>
            <w:tcBorders>
              <w:top w:val="nil"/>
              <w:left w:val="nil"/>
              <w:bottom w:val="single" w:sz="4" w:space="0" w:color="auto"/>
              <w:right w:val="single" w:sz="4" w:space="0" w:color="auto"/>
            </w:tcBorders>
            <w:shd w:val="clear" w:color="auto" w:fill="auto"/>
            <w:noWrap/>
            <w:vAlign w:val="center"/>
            <w:hideMark/>
          </w:tcPr>
          <w:p w14:paraId="53C15B2E"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0.50</w:t>
            </w:r>
          </w:p>
        </w:tc>
        <w:tc>
          <w:tcPr>
            <w:tcW w:w="788" w:type="dxa"/>
            <w:tcBorders>
              <w:top w:val="nil"/>
              <w:left w:val="nil"/>
              <w:bottom w:val="single" w:sz="4" w:space="0" w:color="auto"/>
              <w:right w:val="single" w:sz="4" w:space="0" w:color="auto"/>
            </w:tcBorders>
            <w:shd w:val="clear" w:color="auto" w:fill="auto"/>
            <w:noWrap/>
            <w:vAlign w:val="center"/>
            <w:hideMark/>
          </w:tcPr>
          <w:p w14:paraId="53C15B2F"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0.38</w:t>
            </w:r>
          </w:p>
        </w:tc>
        <w:tc>
          <w:tcPr>
            <w:tcW w:w="630" w:type="dxa"/>
            <w:tcBorders>
              <w:top w:val="nil"/>
              <w:left w:val="nil"/>
              <w:bottom w:val="single" w:sz="4" w:space="0" w:color="auto"/>
              <w:right w:val="single" w:sz="4" w:space="0" w:color="auto"/>
            </w:tcBorders>
            <w:vAlign w:val="center"/>
          </w:tcPr>
          <w:p w14:paraId="53C15B30" w14:textId="77777777" w:rsidR="00316B11" w:rsidRPr="00F53F85" w:rsidRDefault="00316B11" w:rsidP="00316B11">
            <w:pPr>
              <w:spacing w:after="0"/>
              <w:jc w:val="center"/>
              <w:rPr>
                <w:rFonts w:ascii="Arial Narrow" w:hAnsi="Arial Narrow"/>
                <w:sz w:val="20"/>
                <w:szCs w:val="20"/>
                <w:lang w:eastAsia="en-AU"/>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B31" w14:textId="77777777" w:rsidR="00316B11" w:rsidRPr="00F53F85" w:rsidRDefault="00316B11" w:rsidP="00316B11">
            <w:pPr>
              <w:spacing w:after="0"/>
              <w:jc w:val="center"/>
              <w:rPr>
                <w:rFonts w:ascii="Arial Narrow" w:hAnsi="Arial Narrow"/>
                <w:sz w:val="20"/>
                <w:szCs w:val="20"/>
                <w:lang w:eastAsia="en-AU"/>
              </w:rPr>
            </w:pPr>
          </w:p>
        </w:tc>
      </w:tr>
      <w:tr w:rsidR="00316B11" w:rsidRPr="00F53F85" w14:paraId="53C15B47" w14:textId="77777777" w:rsidTr="005B2CA4">
        <w:trPr>
          <w:trHeight w:val="340"/>
        </w:trPr>
        <w:tc>
          <w:tcPr>
            <w:tcW w:w="611" w:type="dxa"/>
            <w:vMerge/>
            <w:tcBorders>
              <w:top w:val="nil"/>
              <w:left w:val="single" w:sz="4" w:space="0" w:color="auto"/>
              <w:bottom w:val="single" w:sz="4" w:space="0" w:color="auto"/>
              <w:right w:val="single" w:sz="4" w:space="0" w:color="auto"/>
            </w:tcBorders>
            <w:vAlign w:val="center"/>
            <w:hideMark/>
          </w:tcPr>
          <w:p w14:paraId="53C15B33" w14:textId="77777777" w:rsidR="00316B11" w:rsidRPr="00F53F85" w:rsidRDefault="00316B11" w:rsidP="00F53F85">
            <w:pPr>
              <w:spacing w:after="0"/>
              <w:jc w:val="left"/>
              <w:rPr>
                <w:rFonts w:ascii="Arial Narrow" w:hAnsi="Arial Narrow"/>
                <w:sz w:val="20"/>
                <w:lang w:eastAsia="en-AU"/>
              </w:rPr>
            </w:pPr>
          </w:p>
        </w:tc>
        <w:tc>
          <w:tcPr>
            <w:tcW w:w="1134" w:type="dxa"/>
            <w:vMerge w:val="restart"/>
            <w:tcBorders>
              <w:top w:val="nil"/>
              <w:left w:val="single" w:sz="4" w:space="0" w:color="auto"/>
              <w:right w:val="single" w:sz="4" w:space="0" w:color="auto"/>
            </w:tcBorders>
            <w:vAlign w:val="center"/>
          </w:tcPr>
          <w:p w14:paraId="53C15B34"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Dunk South</w:t>
            </w:r>
          </w:p>
        </w:tc>
        <w:tc>
          <w:tcPr>
            <w:tcW w:w="779" w:type="dxa"/>
            <w:tcBorders>
              <w:top w:val="nil"/>
              <w:left w:val="single" w:sz="4" w:space="0" w:color="auto"/>
              <w:bottom w:val="single" w:sz="4" w:space="0" w:color="auto"/>
              <w:right w:val="single" w:sz="4" w:space="0" w:color="auto"/>
            </w:tcBorders>
            <w:vAlign w:val="center"/>
          </w:tcPr>
          <w:p w14:paraId="53C15B35"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2</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tcPr>
          <w:p w14:paraId="53C15B36" w14:textId="77777777" w:rsidR="00316B11" w:rsidRPr="00F53F85" w:rsidRDefault="00316B11"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B37"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0.31</w:t>
            </w:r>
          </w:p>
        </w:tc>
        <w:tc>
          <w:tcPr>
            <w:tcW w:w="586" w:type="dxa"/>
            <w:tcBorders>
              <w:top w:val="nil"/>
              <w:left w:val="nil"/>
              <w:bottom w:val="single" w:sz="4" w:space="0" w:color="auto"/>
              <w:right w:val="single" w:sz="4" w:space="0" w:color="auto"/>
            </w:tcBorders>
            <w:shd w:val="clear" w:color="auto" w:fill="auto"/>
            <w:noWrap/>
            <w:vAlign w:val="center"/>
            <w:hideMark/>
          </w:tcPr>
          <w:p w14:paraId="53C15B38"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1.44</w:t>
            </w:r>
          </w:p>
        </w:tc>
        <w:tc>
          <w:tcPr>
            <w:tcW w:w="564" w:type="dxa"/>
            <w:tcBorders>
              <w:top w:val="nil"/>
              <w:left w:val="nil"/>
              <w:bottom w:val="single" w:sz="4" w:space="0" w:color="auto"/>
              <w:right w:val="single" w:sz="4" w:space="0" w:color="auto"/>
            </w:tcBorders>
            <w:vAlign w:val="center"/>
          </w:tcPr>
          <w:p w14:paraId="53C15B39" w14:textId="77777777" w:rsidR="00316B11" w:rsidRPr="00F53F85" w:rsidRDefault="00316B11"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B3A" w14:textId="77777777" w:rsidR="00316B11" w:rsidRPr="00F53F85" w:rsidRDefault="00316B11"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B3B" w14:textId="77777777" w:rsidR="00316B11" w:rsidRPr="00F53F85" w:rsidRDefault="00316B11"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B3C"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1.63</w:t>
            </w:r>
          </w:p>
        </w:tc>
        <w:tc>
          <w:tcPr>
            <w:tcW w:w="546" w:type="dxa"/>
            <w:tcBorders>
              <w:top w:val="nil"/>
              <w:left w:val="nil"/>
              <w:bottom w:val="single" w:sz="4" w:space="0" w:color="auto"/>
              <w:right w:val="single" w:sz="4" w:space="0" w:color="auto"/>
            </w:tcBorders>
            <w:shd w:val="clear" w:color="auto" w:fill="auto"/>
            <w:noWrap/>
            <w:vAlign w:val="center"/>
            <w:hideMark/>
          </w:tcPr>
          <w:p w14:paraId="53C15B3D"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573" w:type="dxa"/>
            <w:tcBorders>
              <w:top w:val="nil"/>
              <w:left w:val="nil"/>
              <w:bottom w:val="single" w:sz="4" w:space="0" w:color="auto"/>
              <w:right w:val="single" w:sz="4" w:space="0" w:color="auto"/>
            </w:tcBorders>
            <w:shd w:val="clear" w:color="auto" w:fill="auto"/>
            <w:noWrap/>
            <w:vAlign w:val="center"/>
            <w:hideMark/>
          </w:tcPr>
          <w:p w14:paraId="53C15B3E" w14:textId="77777777" w:rsidR="00316B11" w:rsidRPr="00F53F85" w:rsidRDefault="00316B11"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B3F"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0.19</w:t>
            </w:r>
          </w:p>
        </w:tc>
        <w:tc>
          <w:tcPr>
            <w:tcW w:w="536" w:type="dxa"/>
            <w:tcBorders>
              <w:top w:val="nil"/>
              <w:left w:val="nil"/>
              <w:bottom w:val="single" w:sz="4" w:space="0" w:color="auto"/>
              <w:right w:val="single" w:sz="4" w:space="0" w:color="auto"/>
            </w:tcBorders>
            <w:shd w:val="clear" w:color="auto" w:fill="auto"/>
            <w:noWrap/>
            <w:vAlign w:val="center"/>
            <w:hideMark/>
          </w:tcPr>
          <w:p w14:paraId="53C15B40" w14:textId="77777777" w:rsidR="00316B11" w:rsidRPr="00F53F85" w:rsidRDefault="00316B11"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B41"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B42"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0.50</w:t>
            </w:r>
          </w:p>
        </w:tc>
        <w:tc>
          <w:tcPr>
            <w:tcW w:w="788" w:type="dxa"/>
            <w:tcBorders>
              <w:top w:val="nil"/>
              <w:left w:val="nil"/>
              <w:bottom w:val="single" w:sz="4" w:space="0" w:color="auto"/>
              <w:right w:val="single" w:sz="4" w:space="0" w:color="auto"/>
            </w:tcBorders>
            <w:shd w:val="clear" w:color="auto" w:fill="auto"/>
            <w:noWrap/>
            <w:vAlign w:val="center"/>
            <w:hideMark/>
          </w:tcPr>
          <w:p w14:paraId="53C15B43"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4.25</w:t>
            </w:r>
          </w:p>
        </w:tc>
        <w:tc>
          <w:tcPr>
            <w:tcW w:w="788" w:type="dxa"/>
            <w:tcBorders>
              <w:top w:val="nil"/>
              <w:left w:val="nil"/>
              <w:bottom w:val="single" w:sz="4" w:space="0" w:color="auto"/>
              <w:right w:val="single" w:sz="4" w:space="0" w:color="auto"/>
            </w:tcBorders>
            <w:shd w:val="clear" w:color="auto" w:fill="auto"/>
            <w:noWrap/>
            <w:vAlign w:val="center"/>
            <w:hideMark/>
          </w:tcPr>
          <w:p w14:paraId="53C15B44"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10.75</w:t>
            </w:r>
          </w:p>
        </w:tc>
        <w:tc>
          <w:tcPr>
            <w:tcW w:w="630" w:type="dxa"/>
            <w:tcBorders>
              <w:top w:val="nil"/>
              <w:left w:val="nil"/>
              <w:bottom w:val="single" w:sz="4" w:space="0" w:color="auto"/>
              <w:right w:val="single" w:sz="4" w:space="0" w:color="auto"/>
            </w:tcBorders>
            <w:vAlign w:val="center"/>
          </w:tcPr>
          <w:p w14:paraId="53C15B45" w14:textId="77777777" w:rsidR="00316B11" w:rsidRPr="00F53F85" w:rsidRDefault="00316B11" w:rsidP="00316B11">
            <w:pPr>
              <w:spacing w:after="0"/>
              <w:jc w:val="center"/>
              <w:rPr>
                <w:rFonts w:ascii="Arial Narrow" w:hAnsi="Arial Narrow"/>
                <w:sz w:val="20"/>
                <w:szCs w:val="20"/>
              </w:rPr>
            </w:pPr>
            <w:r w:rsidRPr="00F53F85">
              <w:rPr>
                <w:rFonts w:ascii="Arial Narrow" w:hAnsi="Arial Narrow"/>
                <w:sz w:val="20"/>
                <w:szCs w:val="20"/>
              </w:rPr>
              <w:t>0.13</w:t>
            </w: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B46"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0.94</w:t>
            </w:r>
          </w:p>
        </w:tc>
      </w:tr>
      <w:tr w:rsidR="00316B11" w:rsidRPr="00F53F85" w14:paraId="53C15B5C" w14:textId="77777777" w:rsidTr="005B2CA4">
        <w:trPr>
          <w:trHeight w:val="340"/>
        </w:trPr>
        <w:tc>
          <w:tcPr>
            <w:tcW w:w="611" w:type="dxa"/>
            <w:vMerge/>
            <w:tcBorders>
              <w:top w:val="nil"/>
              <w:left w:val="single" w:sz="4" w:space="0" w:color="auto"/>
              <w:bottom w:val="single" w:sz="4" w:space="0" w:color="auto"/>
              <w:right w:val="single" w:sz="4" w:space="0" w:color="auto"/>
            </w:tcBorders>
            <w:vAlign w:val="center"/>
            <w:hideMark/>
          </w:tcPr>
          <w:p w14:paraId="53C15B48" w14:textId="77777777" w:rsidR="00316B11" w:rsidRPr="00F53F85" w:rsidRDefault="00316B11" w:rsidP="00F53F85">
            <w:pPr>
              <w:spacing w:after="0"/>
              <w:jc w:val="left"/>
              <w:rPr>
                <w:rFonts w:ascii="Arial Narrow" w:hAnsi="Arial Narrow"/>
                <w:sz w:val="20"/>
                <w:lang w:eastAsia="en-AU"/>
              </w:rPr>
            </w:pPr>
          </w:p>
        </w:tc>
        <w:tc>
          <w:tcPr>
            <w:tcW w:w="1134" w:type="dxa"/>
            <w:vMerge/>
            <w:tcBorders>
              <w:left w:val="single" w:sz="4" w:space="0" w:color="auto"/>
              <w:bottom w:val="single" w:sz="4" w:space="0" w:color="auto"/>
              <w:right w:val="single" w:sz="4" w:space="0" w:color="auto"/>
            </w:tcBorders>
            <w:vAlign w:val="center"/>
          </w:tcPr>
          <w:p w14:paraId="53C15B49" w14:textId="77777777" w:rsidR="00316B11" w:rsidRPr="00F53F85" w:rsidRDefault="00316B11" w:rsidP="00316B11">
            <w:pPr>
              <w:spacing w:after="0"/>
              <w:jc w:val="center"/>
              <w:rPr>
                <w:rFonts w:ascii="Arial Narrow" w:hAnsi="Arial Narrow"/>
                <w:sz w:val="20"/>
                <w:szCs w:val="20"/>
                <w:lang w:eastAsia="en-AU"/>
              </w:rPr>
            </w:pPr>
          </w:p>
        </w:tc>
        <w:tc>
          <w:tcPr>
            <w:tcW w:w="779" w:type="dxa"/>
            <w:tcBorders>
              <w:top w:val="nil"/>
              <w:left w:val="single" w:sz="4" w:space="0" w:color="auto"/>
              <w:bottom w:val="single" w:sz="4" w:space="0" w:color="auto"/>
              <w:right w:val="single" w:sz="4" w:space="0" w:color="auto"/>
            </w:tcBorders>
            <w:vAlign w:val="center"/>
          </w:tcPr>
          <w:p w14:paraId="53C15B4A"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5</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B4B" w14:textId="77777777" w:rsidR="00316B11" w:rsidRPr="00F53F85" w:rsidRDefault="00316B11"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B4C"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0.94</w:t>
            </w:r>
          </w:p>
        </w:tc>
        <w:tc>
          <w:tcPr>
            <w:tcW w:w="586" w:type="dxa"/>
            <w:tcBorders>
              <w:top w:val="nil"/>
              <w:left w:val="nil"/>
              <w:bottom w:val="single" w:sz="4" w:space="0" w:color="auto"/>
              <w:right w:val="single" w:sz="4" w:space="0" w:color="auto"/>
            </w:tcBorders>
            <w:shd w:val="clear" w:color="auto" w:fill="auto"/>
            <w:noWrap/>
            <w:vAlign w:val="center"/>
            <w:hideMark/>
          </w:tcPr>
          <w:p w14:paraId="53C15B4D"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564" w:type="dxa"/>
            <w:tcBorders>
              <w:top w:val="nil"/>
              <w:left w:val="nil"/>
              <w:bottom w:val="single" w:sz="4" w:space="0" w:color="auto"/>
              <w:right w:val="single" w:sz="4" w:space="0" w:color="auto"/>
            </w:tcBorders>
            <w:vAlign w:val="center"/>
          </w:tcPr>
          <w:p w14:paraId="53C15B4E" w14:textId="77777777" w:rsidR="00316B11" w:rsidRPr="00F53F85" w:rsidRDefault="00316B11"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B4F" w14:textId="77777777" w:rsidR="00316B11" w:rsidRPr="00F53F85" w:rsidRDefault="00316B11"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B50" w14:textId="77777777" w:rsidR="00316B11" w:rsidRPr="00F53F85" w:rsidRDefault="00316B11"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B51"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0.63</w:t>
            </w:r>
          </w:p>
        </w:tc>
        <w:tc>
          <w:tcPr>
            <w:tcW w:w="546" w:type="dxa"/>
            <w:tcBorders>
              <w:top w:val="nil"/>
              <w:left w:val="nil"/>
              <w:bottom w:val="single" w:sz="4" w:space="0" w:color="auto"/>
              <w:right w:val="single" w:sz="4" w:space="0" w:color="auto"/>
            </w:tcBorders>
            <w:shd w:val="clear" w:color="auto" w:fill="auto"/>
            <w:noWrap/>
            <w:vAlign w:val="center"/>
            <w:hideMark/>
          </w:tcPr>
          <w:p w14:paraId="53C15B52"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573" w:type="dxa"/>
            <w:tcBorders>
              <w:top w:val="nil"/>
              <w:left w:val="nil"/>
              <w:bottom w:val="single" w:sz="4" w:space="0" w:color="auto"/>
              <w:right w:val="single" w:sz="4" w:space="0" w:color="auto"/>
            </w:tcBorders>
            <w:shd w:val="clear" w:color="auto" w:fill="auto"/>
            <w:noWrap/>
            <w:vAlign w:val="center"/>
            <w:hideMark/>
          </w:tcPr>
          <w:p w14:paraId="53C15B53" w14:textId="77777777" w:rsidR="00316B11" w:rsidRPr="00F53F85" w:rsidRDefault="00316B11"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B54" w14:textId="77777777" w:rsidR="00316B11" w:rsidRPr="00F53F85" w:rsidRDefault="00316B11"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B55" w14:textId="77777777" w:rsidR="00316B11" w:rsidRPr="00F53F85" w:rsidRDefault="00316B11"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B56"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B57"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788" w:type="dxa"/>
            <w:tcBorders>
              <w:top w:val="nil"/>
              <w:left w:val="nil"/>
              <w:bottom w:val="single" w:sz="4" w:space="0" w:color="auto"/>
              <w:right w:val="single" w:sz="4" w:space="0" w:color="auto"/>
            </w:tcBorders>
            <w:shd w:val="clear" w:color="auto" w:fill="auto"/>
            <w:noWrap/>
            <w:vAlign w:val="center"/>
            <w:hideMark/>
          </w:tcPr>
          <w:p w14:paraId="53C15B58"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5.00</w:t>
            </w:r>
          </w:p>
        </w:tc>
        <w:tc>
          <w:tcPr>
            <w:tcW w:w="788" w:type="dxa"/>
            <w:tcBorders>
              <w:top w:val="nil"/>
              <w:left w:val="nil"/>
              <w:bottom w:val="single" w:sz="4" w:space="0" w:color="auto"/>
              <w:right w:val="single" w:sz="4" w:space="0" w:color="auto"/>
            </w:tcBorders>
            <w:shd w:val="clear" w:color="auto" w:fill="auto"/>
            <w:noWrap/>
            <w:vAlign w:val="center"/>
            <w:hideMark/>
          </w:tcPr>
          <w:p w14:paraId="53C15B59"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630" w:type="dxa"/>
            <w:tcBorders>
              <w:top w:val="nil"/>
              <w:left w:val="nil"/>
              <w:bottom w:val="single" w:sz="4" w:space="0" w:color="auto"/>
              <w:right w:val="single" w:sz="4" w:space="0" w:color="auto"/>
            </w:tcBorders>
            <w:vAlign w:val="center"/>
          </w:tcPr>
          <w:p w14:paraId="53C15B5A" w14:textId="77777777" w:rsidR="00316B11" w:rsidRPr="00F53F85" w:rsidRDefault="00316B11" w:rsidP="00316B11">
            <w:pPr>
              <w:spacing w:after="0"/>
              <w:jc w:val="center"/>
              <w:rPr>
                <w:rFonts w:ascii="Arial Narrow" w:hAnsi="Arial Narrow"/>
                <w:sz w:val="20"/>
                <w:szCs w:val="20"/>
                <w:lang w:eastAsia="en-AU"/>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B5B"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0.25</w:t>
            </w:r>
          </w:p>
        </w:tc>
      </w:tr>
      <w:tr w:rsidR="00316B11" w:rsidRPr="00F53F85" w14:paraId="53C15B71" w14:textId="77777777" w:rsidTr="005B2CA4">
        <w:trPr>
          <w:trHeight w:val="340"/>
        </w:trPr>
        <w:tc>
          <w:tcPr>
            <w:tcW w:w="611" w:type="dxa"/>
            <w:vMerge/>
            <w:tcBorders>
              <w:top w:val="nil"/>
              <w:left w:val="single" w:sz="4" w:space="0" w:color="auto"/>
              <w:bottom w:val="single" w:sz="4" w:space="0" w:color="auto"/>
              <w:right w:val="single" w:sz="4" w:space="0" w:color="auto"/>
            </w:tcBorders>
            <w:vAlign w:val="center"/>
            <w:hideMark/>
          </w:tcPr>
          <w:p w14:paraId="53C15B5D" w14:textId="77777777" w:rsidR="00316B11" w:rsidRPr="00F53F85" w:rsidRDefault="00316B11" w:rsidP="00F53F85">
            <w:pPr>
              <w:spacing w:after="0"/>
              <w:jc w:val="left"/>
              <w:rPr>
                <w:rFonts w:ascii="Arial Narrow" w:hAnsi="Arial Narrow"/>
                <w:sz w:val="20"/>
                <w:lang w:eastAsia="en-AU"/>
              </w:rPr>
            </w:pPr>
          </w:p>
        </w:tc>
        <w:tc>
          <w:tcPr>
            <w:tcW w:w="1134" w:type="dxa"/>
            <w:vMerge w:val="restart"/>
            <w:tcBorders>
              <w:top w:val="nil"/>
              <w:left w:val="single" w:sz="4" w:space="0" w:color="auto"/>
              <w:right w:val="single" w:sz="4" w:space="0" w:color="auto"/>
            </w:tcBorders>
            <w:vAlign w:val="center"/>
          </w:tcPr>
          <w:p w14:paraId="53C15B5E" w14:textId="77777777" w:rsidR="00316B11" w:rsidRPr="00F53F85" w:rsidRDefault="00316B11" w:rsidP="00316B11">
            <w:pPr>
              <w:spacing w:after="0"/>
              <w:jc w:val="center"/>
              <w:rPr>
                <w:rFonts w:ascii="Arial Narrow" w:hAnsi="Arial Narrow" w:cs="Calibri"/>
                <w:sz w:val="20"/>
                <w:szCs w:val="20"/>
              </w:rPr>
            </w:pPr>
            <w:r w:rsidRPr="00F53F85">
              <w:rPr>
                <w:rFonts w:ascii="Arial Narrow" w:hAnsi="Arial Narrow"/>
                <w:sz w:val="20"/>
                <w:szCs w:val="20"/>
              </w:rPr>
              <w:t>Bedarra</w:t>
            </w:r>
          </w:p>
        </w:tc>
        <w:tc>
          <w:tcPr>
            <w:tcW w:w="779" w:type="dxa"/>
            <w:tcBorders>
              <w:top w:val="nil"/>
              <w:left w:val="single" w:sz="4" w:space="0" w:color="auto"/>
              <w:bottom w:val="single" w:sz="4" w:space="0" w:color="auto"/>
              <w:right w:val="single" w:sz="4" w:space="0" w:color="auto"/>
            </w:tcBorders>
            <w:vAlign w:val="center"/>
          </w:tcPr>
          <w:p w14:paraId="53C15B5F" w14:textId="77777777" w:rsidR="00316B11" w:rsidRPr="00F53F85" w:rsidRDefault="00316B11" w:rsidP="00316B11">
            <w:pPr>
              <w:spacing w:after="0"/>
              <w:jc w:val="center"/>
              <w:rPr>
                <w:rFonts w:ascii="Arial Narrow" w:hAnsi="Arial Narrow" w:cs="Calibri"/>
                <w:sz w:val="20"/>
                <w:szCs w:val="20"/>
              </w:rPr>
            </w:pPr>
            <w:r w:rsidRPr="00F53F85">
              <w:rPr>
                <w:rFonts w:ascii="Arial Narrow" w:hAnsi="Arial Narrow"/>
                <w:sz w:val="20"/>
                <w:szCs w:val="20"/>
              </w:rPr>
              <w:t>2</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B60"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1.38</w:t>
            </w:r>
          </w:p>
        </w:tc>
        <w:tc>
          <w:tcPr>
            <w:tcW w:w="536" w:type="dxa"/>
            <w:tcBorders>
              <w:top w:val="nil"/>
              <w:left w:val="nil"/>
              <w:bottom w:val="single" w:sz="4" w:space="0" w:color="auto"/>
              <w:right w:val="single" w:sz="4" w:space="0" w:color="auto"/>
            </w:tcBorders>
            <w:shd w:val="clear" w:color="auto" w:fill="auto"/>
            <w:noWrap/>
            <w:vAlign w:val="center"/>
            <w:hideMark/>
          </w:tcPr>
          <w:p w14:paraId="53C15B61"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0.25</w:t>
            </w:r>
          </w:p>
        </w:tc>
        <w:tc>
          <w:tcPr>
            <w:tcW w:w="586" w:type="dxa"/>
            <w:tcBorders>
              <w:top w:val="nil"/>
              <w:left w:val="nil"/>
              <w:bottom w:val="single" w:sz="4" w:space="0" w:color="auto"/>
              <w:right w:val="single" w:sz="4" w:space="0" w:color="auto"/>
            </w:tcBorders>
            <w:shd w:val="clear" w:color="auto" w:fill="auto"/>
            <w:noWrap/>
            <w:vAlign w:val="center"/>
            <w:hideMark/>
          </w:tcPr>
          <w:p w14:paraId="53C15B62"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0.13</w:t>
            </w:r>
          </w:p>
        </w:tc>
        <w:tc>
          <w:tcPr>
            <w:tcW w:w="564" w:type="dxa"/>
            <w:tcBorders>
              <w:top w:val="nil"/>
              <w:left w:val="nil"/>
              <w:bottom w:val="single" w:sz="4" w:space="0" w:color="auto"/>
              <w:right w:val="single" w:sz="4" w:space="0" w:color="auto"/>
            </w:tcBorders>
            <w:vAlign w:val="center"/>
          </w:tcPr>
          <w:p w14:paraId="53C15B63" w14:textId="77777777" w:rsidR="00316B11" w:rsidRPr="00F53F85" w:rsidRDefault="00316B11"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B64" w14:textId="77777777" w:rsidR="00316B11" w:rsidRPr="00F53F85" w:rsidRDefault="00316B11"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B65" w14:textId="77777777" w:rsidR="00316B11" w:rsidRPr="00F53F85" w:rsidRDefault="00316B11"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B66"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1.50</w:t>
            </w:r>
          </w:p>
        </w:tc>
        <w:tc>
          <w:tcPr>
            <w:tcW w:w="546" w:type="dxa"/>
            <w:tcBorders>
              <w:top w:val="nil"/>
              <w:left w:val="nil"/>
              <w:bottom w:val="single" w:sz="4" w:space="0" w:color="auto"/>
              <w:right w:val="single" w:sz="4" w:space="0" w:color="auto"/>
            </w:tcBorders>
            <w:shd w:val="clear" w:color="auto" w:fill="auto"/>
            <w:noWrap/>
            <w:vAlign w:val="center"/>
            <w:hideMark/>
          </w:tcPr>
          <w:p w14:paraId="53C15B67" w14:textId="77777777" w:rsidR="00316B11" w:rsidRPr="00F53F85" w:rsidRDefault="00316B11" w:rsidP="00316B11">
            <w:pPr>
              <w:spacing w:after="0"/>
              <w:jc w:val="center"/>
              <w:rPr>
                <w:rFonts w:ascii="Arial Narrow" w:hAnsi="Arial Narrow"/>
                <w:sz w:val="20"/>
                <w:szCs w:val="20"/>
                <w:lang w:eastAsia="en-AU"/>
              </w:rPr>
            </w:pPr>
          </w:p>
        </w:tc>
        <w:tc>
          <w:tcPr>
            <w:tcW w:w="573" w:type="dxa"/>
            <w:tcBorders>
              <w:top w:val="nil"/>
              <w:left w:val="nil"/>
              <w:bottom w:val="single" w:sz="4" w:space="0" w:color="auto"/>
              <w:right w:val="single" w:sz="4" w:space="0" w:color="auto"/>
            </w:tcBorders>
            <w:shd w:val="clear" w:color="auto" w:fill="auto"/>
            <w:noWrap/>
            <w:vAlign w:val="center"/>
            <w:hideMark/>
          </w:tcPr>
          <w:p w14:paraId="53C15B68" w14:textId="77777777" w:rsidR="00316B11" w:rsidRPr="00F53F85" w:rsidRDefault="00316B11"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B69"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0.31</w:t>
            </w:r>
          </w:p>
        </w:tc>
        <w:tc>
          <w:tcPr>
            <w:tcW w:w="536" w:type="dxa"/>
            <w:tcBorders>
              <w:top w:val="nil"/>
              <w:left w:val="nil"/>
              <w:bottom w:val="single" w:sz="4" w:space="0" w:color="auto"/>
              <w:right w:val="single" w:sz="4" w:space="0" w:color="auto"/>
            </w:tcBorders>
            <w:shd w:val="clear" w:color="auto" w:fill="auto"/>
            <w:noWrap/>
            <w:vAlign w:val="center"/>
            <w:hideMark/>
          </w:tcPr>
          <w:p w14:paraId="53C15B6A" w14:textId="77777777" w:rsidR="00316B11" w:rsidRPr="00F53F85" w:rsidRDefault="00316B11"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B6B"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788" w:type="dxa"/>
            <w:tcBorders>
              <w:top w:val="nil"/>
              <w:left w:val="nil"/>
              <w:bottom w:val="single" w:sz="4" w:space="0" w:color="auto"/>
              <w:right w:val="single" w:sz="4" w:space="0" w:color="auto"/>
            </w:tcBorders>
            <w:shd w:val="clear" w:color="auto" w:fill="auto"/>
            <w:noWrap/>
            <w:vAlign w:val="center"/>
            <w:hideMark/>
          </w:tcPr>
          <w:p w14:paraId="53C15B6C"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3.31</w:t>
            </w:r>
          </w:p>
        </w:tc>
        <w:tc>
          <w:tcPr>
            <w:tcW w:w="788" w:type="dxa"/>
            <w:tcBorders>
              <w:top w:val="nil"/>
              <w:left w:val="nil"/>
              <w:bottom w:val="single" w:sz="4" w:space="0" w:color="auto"/>
              <w:right w:val="single" w:sz="4" w:space="0" w:color="auto"/>
            </w:tcBorders>
            <w:shd w:val="clear" w:color="auto" w:fill="auto"/>
            <w:noWrap/>
            <w:vAlign w:val="center"/>
            <w:hideMark/>
          </w:tcPr>
          <w:p w14:paraId="53C15B6D"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0.94</w:t>
            </w:r>
          </w:p>
        </w:tc>
        <w:tc>
          <w:tcPr>
            <w:tcW w:w="788" w:type="dxa"/>
            <w:tcBorders>
              <w:top w:val="nil"/>
              <w:left w:val="nil"/>
              <w:bottom w:val="single" w:sz="4" w:space="0" w:color="auto"/>
              <w:right w:val="single" w:sz="4" w:space="0" w:color="auto"/>
            </w:tcBorders>
            <w:shd w:val="clear" w:color="auto" w:fill="auto"/>
            <w:noWrap/>
            <w:vAlign w:val="center"/>
            <w:hideMark/>
          </w:tcPr>
          <w:p w14:paraId="53C15B6E"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15.25</w:t>
            </w:r>
          </w:p>
        </w:tc>
        <w:tc>
          <w:tcPr>
            <w:tcW w:w="630" w:type="dxa"/>
            <w:tcBorders>
              <w:top w:val="nil"/>
              <w:left w:val="nil"/>
              <w:bottom w:val="single" w:sz="4" w:space="0" w:color="auto"/>
              <w:right w:val="single" w:sz="4" w:space="0" w:color="auto"/>
            </w:tcBorders>
            <w:vAlign w:val="center"/>
          </w:tcPr>
          <w:p w14:paraId="53C15B6F" w14:textId="77777777" w:rsidR="00316B11" w:rsidRPr="00F53F85" w:rsidRDefault="00316B11" w:rsidP="00316B11">
            <w:pPr>
              <w:spacing w:after="0"/>
              <w:jc w:val="center"/>
              <w:rPr>
                <w:rFonts w:ascii="Arial Narrow" w:hAnsi="Arial Narrow"/>
                <w:sz w:val="20"/>
                <w:szCs w:val="20"/>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B70"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2.50</w:t>
            </w:r>
          </w:p>
        </w:tc>
      </w:tr>
      <w:tr w:rsidR="00316B11" w:rsidRPr="00F53F85" w14:paraId="53C15B86" w14:textId="77777777" w:rsidTr="005B2CA4">
        <w:trPr>
          <w:trHeight w:val="340"/>
        </w:trPr>
        <w:tc>
          <w:tcPr>
            <w:tcW w:w="611" w:type="dxa"/>
            <w:vMerge/>
            <w:tcBorders>
              <w:top w:val="nil"/>
              <w:left w:val="single" w:sz="4" w:space="0" w:color="auto"/>
              <w:bottom w:val="single" w:sz="4" w:space="0" w:color="auto"/>
              <w:right w:val="single" w:sz="4" w:space="0" w:color="auto"/>
            </w:tcBorders>
            <w:vAlign w:val="center"/>
            <w:hideMark/>
          </w:tcPr>
          <w:p w14:paraId="53C15B72" w14:textId="77777777" w:rsidR="00316B11" w:rsidRPr="00F53F85" w:rsidRDefault="00316B11" w:rsidP="00F53F85">
            <w:pPr>
              <w:spacing w:after="0"/>
              <w:jc w:val="left"/>
              <w:rPr>
                <w:rFonts w:ascii="Arial Narrow" w:hAnsi="Arial Narrow"/>
                <w:sz w:val="20"/>
                <w:lang w:eastAsia="en-AU"/>
              </w:rPr>
            </w:pPr>
          </w:p>
        </w:tc>
        <w:tc>
          <w:tcPr>
            <w:tcW w:w="1134" w:type="dxa"/>
            <w:vMerge/>
            <w:tcBorders>
              <w:left w:val="single" w:sz="4" w:space="0" w:color="auto"/>
              <w:bottom w:val="single" w:sz="4" w:space="0" w:color="auto"/>
              <w:right w:val="single" w:sz="4" w:space="0" w:color="auto"/>
            </w:tcBorders>
            <w:vAlign w:val="center"/>
          </w:tcPr>
          <w:p w14:paraId="53C15B73" w14:textId="77777777" w:rsidR="00316B11" w:rsidRPr="00F53F85" w:rsidRDefault="00316B11" w:rsidP="00316B11">
            <w:pPr>
              <w:spacing w:after="0"/>
              <w:jc w:val="center"/>
              <w:rPr>
                <w:rFonts w:ascii="Arial Narrow" w:hAnsi="Arial Narrow"/>
                <w:sz w:val="20"/>
                <w:szCs w:val="20"/>
                <w:lang w:eastAsia="en-AU"/>
              </w:rPr>
            </w:pPr>
          </w:p>
        </w:tc>
        <w:tc>
          <w:tcPr>
            <w:tcW w:w="779" w:type="dxa"/>
            <w:tcBorders>
              <w:top w:val="nil"/>
              <w:left w:val="single" w:sz="4" w:space="0" w:color="auto"/>
              <w:bottom w:val="single" w:sz="4" w:space="0" w:color="auto"/>
              <w:right w:val="single" w:sz="4" w:space="0" w:color="auto"/>
            </w:tcBorders>
            <w:vAlign w:val="center"/>
          </w:tcPr>
          <w:p w14:paraId="53C15B74"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5</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B75" w14:textId="77777777" w:rsidR="00316B11" w:rsidRPr="00F53F85" w:rsidRDefault="00316B11"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B76"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0.31</w:t>
            </w:r>
          </w:p>
        </w:tc>
        <w:tc>
          <w:tcPr>
            <w:tcW w:w="586" w:type="dxa"/>
            <w:tcBorders>
              <w:top w:val="nil"/>
              <w:left w:val="nil"/>
              <w:bottom w:val="single" w:sz="4" w:space="0" w:color="auto"/>
              <w:right w:val="single" w:sz="4" w:space="0" w:color="auto"/>
            </w:tcBorders>
            <w:shd w:val="clear" w:color="auto" w:fill="auto"/>
            <w:noWrap/>
            <w:vAlign w:val="center"/>
            <w:hideMark/>
          </w:tcPr>
          <w:p w14:paraId="53C15B77"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564" w:type="dxa"/>
            <w:tcBorders>
              <w:top w:val="nil"/>
              <w:left w:val="nil"/>
              <w:bottom w:val="single" w:sz="4" w:space="0" w:color="auto"/>
              <w:right w:val="single" w:sz="4" w:space="0" w:color="auto"/>
            </w:tcBorders>
            <w:vAlign w:val="center"/>
          </w:tcPr>
          <w:p w14:paraId="53C15B78" w14:textId="77777777" w:rsidR="00316B11" w:rsidRPr="00F53F85" w:rsidRDefault="00316B11"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B79" w14:textId="77777777" w:rsidR="00316B11" w:rsidRPr="00F53F85" w:rsidRDefault="00316B11"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B7A" w14:textId="77777777" w:rsidR="00316B11" w:rsidRPr="00F53F85" w:rsidRDefault="00316B11"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B7B" w14:textId="77777777" w:rsidR="00316B11" w:rsidRPr="00F53F85" w:rsidRDefault="00316B11" w:rsidP="00316B11">
            <w:pPr>
              <w:spacing w:after="0"/>
              <w:jc w:val="center"/>
              <w:rPr>
                <w:rFonts w:ascii="Arial Narrow" w:hAnsi="Arial Narrow"/>
                <w:sz w:val="20"/>
                <w:szCs w:val="20"/>
                <w:lang w:eastAsia="en-AU"/>
              </w:rPr>
            </w:pPr>
          </w:p>
        </w:tc>
        <w:tc>
          <w:tcPr>
            <w:tcW w:w="546" w:type="dxa"/>
            <w:tcBorders>
              <w:top w:val="nil"/>
              <w:left w:val="nil"/>
              <w:bottom w:val="single" w:sz="4" w:space="0" w:color="auto"/>
              <w:right w:val="single" w:sz="4" w:space="0" w:color="auto"/>
            </w:tcBorders>
            <w:shd w:val="clear" w:color="auto" w:fill="auto"/>
            <w:noWrap/>
            <w:vAlign w:val="center"/>
            <w:hideMark/>
          </w:tcPr>
          <w:p w14:paraId="53C15B7C" w14:textId="77777777" w:rsidR="00316B11" w:rsidRPr="00F53F85" w:rsidRDefault="00316B11" w:rsidP="00316B11">
            <w:pPr>
              <w:spacing w:after="0"/>
              <w:jc w:val="center"/>
              <w:rPr>
                <w:rFonts w:ascii="Arial Narrow" w:hAnsi="Arial Narrow"/>
                <w:sz w:val="20"/>
                <w:szCs w:val="20"/>
                <w:lang w:eastAsia="en-AU"/>
              </w:rPr>
            </w:pPr>
          </w:p>
        </w:tc>
        <w:tc>
          <w:tcPr>
            <w:tcW w:w="573" w:type="dxa"/>
            <w:tcBorders>
              <w:top w:val="nil"/>
              <w:left w:val="nil"/>
              <w:bottom w:val="single" w:sz="4" w:space="0" w:color="auto"/>
              <w:right w:val="single" w:sz="4" w:space="0" w:color="auto"/>
            </w:tcBorders>
            <w:shd w:val="clear" w:color="auto" w:fill="auto"/>
            <w:noWrap/>
            <w:vAlign w:val="center"/>
            <w:hideMark/>
          </w:tcPr>
          <w:p w14:paraId="53C15B7D" w14:textId="77777777" w:rsidR="00316B11" w:rsidRPr="00F53F85" w:rsidRDefault="00316B11"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B7E" w14:textId="77777777" w:rsidR="00316B11" w:rsidRPr="00F53F85" w:rsidRDefault="00316B11"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B7F" w14:textId="77777777" w:rsidR="00316B11" w:rsidRPr="00F53F85" w:rsidRDefault="00316B11"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B80"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B81"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1.00</w:t>
            </w:r>
          </w:p>
        </w:tc>
        <w:tc>
          <w:tcPr>
            <w:tcW w:w="788" w:type="dxa"/>
            <w:tcBorders>
              <w:top w:val="nil"/>
              <w:left w:val="nil"/>
              <w:bottom w:val="single" w:sz="4" w:space="0" w:color="auto"/>
              <w:right w:val="single" w:sz="4" w:space="0" w:color="auto"/>
            </w:tcBorders>
            <w:shd w:val="clear" w:color="auto" w:fill="auto"/>
            <w:noWrap/>
            <w:vAlign w:val="center"/>
            <w:hideMark/>
          </w:tcPr>
          <w:p w14:paraId="53C15B82"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0.19</w:t>
            </w:r>
          </w:p>
        </w:tc>
        <w:tc>
          <w:tcPr>
            <w:tcW w:w="788" w:type="dxa"/>
            <w:tcBorders>
              <w:top w:val="nil"/>
              <w:left w:val="nil"/>
              <w:bottom w:val="single" w:sz="4" w:space="0" w:color="auto"/>
              <w:right w:val="single" w:sz="4" w:space="0" w:color="auto"/>
            </w:tcBorders>
            <w:shd w:val="clear" w:color="auto" w:fill="auto"/>
            <w:noWrap/>
            <w:vAlign w:val="center"/>
            <w:hideMark/>
          </w:tcPr>
          <w:p w14:paraId="53C15B83"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0.19</w:t>
            </w:r>
          </w:p>
        </w:tc>
        <w:tc>
          <w:tcPr>
            <w:tcW w:w="630" w:type="dxa"/>
            <w:tcBorders>
              <w:top w:val="nil"/>
              <w:left w:val="nil"/>
              <w:bottom w:val="single" w:sz="4" w:space="0" w:color="auto"/>
              <w:right w:val="single" w:sz="4" w:space="0" w:color="auto"/>
            </w:tcBorders>
            <w:vAlign w:val="center"/>
          </w:tcPr>
          <w:p w14:paraId="53C15B84" w14:textId="77777777" w:rsidR="00316B11" w:rsidRPr="00F53F85" w:rsidRDefault="00316B11" w:rsidP="00316B11">
            <w:pPr>
              <w:spacing w:after="0"/>
              <w:jc w:val="center"/>
              <w:rPr>
                <w:rFonts w:ascii="Arial Narrow" w:hAnsi="Arial Narrow"/>
                <w:sz w:val="20"/>
                <w:szCs w:val="20"/>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B85"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0.31</w:t>
            </w:r>
          </w:p>
        </w:tc>
      </w:tr>
      <w:tr w:rsidR="005B2CA4" w:rsidRPr="00F53F85" w14:paraId="53C15B9B" w14:textId="77777777" w:rsidTr="00633C8A">
        <w:trPr>
          <w:trHeight w:val="340"/>
        </w:trPr>
        <w:tc>
          <w:tcPr>
            <w:tcW w:w="611" w:type="dxa"/>
            <w:vMerge w:val="restart"/>
            <w:tcBorders>
              <w:top w:val="nil"/>
              <w:left w:val="single" w:sz="4" w:space="0" w:color="auto"/>
              <w:right w:val="single" w:sz="4" w:space="0" w:color="auto"/>
            </w:tcBorders>
            <w:shd w:val="clear" w:color="auto" w:fill="auto"/>
            <w:noWrap/>
            <w:textDirection w:val="btLr"/>
            <w:vAlign w:val="center"/>
            <w:hideMark/>
          </w:tcPr>
          <w:p w14:paraId="53C15B87" w14:textId="77777777" w:rsidR="005B2CA4" w:rsidRPr="00F53F85" w:rsidRDefault="005B2CA4" w:rsidP="00F53F85">
            <w:pPr>
              <w:spacing w:after="0"/>
              <w:jc w:val="center"/>
              <w:rPr>
                <w:rFonts w:ascii="Arial Narrow" w:hAnsi="Arial Narrow"/>
                <w:sz w:val="20"/>
                <w:lang w:eastAsia="en-AU"/>
              </w:rPr>
            </w:pPr>
            <w:r w:rsidRPr="00F53F85">
              <w:rPr>
                <w:rFonts w:ascii="Arial Narrow" w:hAnsi="Arial Narrow"/>
                <w:sz w:val="20"/>
                <w:lang w:eastAsia="en-AU"/>
              </w:rPr>
              <w:t>Burdekin</w:t>
            </w:r>
          </w:p>
        </w:tc>
        <w:tc>
          <w:tcPr>
            <w:tcW w:w="1134" w:type="dxa"/>
            <w:vMerge w:val="restart"/>
            <w:tcBorders>
              <w:top w:val="nil"/>
              <w:left w:val="single" w:sz="4" w:space="0" w:color="auto"/>
              <w:right w:val="single" w:sz="4" w:space="0" w:color="auto"/>
            </w:tcBorders>
            <w:vAlign w:val="center"/>
          </w:tcPr>
          <w:p w14:paraId="53C15B88"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Palms East</w:t>
            </w:r>
          </w:p>
        </w:tc>
        <w:tc>
          <w:tcPr>
            <w:tcW w:w="779" w:type="dxa"/>
            <w:tcBorders>
              <w:top w:val="nil"/>
              <w:left w:val="single" w:sz="4" w:space="0" w:color="auto"/>
              <w:bottom w:val="single" w:sz="4" w:space="0" w:color="auto"/>
              <w:right w:val="single" w:sz="4" w:space="0" w:color="auto"/>
            </w:tcBorders>
            <w:vAlign w:val="center"/>
          </w:tcPr>
          <w:p w14:paraId="53C15B89"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2</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B8A"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B8B" w14:textId="77777777" w:rsidR="005B2CA4" w:rsidRPr="00F53F85" w:rsidRDefault="005B2CA4" w:rsidP="00316B11">
            <w:pPr>
              <w:spacing w:after="0"/>
              <w:jc w:val="center"/>
              <w:rPr>
                <w:rFonts w:ascii="Arial Narrow" w:hAnsi="Arial Narrow"/>
                <w:sz w:val="20"/>
                <w:szCs w:val="20"/>
                <w:lang w:eastAsia="en-AU"/>
              </w:rPr>
            </w:pPr>
          </w:p>
        </w:tc>
        <w:tc>
          <w:tcPr>
            <w:tcW w:w="586" w:type="dxa"/>
            <w:tcBorders>
              <w:top w:val="nil"/>
              <w:left w:val="nil"/>
              <w:bottom w:val="single" w:sz="4" w:space="0" w:color="auto"/>
              <w:right w:val="single" w:sz="4" w:space="0" w:color="auto"/>
            </w:tcBorders>
            <w:shd w:val="clear" w:color="auto" w:fill="auto"/>
            <w:noWrap/>
            <w:vAlign w:val="center"/>
            <w:hideMark/>
          </w:tcPr>
          <w:p w14:paraId="53C15B8C" w14:textId="77777777" w:rsidR="005B2CA4" w:rsidRPr="00F53F85" w:rsidRDefault="005B2CA4" w:rsidP="00316B11">
            <w:pPr>
              <w:spacing w:after="0"/>
              <w:jc w:val="center"/>
              <w:rPr>
                <w:rFonts w:ascii="Arial Narrow" w:hAnsi="Arial Narrow"/>
                <w:sz w:val="20"/>
                <w:szCs w:val="20"/>
                <w:lang w:eastAsia="en-AU"/>
              </w:rPr>
            </w:pPr>
          </w:p>
        </w:tc>
        <w:tc>
          <w:tcPr>
            <w:tcW w:w="564" w:type="dxa"/>
            <w:tcBorders>
              <w:top w:val="nil"/>
              <w:left w:val="nil"/>
              <w:bottom w:val="single" w:sz="4" w:space="0" w:color="auto"/>
              <w:right w:val="single" w:sz="4" w:space="0" w:color="auto"/>
            </w:tcBorders>
            <w:vAlign w:val="center"/>
          </w:tcPr>
          <w:p w14:paraId="53C15B8D" w14:textId="77777777" w:rsidR="005B2CA4" w:rsidRPr="00F53F85" w:rsidRDefault="005B2CA4"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B8E" w14:textId="77777777" w:rsidR="005B2CA4" w:rsidRPr="00F53F85" w:rsidRDefault="005B2CA4"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B8F" w14:textId="77777777" w:rsidR="005B2CA4" w:rsidRPr="00F53F85" w:rsidRDefault="005B2CA4"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B90" w14:textId="77777777" w:rsidR="005B2CA4" w:rsidRPr="00F53F85" w:rsidRDefault="005B2CA4" w:rsidP="00316B11">
            <w:pPr>
              <w:spacing w:after="0"/>
              <w:jc w:val="center"/>
              <w:rPr>
                <w:rFonts w:ascii="Arial Narrow" w:hAnsi="Arial Narrow"/>
                <w:sz w:val="20"/>
                <w:szCs w:val="20"/>
                <w:lang w:eastAsia="en-AU"/>
              </w:rPr>
            </w:pPr>
          </w:p>
        </w:tc>
        <w:tc>
          <w:tcPr>
            <w:tcW w:w="546" w:type="dxa"/>
            <w:tcBorders>
              <w:top w:val="nil"/>
              <w:left w:val="nil"/>
              <w:bottom w:val="single" w:sz="4" w:space="0" w:color="auto"/>
              <w:right w:val="single" w:sz="4" w:space="0" w:color="auto"/>
            </w:tcBorders>
            <w:shd w:val="clear" w:color="auto" w:fill="auto"/>
            <w:noWrap/>
            <w:vAlign w:val="center"/>
            <w:hideMark/>
          </w:tcPr>
          <w:p w14:paraId="53C15B91"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1.31</w:t>
            </w:r>
          </w:p>
        </w:tc>
        <w:tc>
          <w:tcPr>
            <w:tcW w:w="573" w:type="dxa"/>
            <w:tcBorders>
              <w:top w:val="nil"/>
              <w:left w:val="nil"/>
              <w:bottom w:val="single" w:sz="4" w:space="0" w:color="auto"/>
              <w:right w:val="single" w:sz="4" w:space="0" w:color="auto"/>
            </w:tcBorders>
            <w:shd w:val="clear" w:color="auto" w:fill="auto"/>
            <w:noWrap/>
            <w:vAlign w:val="center"/>
            <w:hideMark/>
          </w:tcPr>
          <w:p w14:paraId="53C15B92" w14:textId="77777777" w:rsidR="005B2CA4" w:rsidRPr="00F53F85" w:rsidRDefault="005B2CA4"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B93"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536" w:type="dxa"/>
            <w:tcBorders>
              <w:top w:val="nil"/>
              <w:left w:val="nil"/>
              <w:bottom w:val="single" w:sz="4" w:space="0" w:color="auto"/>
              <w:right w:val="single" w:sz="4" w:space="0" w:color="auto"/>
            </w:tcBorders>
            <w:shd w:val="clear" w:color="auto" w:fill="auto"/>
            <w:noWrap/>
            <w:vAlign w:val="center"/>
            <w:hideMark/>
          </w:tcPr>
          <w:p w14:paraId="53C15B94" w14:textId="77777777" w:rsidR="005B2CA4" w:rsidRPr="00F53F85" w:rsidRDefault="005B2CA4"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B95"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B96"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B97"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B98" w14:textId="77777777" w:rsidR="005B2CA4" w:rsidRPr="00F53F85" w:rsidRDefault="005B2CA4" w:rsidP="00316B11">
            <w:pPr>
              <w:spacing w:after="0"/>
              <w:jc w:val="center"/>
              <w:rPr>
                <w:rFonts w:ascii="Arial Narrow" w:hAnsi="Arial Narrow"/>
                <w:sz w:val="20"/>
                <w:szCs w:val="20"/>
                <w:lang w:eastAsia="en-AU"/>
              </w:rPr>
            </w:pPr>
          </w:p>
        </w:tc>
        <w:tc>
          <w:tcPr>
            <w:tcW w:w="630" w:type="dxa"/>
            <w:tcBorders>
              <w:top w:val="nil"/>
              <w:left w:val="nil"/>
              <w:bottom w:val="single" w:sz="4" w:space="0" w:color="auto"/>
              <w:right w:val="single" w:sz="4" w:space="0" w:color="auto"/>
            </w:tcBorders>
            <w:vAlign w:val="center"/>
          </w:tcPr>
          <w:p w14:paraId="53C15B99" w14:textId="77777777" w:rsidR="005B2CA4" w:rsidRPr="00F53F85" w:rsidRDefault="005B2CA4" w:rsidP="00316B11">
            <w:pPr>
              <w:spacing w:after="0"/>
              <w:jc w:val="center"/>
              <w:rPr>
                <w:rFonts w:ascii="Arial Narrow" w:hAnsi="Arial Narrow"/>
                <w:sz w:val="20"/>
                <w:szCs w:val="20"/>
                <w:lang w:eastAsia="en-AU"/>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B9A"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0.13</w:t>
            </w:r>
          </w:p>
        </w:tc>
      </w:tr>
      <w:tr w:rsidR="005B2CA4" w:rsidRPr="00F53F85" w14:paraId="53C15BB0" w14:textId="77777777" w:rsidTr="00633C8A">
        <w:trPr>
          <w:trHeight w:val="340"/>
        </w:trPr>
        <w:tc>
          <w:tcPr>
            <w:tcW w:w="611" w:type="dxa"/>
            <w:vMerge/>
            <w:tcBorders>
              <w:left w:val="single" w:sz="4" w:space="0" w:color="auto"/>
              <w:right w:val="single" w:sz="4" w:space="0" w:color="auto"/>
            </w:tcBorders>
            <w:vAlign w:val="center"/>
            <w:hideMark/>
          </w:tcPr>
          <w:p w14:paraId="53C15B9C" w14:textId="77777777" w:rsidR="005B2CA4" w:rsidRPr="00F53F85" w:rsidRDefault="005B2CA4" w:rsidP="00F53F85">
            <w:pPr>
              <w:spacing w:after="0"/>
              <w:jc w:val="left"/>
              <w:rPr>
                <w:rFonts w:ascii="Arial Narrow" w:hAnsi="Arial Narrow"/>
                <w:sz w:val="20"/>
                <w:lang w:eastAsia="en-AU"/>
              </w:rPr>
            </w:pPr>
          </w:p>
        </w:tc>
        <w:tc>
          <w:tcPr>
            <w:tcW w:w="1134" w:type="dxa"/>
            <w:vMerge/>
            <w:tcBorders>
              <w:left w:val="single" w:sz="4" w:space="0" w:color="auto"/>
              <w:bottom w:val="single" w:sz="4" w:space="0" w:color="auto"/>
              <w:right w:val="single" w:sz="4" w:space="0" w:color="auto"/>
            </w:tcBorders>
            <w:vAlign w:val="center"/>
          </w:tcPr>
          <w:p w14:paraId="53C15B9D" w14:textId="77777777" w:rsidR="005B2CA4" w:rsidRPr="00F53F85" w:rsidRDefault="005B2CA4" w:rsidP="00316B11">
            <w:pPr>
              <w:spacing w:after="0"/>
              <w:jc w:val="center"/>
              <w:rPr>
                <w:rFonts w:ascii="Arial Narrow" w:hAnsi="Arial Narrow"/>
                <w:sz w:val="20"/>
                <w:szCs w:val="20"/>
                <w:lang w:eastAsia="en-AU"/>
              </w:rPr>
            </w:pPr>
          </w:p>
        </w:tc>
        <w:tc>
          <w:tcPr>
            <w:tcW w:w="779" w:type="dxa"/>
            <w:tcBorders>
              <w:top w:val="nil"/>
              <w:left w:val="single" w:sz="4" w:space="0" w:color="auto"/>
              <w:bottom w:val="single" w:sz="4" w:space="0" w:color="auto"/>
              <w:right w:val="single" w:sz="4" w:space="0" w:color="auto"/>
            </w:tcBorders>
            <w:vAlign w:val="center"/>
          </w:tcPr>
          <w:p w14:paraId="53C15B9E"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5</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B9F"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BA0" w14:textId="77777777" w:rsidR="005B2CA4" w:rsidRPr="00F53F85" w:rsidRDefault="005B2CA4" w:rsidP="00316B11">
            <w:pPr>
              <w:spacing w:after="0"/>
              <w:jc w:val="center"/>
              <w:rPr>
                <w:rFonts w:ascii="Arial Narrow" w:hAnsi="Arial Narrow"/>
                <w:sz w:val="20"/>
                <w:szCs w:val="20"/>
                <w:lang w:eastAsia="en-AU"/>
              </w:rPr>
            </w:pPr>
          </w:p>
        </w:tc>
        <w:tc>
          <w:tcPr>
            <w:tcW w:w="586" w:type="dxa"/>
            <w:tcBorders>
              <w:top w:val="nil"/>
              <w:left w:val="nil"/>
              <w:bottom w:val="single" w:sz="4" w:space="0" w:color="auto"/>
              <w:right w:val="single" w:sz="4" w:space="0" w:color="auto"/>
            </w:tcBorders>
            <w:shd w:val="clear" w:color="auto" w:fill="auto"/>
            <w:noWrap/>
            <w:vAlign w:val="center"/>
            <w:hideMark/>
          </w:tcPr>
          <w:p w14:paraId="53C15BA1" w14:textId="77777777" w:rsidR="005B2CA4" w:rsidRPr="00F53F85" w:rsidRDefault="005B2CA4" w:rsidP="00316B11">
            <w:pPr>
              <w:spacing w:after="0"/>
              <w:jc w:val="center"/>
              <w:rPr>
                <w:rFonts w:ascii="Arial Narrow" w:hAnsi="Arial Narrow"/>
                <w:sz w:val="20"/>
                <w:szCs w:val="20"/>
                <w:lang w:eastAsia="en-AU"/>
              </w:rPr>
            </w:pPr>
          </w:p>
        </w:tc>
        <w:tc>
          <w:tcPr>
            <w:tcW w:w="564" w:type="dxa"/>
            <w:tcBorders>
              <w:top w:val="nil"/>
              <w:left w:val="nil"/>
              <w:bottom w:val="single" w:sz="4" w:space="0" w:color="auto"/>
              <w:right w:val="single" w:sz="4" w:space="0" w:color="auto"/>
            </w:tcBorders>
            <w:vAlign w:val="center"/>
          </w:tcPr>
          <w:p w14:paraId="53C15BA2" w14:textId="77777777" w:rsidR="005B2CA4" w:rsidRPr="00F53F85" w:rsidRDefault="005B2CA4"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BA3" w14:textId="77777777" w:rsidR="005B2CA4" w:rsidRPr="00F53F85" w:rsidRDefault="005B2CA4"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BA4" w14:textId="77777777" w:rsidR="005B2CA4" w:rsidRPr="00F53F85" w:rsidRDefault="005B2CA4"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BA5" w14:textId="77777777" w:rsidR="005B2CA4" w:rsidRPr="00F53F85" w:rsidRDefault="005B2CA4" w:rsidP="00316B11">
            <w:pPr>
              <w:spacing w:after="0"/>
              <w:jc w:val="center"/>
              <w:rPr>
                <w:rFonts w:ascii="Arial Narrow" w:hAnsi="Arial Narrow"/>
                <w:sz w:val="20"/>
                <w:szCs w:val="20"/>
                <w:lang w:eastAsia="en-AU"/>
              </w:rPr>
            </w:pPr>
          </w:p>
        </w:tc>
        <w:tc>
          <w:tcPr>
            <w:tcW w:w="546" w:type="dxa"/>
            <w:tcBorders>
              <w:top w:val="nil"/>
              <w:left w:val="nil"/>
              <w:bottom w:val="single" w:sz="4" w:space="0" w:color="auto"/>
              <w:right w:val="single" w:sz="4" w:space="0" w:color="auto"/>
            </w:tcBorders>
            <w:shd w:val="clear" w:color="auto" w:fill="auto"/>
            <w:noWrap/>
            <w:vAlign w:val="center"/>
            <w:hideMark/>
          </w:tcPr>
          <w:p w14:paraId="53C15BA6"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1.44</w:t>
            </w:r>
          </w:p>
        </w:tc>
        <w:tc>
          <w:tcPr>
            <w:tcW w:w="573" w:type="dxa"/>
            <w:tcBorders>
              <w:top w:val="nil"/>
              <w:left w:val="nil"/>
              <w:bottom w:val="single" w:sz="4" w:space="0" w:color="auto"/>
              <w:right w:val="single" w:sz="4" w:space="0" w:color="auto"/>
            </w:tcBorders>
            <w:shd w:val="clear" w:color="auto" w:fill="auto"/>
            <w:noWrap/>
            <w:vAlign w:val="center"/>
            <w:hideMark/>
          </w:tcPr>
          <w:p w14:paraId="53C15BA7" w14:textId="77777777" w:rsidR="005B2CA4" w:rsidRPr="00F53F85" w:rsidRDefault="005B2CA4"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BA8"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536" w:type="dxa"/>
            <w:tcBorders>
              <w:top w:val="nil"/>
              <w:left w:val="nil"/>
              <w:bottom w:val="single" w:sz="4" w:space="0" w:color="auto"/>
              <w:right w:val="single" w:sz="4" w:space="0" w:color="auto"/>
            </w:tcBorders>
            <w:shd w:val="clear" w:color="auto" w:fill="auto"/>
            <w:noWrap/>
            <w:vAlign w:val="center"/>
            <w:hideMark/>
          </w:tcPr>
          <w:p w14:paraId="53C15BA9" w14:textId="77777777" w:rsidR="005B2CA4" w:rsidRPr="00F53F85" w:rsidRDefault="005B2CA4"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BAA"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BAB"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BAC"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BAD" w14:textId="77777777" w:rsidR="005B2CA4" w:rsidRPr="00F53F85" w:rsidRDefault="005B2CA4" w:rsidP="00316B11">
            <w:pPr>
              <w:spacing w:after="0"/>
              <w:jc w:val="center"/>
              <w:rPr>
                <w:rFonts w:ascii="Arial Narrow" w:hAnsi="Arial Narrow"/>
                <w:sz w:val="20"/>
                <w:szCs w:val="20"/>
                <w:lang w:eastAsia="en-AU"/>
              </w:rPr>
            </w:pPr>
          </w:p>
        </w:tc>
        <w:tc>
          <w:tcPr>
            <w:tcW w:w="630" w:type="dxa"/>
            <w:tcBorders>
              <w:top w:val="nil"/>
              <w:left w:val="nil"/>
              <w:bottom w:val="single" w:sz="4" w:space="0" w:color="auto"/>
              <w:right w:val="single" w:sz="4" w:space="0" w:color="auto"/>
            </w:tcBorders>
            <w:vAlign w:val="center"/>
          </w:tcPr>
          <w:p w14:paraId="53C15BAE" w14:textId="77777777" w:rsidR="005B2CA4" w:rsidRPr="00F53F85" w:rsidRDefault="005B2CA4" w:rsidP="00316B11">
            <w:pPr>
              <w:spacing w:after="0"/>
              <w:jc w:val="center"/>
              <w:rPr>
                <w:rFonts w:ascii="Arial Narrow" w:hAnsi="Arial Narrow"/>
                <w:sz w:val="20"/>
                <w:szCs w:val="20"/>
                <w:lang w:eastAsia="en-AU"/>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BAF" w14:textId="77777777" w:rsidR="005B2CA4" w:rsidRPr="00F53F85" w:rsidRDefault="005B2CA4" w:rsidP="00316B11">
            <w:pPr>
              <w:spacing w:after="0"/>
              <w:jc w:val="center"/>
              <w:rPr>
                <w:rFonts w:ascii="Arial Narrow" w:hAnsi="Arial Narrow"/>
                <w:sz w:val="20"/>
                <w:szCs w:val="20"/>
                <w:lang w:eastAsia="en-AU"/>
              </w:rPr>
            </w:pPr>
          </w:p>
        </w:tc>
      </w:tr>
      <w:tr w:rsidR="005B2CA4" w:rsidRPr="00F53F85" w14:paraId="53C15BC5" w14:textId="77777777" w:rsidTr="00633C8A">
        <w:trPr>
          <w:trHeight w:val="340"/>
        </w:trPr>
        <w:tc>
          <w:tcPr>
            <w:tcW w:w="611" w:type="dxa"/>
            <w:vMerge/>
            <w:tcBorders>
              <w:left w:val="single" w:sz="4" w:space="0" w:color="auto"/>
              <w:right w:val="single" w:sz="4" w:space="0" w:color="auto"/>
            </w:tcBorders>
            <w:vAlign w:val="center"/>
            <w:hideMark/>
          </w:tcPr>
          <w:p w14:paraId="53C15BB1" w14:textId="77777777" w:rsidR="005B2CA4" w:rsidRPr="00F53F85" w:rsidRDefault="005B2CA4" w:rsidP="00F53F85">
            <w:pPr>
              <w:spacing w:after="0"/>
              <w:jc w:val="left"/>
              <w:rPr>
                <w:rFonts w:ascii="Arial Narrow" w:hAnsi="Arial Narrow"/>
                <w:sz w:val="20"/>
                <w:lang w:eastAsia="en-AU"/>
              </w:rPr>
            </w:pPr>
          </w:p>
        </w:tc>
        <w:tc>
          <w:tcPr>
            <w:tcW w:w="1134" w:type="dxa"/>
            <w:vMerge w:val="restart"/>
            <w:tcBorders>
              <w:top w:val="nil"/>
              <w:left w:val="single" w:sz="4" w:space="0" w:color="auto"/>
              <w:right w:val="single" w:sz="4" w:space="0" w:color="auto"/>
            </w:tcBorders>
            <w:vAlign w:val="center"/>
          </w:tcPr>
          <w:p w14:paraId="53C15BB2"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Palms West</w:t>
            </w:r>
          </w:p>
        </w:tc>
        <w:tc>
          <w:tcPr>
            <w:tcW w:w="779" w:type="dxa"/>
            <w:tcBorders>
              <w:top w:val="nil"/>
              <w:left w:val="single" w:sz="4" w:space="0" w:color="auto"/>
              <w:bottom w:val="single" w:sz="4" w:space="0" w:color="auto"/>
              <w:right w:val="single" w:sz="4" w:space="0" w:color="auto"/>
            </w:tcBorders>
            <w:vAlign w:val="center"/>
          </w:tcPr>
          <w:p w14:paraId="53C15BB3"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2</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BB4"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BB5" w14:textId="77777777" w:rsidR="005B2CA4" w:rsidRPr="00F53F85" w:rsidRDefault="005B2CA4" w:rsidP="00316B11">
            <w:pPr>
              <w:spacing w:after="0"/>
              <w:jc w:val="center"/>
              <w:rPr>
                <w:rFonts w:ascii="Arial Narrow" w:hAnsi="Arial Narrow"/>
                <w:sz w:val="20"/>
                <w:szCs w:val="20"/>
                <w:lang w:eastAsia="en-AU"/>
              </w:rPr>
            </w:pPr>
          </w:p>
        </w:tc>
        <w:tc>
          <w:tcPr>
            <w:tcW w:w="586" w:type="dxa"/>
            <w:tcBorders>
              <w:top w:val="nil"/>
              <w:left w:val="nil"/>
              <w:bottom w:val="single" w:sz="4" w:space="0" w:color="auto"/>
              <w:right w:val="single" w:sz="4" w:space="0" w:color="auto"/>
            </w:tcBorders>
            <w:shd w:val="clear" w:color="auto" w:fill="auto"/>
            <w:noWrap/>
            <w:vAlign w:val="center"/>
            <w:hideMark/>
          </w:tcPr>
          <w:p w14:paraId="53C15BB6" w14:textId="77777777" w:rsidR="005B2CA4" w:rsidRPr="00F53F85" w:rsidRDefault="005B2CA4" w:rsidP="00316B11">
            <w:pPr>
              <w:spacing w:after="0"/>
              <w:jc w:val="center"/>
              <w:rPr>
                <w:rFonts w:ascii="Arial Narrow" w:hAnsi="Arial Narrow"/>
                <w:sz w:val="20"/>
                <w:szCs w:val="20"/>
                <w:lang w:eastAsia="en-AU"/>
              </w:rPr>
            </w:pPr>
          </w:p>
        </w:tc>
        <w:tc>
          <w:tcPr>
            <w:tcW w:w="564" w:type="dxa"/>
            <w:tcBorders>
              <w:top w:val="nil"/>
              <w:left w:val="nil"/>
              <w:bottom w:val="single" w:sz="4" w:space="0" w:color="auto"/>
              <w:right w:val="single" w:sz="4" w:space="0" w:color="auto"/>
            </w:tcBorders>
            <w:vAlign w:val="center"/>
          </w:tcPr>
          <w:p w14:paraId="53C15BB7" w14:textId="77777777" w:rsidR="005B2CA4" w:rsidRPr="00F53F85" w:rsidRDefault="005B2CA4"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BB8" w14:textId="77777777" w:rsidR="005B2CA4" w:rsidRPr="00F53F85" w:rsidRDefault="005B2CA4"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BB9" w14:textId="77777777" w:rsidR="005B2CA4" w:rsidRPr="00F53F85" w:rsidRDefault="005B2CA4" w:rsidP="00316B11">
            <w:pPr>
              <w:spacing w:after="0"/>
              <w:jc w:val="center"/>
              <w:rPr>
                <w:rFonts w:ascii="Arial Narrow" w:hAnsi="Arial Narrow"/>
                <w:sz w:val="20"/>
                <w:szCs w:val="20"/>
                <w:lang w:eastAsia="en-AU"/>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BBA" w14:textId="77777777" w:rsidR="005B2CA4" w:rsidRPr="00F53F85" w:rsidRDefault="005B2CA4" w:rsidP="00316B11">
            <w:pPr>
              <w:spacing w:after="0"/>
              <w:jc w:val="center"/>
              <w:rPr>
                <w:rFonts w:ascii="Arial Narrow" w:hAnsi="Arial Narrow"/>
                <w:sz w:val="20"/>
                <w:szCs w:val="20"/>
                <w:lang w:eastAsia="en-AU"/>
              </w:rPr>
            </w:pPr>
          </w:p>
        </w:tc>
        <w:tc>
          <w:tcPr>
            <w:tcW w:w="546" w:type="dxa"/>
            <w:tcBorders>
              <w:top w:val="nil"/>
              <w:left w:val="nil"/>
              <w:bottom w:val="single" w:sz="4" w:space="0" w:color="auto"/>
              <w:right w:val="single" w:sz="4" w:space="0" w:color="auto"/>
            </w:tcBorders>
            <w:shd w:val="clear" w:color="auto" w:fill="auto"/>
            <w:noWrap/>
            <w:vAlign w:val="center"/>
            <w:hideMark/>
          </w:tcPr>
          <w:p w14:paraId="53C15BBB" w14:textId="77777777" w:rsidR="005B2CA4" w:rsidRPr="00F53F85" w:rsidRDefault="005B2CA4" w:rsidP="00316B11">
            <w:pPr>
              <w:spacing w:after="0"/>
              <w:jc w:val="center"/>
              <w:rPr>
                <w:rFonts w:ascii="Arial Narrow" w:hAnsi="Arial Narrow"/>
                <w:sz w:val="20"/>
                <w:szCs w:val="20"/>
                <w:lang w:eastAsia="en-AU"/>
              </w:rPr>
            </w:pPr>
          </w:p>
        </w:tc>
        <w:tc>
          <w:tcPr>
            <w:tcW w:w="573" w:type="dxa"/>
            <w:tcBorders>
              <w:top w:val="nil"/>
              <w:left w:val="nil"/>
              <w:bottom w:val="single" w:sz="4" w:space="0" w:color="auto"/>
              <w:right w:val="single" w:sz="4" w:space="0" w:color="auto"/>
            </w:tcBorders>
            <w:shd w:val="clear" w:color="auto" w:fill="auto"/>
            <w:noWrap/>
            <w:vAlign w:val="center"/>
            <w:hideMark/>
          </w:tcPr>
          <w:p w14:paraId="53C15BBC" w14:textId="77777777" w:rsidR="005B2CA4" w:rsidRPr="00F53F85" w:rsidRDefault="005B2CA4"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BBD"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BBE" w14:textId="77777777" w:rsidR="005B2CA4" w:rsidRPr="00F53F85" w:rsidRDefault="005B2CA4"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BBF"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BC0"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BC1"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BC2" w14:textId="77777777" w:rsidR="005B2CA4" w:rsidRPr="00F53F85" w:rsidRDefault="005B2CA4" w:rsidP="00316B11">
            <w:pPr>
              <w:spacing w:after="0"/>
              <w:jc w:val="center"/>
              <w:rPr>
                <w:rFonts w:ascii="Arial Narrow" w:hAnsi="Arial Narrow"/>
                <w:sz w:val="20"/>
                <w:szCs w:val="20"/>
                <w:lang w:eastAsia="en-AU"/>
              </w:rPr>
            </w:pPr>
          </w:p>
        </w:tc>
        <w:tc>
          <w:tcPr>
            <w:tcW w:w="630" w:type="dxa"/>
            <w:tcBorders>
              <w:top w:val="nil"/>
              <w:left w:val="nil"/>
              <w:bottom w:val="single" w:sz="4" w:space="0" w:color="auto"/>
              <w:right w:val="single" w:sz="4" w:space="0" w:color="auto"/>
            </w:tcBorders>
            <w:vAlign w:val="center"/>
          </w:tcPr>
          <w:p w14:paraId="53C15BC3" w14:textId="77777777" w:rsidR="005B2CA4" w:rsidRPr="00F53F85" w:rsidRDefault="005B2CA4" w:rsidP="00316B11">
            <w:pPr>
              <w:spacing w:after="0"/>
              <w:jc w:val="center"/>
              <w:rPr>
                <w:rFonts w:ascii="Arial Narrow" w:hAnsi="Arial Narrow"/>
                <w:sz w:val="20"/>
                <w:szCs w:val="20"/>
                <w:lang w:eastAsia="en-AU"/>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BC4" w14:textId="77777777" w:rsidR="005B2CA4" w:rsidRPr="00F53F85" w:rsidRDefault="005B2CA4" w:rsidP="00316B11">
            <w:pPr>
              <w:spacing w:after="0"/>
              <w:jc w:val="center"/>
              <w:rPr>
                <w:rFonts w:ascii="Arial Narrow" w:hAnsi="Arial Narrow"/>
                <w:sz w:val="20"/>
                <w:szCs w:val="20"/>
                <w:lang w:eastAsia="en-AU"/>
              </w:rPr>
            </w:pPr>
          </w:p>
        </w:tc>
      </w:tr>
      <w:tr w:rsidR="005B2CA4" w:rsidRPr="00F53F85" w14:paraId="53C15BDA" w14:textId="77777777" w:rsidTr="00633C8A">
        <w:trPr>
          <w:trHeight w:val="340"/>
        </w:trPr>
        <w:tc>
          <w:tcPr>
            <w:tcW w:w="611" w:type="dxa"/>
            <w:vMerge/>
            <w:tcBorders>
              <w:left w:val="single" w:sz="4" w:space="0" w:color="auto"/>
              <w:right w:val="single" w:sz="4" w:space="0" w:color="auto"/>
            </w:tcBorders>
            <w:vAlign w:val="center"/>
            <w:hideMark/>
          </w:tcPr>
          <w:p w14:paraId="53C15BC6" w14:textId="77777777" w:rsidR="005B2CA4" w:rsidRPr="00F53F85" w:rsidRDefault="005B2CA4" w:rsidP="00F53F85">
            <w:pPr>
              <w:spacing w:after="0"/>
              <w:jc w:val="left"/>
              <w:rPr>
                <w:rFonts w:ascii="Arial Narrow" w:hAnsi="Arial Narrow"/>
                <w:sz w:val="20"/>
                <w:lang w:eastAsia="en-AU"/>
              </w:rPr>
            </w:pPr>
          </w:p>
        </w:tc>
        <w:tc>
          <w:tcPr>
            <w:tcW w:w="1134" w:type="dxa"/>
            <w:vMerge/>
            <w:tcBorders>
              <w:left w:val="single" w:sz="4" w:space="0" w:color="auto"/>
              <w:bottom w:val="single" w:sz="4" w:space="0" w:color="auto"/>
              <w:right w:val="single" w:sz="4" w:space="0" w:color="auto"/>
            </w:tcBorders>
            <w:vAlign w:val="center"/>
          </w:tcPr>
          <w:p w14:paraId="53C15BC7" w14:textId="77777777" w:rsidR="005B2CA4" w:rsidRPr="00F53F85" w:rsidRDefault="005B2CA4" w:rsidP="00316B11">
            <w:pPr>
              <w:spacing w:after="0"/>
              <w:jc w:val="center"/>
              <w:rPr>
                <w:rFonts w:ascii="Arial Narrow" w:hAnsi="Arial Narrow"/>
                <w:sz w:val="20"/>
                <w:szCs w:val="20"/>
                <w:lang w:eastAsia="en-AU"/>
              </w:rPr>
            </w:pPr>
          </w:p>
        </w:tc>
        <w:tc>
          <w:tcPr>
            <w:tcW w:w="779" w:type="dxa"/>
            <w:tcBorders>
              <w:top w:val="nil"/>
              <w:left w:val="single" w:sz="4" w:space="0" w:color="auto"/>
              <w:bottom w:val="single" w:sz="4" w:space="0" w:color="auto"/>
              <w:right w:val="single" w:sz="4" w:space="0" w:color="auto"/>
            </w:tcBorders>
            <w:vAlign w:val="center"/>
          </w:tcPr>
          <w:p w14:paraId="53C15BC8"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5</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BC9"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BCA" w14:textId="77777777" w:rsidR="005B2CA4" w:rsidRPr="00F53F85" w:rsidRDefault="005B2CA4" w:rsidP="00316B11">
            <w:pPr>
              <w:spacing w:after="0"/>
              <w:jc w:val="center"/>
              <w:rPr>
                <w:rFonts w:ascii="Arial Narrow" w:hAnsi="Arial Narrow"/>
                <w:sz w:val="20"/>
                <w:szCs w:val="20"/>
                <w:lang w:eastAsia="en-AU"/>
              </w:rPr>
            </w:pPr>
          </w:p>
        </w:tc>
        <w:tc>
          <w:tcPr>
            <w:tcW w:w="586" w:type="dxa"/>
            <w:tcBorders>
              <w:top w:val="nil"/>
              <w:left w:val="nil"/>
              <w:bottom w:val="single" w:sz="4" w:space="0" w:color="auto"/>
              <w:right w:val="single" w:sz="4" w:space="0" w:color="auto"/>
            </w:tcBorders>
            <w:shd w:val="clear" w:color="auto" w:fill="auto"/>
            <w:noWrap/>
            <w:vAlign w:val="center"/>
            <w:hideMark/>
          </w:tcPr>
          <w:p w14:paraId="53C15BCB" w14:textId="77777777" w:rsidR="005B2CA4" w:rsidRPr="00F53F85" w:rsidRDefault="005B2CA4" w:rsidP="00316B11">
            <w:pPr>
              <w:spacing w:after="0"/>
              <w:jc w:val="center"/>
              <w:rPr>
                <w:rFonts w:ascii="Arial Narrow" w:hAnsi="Arial Narrow"/>
                <w:sz w:val="20"/>
                <w:szCs w:val="20"/>
                <w:lang w:eastAsia="en-AU"/>
              </w:rPr>
            </w:pPr>
          </w:p>
        </w:tc>
        <w:tc>
          <w:tcPr>
            <w:tcW w:w="564" w:type="dxa"/>
            <w:tcBorders>
              <w:top w:val="nil"/>
              <w:left w:val="nil"/>
              <w:bottom w:val="single" w:sz="4" w:space="0" w:color="auto"/>
              <w:right w:val="single" w:sz="4" w:space="0" w:color="auto"/>
            </w:tcBorders>
            <w:vAlign w:val="center"/>
          </w:tcPr>
          <w:p w14:paraId="53C15BCC" w14:textId="77777777" w:rsidR="005B2CA4" w:rsidRPr="00F53F85" w:rsidRDefault="005B2CA4"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BCD" w14:textId="77777777" w:rsidR="005B2CA4" w:rsidRPr="00F53F85" w:rsidRDefault="005B2CA4"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BCE" w14:textId="77777777" w:rsidR="005B2CA4" w:rsidRPr="00F53F85" w:rsidRDefault="005B2CA4" w:rsidP="00316B11">
            <w:pPr>
              <w:spacing w:after="0"/>
              <w:jc w:val="center"/>
              <w:rPr>
                <w:rFonts w:ascii="Arial Narrow" w:hAnsi="Arial Narrow"/>
                <w:sz w:val="20"/>
                <w:szCs w:val="20"/>
                <w:lang w:eastAsia="en-AU"/>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BCF"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0.13</w:t>
            </w:r>
          </w:p>
        </w:tc>
        <w:tc>
          <w:tcPr>
            <w:tcW w:w="546" w:type="dxa"/>
            <w:tcBorders>
              <w:top w:val="nil"/>
              <w:left w:val="nil"/>
              <w:bottom w:val="single" w:sz="4" w:space="0" w:color="auto"/>
              <w:right w:val="single" w:sz="4" w:space="0" w:color="auto"/>
            </w:tcBorders>
            <w:shd w:val="clear" w:color="auto" w:fill="auto"/>
            <w:noWrap/>
            <w:vAlign w:val="center"/>
            <w:hideMark/>
          </w:tcPr>
          <w:p w14:paraId="53C15BD0" w14:textId="77777777" w:rsidR="005B2CA4" w:rsidRPr="00F53F85" w:rsidRDefault="005B2CA4" w:rsidP="00316B11">
            <w:pPr>
              <w:spacing w:after="0"/>
              <w:jc w:val="center"/>
              <w:rPr>
                <w:rFonts w:ascii="Arial Narrow" w:hAnsi="Arial Narrow"/>
                <w:sz w:val="20"/>
                <w:szCs w:val="20"/>
                <w:lang w:eastAsia="en-AU"/>
              </w:rPr>
            </w:pPr>
          </w:p>
        </w:tc>
        <w:tc>
          <w:tcPr>
            <w:tcW w:w="573" w:type="dxa"/>
            <w:tcBorders>
              <w:top w:val="nil"/>
              <w:left w:val="nil"/>
              <w:bottom w:val="single" w:sz="4" w:space="0" w:color="auto"/>
              <w:right w:val="single" w:sz="4" w:space="0" w:color="auto"/>
            </w:tcBorders>
            <w:shd w:val="clear" w:color="auto" w:fill="auto"/>
            <w:noWrap/>
            <w:vAlign w:val="center"/>
            <w:hideMark/>
          </w:tcPr>
          <w:p w14:paraId="53C15BD1" w14:textId="77777777" w:rsidR="005B2CA4" w:rsidRPr="00F53F85" w:rsidRDefault="005B2CA4"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BD2"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BD3" w14:textId="77777777" w:rsidR="005B2CA4" w:rsidRPr="00F53F85" w:rsidRDefault="005B2CA4"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BD4"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BD5"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BD6"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BD7" w14:textId="77777777" w:rsidR="005B2CA4" w:rsidRPr="00F53F85" w:rsidRDefault="005B2CA4" w:rsidP="00316B11">
            <w:pPr>
              <w:spacing w:after="0"/>
              <w:jc w:val="center"/>
              <w:rPr>
                <w:rFonts w:ascii="Arial Narrow" w:hAnsi="Arial Narrow"/>
                <w:sz w:val="20"/>
                <w:szCs w:val="20"/>
                <w:lang w:eastAsia="en-AU"/>
              </w:rPr>
            </w:pPr>
          </w:p>
        </w:tc>
        <w:tc>
          <w:tcPr>
            <w:tcW w:w="630" w:type="dxa"/>
            <w:tcBorders>
              <w:top w:val="nil"/>
              <w:left w:val="nil"/>
              <w:bottom w:val="single" w:sz="4" w:space="0" w:color="auto"/>
              <w:right w:val="single" w:sz="4" w:space="0" w:color="auto"/>
            </w:tcBorders>
            <w:vAlign w:val="center"/>
          </w:tcPr>
          <w:p w14:paraId="53C15BD8" w14:textId="77777777" w:rsidR="005B2CA4" w:rsidRPr="00F53F85" w:rsidRDefault="005B2CA4" w:rsidP="00316B11">
            <w:pPr>
              <w:spacing w:after="0"/>
              <w:jc w:val="center"/>
              <w:rPr>
                <w:rFonts w:ascii="Arial Narrow" w:hAnsi="Arial Narrow"/>
                <w:sz w:val="20"/>
                <w:szCs w:val="20"/>
                <w:lang w:eastAsia="en-AU"/>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BD9" w14:textId="77777777" w:rsidR="005B2CA4" w:rsidRPr="00F53F85" w:rsidRDefault="005B2CA4" w:rsidP="00316B11">
            <w:pPr>
              <w:spacing w:after="0"/>
              <w:jc w:val="center"/>
              <w:rPr>
                <w:rFonts w:ascii="Arial Narrow" w:hAnsi="Arial Narrow"/>
                <w:sz w:val="20"/>
                <w:szCs w:val="20"/>
                <w:lang w:eastAsia="en-AU"/>
              </w:rPr>
            </w:pPr>
          </w:p>
        </w:tc>
      </w:tr>
      <w:tr w:rsidR="005B2CA4" w:rsidRPr="00F53F85" w14:paraId="53C15BEF" w14:textId="77777777" w:rsidTr="00633C8A">
        <w:trPr>
          <w:trHeight w:val="340"/>
        </w:trPr>
        <w:tc>
          <w:tcPr>
            <w:tcW w:w="611" w:type="dxa"/>
            <w:vMerge/>
            <w:tcBorders>
              <w:left w:val="single" w:sz="4" w:space="0" w:color="auto"/>
              <w:right w:val="single" w:sz="4" w:space="0" w:color="auto"/>
            </w:tcBorders>
            <w:vAlign w:val="center"/>
            <w:hideMark/>
          </w:tcPr>
          <w:p w14:paraId="53C15BDB" w14:textId="77777777" w:rsidR="005B2CA4" w:rsidRPr="00F53F85" w:rsidRDefault="005B2CA4" w:rsidP="00F53F85">
            <w:pPr>
              <w:spacing w:after="0"/>
              <w:jc w:val="left"/>
              <w:rPr>
                <w:rFonts w:ascii="Arial Narrow" w:hAnsi="Arial Narrow"/>
                <w:sz w:val="20"/>
                <w:lang w:eastAsia="en-AU"/>
              </w:rPr>
            </w:pPr>
          </w:p>
        </w:tc>
        <w:tc>
          <w:tcPr>
            <w:tcW w:w="1134" w:type="dxa"/>
            <w:tcBorders>
              <w:top w:val="nil"/>
              <w:left w:val="single" w:sz="4" w:space="0" w:color="auto"/>
              <w:bottom w:val="single" w:sz="4" w:space="0" w:color="auto"/>
              <w:right w:val="single" w:sz="4" w:space="0" w:color="auto"/>
            </w:tcBorders>
            <w:vAlign w:val="center"/>
          </w:tcPr>
          <w:p w14:paraId="53C15BDC"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Havannah North</w:t>
            </w:r>
          </w:p>
        </w:tc>
        <w:tc>
          <w:tcPr>
            <w:tcW w:w="779" w:type="dxa"/>
            <w:tcBorders>
              <w:top w:val="nil"/>
              <w:left w:val="single" w:sz="4" w:space="0" w:color="auto"/>
              <w:bottom w:val="single" w:sz="4" w:space="0" w:color="auto"/>
              <w:right w:val="single" w:sz="4" w:space="0" w:color="auto"/>
            </w:tcBorders>
            <w:vAlign w:val="center"/>
          </w:tcPr>
          <w:p w14:paraId="53C15BDD"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5</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BDE"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BDF" w14:textId="77777777" w:rsidR="005B2CA4" w:rsidRPr="00F53F85" w:rsidRDefault="005B2CA4" w:rsidP="00316B11">
            <w:pPr>
              <w:spacing w:after="0"/>
              <w:jc w:val="center"/>
              <w:rPr>
                <w:rFonts w:ascii="Arial Narrow" w:hAnsi="Arial Narrow"/>
                <w:sz w:val="20"/>
                <w:szCs w:val="20"/>
                <w:lang w:eastAsia="en-AU"/>
              </w:rPr>
            </w:pPr>
          </w:p>
        </w:tc>
        <w:tc>
          <w:tcPr>
            <w:tcW w:w="586" w:type="dxa"/>
            <w:tcBorders>
              <w:top w:val="nil"/>
              <w:left w:val="nil"/>
              <w:bottom w:val="single" w:sz="4" w:space="0" w:color="auto"/>
              <w:right w:val="single" w:sz="4" w:space="0" w:color="auto"/>
            </w:tcBorders>
            <w:shd w:val="clear" w:color="auto" w:fill="auto"/>
            <w:noWrap/>
            <w:vAlign w:val="center"/>
            <w:hideMark/>
          </w:tcPr>
          <w:p w14:paraId="53C15BE0" w14:textId="77777777" w:rsidR="005B2CA4" w:rsidRPr="00F53F85" w:rsidRDefault="005B2CA4" w:rsidP="00316B11">
            <w:pPr>
              <w:spacing w:after="0"/>
              <w:jc w:val="center"/>
              <w:rPr>
                <w:rFonts w:ascii="Arial Narrow" w:hAnsi="Arial Narrow"/>
                <w:sz w:val="20"/>
                <w:szCs w:val="20"/>
                <w:lang w:eastAsia="en-AU"/>
              </w:rPr>
            </w:pPr>
          </w:p>
        </w:tc>
        <w:tc>
          <w:tcPr>
            <w:tcW w:w="564" w:type="dxa"/>
            <w:tcBorders>
              <w:top w:val="nil"/>
              <w:left w:val="nil"/>
              <w:bottom w:val="single" w:sz="4" w:space="0" w:color="auto"/>
              <w:right w:val="single" w:sz="4" w:space="0" w:color="auto"/>
            </w:tcBorders>
            <w:vAlign w:val="center"/>
          </w:tcPr>
          <w:p w14:paraId="53C15BE1" w14:textId="77777777" w:rsidR="005B2CA4" w:rsidRPr="00F53F85" w:rsidRDefault="005B2CA4"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BE2" w14:textId="77777777" w:rsidR="005B2CA4" w:rsidRPr="00F53F85" w:rsidRDefault="005B2CA4"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BE3" w14:textId="77777777" w:rsidR="005B2CA4" w:rsidRPr="00F53F85" w:rsidRDefault="005B2CA4"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BE4"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1.78</w:t>
            </w:r>
          </w:p>
        </w:tc>
        <w:tc>
          <w:tcPr>
            <w:tcW w:w="546" w:type="dxa"/>
            <w:tcBorders>
              <w:top w:val="nil"/>
              <w:left w:val="nil"/>
              <w:bottom w:val="single" w:sz="4" w:space="0" w:color="auto"/>
              <w:right w:val="single" w:sz="4" w:space="0" w:color="auto"/>
            </w:tcBorders>
            <w:shd w:val="clear" w:color="auto" w:fill="auto"/>
            <w:noWrap/>
            <w:vAlign w:val="center"/>
            <w:hideMark/>
          </w:tcPr>
          <w:p w14:paraId="53C15BE5"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0.30</w:t>
            </w:r>
          </w:p>
        </w:tc>
        <w:tc>
          <w:tcPr>
            <w:tcW w:w="573" w:type="dxa"/>
            <w:tcBorders>
              <w:top w:val="nil"/>
              <w:left w:val="nil"/>
              <w:bottom w:val="single" w:sz="4" w:space="0" w:color="auto"/>
              <w:right w:val="single" w:sz="4" w:space="0" w:color="auto"/>
            </w:tcBorders>
            <w:shd w:val="clear" w:color="auto" w:fill="auto"/>
            <w:noWrap/>
            <w:vAlign w:val="center"/>
            <w:hideMark/>
          </w:tcPr>
          <w:p w14:paraId="53C15BE6" w14:textId="77777777" w:rsidR="005B2CA4" w:rsidRPr="00F53F85" w:rsidRDefault="005B2CA4"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BE7"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0.15</w:t>
            </w:r>
          </w:p>
        </w:tc>
        <w:tc>
          <w:tcPr>
            <w:tcW w:w="536" w:type="dxa"/>
            <w:tcBorders>
              <w:top w:val="nil"/>
              <w:left w:val="nil"/>
              <w:bottom w:val="single" w:sz="4" w:space="0" w:color="auto"/>
              <w:right w:val="single" w:sz="4" w:space="0" w:color="auto"/>
            </w:tcBorders>
            <w:shd w:val="clear" w:color="auto" w:fill="auto"/>
            <w:noWrap/>
            <w:vAlign w:val="center"/>
            <w:hideMark/>
          </w:tcPr>
          <w:p w14:paraId="53C15BE8" w14:textId="77777777" w:rsidR="005B2CA4" w:rsidRPr="00F53F85" w:rsidRDefault="005B2CA4"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BE9"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0.30</w:t>
            </w:r>
          </w:p>
        </w:tc>
        <w:tc>
          <w:tcPr>
            <w:tcW w:w="788" w:type="dxa"/>
            <w:tcBorders>
              <w:top w:val="nil"/>
              <w:left w:val="nil"/>
              <w:bottom w:val="single" w:sz="4" w:space="0" w:color="auto"/>
              <w:right w:val="single" w:sz="4" w:space="0" w:color="auto"/>
            </w:tcBorders>
            <w:shd w:val="clear" w:color="auto" w:fill="auto"/>
            <w:noWrap/>
            <w:vAlign w:val="center"/>
            <w:hideMark/>
          </w:tcPr>
          <w:p w14:paraId="53C15BEA"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0.84</w:t>
            </w:r>
          </w:p>
        </w:tc>
        <w:tc>
          <w:tcPr>
            <w:tcW w:w="788" w:type="dxa"/>
            <w:tcBorders>
              <w:top w:val="nil"/>
              <w:left w:val="nil"/>
              <w:bottom w:val="single" w:sz="4" w:space="0" w:color="auto"/>
              <w:right w:val="single" w:sz="4" w:space="0" w:color="auto"/>
            </w:tcBorders>
            <w:shd w:val="clear" w:color="auto" w:fill="auto"/>
            <w:noWrap/>
            <w:vAlign w:val="center"/>
            <w:hideMark/>
          </w:tcPr>
          <w:p w14:paraId="53C15BEB"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10.80</w:t>
            </w:r>
          </w:p>
        </w:tc>
        <w:tc>
          <w:tcPr>
            <w:tcW w:w="788" w:type="dxa"/>
            <w:tcBorders>
              <w:top w:val="nil"/>
              <w:left w:val="nil"/>
              <w:bottom w:val="single" w:sz="4" w:space="0" w:color="auto"/>
              <w:right w:val="single" w:sz="4" w:space="0" w:color="auto"/>
            </w:tcBorders>
            <w:shd w:val="clear" w:color="auto" w:fill="auto"/>
            <w:noWrap/>
            <w:vAlign w:val="center"/>
            <w:hideMark/>
          </w:tcPr>
          <w:p w14:paraId="53C15BEC"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10.43</w:t>
            </w:r>
          </w:p>
        </w:tc>
        <w:tc>
          <w:tcPr>
            <w:tcW w:w="630" w:type="dxa"/>
            <w:tcBorders>
              <w:top w:val="nil"/>
              <w:left w:val="nil"/>
              <w:bottom w:val="single" w:sz="4" w:space="0" w:color="auto"/>
              <w:right w:val="single" w:sz="4" w:space="0" w:color="auto"/>
            </w:tcBorders>
            <w:vAlign w:val="center"/>
          </w:tcPr>
          <w:p w14:paraId="53C15BED" w14:textId="77777777" w:rsidR="005B2CA4" w:rsidRPr="00F53F85" w:rsidRDefault="005B2CA4" w:rsidP="00316B11">
            <w:pPr>
              <w:spacing w:after="0"/>
              <w:jc w:val="center"/>
              <w:rPr>
                <w:rFonts w:ascii="Arial Narrow" w:hAnsi="Arial Narrow"/>
                <w:sz w:val="20"/>
                <w:szCs w:val="20"/>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BEE"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3.16</w:t>
            </w:r>
          </w:p>
        </w:tc>
      </w:tr>
      <w:tr w:rsidR="005B2CA4" w:rsidRPr="00F53F85" w14:paraId="53C15C04" w14:textId="77777777" w:rsidTr="00633C8A">
        <w:trPr>
          <w:trHeight w:val="340"/>
        </w:trPr>
        <w:tc>
          <w:tcPr>
            <w:tcW w:w="611" w:type="dxa"/>
            <w:vMerge/>
            <w:tcBorders>
              <w:left w:val="single" w:sz="4" w:space="0" w:color="auto"/>
              <w:right w:val="single" w:sz="4" w:space="0" w:color="auto"/>
            </w:tcBorders>
            <w:vAlign w:val="center"/>
            <w:hideMark/>
          </w:tcPr>
          <w:p w14:paraId="53C15BF0" w14:textId="77777777" w:rsidR="005B2CA4" w:rsidRPr="00F53F85" w:rsidRDefault="005B2CA4" w:rsidP="00F53F85">
            <w:pPr>
              <w:spacing w:after="0"/>
              <w:jc w:val="left"/>
              <w:rPr>
                <w:rFonts w:ascii="Arial Narrow" w:hAnsi="Arial Narrow"/>
                <w:sz w:val="20"/>
                <w:lang w:eastAsia="en-AU"/>
              </w:rPr>
            </w:pPr>
          </w:p>
        </w:tc>
        <w:tc>
          <w:tcPr>
            <w:tcW w:w="1134" w:type="dxa"/>
            <w:vMerge w:val="restart"/>
            <w:tcBorders>
              <w:top w:val="nil"/>
              <w:left w:val="single" w:sz="4" w:space="0" w:color="auto"/>
              <w:right w:val="single" w:sz="4" w:space="0" w:color="auto"/>
            </w:tcBorders>
            <w:vAlign w:val="center"/>
          </w:tcPr>
          <w:p w14:paraId="53C15BF1"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Havannah</w:t>
            </w:r>
          </w:p>
        </w:tc>
        <w:tc>
          <w:tcPr>
            <w:tcW w:w="779" w:type="dxa"/>
            <w:tcBorders>
              <w:top w:val="nil"/>
              <w:left w:val="single" w:sz="4" w:space="0" w:color="auto"/>
              <w:bottom w:val="single" w:sz="4" w:space="0" w:color="auto"/>
              <w:right w:val="single" w:sz="4" w:space="0" w:color="auto"/>
            </w:tcBorders>
            <w:vAlign w:val="center"/>
          </w:tcPr>
          <w:p w14:paraId="53C15BF2"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2</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BF3"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BF4"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0.13</w:t>
            </w:r>
          </w:p>
        </w:tc>
        <w:tc>
          <w:tcPr>
            <w:tcW w:w="586" w:type="dxa"/>
            <w:tcBorders>
              <w:top w:val="nil"/>
              <w:left w:val="nil"/>
              <w:bottom w:val="single" w:sz="4" w:space="0" w:color="auto"/>
              <w:right w:val="single" w:sz="4" w:space="0" w:color="auto"/>
            </w:tcBorders>
            <w:shd w:val="clear" w:color="auto" w:fill="auto"/>
            <w:noWrap/>
            <w:vAlign w:val="center"/>
            <w:hideMark/>
          </w:tcPr>
          <w:p w14:paraId="53C15BF5" w14:textId="77777777" w:rsidR="005B2CA4" w:rsidRPr="00F53F85" w:rsidRDefault="005B2CA4" w:rsidP="00316B11">
            <w:pPr>
              <w:spacing w:after="0"/>
              <w:jc w:val="center"/>
              <w:rPr>
                <w:rFonts w:ascii="Arial Narrow" w:hAnsi="Arial Narrow"/>
                <w:sz w:val="20"/>
                <w:szCs w:val="20"/>
                <w:lang w:eastAsia="en-AU"/>
              </w:rPr>
            </w:pPr>
          </w:p>
        </w:tc>
        <w:tc>
          <w:tcPr>
            <w:tcW w:w="564" w:type="dxa"/>
            <w:tcBorders>
              <w:top w:val="nil"/>
              <w:left w:val="nil"/>
              <w:bottom w:val="single" w:sz="4" w:space="0" w:color="auto"/>
              <w:right w:val="single" w:sz="4" w:space="0" w:color="auto"/>
            </w:tcBorders>
            <w:vAlign w:val="center"/>
          </w:tcPr>
          <w:p w14:paraId="53C15BF6" w14:textId="77777777" w:rsidR="005B2CA4" w:rsidRPr="00F53F85" w:rsidRDefault="005B2CA4"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BF7" w14:textId="77777777" w:rsidR="005B2CA4" w:rsidRPr="00F53F85" w:rsidRDefault="005B2CA4"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BF8" w14:textId="77777777" w:rsidR="005B2CA4" w:rsidRPr="00F53F85" w:rsidRDefault="005B2CA4"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BF9"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546" w:type="dxa"/>
            <w:tcBorders>
              <w:top w:val="nil"/>
              <w:left w:val="nil"/>
              <w:bottom w:val="single" w:sz="4" w:space="0" w:color="auto"/>
              <w:right w:val="single" w:sz="4" w:space="0" w:color="auto"/>
            </w:tcBorders>
            <w:shd w:val="clear" w:color="auto" w:fill="auto"/>
            <w:noWrap/>
            <w:vAlign w:val="center"/>
            <w:hideMark/>
          </w:tcPr>
          <w:p w14:paraId="53C15BFA" w14:textId="77777777" w:rsidR="005B2CA4" w:rsidRPr="00F53F85" w:rsidRDefault="005B2CA4" w:rsidP="00316B11">
            <w:pPr>
              <w:spacing w:after="0"/>
              <w:jc w:val="center"/>
              <w:rPr>
                <w:rFonts w:ascii="Arial Narrow" w:hAnsi="Arial Narrow"/>
                <w:sz w:val="20"/>
                <w:szCs w:val="20"/>
                <w:lang w:eastAsia="en-AU"/>
              </w:rPr>
            </w:pPr>
          </w:p>
        </w:tc>
        <w:tc>
          <w:tcPr>
            <w:tcW w:w="573" w:type="dxa"/>
            <w:tcBorders>
              <w:top w:val="nil"/>
              <w:left w:val="nil"/>
              <w:bottom w:val="single" w:sz="4" w:space="0" w:color="auto"/>
              <w:right w:val="single" w:sz="4" w:space="0" w:color="auto"/>
            </w:tcBorders>
            <w:shd w:val="clear" w:color="auto" w:fill="auto"/>
            <w:noWrap/>
            <w:vAlign w:val="center"/>
            <w:hideMark/>
          </w:tcPr>
          <w:p w14:paraId="53C15BFB" w14:textId="77777777" w:rsidR="005B2CA4" w:rsidRPr="00F53F85" w:rsidRDefault="005B2CA4"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BFC"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536" w:type="dxa"/>
            <w:tcBorders>
              <w:top w:val="nil"/>
              <w:left w:val="nil"/>
              <w:bottom w:val="single" w:sz="4" w:space="0" w:color="auto"/>
              <w:right w:val="single" w:sz="4" w:space="0" w:color="auto"/>
            </w:tcBorders>
            <w:shd w:val="clear" w:color="auto" w:fill="auto"/>
            <w:noWrap/>
            <w:vAlign w:val="center"/>
            <w:hideMark/>
          </w:tcPr>
          <w:p w14:paraId="53C15BFD" w14:textId="77777777" w:rsidR="005B2CA4" w:rsidRPr="00F53F85" w:rsidRDefault="005B2CA4"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BFE"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BFF"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0.69</w:t>
            </w:r>
          </w:p>
        </w:tc>
        <w:tc>
          <w:tcPr>
            <w:tcW w:w="788" w:type="dxa"/>
            <w:tcBorders>
              <w:top w:val="nil"/>
              <w:left w:val="nil"/>
              <w:bottom w:val="single" w:sz="4" w:space="0" w:color="auto"/>
              <w:right w:val="single" w:sz="4" w:space="0" w:color="auto"/>
            </w:tcBorders>
            <w:shd w:val="clear" w:color="auto" w:fill="auto"/>
            <w:noWrap/>
            <w:vAlign w:val="center"/>
            <w:hideMark/>
          </w:tcPr>
          <w:p w14:paraId="53C15C00"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0.88</w:t>
            </w:r>
          </w:p>
        </w:tc>
        <w:tc>
          <w:tcPr>
            <w:tcW w:w="788" w:type="dxa"/>
            <w:tcBorders>
              <w:top w:val="nil"/>
              <w:left w:val="nil"/>
              <w:bottom w:val="single" w:sz="4" w:space="0" w:color="auto"/>
              <w:right w:val="single" w:sz="4" w:space="0" w:color="auto"/>
            </w:tcBorders>
            <w:shd w:val="clear" w:color="auto" w:fill="auto"/>
            <w:noWrap/>
            <w:vAlign w:val="center"/>
            <w:hideMark/>
          </w:tcPr>
          <w:p w14:paraId="53C15C01" w14:textId="77777777" w:rsidR="005B2CA4" w:rsidRPr="00F53F85" w:rsidRDefault="005B2CA4" w:rsidP="00316B11">
            <w:pPr>
              <w:spacing w:after="0"/>
              <w:jc w:val="center"/>
              <w:rPr>
                <w:rFonts w:ascii="Arial Narrow" w:hAnsi="Arial Narrow"/>
                <w:sz w:val="20"/>
                <w:szCs w:val="20"/>
                <w:lang w:eastAsia="en-AU"/>
              </w:rPr>
            </w:pPr>
          </w:p>
        </w:tc>
        <w:tc>
          <w:tcPr>
            <w:tcW w:w="630" w:type="dxa"/>
            <w:tcBorders>
              <w:top w:val="nil"/>
              <w:left w:val="nil"/>
              <w:bottom w:val="single" w:sz="4" w:space="0" w:color="auto"/>
              <w:right w:val="single" w:sz="4" w:space="0" w:color="auto"/>
            </w:tcBorders>
            <w:vAlign w:val="center"/>
          </w:tcPr>
          <w:p w14:paraId="53C15C02" w14:textId="77777777" w:rsidR="005B2CA4" w:rsidRPr="00F53F85" w:rsidRDefault="005B2CA4" w:rsidP="00316B11">
            <w:pPr>
              <w:spacing w:after="0"/>
              <w:jc w:val="center"/>
              <w:rPr>
                <w:rFonts w:ascii="Arial Narrow" w:hAnsi="Arial Narrow"/>
                <w:sz w:val="20"/>
                <w:szCs w:val="20"/>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C03" w14:textId="77777777" w:rsidR="005B2CA4" w:rsidRPr="00F53F85" w:rsidRDefault="005B2CA4" w:rsidP="00316B11">
            <w:pPr>
              <w:spacing w:after="0"/>
              <w:jc w:val="center"/>
              <w:rPr>
                <w:rFonts w:ascii="Arial Narrow" w:hAnsi="Arial Narrow"/>
                <w:sz w:val="20"/>
                <w:szCs w:val="20"/>
                <w:lang w:eastAsia="en-AU"/>
              </w:rPr>
            </w:pPr>
          </w:p>
        </w:tc>
      </w:tr>
      <w:tr w:rsidR="005B2CA4" w:rsidRPr="00F53F85" w14:paraId="53C15C19" w14:textId="77777777" w:rsidTr="00633C8A">
        <w:trPr>
          <w:trHeight w:val="340"/>
        </w:trPr>
        <w:tc>
          <w:tcPr>
            <w:tcW w:w="611" w:type="dxa"/>
            <w:vMerge/>
            <w:tcBorders>
              <w:left w:val="single" w:sz="4" w:space="0" w:color="auto"/>
              <w:right w:val="single" w:sz="4" w:space="0" w:color="auto"/>
            </w:tcBorders>
            <w:vAlign w:val="center"/>
            <w:hideMark/>
          </w:tcPr>
          <w:p w14:paraId="53C15C05" w14:textId="77777777" w:rsidR="005B2CA4" w:rsidRPr="00F53F85" w:rsidRDefault="005B2CA4" w:rsidP="00F53F85">
            <w:pPr>
              <w:spacing w:after="0"/>
              <w:jc w:val="left"/>
              <w:rPr>
                <w:rFonts w:ascii="Arial Narrow" w:hAnsi="Arial Narrow"/>
                <w:sz w:val="20"/>
                <w:lang w:eastAsia="en-AU"/>
              </w:rPr>
            </w:pPr>
          </w:p>
        </w:tc>
        <w:tc>
          <w:tcPr>
            <w:tcW w:w="1134" w:type="dxa"/>
            <w:vMerge/>
            <w:tcBorders>
              <w:left w:val="single" w:sz="4" w:space="0" w:color="auto"/>
              <w:bottom w:val="single" w:sz="4" w:space="0" w:color="auto"/>
              <w:right w:val="single" w:sz="4" w:space="0" w:color="auto"/>
            </w:tcBorders>
            <w:vAlign w:val="center"/>
          </w:tcPr>
          <w:p w14:paraId="53C15C06" w14:textId="77777777" w:rsidR="005B2CA4" w:rsidRPr="00F53F85" w:rsidRDefault="005B2CA4" w:rsidP="00316B11">
            <w:pPr>
              <w:spacing w:after="0"/>
              <w:jc w:val="center"/>
              <w:rPr>
                <w:rFonts w:ascii="Arial Narrow" w:hAnsi="Arial Narrow"/>
                <w:sz w:val="20"/>
                <w:szCs w:val="20"/>
                <w:lang w:eastAsia="en-AU"/>
              </w:rPr>
            </w:pPr>
          </w:p>
        </w:tc>
        <w:tc>
          <w:tcPr>
            <w:tcW w:w="779" w:type="dxa"/>
            <w:tcBorders>
              <w:top w:val="nil"/>
              <w:left w:val="single" w:sz="4" w:space="0" w:color="auto"/>
              <w:bottom w:val="single" w:sz="4" w:space="0" w:color="auto"/>
              <w:right w:val="single" w:sz="4" w:space="0" w:color="auto"/>
            </w:tcBorders>
            <w:vAlign w:val="center"/>
          </w:tcPr>
          <w:p w14:paraId="53C15C07"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5</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C08"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C09"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0.19</w:t>
            </w:r>
          </w:p>
        </w:tc>
        <w:tc>
          <w:tcPr>
            <w:tcW w:w="586" w:type="dxa"/>
            <w:tcBorders>
              <w:top w:val="nil"/>
              <w:left w:val="nil"/>
              <w:bottom w:val="single" w:sz="4" w:space="0" w:color="auto"/>
              <w:right w:val="single" w:sz="4" w:space="0" w:color="auto"/>
            </w:tcBorders>
            <w:shd w:val="clear" w:color="auto" w:fill="auto"/>
            <w:noWrap/>
            <w:vAlign w:val="center"/>
            <w:hideMark/>
          </w:tcPr>
          <w:p w14:paraId="53C15C0A" w14:textId="77777777" w:rsidR="005B2CA4" w:rsidRPr="00F53F85" w:rsidRDefault="005B2CA4" w:rsidP="00316B11">
            <w:pPr>
              <w:spacing w:after="0"/>
              <w:jc w:val="center"/>
              <w:rPr>
                <w:rFonts w:ascii="Arial Narrow" w:hAnsi="Arial Narrow"/>
                <w:sz w:val="20"/>
                <w:szCs w:val="20"/>
                <w:lang w:eastAsia="en-AU"/>
              </w:rPr>
            </w:pPr>
          </w:p>
        </w:tc>
        <w:tc>
          <w:tcPr>
            <w:tcW w:w="564" w:type="dxa"/>
            <w:tcBorders>
              <w:top w:val="nil"/>
              <w:left w:val="nil"/>
              <w:bottom w:val="single" w:sz="4" w:space="0" w:color="auto"/>
              <w:right w:val="single" w:sz="4" w:space="0" w:color="auto"/>
            </w:tcBorders>
            <w:vAlign w:val="center"/>
          </w:tcPr>
          <w:p w14:paraId="53C15C0B" w14:textId="77777777" w:rsidR="005B2CA4" w:rsidRPr="00F53F85" w:rsidRDefault="005B2CA4"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C0C" w14:textId="77777777" w:rsidR="005B2CA4" w:rsidRPr="00F53F85" w:rsidRDefault="005B2CA4"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C0D" w14:textId="77777777" w:rsidR="005B2CA4" w:rsidRPr="00F53F85" w:rsidRDefault="005B2CA4"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C0E"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0.13</w:t>
            </w:r>
          </w:p>
        </w:tc>
        <w:tc>
          <w:tcPr>
            <w:tcW w:w="546" w:type="dxa"/>
            <w:tcBorders>
              <w:top w:val="nil"/>
              <w:left w:val="nil"/>
              <w:bottom w:val="single" w:sz="4" w:space="0" w:color="auto"/>
              <w:right w:val="single" w:sz="4" w:space="0" w:color="auto"/>
            </w:tcBorders>
            <w:shd w:val="clear" w:color="auto" w:fill="auto"/>
            <w:noWrap/>
            <w:vAlign w:val="center"/>
            <w:hideMark/>
          </w:tcPr>
          <w:p w14:paraId="53C15C0F" w14:textId="77777777" w:rsidR="005B2CA4" w:rsidRPr="00F53F85" w:rsidRDefault="005B2CA4" w:rsidP="00316B11">
            <w:pPr>
              <w:spacing w:after="0"/>
              <w:jc w:val="center"/>
              <w:rPr>
                <w:rFonts w:ascii="Arial Narrow" w:hAnsi="Arial Narrow"/>
                <w:sz w:val="20"/>
                <w:szCs w:val="20"/>
                <w:lang w:eastAsia="en-AU"/>
              </w:rPr>
            </w:pPr>
          </w:p>
        </w:tc>
        <w:tc>
          <w:tcPr>
            <w:tcW w:w="573" w:type="dxa"/>
            <w:tcBorders>
              <w:top w:val="nil"/>
              <w:left w:val="nil"/>
              <w:bottom w:val="single" w:sz="4" w:space="0" w:color="auto"/>
              <w:right w:val="single" w:sz="4" w:space="0" w:color="auto"/>
            </w:tcBorders>
            <w:shd w:val="clear" w:color="auto" w:fill="auto"/>
            <w:noWrap/>
            <w:vAlign w:val="center"/>
            <w:hideMark/>
          </w:tcPr>
          <w:p w14:paraId="53C15C10" w14:textId="77777777" w:rsidR="005B2CA4" w:rsidRPr="00F53F85" w:rsidRDefault="005B2CA4"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C11"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C12" w14:textId="77777777" w:rsidR="005B2CA4" w:rsidRPr="00F53F85" w:rsidRDefault="005B2CA4"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C13"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C14"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C15"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6.13</w:t>
            </w:r>
          </w:p>
        </w:tc>
        <w:tc>
          <w:tcPr>
            <w:tcW w:w="788" w:type="dxa"/>
            <w:tcBorders>
              <w:top w:val="nil"/>
              <w:left w:val="nil"/>
              <w:bottom w:val="single" w:sz="4" w:space="0" w:color="auto"/>
              <w:right w:val="single" w:sz="4" w:space="0" w:color="auto"/>
            </w:tcBorders>
            <w:shd w:val="clear" w:color="auto" w:fill="auto"/>
            <w:noWrap/>
            <w:vAlign w:val="center"/>
            <w:hideMark/>
          </w:tcPr>
          <w:p w14:paraId="53C15C16"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0.31</w:t>
            </w:r>
          </w:p>
        </w:tc>
        <w:tc>
          <w:tcPr>
            <w:tcW w:w="630" w:type="dxa"/>
            <w:tcBorders>
              <w:top w:val="nil"/>
              <w:left w:val="nil"/>
              <w:bottom w:val="single" w:sz="4" w:space="0" w:color="auto"/>
              <w:right w:val="single" w:sz="4" w:space="0" w:color="auto"/>
            </w:tcBorders>
            <w:vAlign w:val="center"/>
          </w:tcPr>
          <w:p w14:paraId="53C15C17" w14:textId="77777777" w:rsidR="005B2CA4" w:rsidRPr="00F53F85" w:rsidRDefault="005B2CA4" w:rsidP="00316B11">
            <w:pPr>
              <w:spacing w:after="0"/>
              <w:jc w:val="center"/>
              <w:rPr>
                <w:rFonts w:ascii="Arial Narrow" w:hAnsi="Arial Narrow"/>
                <w:sz w:val="20"/>
                <w:szCs w:val="20"/>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C18"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0.19</w:t>
            </w:r>
          </w:p>
        </w:tc>
      </w:tr>
      <w:tr w:rsidR="005B2CA4" w:rsidRPr="00F53F85" w14:paraId="53C15C2E" w14:textId="77777777" w:rsidTr="00633C8A">
        <w:trPr>
          <w:trHeight w:val="340"/>
        </w:trPr>
        <w:tc>
          <w:tcPr>
            <w:tcW w:w="611" w:type="dxa"/>
            <w:vMerge/>
            <w:tcBorders>
              <w:left w:val="single" w:sz="4" w:space="0" w:color="auto"/>
              <w:right w:val="single" w:sz="4" w:space="0" w:color="auto"/>
            </w:tcBorders>
            <w:vAlign w:val="center"/>
            <w:hideMark/>
          </w:tcPr>
          <w:p w14:paraId="53C15C1A" w14:textId="77777777" w:rsidR="005B2CA4" w:rsidRPr="00F53F85" w:rsidRDefault="005B2CA4" w:rsidP="00F53F85">
            <w:pPr>
              <w:spacing w:after="0"/>
              <w:jc w:val="left"/>
              <w:rPr>
                <w:rFonts w:ascii="Arial Narrow" w:hAnsi="Arial Narrow"/>
                <w:sz w:val="20"/>
                <w:lang w:eastAsia="en-AU"/>
              </w:rPr>
            </w:pPr>
          </w:p>
        </w:tc>
        <w:tc>
          <w:tcPr>
            <w:tcW w:w="1134" w:type="dxa"/>
            <w:vMerge w:val="restart"/>
            <w:tcBorders>
              <w:top w:val="nil"/>
              <w:left w:val="single" w:sz="4" w:space="0" w:color="auto"/>
              <w:right w:val="single" w:sz="4" w:space="0" w:color="auto"/>
            </w:tcBorders>
            <w:vAlign w:val="center"/>
          </w:tcPr>
          <w:p w14:paraId="53C15C1B"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Pandora</w:t>
            </w:r>
          </w:p>
        </w:tc>
        <w:tc>
          <w:tcPr>
            <w:tcW w:w="779" w:type="dxa"/>
            <w:tcBorders>
              <w:top w:val="nil"/>
              <w:left w:val="single" w:sz="4" w:space="0" w:color="auto"/>
              <w:bottom w:val="single" w:sz="4" w:space="0" w:color="auto"/>
              <w:right w:val="single" w:sz="4" w:space="0" w:color="auto"/>
            </w:tcBorders>
            <w:vAlign w:val="center"/>
          </w:tcPr>
          <w:p w14:paraId="53C15C1C"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2</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C1D"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C1E"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0.25</w:t>
            </w:r>
          </w:p>
        </w:tc>
        <w:tc>
          <w:tcPr>
            <w:tcW w:w="586" w:type="dxa"/>
            <w:tcBorders>
              <w:top w:val="nil"/>
              <w:left w:val="nil"/>
              <w:bottom w:val="single" w:sz="4" w:space="0" w:color="auto"/>
              <w:right w:val="single" w:sz="4" w:space="0" w:color="auto"/>
            </w:tcBorders>
            <w:shd w:val="clear" w:color="auto" w:fill="auto"/>
            <w:noWrap/>
            <w:vAlign w:val="center"/>
            <w:hideMark/>
          </w:tcPr>
          <w:p w14:paraId="53C15C1F"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564" w:type="dxa"/>
            <w:tcBorders>
              <w:top w:val="nil"/>
              <w:left w:val="nil"/>
              <w:bottom w:val="single" w:sz="4" w:space="0" w:color="auto"/>
              <w:right w:val="single" w:sz="4" w:space="0" w:color="auto"/>
            </w:tcBorders>
            <w:vAlign w:val="center"/>
          </w:tcPr>
          <w:p w14:paraId="53C15C20" w14:textId="77777777" w:rsidR="005B2CA4" w:rsidRPr="00F53F85" w:rsidRDefault="005B2CA4"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C21" w14:textId="77777777" w:rsidR="005B2CA4" w:rsidRPr="00F53F85" w:rsidRDefault="005B2CA4"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C22" w14:textId="77777777" w:rsidR="005B2CA4" w:rsidRPr="00F53F85" w:rsidRDefault="005B2CA4" w:rsidP="00316B11">
            <w:pPr>
              <w:spacing w:after="0"/>
              <w:jc w:val="center"/>
              <w:rPr>
                <w:rFonts w:ascii="Arial Narrow" w:hAnsi="Arial Narrow"/>
                <w:sz w:val="20"/>
                <w:szCs w:val="20"/>
              </w:rPr>
            </w:pPr>
            <w:r w:rsidRPr="00F53F85">
              <w:rPr>
                <w:rFonts w:ascii="Arial Narrow" w:hAnsi="Arial Narrow"/>
                <w:sz w:val="20"/>
                <w:szCs w:val="20"/>
              </w:rPr>
              <w:t>0.06</w:t>
            </w: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C23"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0.63</w:t>
            </w:r>
          </w:p>
        </w:tc>
        <w:tc>
          <w:tcPr>
            <w:tcW w:w="546" w:type="dxa"/>
            <w:tcBorders>
              <w:top w:val="nil"/>
              <w:left w:val="nil"/>
              <w:bottom w:val="single" w:sz="4" w:space="0" w:color="auto"/>
              <w:right w:val="single" w:sz="4" w:space="0" w:color="auto"/>
            </w:tcBorders>
            <w:shd w:val="clear" w:color="auto" w:fill="auto"/>
            <w:noWrap/>
            <w:vAlign w:val="center"/>
            <w:hideMark/>
          </w:tcPr>
          <w:p w14:paraId="53C15C24"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573" w:type="dxa"/>
            <w:tcBorders>
              <w:top w:val="nil"/>
              <w:left w:val="nil"/>
              <w:bottom w:val="single" w:sz="4" w:space="0" w:color="auto"/>
              <w:right w:val="single" w:sz="4" w:space="0" w:color="auto"/>
            </w:tcBorders>
            <w:shd w:val="clear" w:color="auto" w:fill="auto"/>
            <w:noWrap/>
            <w:vAlign w:val="center"/>
            <w:hideMark/>
          </w:tcPr>
          <w:p w14:paraId="53C15C25" w14:textId="77777777" w:rsidR="005B2CA4" w:rsidRPr="00F53F85" w:rsidRDefault="005B2CA4"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C26"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536" w:type="dxa"/>
            <w:tcBorders>
              <w:top w:val="nil"/>
              <w:left w:val="nil"/>
              <w:bottom w:val="single" w:sz="4" w:space="0" w:color="auto"/>
              <w:right w:val="single" w:sz="4" w:space="0" w:color="auto"/>
            </w:tcBorders>
            <w:shd w:val="clear" w:color="auto" w:fill="auto"/>
            <w:noWrap/>
            <w:vAlign w:val="center"/>
            <w:hideMark/>
          </w:tcPr>
          <w:p w14:paraId="53C15C27" w14:textId="77777777" w:rsidR="005B2CA4" w:rsidRPr="00F53F85" w:rsidRDefault="005B2CA4"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C28"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C29"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3.25</w:t>
            </w:r>
          </w:p>
        </w:tc>
        <w:tc>
          <w:tcPr>
            <w:tcW w:w="788" w:type="dxa"/>
            <w:tcBorders>
              <w:top w:val="nil"/>
              <w:left w:val="nil"/>
              <w:bottom w:val="single" w:sz="4" w:space="0" w:color="auto"/>
              <w:right w:val="single" w:sz="4" w:space="0" w:color="auto"/>
            </w:tcBorders>
            <w:shd w:val="clear" w:color="auto" w:fill="auto"/>
            <w:noWrap/>
            <w:vAlign w:val="center"/>
            <w:hideMark/>
          </w:tcPr>
          <w:p w14:paraId="53C15C2A"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5.44</w:t>
            </w:r>
          </w:p>
        </w:tc>
        <w:tc>
          <w:tcPr>
            <w:tcW w:w="788" w:type="dxa"/>
            <w:tcBorders>
              <w:top w:val="nil"/>
              <w:left w:val="nil"/>
              <w:bottom w:val="single" w:sz="4" w:space="0" w:color="auto"/>
              <w:right w:val="single" w:sz="4" w:space="0" w:color="auto"/>
            </w:tcBorders>
            <w:shd w:val="clear" w:color="auto" w:fill="auto"/>
            <w:noWrap/>
            <w:vAlign w:val="center"/>
            <w:hideMark/>
          </w:tcPr>
          <w:p w14:paraId="53C15C2B"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14.69</w:t>
            </w:r>
          </w:p>
        </w:tc>
        <w:tc>
          <w:tcPr>
            <w:tcW w:w="630" w:type="dxa"/>
            <w:tcBorders>
              <w:top w:val="nil"/>
              <w:left w:val="nil"/>
              <w:bottom w:val="single" w:sz="4" w:space="0" w:color="auto"/>
              <w:right w:val="single" w:sz="4" w:space="0" w:color="auto"/>
            </w:tcBorders>
            <w:vAlign w:val="center"/>
          </w:tcPr>
          <w:p w14:paraId="53C15C2C" w14:textId="77777777" w:rsidR="005B2CA4" w:rsidRPr="00F53F85" w:rsidRDefault="005B2CA4" w:rsidP="00316B11">
            <w:pPr>
              <w:spacing w:after="0"/>
              <w:jc w:val="center"/>
              <w:rPr>
                <w:rFonts w:ascii="Arial Narrow" w:hAnsi="Arial Narrow"/>
                <w:sz w:val="20"/>
                <w:szCs w:val="20"/>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C2D"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1.88</w:t>
            </w:r>
          </w:p>
        </w:tc>
      </w:tr>
      <w:tr w:rsidR="005B2CA4" w:rsidRPr="00F53F85" w14:paraId="53C15C43" w14:textId="77777777" w:rsidTr="00633C8A">
        <w:trPr>
          <w:trHeight w:val="340"/>
        </w:trPr>
        <w:tc>
          <w:tcPr>
            <w:tcW w:w="611" w:type="dxa"/>
            <w:vMerge/>
            <w:tcBorders>
              <w:left w:val="single" w:sz="4" w:space="0" w:color="auto"/>
              <w:right w:val="single" w:sz="4" w:space="0" w:color="auto"/>
            </w:tcBorders>
            <w:vAlign w:val="center"/>
            <w:hideMark/>
          </w:tcPr>
          <w:p w14:paraId="53C15C2F" w14:textId="77777777" w:rsidR="005B2CA4" w:rsidRPr="00F53F85" w:rsidRDefault="005B2CA4" w:rsidP="00F53F85">
            <w:pPr>
              <w:spacing w:after="0"/>
              <w:jc w:val="left"/>
              <w:rPr>
                <w:rFonts w:ascii="Arial Narrow" w:hAnsi="Arial Narrow"/>
                <w:sz w:val="20"/>
                <w:lang w:eastAsia="en-AU"/>
              </w:rPr>
            </w:pPr>
          </w:p>
        </w:tc>
        <w:tc>
          <w:tcPr>
            <w:tcW w:w="1134" w:type="dxa"/>
            <w:vMerge/>
            <w:tcBorders>
              <w:left w:val="single" w:sz="4" w:space="0" w:color="auto"/>
              <w:bottom w:val="single" w:sz="4" w:space="0" w:color="auto"/>
              <w:right w:val="single" w:sz="4" w:space="0" w:color="auto"/>
            </w:tcBorders>
            <w:vAlign w:val="center"/>
          </w:tcPr>
          <w:p w14:paraId="53C15C30" w14:textId="77777777" w:rsidR="005B2CA4" w:rsidRPr="00F53F85" w:rsidRDefault="005B2CA4" w:rsidP="00316B11">
            <w:pPr>
              <w:spacing w:after="0"/>
              <w:jc w:val="center"/>
              <w:rPr>
                <w:rFonts w:ascii="Arial Narrow" w:hAnsi="Arial Narrow"/>
                <w:sz w:val="20"/>
                <w:szCs w:val="20"/>
                <w:lang w:eastAsia="en-AU"/>
              </w:rPr>
            </w:pPr>
          </w:p>
        </w:tc>
        <w:tc>
          <w:tcPr>
            <w:tcW w:w="779" w:type="dxa"/>
            <w:tcBorders>
              <w:top w:val="nil"/>
              <w:left w:val="single" w:sz="4" w:space="0" w:color="auto"/>
              <w:bottom w:val="single" w:sz="4" w:space="0" w:color="auto"/>
              <w:right w:val="single" w:sz="4" w:space="0" w:color="auto"/>
            </w:tcBorders>
            <w:vAlign w:val="center"/>
          </w:tcPr>
          <w:p w14:paraId="53C15C31"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5</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C32"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C33"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0.19</w:t>
            </w:r>
          </w:p>
        </w:tc>
        <w:tc>
          <w:tcPr>
            <w:tcW w:w="586" w:type="dxa"/>
            <w:tcBorders>
              <w:top w:val="nil"/>
              <w:left w:val="nil"/>
              <w:bottom w:val="single" w:sz="4" w:space="0" w:color="auto"/>
              <w:right w:val="single" w:sz="4" w:space="0" w:color="auto"/>
            </w:tcBorders>
            <w:shd w:val="clear" w:color="auto" w:fill="auto"/>
            <w:noWrap/>
            <w:vAlign w:val="center"/>
            <w:hideMark/>
          </w:tcPr>
          <w:p w14:paraId="53C15C34"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564" w:type="dxa"/>
            <w:tcBorders>
              <w:top w:val="nil"/>
              <w:left w:val="nil"/>
              <w:bottom w:val="single" w:sz="4" w:space="0" w:color="auto"/>
              <w:right w:val="single" w:sz="4" w:space="0" w:color="auto"/>
            </w:tcBorders>
            <w:vAlign w:val="center"/>
          </w:tcPr>
          <w:p w14:paraId="53C15C35" w14:textId="77777777" w:rsidR="005B2CA4" w:rsidRPr="00F53F85" w:rsidRDefault="005B2CA4"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C36" w14:textId="77777777" w:rsidR="005B2CA4" w:rsidRPr="00F53F85" w:rsidRDefault="005B2CA4"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C37" w14:textId="77777777" w:rsidR="005B2CA4" w:rsidRPr="00F53F85" w:rsidRDefault="005B2CA4"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C38" w14:textId="77777777" w:rsidR="005B2CA4" w:rsidRPr="00F53F85" w:rsidRDefault="005B2CA4" w:rsidP="00316B11">
            <w:pPr>
              <w:spacing w:after="0"/>
              <w:jc w:val="center"/>
              <w:rPr>
                <w:rFonts w:ascii="Arial Narrow" w:hAnsi="Arial Narrow"/>
                <w:sz w:val="20"/>
                <w:szCs w:val="20"/>
                <w:lang w:eastAsia="en-AU"/>
              </w:rPr>
            </w:pPr>
          </w:p>
        </w:tc>
        <w:tc>
          <w:tcPr>
            <w:tcW w:w="546" w:type="dxa"/>
            <w:tcBorders>
              <w:top w:val="nil"/>
              <w:left w:val="nil"/>
              <w:bottom w:val="single" w:sz="4" w:space="0" w:color="auto"/>
              <w:right w:val="single" w:sz="4" w:space="0" w:color="auto"/>
            </w:tcBorders>
            <w:shd w:val="clear" w:color="auto" w:fill="auto"/>
            <w:noWrap/>
            <w:vAlign w:val="center"/>
            <w:hideMark/>
          </w:tcPr>
          <w:p w14:paraId="53C15C39" w14:textId="77777777" w:rsidR="005B2CA4" w:rsidRPr="00F53F85" w:rsidRDefault="005B2CA4" w:rsidP="00316B11">
            <w:pPr>
              <w:spacing w:after="0"/>
              <w:jc w:val="center"/>
              <w:rPr>
                <w:rFonts w:ascii="Arial Narrow" w:hAnsi="Arial Narrow"/>
                <w:sz w:val="20"/>
                <w:szCs w:val="20"/>
                <w:lang w:eastAsia="en-AU"/>
              </w:rPr>
            </w:pPr>
          </w:p>
        </w:tc>
        <w:tc>
          <w:tcPr>
            <w:tcW w:w="573" w:type="dxa"/>
            <w:tcBorders>
              <w:top w:val="nil"/>
              <w:left w:val="nil"/>
              <w:bottom w:val="single" w:sz="4" w:space="0" w:color="auto"/>
              <w:right w:val="single" w:sz="4" w:space="0" w:color="auto"/>
            </w:tcBorders>
            <w:shd w:val="clear" w:color="auto" w:fill="auto"/>
            <w:noWrap/>
            <w:vAlign w:val="center"/>
            <w:hideMark/>
          </w:tcPr>
          <w:p w14:paraId="53C15C3A" w14:textId="77777777" w:rsidR="005B2CA4" w:rsidRPr="00F53F85" w:rsidRDefault="005B2CA4"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C3B"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C3C" w14:textId="77777777" w:rsidR="005B2CA4" w:rsidRPr="00F53F85" w:rsidRDefault="005B2CA4"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C3D"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C3E"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1.56</w:t>
            </w:r>
          </w:p>
        </w:tc>
        <w:tc>
          <w:tcPr>
            <w:tcW w:w="788" w:type="dxa"/>
            <w:tcBorders>
              <w:top w:val="nil"/>
              <w:left w:val="nil"/>
              <w:bottom w:val="single" w:sz="4" w:space="0" w:color="auto"/>
              <w:right w:val="single" w:sz="4" w:space="0" w:color="auto"/>
            </w:tcBorders>
            <w:shd w:val="clear" w:color="auto" w:fill="auto"/>
            <w:noWrap/>
            <w:vAlign w:val="center"/>
            <w:hideMark/>
          </w:tcPr>
          <w:p w14:paraId="53C15C3F"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5.50</w:t>
            </w:r>
          </w:p>
        </w:tc>
        <w:tc>
          <w:tcPr>
            <w:tcW w:w="788" w:type="dxa"/>
            <w:tcBorders>
              <w:top w:val="nil"/>
              <w:left w:val="nil"/>
              <w:bottom w:val="single" w:sz="4" w:space="0" w:color="auto"/>
              <w:right w:val="single" w:sz="4" w:space="0" w:color="auto"/>
            </w:tcBorders>
            <w:shd w:val="clear" w:color="auto" w:fill="auto"/>
            <w:noWrap/>
            <w:vAlign w:val="center"/>
            <w:hideMark/>
          </w:tcPr>
          <w:p w14:paraId="53C15C40"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3.00</w:t>
            </w:r>
          </w:p>
        </w:tc>
        <w:tc>
          <w:tcPr>
            <w:tcW w:w="630" w:type="dxa"/>
            <w:tcBorders>
              <w:top w:val="nil"/>
              <w:left w:val="nil"/>
              <w:bottom w:val="single" w:sz="4" w:space="0" w:color="auto"/>
              <w:right w:val="single" w:sz="4" w:space="0" w:color="auto"/>
            </w:tcBorders>
            <w:vAlign w:val="center"/>
          </w:tcPr>
          <w:p w14:paraId="53C15C41" w14:textId="77777777" w:rsidR="005B2CA4" w:rsidRPr="00F53F85" w:rsidRDefault="005B2CA4" w:rsidP="00316B11">
            <w:pPr>
              <w:spacing w:after="0"/>
              <w:jc w:val="center"/>
              <w:rPr>
                <w:rFonts w:ascii="Arial Narrow" w:hAnsi="Arial Narrow"/>
                <w:sz w:val="20"/>
                <w:szCs w:val="20"/>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C42"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0.13</w:t>
            </w:r>
          </w:p>
        </w:tc>
      </w:tr>
      <w:tr w:rsidR="005B2CA4" w:rsidRPr="00F53F85" w14:paraId="53C15C58" w14:textId="77777777" w:rsidTr="005B2CA4">
        <w:trPr>
          <w:trHeight w:val="340"/>
        </w:trPr>
        <w:tc>
          <w:tcPr>
            <w:tcW w:w="611" w:type="dxa"/>
            <w:vMerge/>
            <w:tcBorders>
              <w:left w:val="single" w:sz="4" w:space="0" w:color="auto"/>
              <w:bottom w:val="single" w:sz="4" w:space="0" w:color="auto"/>
              <w:right w:val="single" w:sz="4" w:space="0" w:color="auto"/>
            </w:tcBorders>
            <w:vAlign w:val="center"/>
            <w:hideMark/>
          </w:tcPr>
          <w:p w14:paraId="53C15C44" w14:textId="77777777" w:rsidR="005B2CA4" w:rsidRPr="00F53F85" w:rsidRDefault="005B2CA4" w:rsidP="00F53F85">
            <w:pPr>
              <w:spacing w:after="0"/>
              <w:jc w:val="left"/>
              <w:rPr>
                <w:rFonts w:ascii="Arial Narrow" w:hAnsi="Arial Narrow"/>
                <w:sz w:val="20"/>
                <w:lang w:eastAsia="en-AU"/>
              </w:rPr>
            </w:pPr>
          </w:p>
        </w:tc>
        <w:tc>
          <w:tcPr>
            <w:tcW w:w="1134" w:type="dxa"/>
            <w:tcBorders>
              <w:top w:val="nil"/>
              <w:left w:val="single" w:sz="4" w:space="0" w:color="auto"/>
              <w:bottom w:val="single" w:sz="4" w:space="0" w:color="auto"/>
              <w:right w:val="single" w:sz="4" w:space="0" w:color="auto"/>
            </w:tcBorders>
            <w:vAlign w:val="center"/>
          </w:tcPr>
          <w:p w14:paraId="53C15C45"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Pandora North</w:t>
            </w:r>
          </w:p>
        </w:tc>
        <w:tc>
          <w:tcPr>
            <w:tcW w:w="779" w:type="dxa"/>
            <w:tcBorders>
              <w:top w:val="nil"/>
              <w:left w:val="single" w:sz="4" w:space="0" w:color="auto"/>
              <w:bottom w:val="single" w:sz="4" w:space="0" w:color="auto"/>
              <w:right w:val="single" w:sz="4" w:space="0" w:color="auto"/>
            </w:tcBorders>
            <w:vAlign w:val="center"/>
          </w:tcPr>
          <w:p w14:paraId="53C15C46"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5</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C47"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C48" w14:textId="77777777" w:rsidR="005B2CA4" w:rsidRPr="00F53F85" w:rsidRDefault="005B2CA4" w:rsidP="00316B11">
            <w:pPr>
              <w:spacing w:after="0"/>
              <w:jc w:val="center"/>
              <w:rPr>
                <w:rFonts w:ascii="Arial Narrow" w:hAnsi="Arial Narrow"/>
                <w:sz w:val="20"/>
                <w:szCs w:val="20"/>
                <w:lang w:eastAsia="en-AU"/>
              </w:rPr>
            </w:pPr>
          </w:p>
        </w:tc>
        <w:tc>
          <w:tcPr>
            <w:tcW w:w="586" w:type="dxa"/>
            <w:tcBorders>
              <w:top w:val="nil"/>
              <w:left w:val="nil"/>
              <w:bottom w:val="single" w:sz="4" w:space="0" w:color="auto"/>
              <w:right w:val="single" w:sz="4" w:space="0" w:color="auto"/>
            </w:tcBorders>
            <w:shd w:val="clear" w:color="auto" w:fill="auto"/>
            <w:noWrap/>
            <w:vAlign w:val="center"/>
            <w:hideMark/>
          </w:tcPr>
          <w:p w14:paraId="53C15C49" w14:textId="77777777" w:rsidR="005B2CA4" w:rsidRPr="00F53F85" w:rsidRDefault="005B2CA4" w:rsidP="00316B11">
            <w:pPr>
              <w:spacing w:after="0"/>
              <w:jc w:val="center"/>
              <w:rPr>
                <w:rFonts w:ascii="Arial Narrow" w:hAnsi="Arial Narrow"/>
                <w:sz w:val="20"/>
                <w:szCs w:val="20"/>
                <w:lang w:eastAsia="en-AU"/>
              </w:rPr>
            </w:pPr>
          </w:p>
        </w:tc>
        <w:tc>
          <w:tcPr>
            <w:tcW w:w="564" w:type="dxa"/>
            <w:tcBorders>
              <w:top w:val="nil"/>
              <w:left w:val="nil"/>
              <w:bottom w:val="single" w:sz="4" w:space="0" w:color="auto"/>
              <w:right w:val="single" w:sz="4" w:space="0" w:color="auto"/>
            </w:tcBorders>
            <w:vAlign w:val="center"/>
          </w:tcPr>
          <w:p w14:paraId="53C15C4A" w14:textId="77777777" w:rsidR="005B2CA4" w:rsidRPr="00F53F85" w:rsidRDefault="005B2CA4" w:rsidP="00316B11">
            <w:pPr>
              <w:spacing w:after="0"/>
              <w:jc w:val="center"/>
              <w:rPr>
                <w:rFonts w:ascii="Arial Narrow" w:hAnsi="Arial Narrow"/>
                <w:sz w:val="20"/>
                <w:szCs w:val="20"/>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C4B" w14:textId="77777777" w:rsidR="005B2CA4" w:rsidRPr="00F53F85" w:rsidRDefault="005B2CA4"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C4C" w14:textId="77777777" w:rsidR="005B2CA4" w:rsidRPr="00F53F85" w:rsidRDefault="005B2CA4" w:rsidP="00316B11">
            <w:pPr>
              <w:spacing w:after="0"/>
              <w:jc w:val="center"/>
              <w:rPr>
                <w:rFonts w:ascii="Arial Narrow" w:hAnsi="Arial Narrow"/>
                <w:sz w:val="20"/>
                <w:szCs w:val="20"/>
                <w:lang w:eastAsia="en-AU"/>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C4D"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1.80</w:t>
            </w:r>
          </w:p>
        </w:tc>
        <w:tc>
          <w:tcPr>
            <w:tcW w:w="546" w:type="dxa"/>
            <w:tcBorders>
              <w:top w:val="nil"/>
              <w:left w:val="nil"/>
              <w:bottom w:val="single" w:sz="4" w:space="0" w:color="auto"/>
              <w:right w:val="single" w:sz="4" w:space="0" w:color="auto"/>
            </w:tcBorders>
            <w:shd w:val="clear" w:color="auto" w:fill="auto"/>
            <w:noWrap/>
            <w:vAlign w:val="center"/>
            <w:hideMark/>
          </w:tcPr>
          <w:p w14:paraId="53C15C4E" w14:textId="77777777" w:rsidR="005B2CA4" w:rsidRPr="00F53F85" w:rsidRDefault="005B2CA4" w:rsidP="00316B11">
            <w:pPr>
              <w:spacing w:after="0"/>
              <w:jc w:val="center"/>
              <w:rPr>
                <w:rFonts w:ascii="Arial Narrow" w:hAnsi="Arial Narrow"/>
                <w:sz w:val="20"/>
                <w:szCs w:val="20"/>
                <w:lang w:eastAsia="en-AU"/>
              </w:rPr>
            </w:pPr>
          </w:p>
        </w:tc>
        <w:tc>
          <w:tcPr>
            <w:tcW w:w="573" w:type="dxa"/>
            <w:tcBorders>
              <w:top w:val="nil"/>
              <w:left w:val="nil"/>
              <w:bottom w:val="single" w:sz="4" w:space="0" w:color="auto"/>
              <w:right w:val="single" w:sz="4" w:space="0" w:color="auto"/>
            </w:tcBorders>
            <w:shd w:val="clear" w:color="auto" w:fill="auto"/>
            <w:noWrap/>
            <w:vAlign w:val="center"/>
            <w:hideMark/>
          </w:tcPr>
          <w:p w14:paraId="53C15C4F" w14:textId="77777777" w:rsidR="005B2CA4" w:rsidRPr="00F53F85" w:rsidRDefault="005B2CA4"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C50"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C51" w14:textId="77777777" w:rsidR="005B2CA4" w:rsidRPr="00F53F85" w:rsidRDefault="005B2CA4"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C52"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0.10</w:t>
            </w:r>
          </w:p>
        </w:tc>
        <w:tc>
          <w:tcPr>
            <w:tcW w:w="788" w:type="dxa"/>
            <w:tcBorders>
              <w:top w:val="nil"/>
              <w:left w:val="nil"/>
              <w:bottom w:val="single" w:sz="4" w:space="0" w:color="auto"/>
              <w:right w:val="single" w:sz="4" w:space="0" w:color="auto"/>
            </w:tcBorders>
            <w:shd w:val="clear" w:color="auto" w:fill="auto"/>
            <w:noWrap/>
            <w:vAlign w:val="center"/>
            <w:hideMark/>
          </w:tcPr>
          <w:p w14:paraId="53C15C53"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0.90</w:t>
            </w:r>
          </w:p>
        </w:tc>
        <w:tc>
          <w:tcPr>
            <w:tcW w:w="788" w:type="dxa"/>
            <w:tcBorders>
              <w:top w:val="nil"/>
              <w:left w:val="nil"/>
              <w:bottom w:val="single" w:sz="4" w:space="0" w:color="auto"/>
              <w:right w:val="single" w:sz="4" w:space="0" w:color="auto"/>
            </w:tcBorders>
            <w:shd w:val="clear" w:color="auto" w:fill="auto"/>
            <w:noWrap/>
            <w:vAlign w:val="center"/>
            <w:hideMark/>
          </w:tcPr>
          <w:p w14:paraId="53C15C54"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11.30</w:t>
            </w:r>
          </w:p>
        </w:tc>
        <w:tc>
          <w:tcPr>
            <w:tcW w:w="788" w:type="dxa"/>
            <w:tcBorders>
              <w:top w:val="nil"/>
              <w:left w:val="nil"/>
              <w:bottom w:val="single" w:sz="4" w:space="0" w:color="auto"/>
              <w:right w:val="single" w:sz="4" w:space="0" w:color="auto"/>
            </w:tcBorders>
            <w:shd w:val="clear" w:color="auto" w:fill="auto"/>
            <w:noWrap/>
            <w:vAlign w:val="center"/>
            <w:hideMark/>
          </w:tcPr>
          <w:p w14:paraId="53C15C55"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3.41</w:t>
            </w:r>
          </w:p>
        </w:tc>
        <w:tc>
          <w:tcPr>
            <w:tcW w:w="630" w:type="dxa"/>
            <w:tcBorders>
              <w:top w:val="nil"/>
              <w:left w:val="nil"/>
              <w:bottom w:val="single" w:sz="4" w:space="0" w:color="auto"/>
              <w:right w:val="single" w:sz="4" w:space="0" w:color="auto"/>
            </w:tcBorders>
            <w:vAlign w:val="center"/>
          </w:tcPr>
          <w:p w14:paraId="53C15C56" w14:textId="77777777" w:rsidR="005B2CA4" w:rsidRPr="00F53F85" w:rsidRDefault="005B2CA4" w:rsidP="00316B11">
            <w:pPr>
              <w:spacing w:after="0"/>
              <w:jc w:val="center"/>
              <w:rPr>
                <w:rFonts w:ascii="Arial Narrow" w:hAnsi="Arial Narrow"/>
                <w:sz w:val="20"/>
                <w:szCs w:val="20"/>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C57"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1.40</w:t>
            </w:r>
          </w:p>
        </w:tc>
      </w:tr>
      <w:tr w:rsidR="005B2CA4" w:rsidRPr="00F53F85" w14:paraId="53C15C6D" w14:textId="77777777" w:rsidTr="005B2CA4">
        <w:trPr>
          <w:trHeight w:val="407"/>
        </w:trPr>
        <w:tc>
          <w:tcPr>
            <w:tcW w:w="611" w:type="dxa"/>
            <w:vMerge/>
            <w:tcBorders>
              <w:top w:val="single" w:sz="4" w:space="0" w:color="auto"/>
              <w:left w:val="single" w:sz="4" w:space="0" w:color="auto"/>
              <w:bottom w:val="single" w:sz="4" w:space="0" w:color="auto"/>
              <w:right w:val="single" w:sz="4" w:space="0" w:color="auto"/>
            </w:tcBorders>
            <w:vAlign w:val="center"/>
            <w:hideMark/>
          </w:tcPr>
          <w:p w14:paraId="53C15C59" w14:textId="77777777" w:rsidR="005B2CA4" w:rsidRPr="00F53F85" w:rsidRDefault="005B2CA4" w:rsidP="00F53F85">
            <w:pPr>
              <w:spacing w:after="0"/>
              <w:jc w:val="left"/>
              <w:rPr>
                <w:rFonts w:ascii="Arial Narrow" w:hAnsi="Arial Narrow"/>
                <w:sz w:val="20"/>
                <w:lang w:eastAsia="en-AU"/>
              </w:rPr>
            </w:pPr>
          </w:p>
        </w:tc>
        <w:tc>
          <w:tcPr>
            <w:tcW w:w="1134" w:type="dxa"/>
            <w:tcBorders>
              <w:top w:val="single" w:sz="4" w:space="0" w:color="auto"/>
              <w:left w:val="single" w:sz="4" w:space="0" w:color="auto"/>
              <w:bottom w:val="single" w:sz="4" w:space="0" w:color="auto"/>
              <w:right w:val="single" w:sz="4" w:space="0" w:color="auto"/>
            </w:tcBorders>
            <w:vAlign w:val="center"/>
          </w:tcPr>
          <w:p w14:paraId="53C15C5A" w14:textId="77777777" w:rsidR="005B2CA4" w:rsidRPr="00F53F85" w:rsidRDefault="005B2CA4" w:rsidP="00316B11">
            <w:pPr>
              <w:spacing w:after="0"/>
              <w:jc w:val="center"/>
              <w:rPr>
                <w:rFonts w:ascii="Arial Narrow" w:hAnsi="Arial Narrow" w:cs="Calibri"/>
                <w:sz w:val="20"/>
                <w:szCs w:val="20"/>
              </w:rPr>
            </w:pPr>
            <w:r w:rsidRPr="00F53F85">
              <w:rPr>
                <w:rFonts w:ascii="Arial Narrow" w:hAnsi="Arial Narrow"/>
                <w:sz w:val="20"/>
                <w:szCs w:val="20"/>
              </w:rPr>
              <w:t>Lady Elliot</w:t>
            </w:r>
          </w:p>
        </w:tc>
        <w:tc>
          <w:tcPr>
            <w:tcW w:w="779" w:type="dxa"/>
            <w:tcBorders>
              <w:top w:val="nil"/>
              <w:left w:val="single" w:sz="4" w:space="0" w:color="auto"/>
              <w:bottom w:val="single" w:sz="4" w:space="0" w:color="auto"/>
              <w:right w:val="single" w:sz="4" w:space="0" w:color="auto"/>
            </w:tcBorders>
            <w:vAlign w:val="center"/>
          </w:tcPr>
          <w:p w14:paraId="53C15C5B" w14:textId="77777777" w:rsidR="005B2CA4" w:rsidRPr="00F53F85" w:rsidRDefault="005B2CA4" w:rsidP="00316B11">
            <w:pPr>
              <w:spacing w:after="0"/>
              <w:jc w:val="center"/>
              <w:rPr>
                <w:rFonts w:ascii="Arial Narrow" w:hAnsi="Arial Narrow" w:cs="Calibri"/>
                <w:sz w:val="20"/>
                <w:szCs w:val="20"/>
              </w:rPr>
            </w:pPr>
            <w:r w:rsidRPr="00F53F85">
              <w:rPr>
                <w:rFonts w:ascii="Arial Narrow" w:hAnsi="Arial Narrow"/>
                <w:sz w:val="20"/>
                <w:szCs w:val="20"/>
              </w:rPr>
              <w:t>2</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C5C"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10.63</w:t>
            </w:r>
          </w:p>
        </w:tc>
        <w:tc>
          <w:tcPr>
            <w:tcW w:w="536" w:type="dxa"/>
            <w:tcBorders>
              <w:top w:val="nil"/>
              <w:left w:val="nil"/>
              <w:bottom w:val="single" w:sz="4" w:space="0" w:color="auto"/>
              <w:right w:val="single" w:sz="4" w:space="0" w:color="auto"/>
            </w:tcBorders>
            <w:shd w:val="clear" w:color="auto" w:fill="auto"/>
            <w:noWrap/>
            <w:vAlign w:val="center"/>
            <w:hideMark/>
          </w:tcPr>
          <w:p w14:paraId="53C15C5D"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2.50</w:t>
            </w:r>
          </w:p>
        </w:tc>
        <w:tc>
          <w:tcPr>
            <w:tcW w:w="586" w:type="dxa"/>
            <w:tcBorders>
              <w:top w:val="nil"/>
              <w:left w:val="nil"/>
              <w:bottom w:val="single" w:sz="4" w:space="0" w:color="auto"/>
              <w:right w:val="single" w:sz="4" w:space="0" w:color="auto"/>
            </w:tcBorders>
            <w:shd w:val="clear" w:color="auto" w:fill="auto"/>
            <w:noWrap/>
            <w:vAlign w:val="center"/>
            <w:hideMark/>
          </w:tcPr>
          <w:p w14:paraId="53C15C5E"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0.31</w:t>
            </w:r>
          </w:p>
        </w:tc>
        <w:tc>
          <w:tcPr>
            <w:tcW w:w="564" w:type="dxa"/>
            <w:tcBorders>
              <w:top w:val="nil"/>
              <w:left w:val="nil"/>
              <w:bottom w:val="single" w:sz="4" w:space="0" w:color="auto"/>
              <w:right w:val="single" w:sz="4" w:space="0" w:color="auto"/>
            </w:tcBorders>
            <w:vAlign w:val="center"/>
          </w:tcPr>
          <w:p w14:paraId="53C15C5F" w14:textId="77777777" w:rsidR="005B2CA4" w:rsidRPr="00F53F85" w:rsidRDefault="005B2CA4"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C60" w14:textId="77777777" w:rsidR="005B2CA4" w:rsidRPr="00F53F85" w:rsidRDefault="005B2CA4"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C61" w14:textId="77777777" w:rsidR="005B2CA4" w:rsidRPr="00F53F85" w:rsidRDefault="005B2CA4"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C62"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3.13</w:t>
            </w:r>
          </w:p>
        </w:tc>
        <w:tc>
          <w:tcPr>
            <w:tcW w:w="546" w:type="dxa"/>
            <w:tcBorders>
              <w:top w:val="nil"/>
              <w:left w:val="nil"/>
              <w:bottom w:val="single" w:sz="4" w:space="0" w:color="auto"/>
              <w:right w:val="single" w:sz="4" w:space="0" w:color="auto"/>
            </w:tcBorders>
            <w:shd w:val="clear" w:color="auto" w:fill="auto"/>
            <w:noWrap/>
            <w:vAlign w:val="center"/>
            <w:hideMark/>
          </w:tcPr>
          <w:p w14:paraId="53C15C63" w14:textId="77777777" w:rsidR="005B2CA4" w:rsidRPr="00F53F85" w:rsidRDefault="005B2CA4" w:rsidP="00316B11">
            <w:pPr>
              <w:spacing w:after="0"/>
              <w:jc w:val="center"/>
              <w:rPr>
                <w:rFonts w:ascii="Arial Narrow" w:hAnsi="Arial Narrow"/>
                <w:sz w:val="20"/>
                <w:szCs w:val="20"/>
                <w:lang w:eastAsia="en-AU"/>
              </w:rPr>
            </w:pPr>
          </w:p>
        </w:tc>
        <w:tc>
          <w:tcPr>
            <w:tcW w:w="573" w:type="dxa"/>
            <w:tcBorders>
              <w:top w:val="nil"/>
              <w:left w:val="nil"/>
              <w:bottom w:val="single" w:sz="4" w:space="0" w:color="auto"/>
              <w:right w:val="single" w:sz="4" w:space="0" w:color="auto"/>
            </w:tcBorders>
            <w:shd w:val="clear" w:color="auto" w:fill="auto"/>
            <w:noWrap/>
            <w:vAlign w:val="center"/>
            <w:hideMark/>
          </w:tcPr>
          <w:p w14:paraId="53C15C64" w14:textId="77777777" w:rsidR="005B2CA4" w:rsidRPr="00F53F85" w:rsidRDefault="005B2CA4"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C65"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C66" w14:textId="77777777" w:rsidR="005B2CA4" w:rsidRPr="00F53F85" w:rsidRDefault="005B2CA4"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C67"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0.44</w:t>
            </w:r>
          </w:p>
        </w:tc>
        <w:tc>
          <w:tcPr>
            <w:tcW w:w="788" w:type="dxa"/>
            <w:tcBorders>
              <w:top w:val="nil"/>
              <w:left w:val="nil"/>
              <w:bottom w:val="single" w:sz="4" w:space="0" w:color="auto"/>
              <w:right w:val="single" w:sz="4" w:space="0" w:color="auto"/>
            </w:tcBorders>
            <w:shd w:val="clear" w:color="auto" w:fill="auto"/>
            <w:noWrap/>
            <w:vAlign w:val="center"/>
            <w:hideMark/>
          </w:tcPr>
          <w:p w14:paraId="53C15C68"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3.56</w:t>
            </w:r>
          </w:p>
        </w:tc>
        <w:tc>
          <w:tcPr>
            <w:tcW w:w="788" w:type="dxa"/>
            <w:tcBorders>
              <w:top w:val="nil"/>
              <w:left w:val="nil"/>
              <w:bottom w:val="single" w:sz="4" w:space="0" w:color="auto"/>
              <w:right w:val="single" w:sz="4" w:space="0" w:color="auto"/>
            </w:tcBorders>
            <w:shd w:val="clear" w:color="auto" w:fill="auto"/>
            <w:noWrap/>
            <w:vAlign w:val="center"/>
            <w:hideMark/>
          </w:tcPr>
          <w:p w14:paraId="53C15C69"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0.13</w:t>
            </w:r>
          </w:p>
        </w:tc>
        <w:tc>
          <w:tcPr>
            <w:tcW w:w="788" w:type="dxa"/>
            <w:tcBorders>
              <w:top w:val="nil"/>
              <w:left w:val="nil"/>
              <w:bottom w:val="single" w:sz="4" w:space="0" w:color="auto"/>
              <w:right w:val="single" w:sz="4" w:space="0" w:color="auto"/>
            </w:tcBorders>
            <w:shd w:val="clear" w:color="auto" w:fill="auto"/>
            <w:noWrap/>
            <w:vAlign w:val="center"/>
            <w:hideMark/>
          </w:tcPr>
          <w:p w14:paraId="53C15C6A"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2.31</w:t>
            </w:r>
          </w:p>
        </w:tc>
        <w:tc>
          <w:tcPr>
            <w:tcW w:w="630" w:type="dxa"/>
            <w:tcBorders>
              <w:top w:val="nil"/>
              <w:left w:val="nil"/>
              <w:bottom w:val="single" w:sz="4" w:space="0" w:color="auto"/>
              <w:right w:val="single" w:sz="4" w:space="0" w:color="auto"/>
            </w:tcBorders>
            <w:vAlign w:val="center"/>
          </w:tcPr>
          <w:p w14:paraId="53C15C6B" w14:textId="77777777" w:rsidR="005B2CA4" w:rsidRPr="00F53F85" w:rsidRDefault="005B2CA4" w:rsidP="00316B11">
            <w:pPr>
              <w:spacing w:after="0"/>
              <w:jc w:val="center"/>
              <w:rPr>
                <w:rFonts w:ascii="Arial Narrow" w:hAnsi="Arial Narrow"/>
                <w:sz w:val="20"/>
                <w:szCs w:val="20"/>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C6C"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1.13</w:t>
            </w:r>
          </w:p>
        </w:tc>
      </w:tr>
      <w:tr w:rsidR="00316B11" w:rsidRPr="00F53F85" w14:paraId="53C15C82" w14:textId="77777777" w:rsidTr="005B2CA4">
        <w:trPr>
          <w:trHeight w:val="340"/>
        </w:trPr>
        <w:tc>
          <w:tcPr>
            <w:tcW w:w="611" w:type="dxa"/>
            <w:vMerge w:val="restart"/>
            <w:tcBorders>
              <w:top w:val="single" w:sz="4" w:space="0" w:color="auto"/>
              <w:left w:val="single" w:sz="4" w:space="0" w:color="auto"/>
              <w:bottom w:val="single" w:sz="4" w:space="0" w:color="auto"/>
              <w:right w:val="single" w:sz="4" w:space="0" w:color="auto"/>
            </w:tcBorders>
            <w:vAlign w:val="center"/>
            <w:hideMark/>
          </w:tcPr>
          <w:p w14:paraId="53C15C6E" w14:textId="77777777" w:rsidR="00316B11" w:rsidRPr="00F53F85" w:rsidRDefault="00316B11" w:rsidP="005B2CA4">
            <w:pPr>
              <w:jc w:val="left"/>
              <w:rPr>
                <w:rFonts w:ascii="Arial Narrow" w:hAnsi="Arial Narrow"/>
                <w:sz w:val="20"/>
                <w:lang w:eastAsia="en-AU"/>
              </w:rPr>
            </w:pPr>
          </w:p>
        </w:tc>
        <w:tc>
          <w:tcPr>
            <w:tcW w:w="1134" w:type="dxa"/>
            <w:tcBorders>
              <w:top w:val="single" w:sz="4" w:space="0" w:color="auto"/>
              <w:left w:val="single" w:sz="4" w:space="0" w:color="auto"/>
              <w:bottom w:val="single" w:sz="4" w:space="0" w:color="auto"/>
              <w:right w:val="single" w:sz="4" w:space="0" w:color="auto"/>
            </w:tcBorders>
            <w:vAlign w:val="center"/>
          </w:tcPr>
          <w:p w14:paraId="53C15C6F" w14:textId="77777777" w:rsidR="00316B11" w:rsidRPr="00F53F85" w:rsidRDefault="005B2CA4" w:rsidP="00316B11">
            <w:pPr>
              <w:spacing w:after="0"/>
              <w:jc w:val="center"/>
              <w:rPr>
                <w:rFonts w:ascii="Arial Narrow" w:hAnsi="Arial Narrow" w:cs="Calibri"/>
                <w:sz w:val="20"/>
                <w:szCs w:val="20"/>
              </w:rPr>
            </w:pPr>
            <w:r w:rsidRPr="00F53F85">
              <w:rPr>
                <w:rFonts w:ascii="Arial Narrow" w:hAnsi="Arial Narrow"/>
                <w:sz w:val="20"/>
                <w:szCs w:val="20"/>
              </w:rPr>
              <w:t>Lady Elliot</w:t>
            </w:r>
          </w:p>
        </w:tc>
        <w:tc>
          <w:tcPr>
            <w:tcW w:w="779" w:type="dxa"/>
            <w:tcBorders>
              <w:top w:val="nil"/>
              <w:left w:val="single" w:sz="4" w:space="0" w:color="auto"/>
              <w:bottom w:val="single" w:sz="4" w:space="0" w:color="auto"/>
              <w:right w:val="single" w:sz="4" w:space="0" w:color="auto"/>
            </w:tcBorders>
            <w:vAlign w:val="center"/>
          </w:tcPr>
          <w:p w14:paraId="53C15C70" w14:textId="77777777" w:rsidR="00316B11" w:rsidRPr="00F53F85" w:rsidRDefault="00316B11" w:rsidP="00316B11">
            <w:pPr>
              <w:spacing w:after="0"/>
              <w:jc w:val="center"/>
              <w:rPr>
                <w:rFonts w:ascii="Arial Narrow" w:hAnsi="Arial Narrow" w:cs="Calibri"/>
                <w:sz w:val="20"/>
                <w:szCs w:val="20"/>
              </w:rPr>
            </w:pPr>
            <w:r w:rsidRPr="00F53F85">
              <w:rPr>
                <w:rFonts w:ascii="Arial Narrow" w:hAnsi="Arial Narrow"/>
                <w:sz w:val="20"/>
                <w:szCs w:val="20"/>
              </w:rPr>
              <w:t>5</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C71"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536" w:type="dxa"/>
            <w:tcBorders>
              <w:top w:val="nil"/>
              <w:left w:val="nil"/>
              <w:bottom w:val="single" w:sz="4" w:space="0" w:color="auto"/>
              <w:right w:val="single" w:sz="4" w:space="0" w:color="auto"/>
            </w:tcBorders>
            <w:shd w:val="clear" w:color="auto" w:fill="auto"/>
            <w:noWrap/>
            <w:vAlign w:val="center"/>
            <w:hideMark/>
          </w:tcPr>
          <w:p w14:paraId="53C15C72"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0.94</w:t>
            </w:r>
          </w:p>
        </w:tc>
        <w:tc>
          <w:tcPr>
            <w:tcW w:w="586" w:type="dxa"/>
            <w:tcBorders>
              <w:top w:val="nil"/>
              <w:left w:val="nil"/>
              <w:bottom w:val="single" w:sz="4" w:space="0" w:color="auto"/>
              <w:right w:val="single" w:sz="4" w:space="0" w:color="auto"/>
            </w:tcBorders>
            <w:shd w:val="clear" w:color="auto" w:fill="auto"/>
            <w:noWrap/>
            <w:vAlign w:val="center"/>
            <w:hideMark/>
          </w:tcPr>
          <w:p w14:paraId="53C15C73"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0.56</w:t>
            </w:r>
          </w:p>
        </w:tc>
        <w:tc>
          <w:tcPr>
            <w:tcW w:w="564" w:type="dxa"/>
            <w:tcBorders>
              <w:top w:val="nil"/>
              <w:left w:val="nil"/>
              <w:bottom w:val="single" w:sz="4" w:space="0" w:color="auto"/>
              <w:right w:val="single" w:sz="4" w:space="0" w:color="auto"/>
            </w:tcBorders>
            <w:vAlign w:val="center"/>
          </w:tcPr>
          <w:p w14:paraId="53C15C74" w14:textId="77777777" w:rsidR="00316B11" w:rsidRPr="00F53F85" w:rsidRDefault="00316B11"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C75" w14:textId="77777777" w:rsidR="00316B11" w:rsidRPr="00F53F85" w:rsidRDefault="00316B11"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C76" w14:textId="77777777" w:rsidR="00316B11" w:rsidRPr="00F53F85" w:rsidRDefault="00316B11"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C77"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1.56</w:t>
            </w:r>
          </w:p>
        </w:tc>
        <w:tc>
          <w:tcPr>
            <w:tcW w:w="546" w:type="dxa"/>
            <w:tcBorders>
              <w:top w:val="nil"/>
              <w:left w:val="nil"/>
              <w:bottom w:val="single" w:sz="4" w:space="0" w:color="auto"/>
              <w:right w:val="single" w:sz="4" w:space="0" w:color="auto"/>
            </w:tcBorders>
            <w:shd w:val="clear" w:color="auto" w:fill="auto"/>
            <w:noWrap/>
            <w:vAlign w:val="center"/>
            <w:hideMark/>
          </w:tcPr>
          <w:p w14:paraId="53C15C78" w14:textId="77777777" w:rsidR="00316B11" w:rsidRPr="00F53F85" w:rsidRDefault="00316B11" w:rsidP="00316B11">
            <w:pPr>
              <w:spacing w:after="0"/>
              <w:jc w:val="center"/>
              <w:rPr>
                <w:rFonts w:ascii="Arial Narrow" w:hAnsi="Arial Narrow"/>
                <w:sz w:val="20"/>
                <w:szCs w:val="20"/>
                <w:lang w:eastAsia="en-AU"/>
              </w:rPr>
            </w:pPr>
          </w:p>
        </w:tc>
        <w:tc>
          <w:tcPr>
            <w:tcW w:w="573" w:type="dxa"/>
            <w:tcBorders>
              <w:top w:val="nil"/>
              <w:left w:val="nil"/>
              <w:bottom w:val="single" w:sz="4" w:space="0" w:color="auto"/>
              <w:right w:val="single" w:sz="4" w:space="0" w:color="auto"/>
            </w:tcBorders>
            <w:shd w:val="clear" w:color="auto" w:fill="auto"/>
            <w:noWrap/>
            <w:vAlign w:val="center"/>
            <w:hideMark/>
          </w:tcPr>
          <w:p w14:paraId="53C15C79" w14:textId="77777777" w:rsidR="00316B11" w:rsidRPr="00F53F85" w:rsidRDefault="00316B11"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C7A" w14:textId="77777777" w:rsidR="00316B11" w:rsidRPr="00F53F85" w:rsidRDefault="00316B11"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C7B" w14:textId="77777777" w:rsidR="00316B11" w:rsidRPr="00F53F85" w:rsidRDefault="00316B11"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C7C"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C7D"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2.44</w:t>
            </w:r>
          </w:p>
        </w:tc>
        <w:tc>
          <w:tcPr>
            <w:tcW w:w="788" w:type="dxa"/>
            <w:tcBorders>
              <w:top w:val="nil"/>
              <w:left w:val="nil"/>
              <w:bottom w:val="single" w:sz="4" w:space="0" w:color="auto"/>
              <w:right w:val="single" w:sz="4" w:space="0" w:color="auto"/>
            </w:tcBorders>
            <w:shd w:val="clear" w:color="auto" w:fill="auto"/>
            <w:noWrap/>
            <w:vAlign w:val="center"/>
            <w:hideMark/>
          </w:tcPr>
          <w:p w14:paraId="53C15C7E"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C7F" w14:textId="77777777" w:rsidR="00316B11" w:rsidRPr="00F53F85" w:rsidRDefault="00316B11" w:rsidP="00316B11">
            <w:pPr>
              <w:spacing w:after="0"/>
              <w:jc w:val="center"/>
              <w:rPr>
                <w:rFonts w:ascii="Arial Narrow" w:hAnsi="Arial Narrow"/>
                <w:sz w:val="20"/>
                <w:szCs w:val="20"/>
                <w:lang w:eastAsia="en-AU"/>
              </w:rPr>
            </w:pPr>
          </w:p>
        </w:tc>
        <w:tc>
          <w:tcPr>
            <w:tcW w:w="630" w:type="dxa"/>
            <w:tcBorders>
              <w:top w:val="nil"/>
              <w:left w:val="nil"/>
              <w:bottom w:val="single" w:sz="4" w:space="0" w:color="auto"/>
              <w:right w:val="single" w:sz="4" w:space="0" w:color="auto"/>
            </w:tcBorders>
            <w:vAlign w:val="center"/>
          </w:tcPr>
          <w:p w14:paraId="53C15C80" w14:textId="77777777" w:rsidR="00316B11" w:rsidRPr="00F53F85" w:rsidRDefault="00316B11" w:rsidP="00316B11">
            <w:pPr>
              <w:spacing w:after="0"/>
              <w:jc w:val="center"/>
              <w:rPr>
                <w:rFonts w:ascii="Arial Narrow" w:hAnsi="Arial Narrow"/>
                <w:sz w:val="20"/>
                <w:szCs w:val="20"/>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C81"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0.31</w:t>
            </w:r>
          </w:p>
        </w:tc>
      </w:tr>
      <w:tr w:rsidR="00316B11" w:rsidRPr="00F53F85" w14:paraId="53C15C97" w14:textId="77777777" w:rsidTr="005B2CA4">
        <w:trPr>
          <w:trHeight w:val="340"/>
        </w:trPr>
        <w:tc>
          <w:tcPr>
            <w:tcW w:w="611" w:type="dxa"/>
            <w:vMerge/>
            <w:tcBorders>
              <w:top w:val="nil"/>
              <w:left w:val="single" w:sz="4" w:space="0" w:color="auto"/>
              <w:bottom w:val="single" w:sz="4" w:space="0" w:color="auto"/>
              <w:right w:val="single" w:sz="4" w:space="0" w:color="auto"/>
            </w:tcBorders>
            <w:vAlign w:val="center"/>
            <w:hideMark/>
          </w:tcPr>
          <w:p w14:paraId="53C15C83" w14:textId="77777777" w:rsidR="00316B11" w:rsidRPr="00F53F85" w:rsidRDefault="00316B11" w:rsidP="00F53F85">
            <w:pPr>
              <w:spacing w:after="0"/>
              <w:jc w:val="left"/>
              <w:rPr>
                <w:rFonts w:ascii="Arial Narrow" w:hAnsi="Arial Narrow"/>
                <w:sz w:val="20"/>
                <w:lang w:eastAsia="en-AU"/>
              </w:rPr>
            </w:pPr>
          </w:p>
        </w:tc>
        <w:tc>
          <w:tcPr>
            <w:tcW w:w="1134" w:type="dxa"/>
            <w:vMerge w:val="restart"/>
            <w:tcBorders>
              <w:top w:val="nil"/>
              <w:left w:val="single" w:sz="4" w:space="0" w:color="auto"/>
              <w:right w:val="single" w:sz="4" w:space="0" w:color="auto"/>
            </w:tcBorders>
            <w:vAlign w:val="center"/>
          </w:tcPr>
          <w:p w14:paraId="53C15C84"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Magnetic</w:t>
            </w:r>
          </w:p>
        </w:tc>
        <w:tc>
          <w:tcPr>
            <w:tcW w:w="779" w:type="dxa"/>
            <w:tcBorders>
              <w:top w:val="nil"/>
              <w:left w:val="single" w:sz="4" w:space="0" w:color="auto"/>
              <w:bottom w:val="single" w:sz="4" w:space="0" w:color="auto"/>
              <w:right w:val="single" w:sz="4" w:space="0" w:color="auto"/>
            </w:tcBorders>
            <w:vAlign w:val="center"/>
          </w:tcPr>
          <w:p w14:paraId="53C15C85"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2</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C86" w14:textId="77777777" w:rsidR="00316B11" w:rsidRPr="00F53F85" w:rsidRDefault="00316B11"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C87"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0.63</w:t>
            </w:r>
          </w:p>
        </w:tc>
        <w:tc>
          <w:tcPr>
            <w:tcW w:w="586" w:type="dxa"/>
            <w:tcBorders>
              <w:top w:val="nil"/>
              <w:left w:val="nil"/>
              <w:bottom w:val="single" w:sz="4" w:space="0" w:color="auto"/>
              <w:right w:val="single" w:sz="4" w:space="0" w:color="auto"/>
            </w:tcBorders>
            <w:shd w:val="clear" w:color="auto" w:fill="auto"/>
            <w:noWrap/>
            <w:vAlign w:val="center"/>
            <w:hideMark/>
          </w:tcPr>
          <w:p w14:paraId="53C15C88"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564" w:type="dxa"/>
            <w:tcBorders>
              <w:top w:val="nil"/>
              <w:left w:val="nil"/>
              <w:bottom w:val="single" w:sz="4" w:space="0" w:color="auto"/>
              <w:right w:val="single" w:sz="4" w:space="0" w:color="auto"/>
            </w:tcBorders>
            <w:vAlign w:val="center"/>
          </w:tcPr>
          <w:p w14:paraId="53C15C89" w14:textId="77777777" w:rsidR="00316B11" w:rsidRPr="00F53F85" w:rsidRDefault="00316B11"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C8A" w14:textId="77777777" w:rsidR="00316B11" w:rsidRPr="00F53F85" w:rsidRDefault="00316B11"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C8B" w14:textId="77777777" w:rsidR="00316B11" w:rsidRPr="00F53F85" w:rsidRDefault="00316B11"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C8C"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0.31</w:t>
            </w:r>
          </w:p>
        </w:tc>
        <w:tc>
          <w:tcPr>
            <w:tcW w:w="546" w:type="dxa"/>
            <w:tcBorders>
              <w:top w:val="nil"/>
              <w:left w:val="nil"/>
              <w:bottom w:val="single" w:sz="4" w:space="0" w:color="auto"/>
              <w:right w:val="single" w:sz="4" w:space="0" w:color="auto"/>
            </w:tcBorders>
            <w:shd w:val="clear" w:color="auto" w:fill="auto"/>
            <w:noWrap/>
            <w:vAlign w:val="center"/>
            <w:hideMark/>
          </w:tcPr>
          <w:p w14:paraId="53C15C8D" w14:textId="77777777" w:rsidR="00316B11" w:rsidRPr="00F53F85" w:rsidRDefault="00316B11" w:rsidP="00316B11">
            <w:pPr>
              <w:spacing w:after="0"/>
              <w:jc w:val="center"/>
              <w:rPr>
                <w:rFonts w:ascii="Arial Narrow" w:hAnsi="Arial Narrow"/>
                <w:sz w:val="20"/>
                <w:szCs w:val="20"/>
                <w:lang w:eastAsia="en-AU"/>
              </w:rPr>
            </w:pPr>
          </w:p>
        </w:tc>
        <w:tc>
          <w:tcPr>
            <w:tcW w:w="573" w:type="dxa"/>
            <w:tcBorders>
              <w:top w:val="nil"/>
              <w:left w:val="nil"/>
              <w:bottom w:val="single" w:sz="4" w:space="0" w:color="auto"/>
              <w:right w:val="single" w:sz="4" w:space="0" w:color="auto"/>
            </w:tcBorders>
            <w:shd w:val="clear" w:color="auto" w:fill="auto"/>
            <w:noWrap/>
            <w:vAlign w:val="center"/>
            <w:hideMark/>
          </w:tcPr>
          <w:p w14:paraId="53C15C8E" w14:textId="77777777" w:rsidR="00316B11" w:rsidRPr="00F53F85" w:rsidRDefault="00316B11"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C8F" w14:textId="77777777" w:rsidR="00316B11" w:rsidRPr="00F53F85" w:rsidRDefault="00316B11"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C90" w14:textId="77777777" w:rsidR="00316B11" w:rsidRPr="00F53F85" w:rsidRDefault="00316B11"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C91"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C92"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4.94</w:t>
            </w:r>
          </w:p>
        </w:tc>
        <w:tc>
          <w:tcPr>
            <w:tcW w:w="788" w:type="dxa"/>
            <w:tcBorders>
              <w:top w:val="nil"/>
              <w:left w:val="nil"/>
              <w:bottom w:val="single" w:sz="4" w:space="0" w:color="auto"/>
              <w:right w:val="single" w:sz="4" w:space="0" w:color="auto"/>
            </w:tcBorders>
            <w:shd w:val="clear" w:color="auto" w:fill="auto"/>
            <w:noWrap/>
            <w:vAlign w:val="center"/>
            <w:hideMark/>
          </w:tcPr>
          <w:p w14:paraId="53C15C93"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8.75</w:t>
            </w:r>
          </w:p>
        </w:tc>
        <w:tc>
          <w:tcPr>
            <w:tcW w:w="788" w:type="dxa"/>
            <w:tcBorders>
              <w:top w:val="nil"/>
              <w:left w:val="nil"/>
              <w:bottom w:val="single" w:sz="4" w:space="0" w:color="auto"/>
              <w:right w:val="single" w:sz="4" w:space="0" w:color="auto"/>
            </w:tcBorders>
            <w:shd w:val="clear" w:color="auto" w:fill="auto"/>
            <w:noWrap/>
            <w:vAlign w:val="center"/>
            <w:hideMark/>
          </w:tcPr>
          <w:p w14:paraId="53C15C94"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15.13</w:t>
            </w:r>
          </w:p>
        </w:tc>
        <w:tc>
          <w:tcPr>
            <w:tcW w:w="630" w:type="dxa"/>
            <w:tcBorders>
              <w:top w:val="nil"/>
              <w:left w:val="nil"/>
              <w:bottom w:val="single" w:sz="4" w:space="0" w:color="auto"/>
              <w:right w:val="single" w:sz="4" w:space="0" w:color="auto"/>
            </w:tcBorders>
            <w:vAlign w:val="center"/>
          </w:tcPr>
          <w:p w14:paraId="53C15C95" w14:textId="77777777" w:rsidR="00316B11" w:rsidRPr="00F53F85" w:rsidRDefault="00316B11" w:rsidP="00316B11">
            <w:pPr>
              <w:spacing w:after="0"/>
              <w:jc w:val="center"/>
              <w:rPr>
                <w:rFonts w:ascii="Arial Narrow" w:hAnsi="Arial Narrow"/>
                <w:sz w:val="20"/>
                <w:szCs w:val="20"/>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C96"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0.75</w:t>
            </w:r>
          </w:p>
        </w:tc>
      </w:tr>
      <w:tr w:rsidR="00316B11" w:rsidRPr="00F53F85" w14:paraId="53C15CAC" w14:textId="77777777" w:rsidTr="005B2CA4">
        <w:trPr>
          <w:trHeight w:val="340"/>
        </w:trPr>
        <w:tc>
          <w:tcPr>
            <w:tcW w:w="611" w:type="dxa"/>
            <w:vMerge/>
            <w:tcBorders>
              <w:top w:val="nil"/>
              <w:left w:val="single" w:sz="4" w:space="0" w:color="auto"/>
              <w:bottom w:val="single" w:sz="4" w:space="0" w:color="auto"/>
              <w:right w:val="single" w:sz="4" w:space="0" w:color="auto"/>
            </w:tcBorders>
            <w:vAlign w:val="center"/>
            <w:hideMark/>
          </w:tcPr>
          <w:p w14:paraId="53C15C98" w14:textId="77777777" w:rsidR="00316B11" w:rsidRPr="00F53F85" w:rsidRDefault="00316B11" w:rsidP="00F53F85">
            <w:pPr>
              <w:spacing w:after="0"/>
              <w:jc w:val="left"/>
              <w:rPr>
                <w:rFonts w:ascii="Arial Narrow" w:hAnsi="Arial Narrow"/>
                <w:sz w:val="20"/>
                <w:lang w:eastAsia="en-AU"/>
              </w:rPr>
            </w:pPr>
          </w:p>
        </w:tc>
        <w:tc>
          <w:tcPr>
            <w:tcW w:w="1134" w:type="dxa"/>
            <w:vMerge/>
            <w:tcBorders>
              <w:left w:val="single" w:sz="4" w:space="0" w:color="auto"/>
              <w:bottom w:val="single" w:sz="4" w:space="0" w:color="auto"/>
              <w:right w:val="single" w:sz="4" w:space="0" w:color="auto"/>
            </w:tcBorders>
            <w:vAlign w:val="center"/>
          </w:tcPr>
          <w:p w14:paraId="53C15C99" w14:textId="77777777" w:rsidR="00316B11" w:rsidRPr="00F53F85" w:rsidRDefault="00316B11" w:rsidP="00316B11">
            <w:pPr>
              <w:spacing w:after="0"/>
              <w:jc w:val="center"/>
              <w:rPr>
                <w:rFonts w:ascii="Arial Narrow" w:hAnsi="Arial Narrow"/>
                <w:sz w:val="20"/>
                <w:szCs w:val="20"/>
                <w:lang w:eastAsia="en-AU"/>
              </w:rPr>
            </w:pPr>
          </w:p>
        </w:tc>
        <w:tc>
          <w:tcPr>
            <w:tcW w:w="779" w:type="dxa"/>
            <w:tcBorders>
              <w:top w:val="nil"/>
              <w:left w:val="single" w:sz="4" w:space="0" w:color="auto"/>
              <w:bottom w:val="single" w:sz="4" w:space="0" w:color="auto"/>
              <w:right w:val="single" w:sz="4" w:space="0" w:color="auto"/>
            </w:tcBorders>
            <w:vAlign w:val="center"/>
          </w:tcPr>
          <w:p w14:paraId="53C15C9A"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5</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C9B" w14:textId="77777777" w:rsidR="00316B11" w:rsidRPr="00F53F85" w:rsidRDefault="00316B11"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C9C"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1.13</w:t>
            </w:r>
          </w:p>
        </w:tc>
        <w:tc>
          <w:tcPr>
            <w:tcW w:w="586" w:type="dxa"/>
            <w:tcBorders>
              <w:top w:val="nil"/>
              <w:left w:val="nil"/>
              <w:bottom w:val="single" w:sz="4" w:space="0" w:color="auto"/>
              <w:right w:val="single" w:sz="4" w:space="0" w:color="auto"/>
            </w:tcBorders>
            <w:shd w:val="clear" w:color="auto" w:fill="auto"/>
            <w:noWrap/>
            <w:vAlign w:val="center"/>
            <w:hideMark/>
          </w:tcPr>
          <w:p w14:paraId="53C15C9D"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0.44</w:t>
            </w:r>
          </w:p>
        </w:tc>
        <w:tc>
          <w:tcPr>
            <w:tcW w:w="564" w:type="dxa"/>
            <w:tcBorders>
              <w:top w:val="nil"/>
              <w:left w:val="nil"/>
              <w:bottom w:val="single" w:sz="4" w:space="0" w:color="auto"/>
              <w:right w:val="single" w:sz="4" w:space="0" w:color="auto"/>
            </w:tcBorders>
            <w:vAlign w:val="center"/>
          </w:tcPr>
          <w:p w14:paraId="53C15C9E" w14:textId="77777777" w:rsidR="00316B11" w:rsidRPr="00F53F85" w:rsidRDefault="00316B11"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C9F" w14:textId="77777777" w:rsidR="00316B11" w:rsidRPr="00F53F85" w:rsidRDefault="00316B11"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CA0" w14:textId="77777777" w:rsidR="00316B11" w:rsidRPr="00F53F85" w:rsidRDefault="00316B11"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CA1"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0.88</w:t>
            </w:r>
          </w:p>
        </w:tc>
        <w:tc>
          <w:tcPr>
            <w:tcW w:w="546" w:type="dxa"/>
            <w:tcBorders>
              <w:top w:val="nil"/>
              <w:left w:val="nil"/>
              <w:bottom w:val="single" w:sz="4" w:space="0" w:color="auto"/>
              <w:right w:val="single" w:sz="4" w:space="0" w:color="auto"/>
            </w:tcBorders>
            <w:shd w:val="clear" w:color="auto" w:fill="auto"/>
            <w:noWrap/>
            <w:vAlign w:val="center"/>
            <w:hideMark/>
          </w:tcPr>
          <w:p w14:paraId="53C15CA2" w14:textId="77777777" w:rsidR="00316B11" w:rsidRPr="00F53F85" w:rsidRDefault="00316B11" w:rsidP="00316B11">
            <w:pPr>
              <w:spacing w:after="0"/>
              <w:jc w:val="center"/>
              <w:rPr>
                <w:rFonts w:ascii="Arial Narrow" w:hAnsi="Arial Narrow"/>
                <w:sz w:val="20"/>
                <w:szCs w:val="20"/>
                <w:lang w:eastAsia="en-AU"/>
              </w:rPr>
            </w:pPr>
          </w:p>
        </w:tc>
        <w:tc>
          <w:tcPr>
            <w:tcW w:w="573" w:type="dxa"/>
            <w:tcBorders>
              <w:top w:val="nil"/>
              <w:left w:val="nil"/>
              <w:bottom w:val="single" w:sz="4" w:space="0" w:color="auto"/>
              <w:right w:val="single" w:sz="4" w:space="0" w:color="auto"/>
            </w:tcBorders>
            <w:shd w:val="clear" w:color="auto" w:fill="auto"/>
            <w:noWrap/>
            <w:vAlign w:val="center"/>
            <w:hideMark/>
          </w:tcPr>
          <w:p w14:paraId="53C15CA3" w14:textId="77777777" w:rsidR="00316B11" w:rsidRPr="00F53F85" w:rsidRDefault="00316B11"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CA4" w14:textId="77777777" w:rsidR="00316B11" w:rsidRPr="00F53F85" w:rsidRDefault="00316B11"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CA5" w14:textId="77777777" w:rsidR="00316B11" w:rsidRPr="00F53F85" w:rsidRDefault="00316B11"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CA6" w14:textId="77777777" w:rsidR="00316B11" w:rsidRPr="00F53F85" w:rsidRDefault="00316B11"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CA7"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2.13</w:t>
            </w:r>
          </w:p>
        </w:tc>
        <w:tc>
          <w:tcPr>
            <w:tcW w:w="788" w:type="dxa"/>
            <w:tcBorders>
              <w:top w:val="nil"/>
              <w:left w:val="nil"/>
              <w:bottom w:val="single" w:sz="4" w:space="0" w:color="auto"/>
              <w:right w:val="single" w:sz="4" w:space="0" w:color="auto"/>
            </w:tcBorders>
            <w:shd w:val="clear" w:color="auto" w:fill="auto"/>
            <w:noWrap/>
            <w:vAlign w:val="center"/>
            <w:hideMark/>
          </w:tcPr>
          <w:p w14:paraId="53C15CA8"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1.69</w:t>
            </w:r>
          </w:p>
        </w:tc>
        <w:tc>
          <w:tcPr>
            <w:tcW w:w="788" w:type="dxa"/>
            <w:tcBorders>
              <w:top w:val="nil"/>
              <w:left w:val="nil"/>
              <w:bottom w:val="single" w:sz="4" w:space="0" w:color="auto"/>
              <w:right w:val="single" w:sz="4" w:space="0" w:color="auto"/>
            </w:tcBorders>
            <w:shd w:val="clear" w:color="auto" w:fill="auto"/>
            <w:noWrap/>
            <w:vAlign w:val="center"/>
            <w:hideMark/>
          </w:tcPr>
          <w:p w14:paraId="53C15CA9"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4.75</w:t>
            </w:r>
          </w:p>
        </w:tc>
        <w:tc>
          <w:tcPr>
            <w:tcW w:w="630" w:type="dxa"/>
            <w:tcBorders>
              <w:top w:val="nil"/>
              <w:left w:val="nil"/>
              <w:bottom w:val="single" w:sz="4" w:space="0" w:color="auto"/>
              <w:right w:val="single" w:sz="4" w:space="0" w:color="auto"/>
            </w:tcBorders>
            <w:vAlign w:val="center"/>
          </w:tcPr>
          <w:p w14:paraId="53C15CAA" w14:textId="77777777" w:rsidR="00316B11" w:rsidRPr="00F53F85" w:rsidRDefault="00316B11" w:rsidP="00316B11">
            <w:pPr>
              <w:spacing w:after="0"/>
              <w:jc w:val="center"/>
              <w:rPr>
                <w:rFonts w:ascii="Arial Narrow" w:hAnsi="Arial Narrow"/>
                <w:sz w:val="20"/>
                <w:szCs w:val="20"/>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CAB" w14:textId="77777777" w:rsidR="00316B11" w:rsidRPr="00F53F85" w:rsidRDefault="00316B11" w:rsidP="00316B11">
            <w:pPr>
              <w:spacing w:after="0"/>
              <w:jc w:val="center"/>
              <w:rPr>
                <w:rFonts w:ascii="Arial Narrow" w:hAnsi="Arial Narrow"/>
                <w:sz w:val="20"/>
                <w:szCs w:val="20"/>
                <w:lang w:eastAsia="en-AU"/>
              </w:rPr>
            </w:pPr>
            <w:r w:rsidRPr="00F53F85">
              <w:rPr>
                <w:rFonts w:ascii="Arial Narrow" w:hAnsi="Arial Narrow"/>
                <w:sz w:val="20"/>
                <w:szCs w:val="20"/>
              </w:rPr>
              <w:t>0.50</w:t>
            </w:r>
          </w:p>
        </w:tc>
      </w:tr>
      <w:tr w:rsidR="00F53F85" w:rsidRPr="00F53F85" w14:paraId="53C15CC1" w14:textId="77777777" w:rsidTr="005B2CA4">
        <w:trPr>
          <w:trHeight w:val="340"/>
        </w:trPr>
        <w:tc>
          <w:tcPr>
            <w:tcW w:w="611" w:type="dxa"/>
            <w:vMerge/>
            <w:tcBorders>
              <w:top w:val="nil"/>
              <w:left w:val="single" w:sz="4" w:space="0" w:color="auto"/>
              <w:bottom w:val="single" w:sz="4" w:space="0" w:color="auto"/>
              <w:right w:val="single" w:sz="4" w:space="0" w:color="auto"/>
            </w:tcBorders>
            <w:vAlign w:val="center"/>
            <w:hideMark/>
          </w:tcPr>
          <w:p w14:paraId="53C15CAD" w14:textId="77777777" w:rsidR="00F53F85" w:rsidRPr="00F53F85" w:rsidRDefault="00F53F85" w:rsidP="00F53F85">
            <w:pPr>
              <w:spacing w:after="0"/>
              <w:jc w:val="left"/>
              <w:rPr>
                <w:rFonts w:ascii="Arial Narrow" w:hAnsi="Arial Narrow"/>
                <w:sz w:val="20"/>
                <w:lang w:eastAsia="en-AU"/>
              </w:rPr>
            </w:pPr>
          </w:p>
        </w:tc>
        <w:tc>
          <w:tcPr>
            <w:tcW w:w="1134" w:type="dxa"/>
            <w:tcBorders>
              <w:top w:val="nil"/>
              <w:left w:val="single" w:sz="4" w:space="0" w:color="auto"/>
              <w:bottom w:val="single" w:sz="4" w:space="0" w:color="auto"/>
              <w:right w:val="single" w:sz="4" w:space="0" w:color="auto"/>
            </w:tcBorders>
            <w:vAlign w:val="center"/>
          </w:tcPr>
          <w:p w14:paraId="53C15CAE" w14:textId="77777777" w:rsidR="00F53F85" w:rsidRPr="00F53F85" w:rsidRDefault="00F53F85" w:rsidP="00316B11">
            <w:pPr>
              <w:spacing w:after="0"/>
              <w:jc w:val="center"/>
              <w:rPr>
                <w:rFonts w:ascii="Arial Narrow" w:hAnsi="Arial Narrow"/>
                <w:sz w:val="20"/>
                <w:szCs w:val="20"/>
              </w:rPr>
            </w:pPr>
            <w:r w:rsidRPr="00F53F85">
              <w:rPr>
                <w:rFonts w:ascii="Arial Narrow" w:hAnsi="Arial Narrow"/>
                <w:sz w:val="20"/>
                <w:szCs w:val="20"/>
              </w:rPr>
              <w:t>Hayman</w:t>
            </w:r>
          </w:p>
        </w:tc>
        <w:tc>
          <w:tcPr>
            <w:tcW w:w="779" w:type="dxa"/>
            <w:tcBorders>
              <w:top w:val="nil"/>
              <w:left w:val="single" w:sz="4" w:space="0" w:color="auto"/>
              <w:bottom w:val="single" w:sz="4" w:space="0" w:color="auto"/>
              <w:right w:val="single" w:sz="4" w:space="0" w:color="auto"/>
            </w:tcBorders>
            <w:vAlign w:val="center"/>
          </w:tcPr>
          <w:p w14:paraId="53C15CAF" w14:textId="77777777" w:rsidR="00F53F85" w:rsidRPr="00F53F85" w:rsidRDefault="00F53F85" w:rsidP="00316B11">
            <w:pPr>
              <w:spacing w:after="0"/>
              <w:jc w:val="center"/>
              <w:rPr>
                <w:rFonts w:ascii="Arial Narrow" w:hAnsi="Arial Narrow"/>
                <w:sz w:val="20"/>
                <w:szCs w:val="20"/>
              </w:rPr>
            </w:pPr>
            <w:r w:rsidRPr="00F53F85">
              <w:rPr>
                <w:rFonts w:ascii="Arial Narrow" w:hAnsi="Arial Narrow"/>
                <w:sz w:val="20"/>
                <w:szCs w:val="20"/>
              </w:rPr>
              <w:t>5</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CB0" w14:textId="77777777" w:rsidR="00F53F85" w:rsidRPr="00F53F85" w:rsidRDefault="00F53F85"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CB1" w14:textId="77777777" w:rsidR="00F53F85" w:rsidRPr="00F53F85" w:rsidRDefault="00F53F85" w:rsidP="00316B11">
            <w:pPr>
              <w:spacing w:after="0"/>
              <w:jc w:val="center"/>
              <w:rPr>
                <w:rFonts w:ascii="Arial Narrow" w:hAnsi="Arial Narrow"/>
                <w:sz w:val="20"/>
                <w:szCs w:val="20"/>
                <w:lang w:eastAsia="en-AU"/>
              </w:rPr>
            </w:pPr>
          </w:p>
        </w:tc>
        <w:tc>
          <w:tcPr>
            <w:tcW w:w="586" w:type="dxa"/>
            <w:tcBorders>
              <w:top w:val="nil"/>
              <w:left w:val="nil"/>
              <w:bottom w:val="single" w:sz="4" w:space="0" w:color="auto"/>
              <w:right w:val="single" w:sz="4" w:space="0" w:color="auto"/>
            </w:tcBorders>
            <w:shd w:val="clear" w:color="auto" w:fill="auto"/>
            <w:noWrap/>
            <w:vAlign w:val="center"/>
            <w:hideMark/>
          </w:tcPr>
          <w:p w14:paraId="53C15CB2" w14:textId="77777777" w:rsidR="00F53F85" w:rsidRPr="00F53F85" w:rsidRDefault="00F53F85" w:rsidP="00316B11">
            <w:pPr>
              <w:spacing w:after="0"/>
              <w:jc w:val="center"/>
              <w:rPr>
                <w:rFonts w:ascii="Arial Narrow" w:hAnsi="Arial Narrow"/>
                <w:sz w:val="20"/>
                <w:szCs w:val="20"/>
                <w:lang w:eastAsia="en-AU"/>
              </w:rPr>
            </w:pPr>
          </w:p>
        </w:tc>
        <w:tc>
          <w:tcPr>
            <w:tcW w:w="564" w:type="dxa"/>
            <w:tcBorders>
              <w:top w:val="nil"/>
              <w:left w:val="nil"/>
              <w:bottom w:val="single" w:sz="4" w:space="0" w:color="auto"/>
              <w:right w:val="single" w:sz="4" w:space="0" w:color="auto"/>
            </w:tcBorders>
            <w:vAlign w:val="center"/>
          </w:tcPr>
          <w:p w14:paraId="53C15CB3" w14:textId="77777777" w:rsidR="00F53F85" w:rsidRPr="00F53F85" w:rsidRDefault="00F53F85" w:rsidP="00316B11">
            <w:pPr>
              <w:spacing w:after="0"/>
              <w:jc w:val="center"/>
              <w:rPr>
                <w:rFonts w:ascii="Arial Narrow" w:hAnsi="Arial Narrow"/>
                <w:sz w:val="20"/>
                <w:szCs w:val="20"/>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CB4" w14:textId="77777777" w:rsidR="00F53F85" w:rsidRPr="00F53F85" w:rsidRDefault="00F53F85"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CB5" w14:textId="77777777" w:rsidR="00F53F85" w:rsidRPr="00F53F85" w:rsidRDefault="00F53F85"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CB6" w14:textId="77777777" w:rsidR="00F53F85" w:rsidRPr="00F53F85" w:rsidRDefault="00F53F85" w:rsidP="00316B11">
            <w:pPr>
              <w:spacing w:after="0"/>
              <w:jc w:val="center"/>
              <w:rPr>
                <w:rFonts w:ascii="Arial Narrow" w:hAnsi="Arial Narrow"/>
                <w:sz w:val="20"/>
                <w:szCs w:val="20"/>
                <w:lang w:eastAsia="en-AU"/>
              </w:rPr>
            </w:pPr>
            <w:r w:rsidRPr="00F53F85">
              <w:rPr>
                <w:rFonts w:ascii="Arial Narrow" w:hAnsi="Arial Narrow"/>
                <w:sz w:val="20"/>
                <w:szCs w:val="20"/>
              </w:rPr>
              <w:t>1.88</w:t>
            </w:r>
          </w:p>
        </w:tc>
        <w:tc>
          <w:tcPr>
            <w:tcW w:w="546" w:type="dxa"/>
            <w:tcBorders>
              <w:top w:val="nil"/>
              <w:left w:val="nil"/>
              <w:bottom w:val="single" w:sz="4" w:space="0" w:color="auto"/>
              <w:right w:val="single" w:sz="4" w:space="0" w:color="auto"/>
            </w:tcBorders>
            <w:shd w:val="clear" w:color="auto" w:fill="auto"/>
            <w:noWrap/>
            <w:vAlign w:val="center"/>
            <w:hideMark/>
          </w:tcPr>
          <w:p w14:paraId="53C15CB7" w14:textId="77777777" w:rsidR="00F53F85" w:rsidRPr="00F53F85" w:rsidRDefault="00F53F85" w:rsidP="00316B11">
            <w:pPr>
              <w:spacing w:after="0"/>
              <w:jc w:val="center"/>
              <w:rPr>
                <w:rFonts w:ascii="Arial Narrow" w:hAnsi="Arial Narrow"/>
                <w:sz w:val="20"/>
                <w:szCs w:val="20"/>
                <w:lang w:eastAsia="en-AU"/>
              </w:rPr>
            </w:pPr>
          </w:p>
        </w:tc>
        <w:tc>
          <w:tcPr>
            <w:tcW w:w="573" w:type="dxa"/>
            <w:tcBorders>
              <w:top w:val="nil"/>
              <w:left w:val="nil"/>
              <w:bottom w:val="single" w:sz="4" w:space="0" w:color="auto"/>
              <w:right w:val="single" w:sz="4" w:space="0" w:color="auto"/>
            </w:tcBorders>
            <w:shd w:val="clear" w:color="auto" w:fill="auto"/>
            <w:noWrap/>
            <w:vAlign w:val="center"/>
            <w:hideMark/>
          </w:tcPr>
          <w:p w14:paraId="53C15CB8" w14:textId="77777777" w:rsidR="00F53F85" w:rsidRPr="00F53F85" w:rsidRDefault="00F53F85"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CB9" w14:textId="77777777" w:rsidR="00F53F85" w:rsidRPr="00F53F85" w:rsidRDefault="00F53F85" w:rsidP="00316B11">
            <w:pPr>
              <w:spacing w:after="0"/>
              <w:jc w:val="center"/>
              <w:rPr>
                <w:rFonts w:ascii="Arial Narrow" w:hAnsi="Arial Narrow"/>
                <w:sz w:val="20"/>
                <w:szCs w:val="20"/>
                <w:lang w:eastAsia="en-AU"/>
              </w:rPr>
            </w:pPr>
            <w:r w:rsidRPr="00F53F85">
              <w:rPr>
                <w:rFonts w:ascii="Arial Narrow" w:hAnsi="Arial Narrow"/>
                <w:sz w:val="20"/>
                <w:szCs w:val="20"/>
              </w:rPr>
              <w:t>0.10</w:t>
            </w:r>
          </w:p>
        </w:tc>
        <w:tc>
          <w:tcPr>
            <w:tcW w:w="536" w:type="dxa"/>
            <w:tcBorders>
              <w:top w:val="nil"/>
              <w:left w:val="nil"/>
              <w:bottom w:val="single" w:sz="4" w:space="0" w:color="auto"/>
              <w:right w:val="single" w:sz="4" w:space="0" w:color="auto"/>
            </w:tcBorders>
            <w:shd w:val="clear" w:color="auto" w:fill="auto"/>
            <w:noWrap/>
            <w:vAlign w:val="center"/>
            <w:hideMark/>
          </w:tcPr>
          <w:p w14:paraId="53C15CBA" w14:textId="77777777" w:rsidR="00F53F85" w:rsidRPr="00F53F85" w:rsidRDefault="00F53F85"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CBB" w14:textId="77777777" w:rsidR="00F53F85" w:rsidRPr="00F53F85" w:rsidRDefault="00F53F85"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CBC" w14:textId="77777777" w:rsidR="00F53F85" w:rsidRPr="00F53F85" w:rsidRDefault="00F53F85"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CBD" w14:textId="77777777" w:rsidR="00F53F85" w:rsidRPr="00F53F85" w:rsidRDefault="00F53F85" w:rsidP="00316B11">
            <w:pPr>
              <w:spacing w:after="0"/>
              <w:jc w:val="center"/>
              <w:rPr>
                <w:rFonts w:ascii="Arial Narrow" w:hAnsi="Arial Narrow"/>
                <w:sz w:val="20"/>
                <w:szCs w:val="20"/>
                <w:lang w:eastAsia="en-AU"/>
              </w:rPr>
            </w:pPr>
            <w:r w:rsidRPr="00F53F85">
              <w:rPr>
                <w:rFonts w:ascii="Arial Narrow" w:hAnsi="Arial Narrow"/>
                <w:sz w:val="20"/>
                <w:szCs w:val="20"/>
              </w:rPr>
              <w:t>0.10</w:t>
            </w:r>
          </w:p>
        </w:tc>
        <w:tc>
          <w:tcPr>
            <w:tcW w:w="788" w:type="dxa"/>
            <w:tcBorders>
              <w:top w:val="nil"/>
              <w:left w:val="nil"/>
              <w:bottom w:val="single" w:sz="4" w:space="0" w:color="auto"/>
              <w:right w:val="single" w:sz="4" w:space="0" w:color="auto"/>
            </w:tcBorders>
            <w:shd w:val="clear" w:color="auto" w:fill="auto"/>
            <w:noWrap/>
            <w:vAlign w:val="center"/>
            <w:hideMark/>
          </w:tcPr>
          <w:p w14:paraId="53C15CBE" w14:textId="77777777" w:rsidR="00F53F85" w:rsidRPr="00F53F85" w:rsidRDefault="00F53F85" w:rsidP="00316B11">
            <w:pPr>
              <w:spacing w:after="0"/>
              <w:jc w:val="center"/>
              <w:rPr>
                <w:rFonts w:ascii="Arial Narrow" w:hAnsi="Arial Narrow"/>
                <w:sz w:val="20"/>
                <w:szCs w:val="20"/>
                <w:lang w:eastAsia="en-AU"/>
              </w:rPr>
            </w:pPr>
          </w:p>
        </w:tc>
        <w:tc>
          <w:tcPr>
            <w:tcW w:w="630" w:type="dxa"/>
            <w:tcBorders>
              <w:top w:val="nil"/>
              <w:left w:val="nil"/>
              <w:bottom w:val="single" w:sz="4" w:space="0" w:color="auto"/>
              <w:right w:val="single" w:sz="4" w:space="0" w:color="auto"/>
            </w:tcBorders>
            <w:vAlign w:val="center"/>
          </w:tcPr>
          <w:p w14:paraId="53C15CBF" w14:textId="77777777" w:rsidR="00F53F85" w:rsidRPr="00F53F85" w:rsidRDefault="00F53F85" w:rsidP="00316B11">
            <w:pPr>
              <w:spacing w:after="0"/>
              <w:jc w:val="center"/>
              <w:rPr>
                <w:rFonts w:ascii="Arial Narrow" w:hAnsi="Arial Narrow"/>
                <w:sz w:val="20"/>
                <w:szCs w:val="20"/>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CC0" w14:textId="77777777" w:rsidR="00F53F85" w:rsidRPr="00F53F85" w:rsidRDefault="00F53F85" w:rsidP="00316B11">
            <w:pPr>
              <w:spacing w:after="0"/>
              <w:jc w:val="center"/>
              <w:rPr>
                <w:rFonts w:ascii="Arial Narrow" w:hAnsi="Arial Narrow"/>
                <w:sz w:val="20"/>
                <w:szCs w:val="20"/>
                <w:lang w:eastAsia="en-AU"/>
              </w:rPr>
            </w:pPr>
            <w:r w:rsidRPr="00F53F85">
              <w:rPr>
                <w:rFonts w:ascii="Arial Narrow" w:hAnsi="Arial Narrow"/>
                <w:sz w:val="20"/>
                <w:szCs w:val="20"/>
              </w:rPr>
              <w:t>1.29</w:t>
            </w:r>
          </w:p>
        </w:tc>
      </w:tr>
      <w:tr w:rsidR="005B2CA4" w:rsidRPr="00F53F85" w14:paraId="53C15CD6" w14:textId="77777777" w:rsidTr="005B2CA4">
        <w:trPr>
          <w:trHeight w:val="340"/>
        </w:trPr>
        <w:tc>
          <w:tcPr>
            <w:tcW w:w="611" w:type="dxa"/>
            <w:vMerge w:val="restart"/>
            <w:tcBorders>
              <w:top w:val="nil"/>
              <w:left w:val="single" w:sz="4" w:space="0" w:color="auto"/>
              <w:right w:val="single" w:sz="4" w:space="0" w:color="auto"/>
            </w:tcBorders>
            <w:shd w:val="clear" w:color="auto" w:fill="auto"/>
            <w:noWrap/>
            <w:textDirection w:val="btLr"/>
            <w:vAlign w:val="center"/>
            <w:hideMark/>
          </w:tcPr>
          <w:p w14:paraId="53C15CC2" w14:textId="77777777" w:rsidR="005B2CA4" w:rsidRPr="00F53F85" w:rsidRDefault="005B2CA4" w:rsidP="00F53F85">
            <w:pPr>
              <w:spacing w:after="0"/>
              <w:jc w:val="center"/>
              <w:rPr>
                <w:rFonts w:ascii="Arial Narrow" w:hAnsi="Arial Narrow"/>
                <w:sz w:val="20"/>
                <w:lang w:eastAsia="en-AU"/>
              </w:rPr>
            </w:pPr>
            <w:r w:rsidRPr="00F53F85">
              <w:rPr>
                <w:rFonts w:ascii="Arial Narrow" w:hAnsi="Arial Narrow"/>
                <w:sz w:val="20"/>
                <w:lang w:eastAsia="en-AU"/>
              </w:rPr>
              <w:t>Proserpine</w:t>
            </w:r>
          </w:p>
        </w:tc>
        <w:tc>
          <w:tcPr>
            <w:tcW w:w="1134" w:type="dxa"/>
            <w:tcBorders>
              <w:top w:val="nil"/>
              <w:left w:val="single" w:sz="4" w:space="0" w:color="auto"/>
              <w:bottom w:val="single" w:sz="4" w:space="0" w:color="auto"/>
              <w:right w:val="single" w:sz="4" w:space="0" w:color="auto"/>
            </w:tcBorders>
            <w:vAlign w:val="center"/>
          </w:tcPr>
          <w:p w14:paraId="53C15CC3"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Langford</w:t>
            </w:r>
          </w:p>
        </w:tc>
        <w:tc>
          <w:tcPr>
            <w:tcW w:w="779" w:type="dxa"/>
            <w:tcBorders>
              <w:top w:val="nil"/>
              <w:left w:val="single" w:sz="4" w:space="0" w:color="auto"/>
              <w:bottom w:val="single" w:sz="4" w:space="0" w:color="auto"/>
              <w:right w:val="single" w:sz="4" w:space="0" w:color="auto"/>
            </w:tcBorders>
            <w:vAlign w:val="center"/>
          </w:tcPr>
          <w:p w14:paraId="53C15CC4"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5</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CC5"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CC6" w14:textId="77777777" w:rsidR="005B2CA4" w:rsidRPr="00F53F85" w:rsidRDefault="005B2CA4" w:rsidP="00316B11">
            <w:pPr>
              <w:spacing w:after="0"/>
              <w:jc w:val="center"/>
              <w:rPr>
                <w:rFonts w:ascii="Arial Narrow" w:hAnsi="Arial Narrow"/>
                <w:sz w:val="20"/>
                <w:szCs w:val="20"/>
                <w:lang w:eastAsia="en-AU"/>
              </w:rPr>
            </w:pPr>
          </w:p>
        </w:tc>
        <w:tc>
          <w:tcPr>
            <w:tcW w:w="586" w:type="dxa"/>
            <w:tcBorders>
              <w:top w:val="nil"/>
              <w:left w:val="nil"/>
              <w:bottom w:val="single" w:sz="4" w:space="0" w:color="auto"/>
              <w:right w:val="single" w:sz="4" w:space="0" w:color="auto"/>
            </w:tcBorders>
            <w:shd w:val="clear" w:color="auto" w:fill="auto"/>
            <w:noWrap/>
            <w:vAlign w:val="center"/>
            <w:hideMark/>
          </w:tcPr>
          <w:p w14:paraId="53C15CC7" w14:textId="77777777" w:rsidR="005B2CA4" w:rsidRPr="00F53F85" w:rsidRDefault="005B2CA4" w:rsidP="00316B11">
            <w:pPr>
              <w:spacing w:after="0"/>
              <w:jc w:val="center"/>
              <w:rPr>
                <w:rFonts w:ascii="Arial Narrow" w:hAnsi="Arial Narrow"/>
                <w:sz w:val="20"/>
                <w:szCs w:val="20"/>
                <w:lang w:eastAsia="en-AU"/>
              </w:rPr>
            </w:pPr>
          </w:p>
        </w:tc>
        <w:tc>
          <w:tcPr>
            <w:tcW w:w="564" w:type="dxa"/>
            <w:tcBorders>
              <w:top w:val="nil"/>
              <w:left w:val="nil"/>
              <w:bottom w:val="single" w:sz="4" w:space="0" w:color="auto"/>
              <w:right w:val="single" w:sz="4" w:space="0" w:color="auto"/>
            </w:tcBorders>
            <w:vAlign w:val="center"/>
          </w:tcPr>
          <w:p w14:paraId="53C15CC8" w14:textId="77777777" w:rsidR="005B2CA4" w:rsidRPr="00F53F85" w:rsidRDefault="005B2CA4"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CC9" w14:textId="77777777" w:rsidR="005B2CA4" w:rsidRPr="00F53F85" w:rsidRDefault="005B2CA4"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CCA" w14:textId="77777777" w:rsidR="005B2CA4" w:rsidRPr="00F53F85" w:rsidRDefault="005B2CA4"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CCB"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0.13</w:t>
            </w:r>
          </w:p>
        </w:tc>
        <w:tc>
          <w:tcPr>
            <w:tcW w:w="546" w:type="dxa"/>
            <w:tcBorders>
              <w:top w:val="nil"/>
              <w:left w:val="nil"/>
              <w:bottom w:val="single" w:sz="4" w:space="0" w:color="auto"/>
              <w:right w:val="single" w:sz="4" w:space="0" w:color="auto"/>
            </w:tcBorders>
            <w:shd w:val="clear" w:color="auto" w:fill="auto"/>
            <w:noWrap/>
            <w:vAlign w:val="center"/>
            <w:hideMark/>
          </w:tcPr>
          <w:p w14:paraId="53C15CCC" w14:textId="77777777" w:rsidR="005B2CA4" w:rsidRPr="00F53F85" w:rsidRDefault="005B2CA4" w:rsidP="00316B11">
            <w:pPr>
              <w:spacing w:after="0"/>
              <w:jc w:val="center"/>
              <w:rPr>
                <w:rFonts w:ascii="Arial Narrow" w:hAnsi="Arial Narrow"/>
                <w:sz w:val="20"/>
                <w:szCs w:val="20"/>
                <w:lang w:eastAsia="en-AU"/>
              </w:rPr>
            </w:pPr>
          </w:p>
        </w:tc>
        <w:tc>
          <w:tcPr>
            <w:tcW w:w="573" w:type="dxa"/>
            <w:tcBorders>
              <w:top w:val="nil"/>
              <w:left w:val="nil"/>
              <w:bottom w:val="single" w:sz="4" w:space="0" w:color="auto"/>
              <w:right w:val="single" w:sz="4" w:space="0" w:color="auto"/>
            </w:tcBorders>
            <w:shd w:val="clear" w:color="auto" w:fill="auto"/>
            <w:noWrap/>
            <w:vAlign w:val="center"/>
            <w:hideMark/>
          </w:tcPr>
          <w:p w14:paraId="53C15CCD" w14:textId="77777777" w:rsidR="005B2CA4" w:rsidRPr="00F53F85" w:rsidRDefault="005B2CA4"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CCE"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CCF" w14:textId="77777777" w:rsidR="005B2CA4" w:rsidRPr="00F53F85" w:rsidRDefault="005B2CA4"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CD0"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CD1"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CD2"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CD3" w14:textId="77777777" w:rsidR="005B2CA4" w:rsidRPr="00F53F85" w:rsidRDefault="005B2CA4" w:rsidP="00316B11">
            <w:pPr>
              <w:spacing w:after="0"/>
              <w:jc w:val="center"/>
              <w:rPr>
                <w:rFonts w:ascii="Arial Narrow" w:hAnsi="Arial Narrow"/>
                <w:sz w:val="20"/>
                <w:szCs w:val="20"/>
                <w:lang w:eastAsia="en-AU"/>
              </w:rPr>
            </w:pPr>
          </w:p>
        </w:tc>
        <w:tc>
          <w:tcPr>
            <w:tcW w:w="630" w:type="dxa"/>
            <w:tcBorders>
              <w:top w:val="nil"/>
              <w:left w:val="nil"/>
              <w:bottom w:val="single" w:sz="4" w:space="0" w:color="auto"/>
              <w:right w:val="single" w:sz="4" w:space="0" w:color="auto"/>
            </w:tcBorders>
            <w:vAlign w:val="center"/>
          </w:tcPr>
          <w:p w14:paraId="53C15CD4" w14:textId="77777777" w:rsidR="005B2CA4" w:rsidRPr="00F53F85" w:rsidRDefault="005B2CA4" w:rsidP="00316B11">
            <w:pPr>
              <w:spacing w:after="0"/>
              <w:jc w:val="center"/>
              <w:rPr>
                <w:rFonts w:ascii="Arial Narrow" w:hAnsi="Arial Narrow"/>
                <w:sz w:val="20"/>
                <w:szCs w:val="20"/>
                <w:lang w:eastAsia="en-AU"/>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CD5"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0.03</w:t>
            </w:r>
          </w:p>
        </w:tc>
      </w:tr>
      <w:tr w:rsidR="005B2CA4" w:rsidRPr="00F53F85" w14:paraId="53C15CEB" w14:textId="77777777" w:rsidTr="005B2CA4">
        <w:trPr>
          <w:trHeight w:val="340"/>
        </w:trPr>
        <w:tc>
          <w:tcPr>
            <w:tcW w:w="611" w:type="dxa"/>
            <w:vMerge/>
            <w:tcBorders>
              <w:left w:val="single" w:sz="4" w:space="0" w:color="auto"/>
              <w:right w:val="single" w:sz="4" w:space="0" w:color="auto"/>
            </w:tcBorders>
            <w:vAlign w:val="center"/>
            <w:hideMark/>
          </w:tcPr>
          <w:p w14:paraId="53C15CD7" w14:textId="77777777" w:rsidR="005B2CA4" w:rsidRPr="00F53F85" w:rsidRDefault="005B2CA4" w:rsidP="00F53F85">
            <w:pPr>
              <w:spacing w:after="0"/>
              <w:jc w:val="left"/>
              <w:rPr>
                <w:rFonts w:ascii="Arial Narrow" w:hAnsi="Arial Narrow"/>
                <w:sz w:val="20"/>
                <w:lang w:eastAsia="en-AU"/>
              </w:rPr>
            </w:pPr>
          </w:p>
        </w:tc>
        <w:tc>
          <w:tcPr>
            <w:tcW w:w="1134" w:type="dxa"/>
            <w:tcBorders>
              <w:top w:val="nil"/>
              <w:left w:val="single" w:sz="4" w:space="0" w:color="auto"/>
              <w:bottom w:val="single" w:sz="4" w:space="0" w:color="auto"/>
              <w:right w:val="single" w:sz="4" w:space="0" w:color="auto"/>
            </w:tcBorders>
            <w:vAlign w:val="center"/>
          </w:tcPr>
          <w:p w14:paraId="53C15CD8"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Border</w:t>
            </w:r>
          </w:p>
        </w:tc>
        <w:tc>
          <w:tcPr>
            <w:tcW w:w="779" w:type="dxa"/>
            <w:tcBorders>
              <w:top w:val="nil"/>
              <w:left w:val="single" w:sz="4" w:space="0" w:color="auto"/>
              <w:bottom w:val="single" w:sz="4" w:space="0" w:color="auto"/>
              <w:right w:val="single" w:sz="4" w:space="0" w:color="auto"/>
            </w:tcBorders>
            <w:vAlign w:val="center"/>
          </w:tcPr>
          <w:p w14:paraId="53C15CD9"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5</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CDA"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CDB" w14:textId="77777777" w:rsidR="005B2CA4" w:rsidRPr="00F53F85" w:rsidRDefault="005B2CA4" w:rsidP="00316B11">
            <w:pPr>
              <w:spacing w:after="0"/>
              <w:jc w:val="center"/>
              <w:rPr>
                <w:rFonts w:ascii="Arial Narrow" w:hAnsi="Arial Narrow"/>
                <w:sz w:val="20"/>
                <w:szCs w:val="20"/>
                <w:lang w:eastAsia="en-AU"/>
              </w:rPr>
            </w:pPr>
          </w:p>
        </w:tc>
        <w:tc>
          <w:tcPr>
            <w:tcW w:w="586" w:type="dxa"/>
            <w:tcBorders>
              <w:top w:val="nil"/>
              <w:left w:val="nil"/>
              <w:bottom w:val="single" w:sz="4" w:space="0" w:color="auto"/>
              <w:right w:val="single" w:sz="4" w:space="0" w:color="auto"/>
            </w:tcBorders>
            <w:shd w:val="clear" w:color="auto" w:fill="auto"/>
            <w:noWrap/>
            <w:vAlign w:val="center"/>
            <w:hideMark/>
          </w:tcPr>
          <w:p w14:paraId="53C15CDC"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0.05</w:t>
            </w:r>
          </w:p>
        </w:tc>
        <w:tc>
          <w:tcPr>
            <w:tcW w:w="564" w:type="dxa"/>
            <w:tcBorders>
              <w:top w:val="nil"/>
              <w:left w:val="nil"/>
              <w:bottom w:val="single" w:sz="4" w:space="0" w:color="auto"/>
              <w:right w:val="single" w:sz="4" w:space="0" w:color="auto"/>
            </w:tcBorders>
            <w:vAlign w:val="center"/>
          </w:tcPr>
          <w:p w14:paraId="53C15CDD" w14:textId="77777777" w:rsidR="005B2CA4" w:rsidRPr="00F53F85" w:rsidRDefault="005B2CA4"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CDE" w14:textId="77777777" w:rsidR="005B2CA4" w:rsidRPr="00F53F85" w:rsidRDefault="005B2CA4"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CDF" w14:textId="77777777" w:rsidR="005B2CA4" w:rsidRPr="00F53F85" w:rsidRDefault="005B2CA4" w:rsidP="00316B11">
            <w:pPr>
              <w:spacing w:after="0"/>
              <w:jc w:val="center"/>
              <w:rPr>
                <w:rFonts w:ascii="Arial Narrow" w:hAnsi="Arial Narrow"/>
                <w:sz w:val="20"/>
                <w:szCs w:val="20"/>
                <w:lang w:eastAsia="en-AU"/>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CE0"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0.15</w:t>
            </w:r>
          </w:p>
        </w:tc>
        <w:tc>
          <w:tcPr>
            <w:tcW w:w="546" w:type="dxa"/>
            <w:tcBorders>
              <w:top w:val="nil"/>
              <w:left w:val="nil"/>
              <w:bottom w:val="single" w:sz="4" w:space="0" w:color="auto"/>
              <w:right w:val="single" w:sz="4" w:space="0" w:color="auto"/>
            </w:tcBorders>
            <w:shd w:val="clear" w:color="auto" w:fill="auto"/>
            <w:noWrap/>
            <w:vAlign w:val="center"/>
            <w:hideMark/>
          </w:tcPr>
          <w:p w14:paraId="53C15CE1" w14:textId="77777777" w:rsidR="005B2CA4" w:rsidRPr="00F53F85" w:rsidRDefault="005B2CA4" w:rsidP="00316B11">
            <w:pPr>
              <w:spacing w:after="0"/>
              <w:jc w:val="center"/>
              <w:rPr>
                <w:rFonts w:ascii="Arial Narrow" w:hAnsi="Arial Narrow"/>
                <w:sz w:val="20"/>
                <w:szCs w:val="20"/>
                <w:lang w:eastAsia="en-AU"/>
              </w:rPr>
            </w:pPr>
          </w:p>
        </w:tc>
        <w:tc>
          <w:tcPr>
            <w:tcW w:w="573" w:type="dxa"/>
            <w:tcBorders>
              <w:top w:val="nil"/>
              <w:left w:val="nil"/>
              <w:bottom w:val="single" w:sz="4" w:space="0" w:color="auto"/>
              <w:right w:val="single" w:sz="4" w:space="0" w:color="auto"/>
            </w:tcBorders>
            <w:shd w:val="clear" w:color="auto" w:fill="auto"/>
            <w:noWrap/>
            <w:vAlign w:val="center"/>
            <w:hideMark/>
          </w:tcPr>
          <w:p w14:paraId="53C15CE2" w14:textId="77777777" w:rsidR="005B2CA4" w:rsidRPr="00F53F85" w:rsidRDefault="005B2CA4"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CE3"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CE4" w14:textId="77777777" w:rsidR="005B2CA4" w:rsidRPr="00F53F85" w:rsidRDefault="005B2CA4"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CE5"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CE6"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CE7"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CE8" w14:textId="77777777" w:rsidR="005B2CA4" w:rsidRPr="00F53F85" w:rsidRDefault="005B2CA4" w:rsidP="00316B11">
            <w:pPr>
              <w:spacing w:after="0"/>
              <w:jc w:val="center"/>
              <w:rPr>
                <w:rFonts w:ascii="Arial Narrow" w:hAnsi="Arial Narrow"/>
                <w:sz w:val="20"/>
                <w:szCs w:val="20"/>
                <w:lang w:eastAsia="en-AU"/>
              </w:rPr>
            </w:pPr>
          </w:p>
        </w:tc>
        <w:tc>
          <w:tcPr>
            <w:tcW w:w="630" w:type="dxa"/>
            <w:tcBorders>
              <w:top w:val="nil"/>
              <w:left w:val="nil"/>
              <w:bottom w:val="single" w:sz="4" w:space="0" w:color="auto"/>
              <w:right w:val="single" w:sz="4" w:space="0" w:color="auto"/>
            </w:tcBorders>
            <w:vAlign w:val="center"/>
          </w:tcPr>
          <w:p w14:paraId="53C15CE9" w14:textId="77777777" w:rsidR="005B2CA4" w:rsidRPr="00F53F85" w:rsidRDefault="005B2CA4" w:rsidP="00316B11">
            <w:pPr>
              <w:spacing w:after="0"/>
              <w:jc w:val="center"/>
              <w:rPr>
                <w:rFonts w:ascii="Arial Narrow" w:hAnsi="Arial Narrow"/>
                <w:sz w:val="20"/>
                <w:szCs w:val="20"/>
                <w:lang w:eastAsia="en-AU"/>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CEA"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0.10</w:t>
            </w:r>
          </w:p>
        </w:tc>
      </w:tr>
      <w:tr w:rsidR="005B2CA4" w:rsidRPr="00F53F85" w14:paraId="53C15D00" w14:textId="77777777" w:rsidTr="005B2CA4">
        <w:trPr>
          <w:trHeight w:val="340"/>
        </w:trPr>
        <w:tc>
          <w:tcPr>
            <w:tcW w:w="611" w:type="dxa"/>
            <w:vMerge/>
            <w:tcBorders>
              <w:left w:val="single" w:sz="4" w:space="0" w:color="auto"/>
              <w:right w:val="single" w:sz="4" w:space="0" w:color="auto"/>
            </w:tcBorders>
            <w:vAlign w:val="center"/>
            <w:hideMark/>
          </w:tcPr>
          <w:p w14:paraId="53C15CEC" w14:textId="77777777" w:rsidR="005B2CA4" w:rsidRPr="00F53F85" w:rsidRDefault="005B2CA4" w:rsidP="00F53F85">
            <w:pPr>
              <w:spacing w:after="0"/>
              <w:jc w:val="left"/>
              <w:rPr>
                <w:rFonts w:ascii="Arial Narrow" w:hAnsi="Arial Narrow"/>
                <w:sz w:val="20"/>
                <w:lang w:eastAsia="en-AU"/>
              </w:rPr>
            </w:pPr>
          </w:p>
        </w:tc>
        <w:tc>
          <w:tcPr>
            <w:tcW w:w="1134" w:type="dxa"/>
            <w:vMerge w:val="restart"/>
            <w:tcBorders>
              <w:top w:val="nil"/>
              <w:left w:val="single" w:sz="4" w:space="0" w:color="auto"/>
              <w:right w:val="single" w:sz="4" w:space="0" w:color="auto"/>
            </w:tcBorders>
            <w:vAlign w:val="center"/>
          </w:tcPr>
          <w:p w14:paraId="53C15CED"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Hook</w:t>
            </w:r>
          </w:p>
        </w:tc>
        <w:tc>
          <w:tcPr>
            <w:tcW w:w="779" w:type="dxa"/>
            <w:tcBorders>
              <w:top w:val="nil"/>
              <w:left w:val="single" w:sz="4" w:space="0" w:color="auto"/>
              <w:bottom w:val="single" w:sz="4" w:space="0" w:color="auto"/>
              <w:right w:val="single" w:sz="4" w:space="0" w:color="auto"/>
            </w:tcBorders>
            <w:vAlign w:val="center"/>
          </w:tcPr>
          <w:p w14:paraId="53C15CEE"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2</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CEF"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CF0"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586" w:type="dxa"/>
            <w:tcBorders>
              <w:top w:val="nil"/>
              <w:left w:val="nil"/>
              <w:bottom w:val="single" w:sz="4" w:space="0" w:color="auto"/>
              <w:right w:val="single" w:sz="4" w:space="0" w:color="auto"/>
            </w:tcBorders>
            <w:shd w:val="clear" w:color="auto" w:fill="auto"/>
            <w:noWrap/>
            <w:vAlign w:val="center"/>
            <w:hideMark/>
          </w:tcPr>
          <w:p w14:paraId="53C15CF1"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0.88</w:t>
            </w:r>
          </w:p>
        </w:tc>
        <w:tc>
          <w:tcPr>
            <w:tcW w:w="564" w:type="dxa"/>
            <w:tcBorders>
              <w:top w:val="nil"/>
              <w:left w:val="nil"/>
              <w:bottom w:val="single" w:sz="4" w:space="0" w:color="auto"/>
              <w:right w:val="single" w:sz="4" w:space="0" w:color="auto"/>
            </w:tcBorders>
            <w:vAlign w:val="center"/>
          </w:tcPr>
          <w:p w14:paraId="53C15CF2" w14:textId="77777777" w:rsidR="005B2CA4" w:rsidRPr="00F53F85" w:rsidRDefault="005B2CA4"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CF3" w14:textId="77777777" w:rsidR="005B2CA4" w:rsidRPr="00F53F85" w:rsidRDefault="005B2CA4"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CF4" w14:textId="77777777" w:rsidR="005B2CA4" w:rsidRPr="00F53F85" w:rsidRDefault="005B2CA4"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CF5"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1.75</w:t>
            </w:r>
          </w:p>
        </w:tc>
        <w:tc>
          <w:tcPr>
            <w:tcW w:w="546" w:type="dxa"/>
            <w:tcBorders>
              <w:top w:val="nil"/>
              <w:left w:val="nil"/>
              <w:bottom w:val="single" w:sz="4" w:space="0" w:color="auto"/>
              <w:right w:val="single" w:sz="4" w:space="0" w:color="auto"/>
            </w:tcBorders>
            <w:shd w:val="clear" w:color="auto" w:fill="auto"/>
            <w:noWrap/>
            <w:vAlign w:val="center"/>
            <w:hideMark/>
          </w:tcPr>
          <w:p w14:paraId="53C15CF6"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0.13</w:t>
            </w:r>
          </w:p>
        </w:tc>
        <w:tc>
          <w:tcPr>
            <w:tcW w:w="573" w:type="dxa"/>
            <w:tcBorders>
              <w:top w:val="nil"/>
              <w:left w:val="nil"/>
              <w:bottom w:val="single" w:sz="4" w:space="0" w:color="auto"/>
              <w:right w:val="single" w:sz="4" w:space="0" w:color="auto"/>
            </w:tcBorders>
            <w:shd w:val="clear" w:color="auto" w:fill="auto"/>
            <w:noWrap/>
            <w:vAlign w:val="center"/>
            <w:hideMark/>
          </w:tcPr>
          <w:p w14:paraId="53C15CF7" w14:textId="77777777" w:rsidR="005B2CA4" w:rsidRPr="00F53F85" w:rsidRDefault="005B2CA4"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CF8"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0.31</w:t>
            </w:r>
          </w:p>
        </w:tc>
        <w:tc>
          <w:tcPr>
            <w:tcW w:w="536" w:type="dxa"/>
            <w:tcBorders>
              <w:top w:val="nil"/>
              <w:left w:val="nil"/>
              <w:bottom w:val="single" w:sz="4" w:space="0" w:color="auto"/>
              <w:right w:val="single" w:sz="4" w:space="0" w:color="auto"/>
            </w:tcBorders>
            <w:shd w:val="clear" w:color="auto" w:fill="auto"/>
            <w:noWrap/>
            <w:vAlign w:val="center"/>
            <w:hideMark/>
          </w:tcPr>
          <w:p w14:paraId="53C15CF9" w14:textId="77777777" w:rsidR="005B2CA4" w:rsidRPr="00F53F85" w:rsidRDefault="005B2CA4"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CFA"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CFB"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CFC"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0.13</w:t>
            </w:r>
          </w:p>
        </w:tc>
        <w:tc>
          <w:tcPr>
            <w:tcW w:w="788" w:type="dxa"/>
            <w:tcBorders>
              <w:top w:val="nil"/>
              <w:left w:val="nil"/>
              <w:bottom w:val="single" w:sz="4" w:space="0" w:color="auto"/>
              <w:right w:val="single" w:sz="4" w:space="0" w:color="auto"/>
            </w:tcBorders>
            <w:shd w:val="clear" w:color="auto" w:fill="auto"/>
            <w:noWrap/>
            <w:vAlign w:val="center"/>
            <w:hideMark/>
          </w:tcPr>
          <w:p w14:paraId="53C15CFD" w14:textId="77777777" w:rsidR="005B2CA4" w:rsidRPr="00F53F85" w:rsidRDefault="005B2CA4" w:rsidP="00316B11">
            <w:pPr>
              <w:spacing w:after="0"/>
              <w:jc w:val="center"/>
              <w:rPr>
                <w:rFonts w:ascii="Arial Narrow" w:hAnsi="Arial Narrow"/>
                <w:sz w:val="20"/>
                <w:szCs w:val="20"/>
                <w:lang w:eastAsia="en-AU"/>
              </w:rPr>
            </w:pPr>
          </w:p>
        </w:tc>
        <w:tc>
          <w:tcPr>
            <w:tcW w:w="630" w:type="dxa"/>
            <w:tcBorders>
              <w:top w:val="nil"/>
              <w:left w:val="nil"/>
              <w:bottom w:val="single" w:sz="4" w:space="0" w:color="auto"/>
              <w:right w:val="single" w:sz="4" w:space="0" w:color="auto"/>
            </w:tcBorders>
            <w:vAlign w:val="center"/>
          </w:tcPr>
          <w:p w14:paraId="53C15CFE" w14:textId="77777777" w:rsidR="005B2CA4" w:rsidRPr="00F53F85" w:rsidRDefault="005B2CA4" w:rsidP="00316B11">
            <w:pPr>
              <w:spacing w:after="0"/>
              <w:jc w:val="center"/>
              <w:rPr>
                <w:rFonts w:ascii="Arial Narrow" w:hAnsi="Arial Narrow"/>
                <w:sz w:val="20"/>
                <w:szCs w:val="20"/>
                <w:lang w:eastAsia="en-AU"/>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CFF" w14:textId="77777777" w:rsidR="005B2CA4" w:rsidRPr="00F53F85" w:rsidRDefault="005B2CA4" w:rsidP="00316B11">
            <w:pPr>
              <w:spacing w:after="0"/>
              <w:jc w:val="center"/>
              <w:rPr>
                <w:rFonts w:ascii="Arial Narrow" w:hAnsi="Arial Narrow"/>
                <w:sz w:val="20"/>
                <w:szCs w:val="20"/>
                <w:lang w:eastAsia="en-AU"/>
              </w:rPr>
            </w:pPr>
          </w:p>
        </w:tc>
      </w:tr>
      <w:tr w:rsidR="005B2CA4" w:rsidRPr="00F53F85" w14:paraId="53C15D15" w14:textId="77777777" w:rsidTr="005B2CA4">
        <w:trPr>
          <w:trHeight w:val="340"/>
        </w:trPr>
        <w:tc>
          <w:tcPr>
            <w:tcW w:w="611" w:type="dxa"/>
            <w:vMerge/>
            <w:tcBorders>
              <w:left w:val="single" w:sz="4" w:space="0" w:color="auto"/>
              <w:right w:val="single" w:sz="4" w:space="0" w:color="auto"/>
            </w:tcBorders>
            <w:vAlign w:val="center"/>
            <w:hideMark/>
          </w:tcPr>
          <w:p w14:paraId="53C15D01" w14:textId="77777777" w:rsidR="005B2CA4" w:rsidRPr="00F53F85" w:rsidRDefault="005B2CA4" w:rsidP="00F53F85">
            <w:pPr>
              <w:spacing w:after="0"/>
              <w:jc w:val="left"/>
              <w:rPr>
                <w:rFonts w:ascii="Arial Narrow" w:hAnsi="Arial Narrow"/>
                <w:sz w:val="20"/>
                <w:lang w:eastAsia="en-AU"/>
              </w:rPr>
            </w:pPr>
          </w:p>
        </w:tc>
        <w:tc>
          <w:tcPr>
            <w:tcW w:w="1134" w:type="dxa"/>
            <w:vMerge/>
            <w:tcBorders>
              <w:left w:val="single" w:sz="4" w:space="0" w:color="auto"/>
              <w:bottom w:val="single" w:sz="4" w:space="0" w:color="auto"/>
              <w:right w:val="single" w:sz="4" w:space="0" w:color="auto"/>
            </w:tcBorders>
            <w:vAlign w:val="center"/>
          </w:tcPr>
          <w:p w14:paraId="53C15D02" w14:textId="77777777" w:rsidR="005B2CA4" w:rsidRPr="00F53F85" w:rsidRDefault="005B2CA4" w:rsidP="00316B11">
            <w:pPr>
              <w:spacing w:after="0"/>
              <w:jc w:val="center"/>
              <w:rPr>
                <w:rFonts w:ascii="Arial Narrow" w:hAnsi="Arial Narrow"/>
                <w:sz w:val="20"/>
                <w:szCs w:val="20"/>
                <w:lang w:eastAsia="en-AU"/>
              </w:rPr>
            </w:pPr>
          </w:p>
        </w:tc>
        <w:tc>
          <w:tcPr>
            <w:tcW w:w="779" w:type="dxa"/>
            <w:tcBorders>
              <w:top w:val="nil"/>
              <w:left w:val="single" w:sz="4" w:space="0" w:color="auto"/>
              <w:bottom w:val="single" w:sz="4" w:space="0" w:color="auto"/>
              <w:right w:val="single" w:sz="4" w:space="0" w:color="auto"/>
            </w:tcBorders>
            <w:vAlign w:val="center"/>
          </w:tcPr>
          <w:p w14:paraId="53C15D03"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5</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D04"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D05" w14:textId="77777777" w:rsidR="005B2CA4" w:rsidRPr="00F53F85" w:rsidRDefault="005B2CA4" w:rsidP="00316B11">
            <w:pPr>
              <w:spacing w:after="0"/>
              <w:jc w:val="center"/>
              <w:rPr>
                <w:rFonts w:ascii="Arial Narrow" w:hAnsi="Arial Narrow"/>
                <w:sz w:val="20"/>
                <w:szCs w:val="20"/>
                <w:lang w:eastAsia="en-AU"/>
              </w:rPr>
            </w:pPr>
          </w:p>
        </w:tc>
        <w:tc>
          <w:tcPr>
            <w:tcW w:w="586" w:type="dxa"/>
            <w:tcBorders>
              <w:top w:val="nil"/>
              <w:left w:val="nil"/>
              <w:bottom w:val="single" w:sz="4" w:space="0" w:color="auto"/>
              <w:right w:val="single" w:sz="4" w:space="0" w:color="auto"/>
            </w:tcBorders>
            <w:shd w:val="clear" w:color="auto" w:fill="auto"/>
            <w:noWrap/>
            <w:vAlign w:val="center"/>
            <w:hideMark/>
          </w:tcPr>
          <w:p w14:paraId="53C15D06"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564" w:type="dxa"/>
            <w:tcBorders>
              <w:top w:val="nil"/>
              <w:left w:val="nil"/>
              <w:bottom w:val="single" w:sz="4" w:space="0" w:color="auto"/>
              <w:right w:val="single" w:sz="4" w:space="0" w:color="auto"/>
            </w:tcBorders>
            <w:vAlign w:val="center"/>
          </w:tcPr>
          <w:p w14:paraId="53C15D07" w14:textId="77777777" w:rsidR="005B2CA4" w:rsidRPr="00F53F85" w:rsidRDefault="005B2CA4"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D08" w14:textId="77777777" w:rsidR="005B2CA4" w:rsidRPr="00F53F85" w:rsidRDefault="005B2CA4"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D09" w14:textId="77777777" w:rsidR="005B2CA4" w:rsidRPr="00F53F85" w:rsidRDefault="005B2CA4"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D0A"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1.13</w:t>
            </w:r>
          </w:p>
        </w:tc>
        <w:tc>
          <w:tcPr>
            <w:tcW w:w="546" w:type="dxa"/>
            <w:tcBorders>
              <w:top w:val="nil"/>
              <w:left w:val="nil"/>
              <w:bottom w:val="single" w:sz="4" w:space="0" w:color="auto"/>
              <w:right w:val="single" w:sz="4" w:space="0" w:color="auto"/>
            </w:tcBorders>
            <w:shd w:val="clear" w:color="auto" w:fill="auto"/>
            <w:noWrap/>
            <w:vAlign w:val="center"/>
            <w:hideMark/>
          </w:tcPr>
          <w:p w14:paraId="53C15D0B" w14:textId="77777777" w:rsidR="005B2CA4" w:rsidRPr="00F53F85" w:rsidRDefault="005B2CA4" w:rsidP="00316B11">
            <w:pPr>
              <w:spacing w:after="0"/>
              <w:jc w:val="center"/>
              <w:rPr>
                <w:rFonts w:ascii="Arial Narrow" w:hAnsi="Arial Narrow"/>
                <w:sz w:val="20"/>
                <w:szCs w:val="20"/>
                <w:lang w:eastAsia="en-AU"/>
              </w:rPr>
            </w:pPr>
          </w:p>
        </w:tc>
        <w:tc>
          <w:tcPr>
            <w:tcW w:w="573" w:type="dxa"/>
            <w:tcBorders>
              <w:top w:val="nil"/>
              <w:left w:val="nil"/>
              <w:bottom w:val="single" w:sz="4" w:space="0" w:color="auto"/>
              <w:right w:val="single" w:sz="4" w:space="0" w:color="auto"/>
            </w:tcBorders>
            <w:shd w:val="clear" w:color="auto" w:fill="auto"/>
            <w:noWrap/>
            <w:vAlign w:val="center"/>
            <w:hideMark/>
          </w:tcPr>
          <w:p w14:paraId="53C15D0C" w14:textId="77777777" w:rsidR="005B2CA4" w:rsidRPr="00F53F85" w:rsidRDefault="005B2CA4"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D0D"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0.19</w:t>
            </w:r>
          </w:p>
        </w:tc>
        <w:tc>
          <w:tcPr>
            <w:tcW w:w="536" w:type="dxa"/>
            <w:tcBorders>
              <w:top w:val="nil"/>
              <w:left w:val="nil"/>
              <w:bottom w:val="single" w:sz="4" w:space="0" w:color="auto"/>
              <w:right w:val="single" w:sz="4" w:space="0" w:color="auto"/>
            </w:tcBorders>
            <w:shd w:val="clear" w:color="auto" w:fill="auto"/>
            <w:noWrap/>
            <w:vAlign w:val="center"/>
            <w:hideMark/>
          </w:tcPr>
          <w:p w14:paraId="53C15D0E" w14:textId="77777777" w:rsidR="005B2CA4" w:rsidRPr="00F53F85" w:rsidRDefault="005B2CA4"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D0F"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D10"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D11"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D12" w14:textId="77777777" w:rsidR="005B2CA4" w:rsidRPr="00F53F85" w:rsidRDefault="005B2CA4" w:rsidP="00316B11">
            <w:pPr>
              <w:spacing w:after="0"/>
              <w:jc w:val="center"/>
              <w:rPr>
                <w:rFonts w:ascii="Arial Narrow" w:hAnsi="Arial Narrow"/>
                <w:sz w:val="20"/>
                <w:szCs w:val="20"/>
                <w:lang w:eastAsia="en-AU"/>
              </w:rPr>
            </w:pPr>
          </w:p>
        </w:tc>
        <w:tc>
          <w:tcPr>
            <w:tcW w:w="630" w:type="dxa"/>
            <w:tcBorders>
              <w:top w:val="nil"/>
              <w:left w:val="nil"/>
              <w:bottom w:val="single" w:sz="4" w:space="0" w:color="auto"/>
              <w:right w:val="single" w:sz="4" w:space="0" w:color="auto"/>
            </w:tcBorders>
            <w:vAlign w:val="center"/>
          </w:tcPr>
          <w:p w14:paraId="53C15D13" w14:textId="77777777" w:rsidR="005B2CA4" w:rsidRPr="00F53F85" w:rsidRDefault="005B2CA4" w:rsidP="00316B11">
            <w:pPr>
              <w:spacing w:after="0"/>
              <w:jc w:val="center"/>
              <w:rPr>
                <w:rFonts w:ascii="Arial Narrow" w:hAnsi="Arial Narrow"/>
                <w:sz w:val="20"/>
                <w:szCs w:val="20"/>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D14" w14:textId="77777777" w:rsidR="005B2CA4" w:rsidRPr="00F53F85" w:rsidRDefault="005B2CA4" w:rsidP="00316B11">
            <w:pPr>
              <w:spacing w:after="0"/>
              <w:jc w:val="center"/>
              <w:rPr>
                <w:rFonts w:ascii="Arial Narrow" w:hAnsi="Arial Narrow"/>
                <w:sz w:val="20"/>
                <w:szCs w:val="20"/>
                <w:lang w:eastAsia="en-AU"/>
              </w:rPr>
            </w:pPr>
          </w:p>
        </w:tc>
      </w:tr>
      <w:tr w:rsidR="005B2CA4" w:rsidRPr="00F53F85" w14:paraId="53C15D2A" w14:textId="77777777" w:rsidTr="005B2CA4">
        <w:trPr>
          <w:trHeight w:val="340"/>
        </w:trPr>
        <w:tc>
          <w:tcPr>
            <w:tcW w:w="611" w:type="dxa"/>
            <w:vMerge/>
            <w:tcBorders>
              <w:left w:val="single" w:sz="4" w:space="0" w:color="auto"/>
              <w:right w:val="single" w:sz="4" w:space="0" w:color="auto"/>
            </w:tcBorders>
            <w:vAlign w:val="center"/>
            <w:hideMark/>
          </w:tcPr>
          <w:p w14:paraId="53C15D16" w14:textId="77777777" w:rsidR="005B2CA4" w:rsidRPr="00F53F85" w:rsidRDefault="005B2CA4" w:rsidP="00F53F85">
            <w:pPr>
              <w:spacing w:after="0"/>
              <w:jc w:val="left"/>
              <w:rPr>
                <w:rFonts w:ascii="Arial Narrow" w:hAnsi="Arial Narrow"/>
                <w:sz w:val="20"/>
                <w:lang w:eastAsia="en-AU"/>
              </w:rPr>
            </w:pPr>
          </w:p>
        </w:tc>
        <w:tc>
          <w:tcPr>
            <w:tcW w:w="1134" w:type="dxa"/>
            <w:vMerge w:val="restart"/>
            <w:tcBorders>
              <w:top w:val="nil"/>
              <w:left w:val="single" w:sz="4" w:space="0" w:color="auto"/>
              <w:right w:val="single" w:sz="4" w:space="0" w:color="auto"/>
            </w:tcBorders>
            <w:vAlign w:val="center"/>
          </w:tcPr>
          <w:p w14:paraId="53C15D17"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Double Cone</w:t>
            </w:r>
          </w:p>
        </w:tc>
        <w:tc>
          <w:tcPr>
            <w:tcW w:w="779" w:type="dxa"/>
            <w:tcBorders>
              <w:top w:val="nil"/>
              <w:left w:val="single" w:sz="4" w:space="0" w:color="auto"/>
              <w:bottom w:val="single" w:sz="4" w:space="0" w:color="auto"/>
              <w:right w:val="single" w:sz="4" w:space="0" w:color="auto"/>
            </w:tcBorders>
            <w:vAlign w:val="center"/>
          </w:tcPr>
          <w:p w14:paraId="53C15D18"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2</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D19"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0.31</w:t>
            </w:r>
          </w:p>
        </w:tc>
        <w:tc>
          <w:tcPr>
            <w:tcW w:w="536" w:type="dxa"/>
            <w:tcBorders>
              <w:top w:val="nil"/>
              <w:left w:val="nil"/>
              <w:bottom w:val="single" w:sz="4" w:space="0" w:color="auto"/>
              <w:right w:val="single" w:sz="4" w:space="0" w:color="auto"/>
            </w:tcBorders>
            <w:shd w:val="clear" w:color="auto" w:fill="auto"/>
            <w:noWrap/>
            <w:vAlign w:val="center"/>
            <w:hideMark/>
          </w:tcPr>
          <w:p w14:paraId="53C15D1A" w14:textId="77777777" w:rsidR="005B2CA4" w:rsidRPr="00F53F85" w:rsidRDefault="005B2CA4" w:rsidP="00316B11">
            <w:pPr>
              <w:spacing w:after="0"/>
              <w:jc w:val="center"/>
              <w:rPr>
                <w:rFonts w:ascii="Arial Narrow" w:hAnsi="Arial Narrow"/>
                <w:sz w:val="20"/>
                <w:szCs w:val="20"/>
                <w:lang w:eastAsia="en-AU"/>
              </w:rPr>
            </w:pPr>
          </w:p>
        </w:tc>
        <w:tc>
          <w:tcPr>
            <w:tcW w:w="586" w:type="dxa"/>
            <w:tcBorders>
              <w:top w:val="nil"/>
              <w:left w:val="nil"/>
              <w:bottom w:val="single" w:sz="4" w:space="0" w:color="auto"/>
              <w:right w:val="single" w:sz="4" w:space="0" w:color="auto"/>
            </w:tcBorders>
            <w:shd w:val="clear" w:color="auto" w:fill="auto"/>
            <w:noWrap/>
            <w:vAlign w:val="center"/>
            <w:hideMark/>
          </w:tcPr>
          <w:p w14:paraId="53C15D1B"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4.13</w:t>
            </w:r>
          </w:p>
        </w:tc>
        <w:tc>
          <w:tcPr>
            <w:tcW w:w="564" w:type="dxa"/>
            <w:tcBorders>
              <w:top w:val="nil"/>
              <w:left w:val="nil"/>
              <w:bottom w:val="single" w:sz="4" w:space="0" w:color="auto"/>
              <w:right w:val="single" w:sz="4" w:space="0" w:color="auto"/>
            </w:tcBorders>
            <w:vAlign w:val="center"/>
          </w:tcPr>
          <w:p w14:paraId="53C15D1C" w14:textId="77777777" w:rsidR="005B2CA4" w:rsidRPr="00F53F85" w:rsidRDefault="005B2CA4"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D1D"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8.69</w:t>
            </w:r>
          </w:p>
        </w:tc>
        <w:tc>
          <w:tcPr>
            <w:tcW w:w="662" w:type="dxa"/>
            <w:tcBorders>
              <w:top w:val="nil"/>
              <w:left w:val="nil"/>
              <w:bottom w:val="single" w:sz="4" w:space="0" w:color="auto"/>
              <w:right w:val="single" w:sz="4" w:space="0" w:color="auto"/>
            </w:tcBorders>
            <w:vAlign w:val="center"/>
          </w:tcPr>
          <w:p w14:paraId="53C15D1E" w14:textId="77777777" w:rsidR="005B2CA4" w:rsidRPr="00F53F85" w:rsidRDefault="005B2CA4" w:rsidP="00316B11">
            <w:pPr>
              <w:spacing w:after="0"/>
              <w:jc w:val="center"/>
              <w:rPr>
                <w:rFonts w:ascii="Arial Narrow" w:hAnsi="Arial Narrow"/>
                <w:sz w:val="20"/>
                <w:szCs w:val="20"/>
              </w:rPr>
            </w:pPr>
            <w:r w:rsidRPr="00F53F85">
              <w:rPr>
                <w:rFonts w:ascii="Arial Narrow" w:hAnsi="Arial Narrow"/>
                <w:sz w:val="20"/>
                <w:szCs w:val="20"/>
              </w:rPr>
              <w:t>2.44</w:t>
            </w: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D1F"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7.25</w:t>
            </w:r>
          </w:p>
        </w:tc>
        <w:tc>
          <w:tcPr>
            <w:tcW w:w="546" w:type="dxa"/>
            <w:tcBorders>
              <w:top w:val="nil"/>
              <w:left w:val="nil"/>
              <w:bottom w:val="single" w:sz="4" w:space="0" w:color="auto"/>
              <w:right w:val="single" w:sz="4" w:space="0" w:color="auto"/>
            </w:tcBorders>
            <w:shd w:val="clear" w:color="auto" w:fill="auto"/>
            <w:noWrap/>
            <w:vAlign w:val="center"/>
            <w:hideMark/>
          </w:tcPr>
          <w:p w14:paraId="53C15D20" w14:textId="77777777" w:rsidR="005B2CA4" w:rsidRPr="00F53F85" w:rsidRDefault="005B2CA4" w:rsidP="00316B11">
            <w:pPr>
              <w:spacing w:after="0"/>
              <w:jc w:val="center"/>
              <w:rPr>
                <w:rFonts w:ascii="Arial Narrow" w:hAnsi="Arial Narrow"/>
                <w:sz w:val="20"/>
                <w:szCs w:val="20"/>
                <w:lang w:eastAsia="en-AU"/>
              </w:rPr>
            </w:pPr>
          </w:p>
        </w:tc>
        <w:tc>
          <w:tcPr>
            <w:tcW w:w="573" w:type="dxa"/>
            <w:tcBorders>
              <w:top w:val="nil"/>
              <w:left w:val="nil"/>
              <w:bottom w:val="single" w:sz="4" w:space="0" w:color="auto"/>
              <w:right w:val="single" w:sz="4" w:space="0" w:color="auto"/>
            </w:tcBorders>
            <w:shd w:val="clear" w:color="auto" w:fill="auto"/>
            <w:noWrap/>
            <w:vAlign w:val="center"/>
            <w:hideMark/>
          </w:tcPr>
          <w:p w14:paraId="53C15D21" w14:textId="77777777" w:rsidR="005B2CA4" w:rsidRPr="00F53F85" w:rsidRDefault="005B2CA4"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D22"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0.44</w:t>
            </w:r>
          </w:p>
        </w:tc>
        <w:tc>
          <w:tcPr>
            <w:tcW w:w="536" w:type="dxa"/>
            <w:tcBorders>
              <w:top w:val="nil"/>
              <w:left w:val="nil"/>
              <w:bottom w:val="single" w:sz="4" w:space="0" w:color="auto"/>
              <w:right w:val="single" w:sz="4" w:space="0" w:color="auto"/>
            </w:tcBorders>
            <w:shd w:val="clear" w:color="auto" w:fill="auto"/>
            <w:noWrap/>
            <w:vAlign w:val="center"/>
            <w:hideMark/>
          </w:tcPr>
          <w:p w14:paraId="53C15D23" w14:textId="77777777" w:rsidR="005B2CA4" w:rsidRPr="00F53F85" w:rsidRDefault="005B2CA4"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D24"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0.63</w:t>
            </w:r>
          </w:p>
        </w:tc>
        <w:tc>
          <w:tcPr>
            <w:tcW w:w="788" w:type="dxa"/>
            <w:tcBorders>
              <w:top w:val="nil"/>
              <w:left w:val="nil"/>
              <w:bottom w:val="single" w:sz="4" w:space="0" w:color="auto"/>
              <w:right w:val="single" w:sz="4" w:space="0" w:color="auto"/>
            </w:tcBorders>
            <w:shd w:val="clear" w:color="auto" w:fill="auto"/>
            <w:noWrap/>
            <w:vAlign w:val="center"/>
            <w:hideMark/>
          </w:tcPr>
          <w:p w14:paraId="53C15D25"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0.50</w:t>
            </w:r>
          </w:p>
        </w:tc>
        <w:tc>
          <w:tcPr>
            <w:tcW w:w="788" w:type="dxa"/>
            <w:tcBorders>
              <w:top w:val="nil"/>
              <w:left w:val="nil"/>
              <w:bottom w:val="single" w:sz="4" w:space="0" w:color="auto"/>
              <w:right w:val="single" w:sz="4" w:space="0" w:color="auto"/>
            </w:tcBorders>
            <w:shd w:val="clear" w:color="auto" w:fill="auto"/>
            <w:noWrap/>
            <w:vAlign w:val="center"/>
            <w:hideMark/>
          </w:tcPr>
          <w:p w14:paraId="53C15D26"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3.06</w:t>
            </w:r>
          </w:p>
        </w:tc>
        <w:tc>
          <w:tcPr>
            <w:tcW w:w="788" w:type="dxa"/>
            <w:tcBorders>
              <w:top w:val="nil"/>
              <w:left w:val="nil"/>
              <w:bottom w:val="single" w:sz="4" w:space="0" w:color="auto"/>
              <w:right w:val="single" w:sz="4" w:space="0" w:color="auto"/>
            </w:tcBorders>
            <w:shd w:val="clear" w:color="auto" w:fill="auto"/>
            <w:noWrap/>
            <w:vAlign w:val="center"/>
            <w:hideMark/>
          </w:tcPr>
          <w:p w14:paraId="53C15D27"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1.56</w:t>
            </w:r>
          </w:p>
        </w:tc>
        <w:tc>
          <w:tcPr>
            <w:tcW w:w="630" w:type="dxa"/>
            <w:tcBorders>
              <w:top w:val="nil"/>
              <w:left w:val="nil"/>
              <w:bottom w:val="single" w:sz="4" w:space="0" w:color="auto"/>
              <w:right w:val="single" w:sz="4" w:space="0" w:color="auto"/>
            </w:tcBorders>
            <w:vAlign w:val="center"/>
          </w:tcPr>
          <w:p w14:paraId="53C15D28" w14:textId="77777777" w:rsidR="005B2CA4" w:rsidRPr="00F53F85" w:rsidRDefault="005B2CA4" w:rsidP="00316B11">
            <w:pPr>
              <w:spacing w:after="0"/>
              <w:jc w:val="center"/>
              <w:rPr>
                <w:rFonts w:ascii="Arial Narrow" w:hAnsi="Arial Narrow"/>
                <w:sz w:val="20"/>
                <w:szCs w:val="20"/>
                <w:lang w:eastAsia="en-AU"/>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D29"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1.56</w:t>
            </w:r>
          </w:p>
        </w:tc>
      </w:tr>
      <w:tr w:rsidR="005B2CA4" w:rsidRPr="00F53F85" w14:paraId="53C15D3F" w14:textId="77777777" w:rsidTr="005B2CA4">
        <w:trPr>
          <w:trHeight w:val="340"/>
        </w:trPr>
        <w:tc>
          <w:tcPr>
            <w:tcW w:w="611" w:type="dxa"/>
            <w:vMerge/>
            <w:tcBorders>
              <w:left w:val="single" w:sz="4" w:space="0" w:color="auto"/>
              <w:right w:val="single" w:sz="4" w:space="0" w:color="auto"/>
            </w:tcBorders>
            <w:vAlign w:val="center"/>
            <w:hideMark/>
          </w:tcPr>
          <w:p w14:paraId="53C15D2B" w14:textId="77777777" w:rsidR="005B2CA4" w:rsidRPr="00F53F85" w:rsidRDefault="005B2CA4" w:rsidP="00F53F85">
            <w:pPr>
              <w:spacing w:after="0"/>
              <w:jc w:val="left"/>
              <w:rPr>
                <w:rFonts w:ascii="Arial Narrow" w:hAnsi="Arial Narrow"/>
                <w:sz w:val="20"/>
                <w:lang w:eastAsia="en-AU"/>
              </w:rPr>
            </w:pPr>
          </w:p>
        </w:tc>
        <w:tc>
          <w:tcPr>
            <w:tcW w:w="1134" w:type="dxa"/>
            <w:vMerge/>
            <w:tcBorders>
              <w:left w:val="single" w:sz="4" w:space="0" w:color="auto"/>
              <w:bottom w:val="single" w:sz="4" w:space="0" w:color="auto"/>
              <w:right w:val="single" w:sz="4" w:space="0" w:color="auto"/>
            </w:tcBorders>
            <w:vAlign w:val="center"/>
          </w:tcPr>
          <w:p w14:paraId="53C15D2C" w14:textId="77777777" w:rsidR="005B2CA4" w:rsidRPr="00F53F85" w:rsidRDefault="005B2CA4" w:rsidP="00316B11">
            <w:pPr>
              <w:spacing w:after="0"/>
              <w:jc w:val="center"/>
              <w:rPr>
                <w:rFonts w:ascii="Arial Narrow" w:hAnsi="Arial Narrow" w:cs="Calibri"/>
                <w:sz w:val="20"/>
                <w:szCs w:val="20"/>
              </w:rPr>
            </w:pPr>
          </w:p>
        </w:tc>
        <w:tc>
          <w:tcPr>
            <w:tcW w:w="779" w:type="dxa"/>
            <w:tcBorders>
              <w:top w:val="nil"/>
              <w:left w:val="single" w:sz="4" w:space="0" w:color="auto"/>
              <w:bottom w:val="single" w:sz="4" w:space="0" w:color="auto"/>
              <w:right w:val="single" w:sz="4" w:space="0" w:color="auto"/>
            </w:tcBorders>
            <w:vAlign w:val="center"/>
          </w:tcPr>
          <w:p w14:paraId="53C15D2D" w14:textId="77777777" w:rsidR="005B2CA4" w:rsidRPr="00F53F85" w:rsidRDefault="005B2CA4" w:rsidP="00316B11">
            <w:pPr>
              <w:spacing w:after="0"/>
              <w:jc w:val="center"/>
              <w:rPr>
                <w:rFonts w:ascii="Arial Narrow" w:hAnsi="Arial Narrow" w:cs="Calibri"/>
                <w:sz w:val="20"/>
                <w:szCs w:val="20"/>
              </w:rPr>
            </w:pPr>
            <w:r w:rsidRPr="00F53F85">
              <w:rPr>
                <w:rFonts w:ascii="Arial Narrow" w:hAnsi="Arial Narrow"/>
                <w:sz w:val="20"/>
                <w:szCs w:val="20"/>
              </w:rPr>
              <w:t>5</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D2E"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0.50</w:t>
            </w:r>
          </w:p>
        </w:tc>
        <w:tc>
          <w:tcPr>
            <w:tcW w:w="536" w:type="dxa"/>
            <w:tcBorders>
              <w:top w:val="nil"/>
              <w:left w:val="nil"/>
              <w:bottom w:val="single" w:sz="4" w:space="0" w:color="auto"/>
              <w:right w:val="single" w:sz="4" w:space="0" w:color="auto"/>
            </w:tcBorders>
            <w:shd w:val="clear" w:color="auto" w:fill="auto"/>
            <w:noWrap/>
            <w:vAlign w:val="center"/>
            <w:hideMark/>
          </w:tcPr>
          <w:p w14:paraId="53C15D2F"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0.38</w:t>
            </w:r>
          </w:p>
        </w:tc>
        <w:tc>
          <w:tcPr>
            <w:tcW w:w="586" w:type="dxa"/>
            <w:tcBorders>
              <w:top w:val="nil"/>
              <w:left w:val="nil"/>
              <w:bottom w:val="single" w:sz="4" w:space="0" w:color="auto"/>
              <w:right w:val="single" w:sz="4" w:space="0" w:color="auto"/>
            </w:tcBorders>
            <w:shd w:val="clear" w:color="auto" w:fill="auto"/>
            <w:noWrap/>
            <w:vAlign w:val="center"/>
            <w:hideMark/>
          </w:tcPr>
          <w:p w14:paraId="53C15D30"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1.38</w:t>
            </w:r>
          </w:p>
        </w:tc>
        <w:tc>
          <w:tcPr>
            <w:tcW w:w="564" w:type="dxa"/>
            <w:tcBorders>
              <w:top w:val="nil"/>
              <w:left w:val="nil"/>
              <w:bottom w:val="single" w:sz="4" w:space="0" w:color="auto"/>
              <w:right w:val="single" w:sz="4" w:space="0" w:color="auto"/>
            </w:tcBorders>
            <w:vAlign w:val="center"/>
          </w:tcPr>
          <w:p w14:paraId="53C15D31" w14:textId="77777777" w:rsidR="005B2CA4" w:rsidRPr="00F53F85" w:rsidRDefault="005B2CA4"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D32"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0.38</w:t>
            </w:r>
          </w:p>
        </w:tc>
        <w:tc>
          <w:tcPr>
            <w:tcW w:w="662" w:type="dxa"/>
            <w:tcBorders>
              <w:top w:val="nil"/>
              <w:left w:val="nil"/>
              <w:bottom w:val="single" w:sz="4" w:space="0" w:color="auto"/>
              <w:right w:val="single" w:sz="4" w:space="0" w:color="auto"/>
            </w:tcBorders>
            <w:vAlign w:val="center"/>
          </w:tcPr>
          <w:p w14:paraId="53C15D33" w14:textId="77777777" w:rsidR="005B2CA4" w:rsidRPr="00F53F85" w:rsidRDefault="005B2CA4" w:rsidP="00316B11">
            <w:pPr>
              <w:spacing w:after="0"/>
              <w:jc w:val="center"/>
              <w:rPr>
                <w:rFonts w:ascii="Arial Narrow" w:hAnsi="Arial Narrow"/>
                <w:sz w:val="20"/>
                <w:szCs w:val="20"/>
              </w:rPr>
            </w:pPr>
            <w:r w:rsidRPr="00F53F85">
              <w:rPr>
                <w:rFonts w:ascii="Arial Narrow" w:hAnsi="Arial Narrow"/>
                <w:sz w:val="20"/>
                <w:szCs w:val="20"/>
              </w:rPr>
              <w:t>0.44</w:t>
            </w: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D34"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5.19</w:t>
            </w:r>
          </w:p>
        </w:tc>
        <w:tc>
          <w:tcPr>
            <w:tcW w:w="546" w:type="dxa"/>
            <w:tcBorders>
              <w:top w:val="nil"/>
              <w:left w:val="nil"/>
              <w:bottom w:val="single" w:sz="4" w:space="0" w:color="auto"/>
              <w:right w:val="single" w:sz="4" w:space="0" w:color="auto"/>
            </w:tcBorders>
            <w:shd w:val="clear" w:color="auto" w:fill="auto"/>
            <w:noWrap/>
            <w:vAlign w:val="center"/>
            <w:hideMark/>
          </w:tcPr>
          <w:p w14:paraId="53C15D35"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573" w:type="dxa"/>
            <w:tcBorders>
              <w:top w:val="nil"/>
              <w:left w:val="nil"/>
              <w:bottom w:val="single" w:sz="4" w:space="0" w:color="auto"/>
              <w:right w:val="single" w:sz="4" w:space="0" w:color="auto"/>
            </w:tcBorders>
            <w:shd w:val="clear" w:color="auto" w:fill="auto"/>
            <w:noWrap/>
            <w:vAlign w:val="center"/>
            <w:hideMark/>
          </w:tcPr>
          <w:p w14:paraId="53C15D36" w14:textId="77777777" w:rsidR="005B2CA4" w:rsidRPr="00F53F85" w:rsidRDefault="005B2CA4"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D37"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0.19</w:t>
            </w:r>
          </w:p>
        </w:tc>
        <w:tc>
          <w:tcPr>
            <w:tcW w:w="536" w:type="dxa"/>
            <w:tcBorders>
              <w:top w:val="nil"/>
              <w:left w:val="nil"/>
              <w:bottom w:val="single" w:sz="4" w:space="0" w:color="auto"/>
              <w:right w:val="single" w:sz="4" w:space="0" w:color="auto"/>
            </w:tcBorders>
            <w:shd w:val="clear" w:color="auto" w:fill="auto"/>
            <w:noWrap/>
            <w:vAlign w:val="center"/>
            <w:hideMark/>
          </w:tcPr>
          <w:p w14:paraId="53C15D38" w14:textId="77777777" w:rsidR="005B2CA4" w:rsidRPr="00F53F85" w:rsidRDefault="005B2CA4"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D39"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0.25</w:t>
            </w:r>
          </w:p>
        </w:tc>
        <w:tc>
          <w:tcPr>
            <w:tcW w:w="788" w:type="dxa"/>
            <w:tcBorders>
              <w:top w:val="nil"/>
              <w:left w:val="nil"/>
              <w:bottom w:val="single" w:sz="4" w:space="0" w:color="auto"/>
              <w:right w:val="single" w:sz="4" w:space="0" w:color="auto"/>
            </w:tcBorders>
            <w:shd w:val="clear" w:color="auto" w:fill="auto"/>
            <w:noWrap/>
            <w:vAlign w:val="center"/>
            <w:hideMark/>
          </w:tcPr>
          <w:p w14:paraId="53C15D3A"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0.38</w:t>
            </w:r>
          </w:p>
        </w:tc>
        <w:tc>
          <w:tcPr>
            <w:tcW w:w="788" w:type="dxa"/>
            <w:tcBorders>
              <w:top w:val="nil"/>
              <w:left w:val="nil"/>
              <w:bottom w:val="single" w:sz="4" w:space="0" w:color="auto"/>
              <w:right w:val="single" w:sz="4" w:space="0" w:color="auto"/>
            </w:tcBorders>
            <w:shd w:val="clear" w:color="auto" w:fill="auto"/>
            <w:noWrap/>
            <w:vAlign w:val="center"/>
            <w:hideMark/>
          </w:tcPr>
          <w:p w14:paraId="53C15D3B"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0.81</w:t>
            </w:r>
          </w:p>
        </w:tc>
        <w:tc>
          <w:tcPr>
            <w:tcW w:w="788" w:type="dxa"/>
            <w:tcBorders>
              <w:top w:val="nil"/>
              <w:left w:val="nil"/>
              <w:bottom w:val="single" w:sz="4" w:space="0" w:color="auto"/>
              <w:right w:val="single" w:sz="4" w:space="0" w:color="auto"/>
            </w:tcBorders>
            <w:shd w:val="clear" w:color="auto" w:fill="auto"/>
            <w:noWrap/>
            <w:vAlign w:val="center"/>
            <w:hideMark/>
          </w:tcPr>
          <w:p w14:paraId="53C15D3C"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1.38</w:t>
            </w:r>
          </w:p>
        </w:tc>
        <w:tc>
          <w:tcPr>
            <w:tcW w:w="630" w:type="dxa"/>
            <w:tcBorders>
              <w:top w:val="nil"/>
              <w:left w:val="nil"/>
              <w:bottom w:val="single" w:sz="4" w:space="0" w:color="auto"/>
              <w:right w:val="single" w:sz="4" w:space="0" w:color="auto"/>
            </w:tcBorders>
            <w:vAlign w:val="center"/>
          </w:tcPr>
          <w:p w14:paraId="53C15D3D" w14:textId="77777777" w:rsidR="005B2CA4" w:rsidRPr="00F53F85" w:rsidRDefault="005B2CA4" w:rsidP="00316B11">
            <w:pPr>
              <w:spacing w:after="0"/>
              <w:jc w:val="center"/>
              <w:rPr>
                <w:rFonts w:ascii="Arial Narrow" w:hAnsi="Arial Narrow"/>
                <w:sz w:val="20"/>
                <w:szCs w:val="20"/>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D3E"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3.38</w:t>
            </w:r>
          </w:p>
        </w:tc>
      </w:tr>
      <w:tr w:rsidR="005B2CA4" w:rsidRPr="00F53F85" w14:paraId="53C15D54" w14:textId="77777777" w:rsidTr="005B2CA4">
        <w:trPr>
          <w:trHeight w:val="340"/>
        </w:trPr>
        <w:tc>
          <w:tcPr>
            <w:tcW w:w="611" w:type="dxa"/>
            <w:vMerge/>
            <w:tcBorders>
              <w:left w:val="single" w:sz="4" w:space="0" w:color="auto"/>
              <w:right w:val="single" w:sz="4" w:space="0" w:color="auto"/>
            </w:tcBorders>
            <w:vAlign w:val="center"/>
            <w:hideMark/>
          </w:tcPr>
          <w:p w14:paraId="53C15D40" w14:textId="77777777" w:rsidR="005B2CA4" w:rsidRPr="00F53F85" w:rsidRDefault="005B2CA4" w:rsidP="00F53F85">
            <w:pPr>
              <w:spacing w:after="0"/>
              <w:jc w:val="left"/>
              <w:rPr>
                <w:rFonts w:ascii="Arial Narrow" w:hAnsi="Arial Narrow"/>
                <w:sz w:val="20"/>
                <w:lang w:eastAsia="en-AU"/>
              </w:rPr>
            </w:pPr>
          </w:p>
        </w:tc>
        <w:tc>
          <w:tcPr>
            <w:tcW w:w="1134" w:type="dxa"/>
            <w:vMerge w:val="restart"/>
            <w:tcBorders>
              <w:top w:val="nil"/>
              <w:left w:val="single" w:sz="4" w:space="0" w:color="auto"/>
              <w:right w:val="single" w:sz="4" w:space="0" w:color="auto"/>
            </w:tcBorders>
            <w:vAlign w:val="center"/>
          </w:tcPr>
          <w:p w14:paraId="53C15D41" w14:textId="77777777" w:rsidR="005B2CA4" w:rsidRPr="00F53F85" w:rsidRDefault="005B2CA4" w:rsidP="00316B11">
            <w:pPr>
              <w:spacing w:after="0"/>
              <w:jc w:val="center"/>
              <w:rPr>
                <w:rFonts w:ascii="Arial Narrow" w:hAnsi="Arial Narrow" w:cs="Calibri"/>
                <w:sz w:val="20"/>
                <w:szCs w:val="20"/>
              </w:rPr>
            </w:pPr>
            <w:r w:rsidRPr="00F53F85">
              <w:rPr>
                <w:rFonts w:ascii="Arial Narrow" w:hAnsi="Arial Narrow"/>
                <w:sz w:val="20"/>
                <w:szCs w:val="20"/>
              </w:rPr>
              <w:t>Daydream</w:t>
            </w:r>
          </w:p>
        </w:tc>
        <w:tc>
          <w:tcPr>
            <w:tcW w:w="779" w:type="dxa"/>
            <w:tcBorders>
              <w:top w:val="nil"/>
              <w:left w:val="single" w:sz="4" w:space="0" w:color="auto"/>
              <w:bottom w:val="single" w:sz="4" w:space="0" w:color="auto"/>
              <w:right w:val="single" w:sz="4" w:space="0" w:color="auto"/>
            </w:tcBorders>
            <w:vAlign w:val="center"/>
          </w:tcPr>
          <w:p w14:paraId="53C15D42" w14:textId="77777777" w:rsidR="005B2CA4" w:rsidRPr="00F53F85" w:rsidRDefault="005B2CA4" w:rsidP="00316B11">
            <w:pPr>
              <w:spacing w:after="0"/>
              <w:jc w:val="center"/>
              <w:rPr>
                <w:rFonts w:ascii="Arial Narrow" w:hAnsi="Arial Narrow" w:cs="Calibri"/>
                <w:sz w:val="20"/>
                <w:szCs w:val="20"/>
              </w:rPr>
            </w:pPr>
            <w:r w:rsidRPr="00F53F85">
              <w:rPr>
                <w:rFonts w:ascii="Arial Narrow" w:hAnsi="Arial Narrow"/>
                <w:sz w:val="20"/>
                <w:szCs w:val="20"/>
              </w:rPr>
              <w:t>2</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D43"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D44" w14:textId="77777777" w:rsidR="005B2CA4" w:rsidRPr="00F53F85" w:rsidRDefault="005B2CA4" w:rsidP="00316B11">
            <w:pPr>
              <w:spacing w:after="0"/>
              <w:jc w:val="center"/>
              <w:rPr>
                <w:rFonts w:ascii="Arial Narrow" w:hAnsi="Arial Narrow"/>
                <w:sz w:val="20"/>
                <w:szCs w:val="20"/>
                <w:lang w:eastAsia="en-AU"/>
              </w:rPr>
            </w:pPr>
          </w:p>
        </w:tc>
        <w:tc>
          <w:tcPr>
            <w:tcW w:w="586" w:type="dxa"/>
            <w:tcBorders>
              <w:top w:val="nil"/>
              <w:left w:val="nil"/>
              <w:bottom w:val="single" w:sz="4" w:space="0" w:color="auto"/>
              <w:right w:val="single" w:sz="4" w:space="0" w:color="auto"/>
            </w:tcBorders>
            <w:shd w:val="clear" w:color="auto" w:fill="auto"/>
            <w:noWrap/>
            <w:vAlign w:val="center"/>
            <w:hideMark/>
          </w:tcPr>
          <w:p w14:paraId="53C15D45"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3.06</w:t>
            </w:r>
          </w:p>
        </w:tc>
        <w:tc>
          <w:tcPr>
            <w:tcW w:w="564" w:type="dxa"/>
            <w:tcBorders>
              <w:top w:val="nil"/>
              <w:left w:val="nil"/>
              <w:bottom w:val="single" w:sz="4" w:space="0" w:color="auto"/>
              <w:right w:val="single" w:sz="4" w:space="0" w:color="auto"/>
            </w:tcBorders>
            <w:vAlign w:val="center"/>
          </w:tcPr>
          <w:p w14:paraId="53C15D46" w14:textId="77777777" w:rsidR="005B2CA4" w:rsidRPr="00F53F85" w:rsidRDefault="005B2CA4"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D47" w14:textId="77777777" w:rsidR="005B2CA4" w:rsidRPr="00F53F85" w:rsidRDefault="005B2CA4"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D48"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4.19</w:t>
            </w: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D49"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5.50</w:t>
            </w:r>
          </w:p>
        </w:tc>
        <w:tc>
          <w:tcPr>
            <w:tcW w:w="546" w:type="dxa"/>
            <w:tcBorders>
              <w:top w:val="nil"/>
              <w:left w:val="nil"/>
              <w:bottom w:val="single" w:sz="4" w:space="0" w:color="auto"/>
              <w:right w:val="single" w:sz="4" w:space="0" w:color="auto"/>
            </w:tcBorders>
            <w:shd w:val="clear" w:color="auto" w:fill="auto"/>
            <w:noWrap/>
            <w:vAlign w:val="center"/>
            <w:hideMark/>
          </w:tcPr>
          <w:p w14:paraId="53C15D4A" w14:textId="77777777" w:rsidR="005B2CA4" w:rsidRPr="00F53F85" w:rsidRDefault="005B2CA4" w:rsidP="00316B11">
            <w:pPr>
              <w:spacing w:after="0"/>
              <w:jc w:val="center"/>
              <w:rPr>
                <w:rFonts w:ascii="Arial Narrow" w:hAnsi="Arial Narrow"/>
                <w:sz w:val="20"/>
                <w:szCs w:val="20"/>
                <w:lang w:eastAsia="en-AU"/>
              </w:rPr>
            </w:pPr>
          </w:p>
        </w:tc>
        <w:tc>
          <w:tcPr>
            <w:tcW w:w="573" w:type="dxa"/>
            <w:tcBorders>
              <w:top w:val="nil"/>
              <w:left w:val="nil"/>
              <w:bottom w:val="single" w:sz="4" w:space="0" w:color="auto"/>
              <w:right w:val="single" w:sz="4" w:space="0" w:color="auto"/>
            </w:tcBorders>
            <w:shd w:val="clear" w:color="auto" w:fill="auto"/>
            <w:noWrap/>
            <w:vAlign w:val="center"/>
            <w:hideMark/>
          </w:tcPr>
          <w:p w14:paraId="53C15D4B" w14:textId="77777777" w:rsidR="005B2CA4" w:rsidRPr="00F53F85" w:rsidRDefault="005B2CA4"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D4C"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0.25</w:t>
            </w:r>
          </w:p>
        </w:tc>
        <w:tc>
          <w:tcPr>
            <w:tcW w:w="536" w:type="dxa"/>
            <w:tcBorders>
              <w:top w:val="nil"/>
              <w:left w:val="nil"/>
              <w:bottom w:val="single" w:sz="4" w:space="0" w:color="auto"/>
              <w:right w:val="single" w:sz="4" w:space="0" w:color="auto"/>
            </w:tcBorders>
            <w:shd w:val="clear" w:color="auto" w:fill="auto"/>
            <w:noWrap/>
            <w:vAlign w:val="center"/>
            <w:hideMark/>
          </w:tcPr>
          <w:p w14:paraId="53C15D4D" w14:textId="77777777" w:rsidR="005B2CA4" w:rsidRPr="00F53F85" w:rsidRDefault="005B2CA4"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D4E"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0.63</w:t>
            </w:r>
          </w:p>
        </w:tc>
        <w:tc>
          <w:tcPr>
            <w:tcW w:w="788" w:type="dxa"/>
            <w:tcBorders>
              <w:top w:val="nil"/>
              <w:left w:val="nil"/>
              <w:bottom w:val="single" w:sz="4" w:space="0" w:color="auto"/>
              <w:right w:val="single" w:sz="4" w:space="0" w:color="auto"/>
            </w:tcBorders>
            <w:shd w:val="clear" w:color="auto" w:fill="auto"/>
            <w:noWrap/>
            <w:vAlign w:val="center"/>
            <w:hideMark/>
          </w:tcPr>
          <w:p w14:paraId="53C15D4F"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1.94</w:t>
            </w:r>
          </w:p>
        </w:tc>
        <w:tc>
          <w:tcPr>
            <w:tcW w:w="788" w:type="dxa"/>
            <w:tcBorders>
              <w:top w:val="nil"/>
              <w:left w:val="nil"/>
              <w:bottom w:val="single" w:sz="4" w:space="0" w:color="auto"/>
              <w:right w:val="single" w:sz="4" w:space="0" w:color="auto"/>
            </w:tcBorders>
            <w:shd w:val="clear" w:color="auto" w:fill="auto"/>
            <w:noWrap/>
            <w:vAlign w:val="center"/>
            <w:hideMark/>
          </w:tcPr>
          <w:p w14:paraId="53C15D50"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0.94</w:t>
            </w:r>
          </w:p>
        </w:tc>
        <w:tc>
          <w:tcPr>
            <w:tcW w:w="788" w:type="dxa"/>
            <w:tcBorders>
              <w:top w:val="nil"/>
              <w:left w:val="nil"/>
              <w:bottom w:val="single" w:sz="4" w:space="0" w:color="auto"/>
              <w:right w:val="single" w:sz="4" w:space="0" w:color="auto"/>
            </w:tcBorders>
            <w:shd w:val="clear" w:color="auto" w:fill="auto"/>
            <w:noWrap/>
            <w:vAlign w:val="center"/>
            <w:hideMark/>
          </w:tcPr>
          <w:p w14:paraId="53C15D51"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630" w:type="dxa"/>
            <w:tcBorders>
              <w:top w:val="nil"/>
              <w:left w:val="nil"/>
              <w:bottom w:val="single" w:sz="4" w:space="0" w:color="auto"/>
              <w:right w:val="single" w:sz="4" w:space="0" w:color="auto"/>
            </w:tcBorders>
            <w:vAlign w:val="center"/>
          </w:tcPr>
          <w:p w14:paraId="53C15D52" w14:textId="77777777" w:rsidR="005B2CA4" w:rsidRPr="00F53F85" w:rsidRDefault="005B2CA4" w:rsidP="00316B11">
            <w:pPr>
              <w:spacing w:after="0"/>
              <w:jc w:val="center"/>
              <w:rPr>
                <w:rFonts w:ascii="Arial Narrow" w:hAnsi="Arial Narrow"/>
                <w:sz w:val="20"/>
                <w:szCs w:val="20"/>
                <w:lang w:eastAsia="en-AU"/>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D53"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0.63</w:t>
            </w:r>
          </w:p>
        </w:tc>
      </w:tr>
      <w:tr w:rsidR="005B2CA4" w:rsidRPr="00F53F85" w14:paraId="53C15D69" w14:textId="77777777" w:rsidTr="005B2CA4">
        <w:trPr>
          <w:trHeight w:val="340"/>
        </w:trPr>
        <w:tc>
          <w:tcPr>
            <w:tcW w:w="611" w:type="dxa"/>
            <w:vMerge/>
            <w:tcBorders>
              <w:left w:val="single" w:sz="4" w:space="0" w:color="auto"/>
              <w:right w:val="single" w:sz="4" w:space="0" w:color="auto"/>
            </w:tcBorders>
            <w:vAlign w:val="center"/>
            <w:hideMark/>
          </w:tcPr>
          <w:p w14:paraId="53C15D55" w14:textId="77777777" w:rsidR="005B2CA4" w:rsidRPr="00F53F85" w:rsidRDefault="005B2CA4" w:rsidP="00F53F85">
            <w:pPr>
              <w:spacing w:after="0"/>
              <w:jc w:val="left"/>
              <w:rPr>
                <w:rFonts w:ascii="Arial Narrow" w:hAnsi="Arial Narrow"/>
                <w:sz w:val="20"/>
                <w:lang w:eastAsia="en-AU"/>
              </w:rPr>
            </w:pPr>
          </w:p>
        </w:tc>
        <w:tc>
          <w:tcPr>
            <w:tcW w:w="1134" w:type="dxa"/>
            <w:vMerge/>
            <w:tcBorders>
              <w:left w:val="single" w:sz="4" w:space="0" w:color="auto"/>
              <w:bottom w:val="single" w:sz="4" w:space="0" w:color="auto"/>
              <w:right w:val="single" w:sz="4" w:space="0" w:color="auto"/>
            </w:tcBorders>
            <w:vAlign w:val="center"/>
          </w:tcPr>
          <w:p w14:paraId="53C15D56" w14:textId="77777777" w:rsidR="005B2CA4" w:rsidRPr="00F53F85" w:rsidRDefault="005B2CA4" w:rsidP="00316B11">
            <w:pPr>
              <w:spacing w:after="0"/>
              <w:jc w:val="center"/>
              <w:rPr>
                <w:rFonts w:ascii="Arial Narrow" w:hAnsi="Arial Narrow"/>
                <w:sz w:val="20"/>
                <w:szCs w:val="20"/>
                <w:lang w:eastAsia="en-AU"/>
              </w:rPr>
            </w:pPr>
          </w:p>
        </w:tc>
        <w:tc>
          <w:tcPr>
            <w:tcW w:w="779" w:type="dxa"/>
            <w:tcBorders>
              <w:top w:val="nil"/>
              <w:left w:val="single" w:sz="4" w:space="0" w:color="auto"/>
              <w:bottom w:val="single" w:sz="4" w:space="0" w:color="auto"/>
              <w:right w:val="single" w:sz="4" w:space="0" w:color="auto"/>
            </w:tcBorders>
            <w:vAlign w:val="center"/>
          </w:tcPr>
          <w:p w14:paraId="53C15D57"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5</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D58"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D59" w14:textId="77777777" w:rsidR="005B2CA4" w:rsidRPr="00F53F85" w:rsidRDefault="005B2CA4" w:rsidP="00316B11">
            <w:pPr>
              <w:spacing w:after="0"/>
              <w:jc w:val="center"/>
              <w:rPr>
                <w:rFonts w:ascii="Arial Narrow" w:hAnsi="Arial Narrow"/>
                <w:sz w:val="20"/>
                <w:szCs w:val="20"/>
                <w:lang w:eastAsia="en-AU"/>
              </w:rPr>
            </w:pPr>
          </w:p>
        </w:tc>
        <w:tc>
          <w:tcPr>
            <w:tcW w:w="586" w:type="dxa"/>
            <w:tcBorders>
              <w:top w:val="nil"/>
              <w:left w:val="nil"/>
              <w:bottom w:val="single" w:sz="4" w:space="0" w:color="auto"/>
              <w:right w:val="single" w:sz="4" w:space="0" w:color="auto"/>
            </w:tcBorders>
            <w:shd w:val="clear" w:color="auto" w:fill="auto"/>
            <w:noWrap/>
            <w:vAlign w:val="center"/>
            <w:hideMark/>
          </w:tcPr>
          <w:p w14:paraId="53C15D5A"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0.56</w:t>
            </w:r>
          </w:p>
        </w:tc>
        <w:tc>
          <w:tcPr>
            <w:tcW w:w="564" w:type="dxa"/>
            <w:tcBorders>
              <w:top w:val="nil"/>
              <w:left w:val="nil"/>
              <w:bottom w:val="single" w:sz="4" w:space="0" w:color="auto"/>
              <w:right w:val="single" w:sz="4" w:space="0" w:color="auto"/>
            </w:tcBorders>
            <w:vAlign w:val="center"/>
          </w:tcPr>
          <w:p w14:paraId="53C15D5B" w14:textId="77777777" w:rsidR="005B2CA4" w:rsidRPr="00F53F85" w:rsidRDefault="005B2CA4"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D5C" w14:textId="77777777" w:rsidR="005B2CA4" w:rsidRPr="00F53F85" w:rsidRDefault="005B2CA4"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D5D" w14:textId="77777777" w:rsidR="005B2CA4" w:rsidRPr="00F53F85" w:rsidRDefault="005B2CA4" w:rsidP="00316B11">
            <w:pPr>
              <w:spacing w:after="0"/>
              <w:jc w:val="center"/>
              <w:rPr>
                <w:rFonts w:ascii="Arial Narrow" w:hAnsi="Arial Narrow"/>
                <w:sz w:val="20"/>
                <w:szCs w:val="20"/>
              </w:rPr>
            </w:pPr>
            <w:r w:rsidRPr="00F53F85">
              <w:rPr>
                <w:rFonts w:ascii="Arial Narrow" w:hAnsi="Arial Narrow"/>
                <w:sz w:val="20"/>
                <w:szCs w:val="20"/>
              </w:rPr>
              <w:t>0.81</w:t>
            </w: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D5E"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2.69</w:t>
            </w:r>
          </w:p>
        </w:tc>
        <w:tc>
          <w:tcPr>
            <w:tcW w:w="546" w:type="dxa"/>
            <w:tcBorders>
              <w:top w:val="nil"/>
              <w:left w:val="nil"/>
              <w:bottom w:val="single" w:sz="4" w:space="0" w:color="auto"/>
              <w:right w:val="single" w:sz="4" w:space="0" w:color="auto"/>
            </w:tcBorders>
            <w:shd w:val="clear" w:color="auto" w:fill="auto"/>
            <w:noWrap/>
            <w:vAlign w:val="center"/>
            <w:hideMark/>
          </w:tcPr>
          <w:p w14:paraId="53C15D5F"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573" w:type="dxa"/>
            <w:tcBorders>
              <w:top w:val="nil"/>
              <w:left w:val="nil"/>
              <w:bottom w:val="single" w:sz="4" w:space="0" w:color="auto"/>
              <w:right w:val="single" w:sz="4" w:space="0" w:color="auto"/>
            </w:tcBorders>
            <w:shd w:val="clear" w:color="auto" w:fill="auto"/>
            <w:noWrap/>
            <w:vAlign w:val="center"/>
            <w:hideMark/>
          </w:tcPr>
          <w:p w14:paraId="53C15D60" w14:textId="77777777" w:rsidR="005B2CA4" w:rsidRPr="00F53F85" w:rsidRDefault="005B2CA4"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D61"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D62" w14:textId="77777777" w:rsidR="005B2CA4" w:rsidRPr="00F53F85" w:rsidRDefault="005B2CA4"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D63"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0.19</w:t>
            </w:r>
          </w:p>
        </w:tc>
        <w:tc>
          <w:tcPr>
            <w:tcW w:w="788" w:type="dxa"/>
            <w:tcBorders>
              <w:top w:val="nil"/>
              <w:left w:val="nil"/>
              <w:bottom w:val="single" w:sz="4" w:space="0" w:color="auto"/>
              <w:right w:val="single" w:sz="4" w:space="0" w:color="auto"/>
            </w:tcBorders>
            <w:shd w:val="clear" w:color="auto" w:fill="auto"/>
            <w:noWrap/>
            <w:vAlign w:val="center"/>
            <w:hideMark/>
          </w:tcPr>
          <w:p w14:paraId="53C15D64"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788" w:type="dxa"/>
            <w:tcBorders>
              <w:top w:val="nil"/>
              <w:left w:val="nil"/>
              <w:bottom w:val="single" w:sz="4" w:space="0" w:color="auto"/>
              <w:right w:val="single" w:sz="4" w:space="0" w:color="auto"/>
            </w:tcBorders>
            <w:shd w:val="clear" w:color="auto" w:fill="auto"/>
            <w:noWrap/>
            <w:vAlign w:val="center"/>
            <w:hideMark/>
          </w:tcPr>
          <w:p w14:paraId="53C15D65"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0.19</w:t>
            </w:r>
          </w:p>
        </w:tc>
        <w:tc>
          <w:tcPr>
            <w:tcW w:w="788" w:type="dxa"/>
            <w:tcBorders>
              <w:top w:val="nil"/>
              <w:left w:val="nil"/>
              <w:bottom w:val="single" w:sz="4" w:space="0" w:color="auto"/>
              <w:right w:val="single" w:sz="4" w:space="0" w:color="auto"/>
            </w:tcBorders>
            <w:shd w:val="clear" w:color="auto" w:fill="auto"/>
            <w:noWrap/>
            <w:vAlign w:val="center"/>
            <w:hideMark/>
          </w:tcPr>
          <w:p w14:paraId="53C15D66" w14:textId="77777777" w:rsidR="005B2CA4" w:rsidRPr="00F53F85" w:rsidRDefault="005B2CA4" w:rsidP="00316B11">
            <w:pPr>
              <w:spacing w:after="0"/>
              <w:jc w:val="center"/>
              <w:rPr>
                <w:rFonts w:ascii="Arial Narrow" w:hAnsi="Arial Narrow"/>
                <w:sz w:val="20"/>
                <w:szCs w:val="20"/>
                <w:lang w:eastAsia="en-AU"/>
              </w:rPr>
            </w:pPr>
          </w:p>
        </w:tc>
        <w:tc>
          <w:tcPr>
            <w:tcW w:w="630" w:type="dxa"/>
            <w:tcBorders>
              <w:top w:val="nil"/>
              <w:left w:val="nil"/>
              <w:bottom w:val="single" w:sz="4" w:space="0" w:color="auto"/>
              <w:right w:val="single" w:sz="4" w:space="0" w:color="auto"/>
            </w:tcBorders>
            <w:vAlign w:val="center"/>
          </w:tcPr>
          <w:p w14:paraId="53C15D67" w14:textId="77777777" w:rsidR="005B2CA4" w:rsidRPr="00F53F85" w:rsidRDefault="005B2CA4" w:rsidP="00316B11">
            <w:pPr>
              <w:spacing w:after="0"/>
              <w:jc w:val="center"/>
              <w:rPr>
                <w:rFonts w:ascii="Arial Narrow" w:hAnsi="Arial Narrow"/>
                <w:sz w:val="20"/>
                <w:szCs w:val="20"/>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D68" w14:textId="77777777" w:rsidR="005B2CA4" w:rsidRPr="00F53F85" w:rsidRDefault="005B2CA4" w:rsidP="00316B11">
            <w:pPr>
              <w:spacing w:after="0"/>
              <w:jc w:val="center"/>
              <w:rPr>
                <w:rFonts w:ascii="Arial Narrow" w:hAnsi="Arial Narrow"/>
                <w:sz w:val="20"/>
                <w:szCs w:val="20"/>
                <w:lang w:eastAsia="en-AU"/>
              </w:rPr>
            </w:pPr>
          </w:p>
        </w:tc>
      </w:tr>
      <w:tr w:rsidR="005B2CA4" w:rsidRPr="00F53F85" w14:paraId="53C15D7E" w14:textId="77777777" w:rsidTr="005B2CA4">
        <w:trPr>
          <w:trHeight w:val="340"/>
        </w:trPr>
        <w:tc>
          <w:tcPr>
            <w:tcW w:w="611" w:type="dxa"/>
            <w:vMerge/>
            <w:tcBorders>
              <w:left w:val="single" w:sz="4" w:space="0" w:color="auto"/>
              <w:right w:val="single" w:sz="4" w:space="0" w:color="auto"/>
            </w:tcBorders>
            <w:vAlign w:val="center"/>
            <w:hideMark/>
          </w:tcPr>
          <w:p w14:paraId="53C15D6A" w14:textId="77777777" w:rsidR="005B2CA4" w:rsidRPr="00F53F85" w:rsidRDefault="005B2CA4" w:rsidP="00F53F85">
            <w:pPr>
              <w:spacing w:after="0"/>
              <w:jc w:val="left"/>
              <w:rPr>
                <w:rFonts w:ascii="Arial Narrow" w:hAnsi="Arial Narrow"/>
                <w:sz w:val="20"/>
                <w:lang w:eastAsia="en-AU"/>
              </w:rPr>
            </w:pPr>
          </w:p>
        </w:tc>
        <w:tc>
          <w:tcPr>
            <w:tcW w:w="1134" w:type="dxa"/>
            <w:vMerge w:val="restart"/>
            <w:tcBorders>
              <w:top w:val="nil"/>
              <w:left w:val="single" w:sz="4" w:space="0" w:color="auto"/>
              <w:right w:val="single" w:sz="4" w:space="0" w:color="auto"/>
            </w:tcBorders>
            <w:vAlign w:val="center"/>
          </w:tcPr>
          <w:p w14:paraId="53C15D6B"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Dent</w:t>
            </w:r>
          </w:p>
        </w:tc>
        <w:tc>
          <w:tcPr>
            <w:tcW w:w="779" w:type="dxa"/>
            <w:tcBorders>
              <w:top w:val="nil"/>
              <w:left w:val="single" w:sz="4" w:space="0" w:color="auto"/>
              <w:bottom w:val="single" w:sz="4" w:space="0" w:color="auto"/>
              <w:right w:val="single" w:sz="4" w:space="0" w:color="auto"/>
            </w:tcBorders>
            <w:vAlign w:val="center"/>
          </w:tcPr>
          <w:p w14:paraId="53C15D6C"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2</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D6D"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D6E"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586" w:type="dxa"/>
            <w:tcBorders>
              <w:top w:val="nil"/>
              <w:left w:val="nil"/>
              <w:bottom w:val="single" w:sz="4" w:space="0" w:color="auto"/>
              <w:right w:val="single" w:sz="4" w:space="0" w:color="auto"/>
            </w:tcBorders>
            <w:shd w:val="clear" w:color="auto" w:fill="auto"/>
            <w:noWrap/>
            <w:vAlign w:val="center"/>
            <w:hideMark/>
          </w:tcPr>
          <w:p w14:paraId="53C15D6F"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564" w:type="dxa"/>
            <w:tcBorders>
              <w:top w:val="nil"/>
              <w:left w:val="nil"/>
              <w:bottom w:val="single" w:sz="4" w:space="0" w:color="auto"/>
              <w:right w:val="single" w:sz="4" w:space="0" w:color="auto"/>
            </w:tcBorders>
            <w:vAlign w:val="center"/>
          </w:tcPr>
          <w:p w14:paraId="53C15D70" w14:textId="77777777" w:rsidR="005B2CA4" w:rsidRPr="00F53F85" w:rsidRDefault="005B2CA4"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D71" w14:textId="77777777" w:rsidR="005B2CA4" w:rsidRPr="00F53F85" w:rsidRDefault="005B2CA4"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D72" w14:textId="77777777" w:rsidR="005B2CA4" w:rsidRPr="00F53F85" w:rsidRDefault="005B2CA4"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D73"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0.50</w:t>
            </w:r>
          </w:p>
        </w:tc>
        <w:tc>
          <w:tcPr>
            <w:tcW w:w="546" w:type="dxa"/>
            <w:tcBorders>
              <w:top w:val="nil"/>
              <w:left w:val="nil"/>
              <w:bottom w:val="single" w:sz="4" w:space="0" w:color="auto"/>
              <w:right w:val="single" w:sz="4" w:space="0" w:color="auto"/>
            </w:tcBorders>
            <w:shd w:val="clear" w:color="auto" w:fill="auto"/>
            <w:noWrap/>
            <w:vAlign w:val="center"/>
            <w:hideMark/>
          </w:tcPr>
          <w:p w14:paraId="53C15D74" w14:textId="77777777" w:rsidR="005B2CA4" w:rsidRPr="00F53F85" w:rsidRDefault="005B2CA4" w:rsidP="00316B11">
            <w:pPr>
              <w:spacing w:after="0"/>
              <w:jc w:val="center"/>
              <w:rPr>
                <w:rFonts w:ascii="Arial Narrow" w:hAnsi="Arial Narrow"/>
                <w:sz w:val="20"/>
                <w:szCs w:val="20"/>
                <w:lang w:eastAsia="en-AU"/>
              </w:rPr>
            </w:pPr>
          </w:p>
        </w:tc>
        <w:tc>
          <w:tcPr>
            <w:tcW w:w="573" w:type="dxa"/>
            <w:tcBorders>
              <w:top w:val="nil"/>
              <w:left w:val="nil"/>
              <w:bottom w:val="single" w:sz="4" w:space="0" w:color="auto"/>
              <w:right w:val="single" w:sz="4" w:space="0" w:color="auto"/>
            </w:tcBorders>
            <w:shd w:val="clear" w:color="auto" w:fill="auto"/>
            <w:noWrap/>
            <w:vAlign w:val="center"/>
            <w:hideMark/>
          </w:tcPr>
          <w:p w14:paraId="53C15D75" w14:textId="77777777" w:rsidR="005B2CA4" w:rsidRPr="00F53F85" w:rsidRDefault="005B2CA4"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D76"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0.13</w:t>
            </w:r>
          </w:p>
        </w:tc>
        <w:tc>
          <w:tcPr>
            <w:tcW w:w="536" w:type="dxa"/>
            <w:tcBorders>
              <w:top w:val="nil"/>
              <w:left w:val="nil"/>
              <w:bottom w:val="single" w:sz="4" w:space="0" w:color="auto"/>
              <w:right w:val="single" w:sz="4" w:space="0" w:color="auto"/>
            </w:tcBorders>
            <w:shd w:val="clear" w:color="auto" w:fill="auto"/>
            <w:noWrap/>
            <w:vAlign w:val="center"/>
            <w:hideMark/>
          </w:tcPr>
          <w:p w14:paraId="53C15D77" w14:textId="77777777" w:rsidR="005B2CA4" w:rsidRPr="00F53F85" w:rsidRDefault="005B2CA4"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D78"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D79"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788" w:type="dxa"/>
            <w:tcBorders>
              <w:top w:val="nil"/>
              <w:left w:val="nil"/>
              <w:bottom w:val="single" w:sz="4" w:space="0" w:color="auto"/>
              <w:right w:val="single" w:sz="4" w:space="0" w:color="auto"/>
            </w:tcBorders>
            <w:shd w:val="clear" w:color="auto" w:fill="auto"/>
            <w:noWrap/>
            <w:vAlign w:val="center"/>
            <w:hideMark/>
          </w:tcPr>
          <w:p w14:paraId="53C15D7A"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0.56</w:t>
            </w:r>
          </w:p>
        </w:tc>
        <w:tc>
          <w:tcPr>
            <w:tcW w:w="788" w:type="dxa"/>
            <w:tcBorders>
              <w:top w:val="nil"/>
              <w:left w:val="nil"/>
              <w:bottom w:val="single" w:sz="4" w:space="0" w:color="auto"/>
              <w:right w:val="single" w:sz="4" w:space="0" w:color="auto"/>
            </w:tcBorders>
            <w:shd w:val="clear" w:color="auto" w:fill="auto"/>
            <w:noWrap/>
            <w:vAlign w:val="center"/>
            <w:hideMark/>
          </w:tcPr>
          <w:p w14:paraId="53C15D7B" w14:textId="77777777" w:rsidR="005B2CA4" w:rsidRPr="00F53F85" w:rsidRDefault="005B2CA4" w:rsidP="00316B11">
            <w:pPr>
              <w:spacing w:after="0"/>
              <w:jc w:val="center"/>
              <w:rPr>
                <w:rFonts w:ascii="Arial Narrow" w:hAnsi="Arial Narrow"/>
                <w:sz w:val="20"/>
                <w:szCs w:val="20"/>
                <w:lang w:eastAsia="en-AU"/>
              </w:rPr>
            </w:pPr>
          </w:p>
        </w:tc>
        <w:tc>
          <w:tcPr>
            <w:tcW w:w="630" w:type="dxa"/>
            <w:tcBorders>
              <w:top w:val="nil"/>
              <w:left w:val="nil"/>
              <w:bottom w:val="single" w:sz="4" w:space="0" w:color="auto"/>
              <w:right w:val="single" w:sz="4" w:space="0" w:color="auto"/>
            </w:tcBorders>
            <w:vAlign w:val="center"/>
          </w:tcPr>
          <w:p w14:paraId="53C15D7C" w14:textId="77777777" w:rsidR="005B2CA4" w:rsidRPr="00F53F85" w:rsidRDefault="005B2CA4" w:rsidP="00316B11">
            <w:pPr>
              <w:spacing w:after="0"/>
              <w:jc w:val="center"/>
              <w:rPr>
                <w:rFonts w:ascii="Arial Narrow" w:hAnsi="Arial Narrow"/>
                <w:sz w:val="20"/>
                <w:szCs w:val="20"/>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D7D"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0.06</w:t>
            </w:r>
          </w:p>
        </w:tc>
      </w:tr>
      <w:tr w:rsidR="005B2CA4" w:rsidRPr="00F53F85" w14:paraId="53C15D93" w14:textId="77777777" w:rsidTr="005B2CA4">
        <w:trPr>
          <w:trHeight w:val="340"/>
        </w:trPr>
        <w:tc>
          <w:tcPr>
            <w:tcW w:w="611" w:type="dxa"/>
            <w:vMerge/>
            <w:tcBorders>
              <w:left w:val="single" w:sz="4" w:space="0" w:color="auto"/>
              <w:right w:val="single" w:sz="4" w:space="0" w:color="auto"/>
            </w:tcBorders>
            <w:vAlign w:val="center"/>
            <w:hideMark/>
          </w:tcPr>
          <w:p w14:paraId="53C15D7F" w14:textId="77777777" w:rsidR="005B2CA4" w:rsidRPr="00F53F85" w:rsidRDefault="005B2CA4" w:rsidP="00F53F85">
            <w:pPr>
              <w:spacing w:after="0"/>
              <w:jc w:val="left"/>
              <w:rPr>
                <w:rFonts w:ascii="Arial Narrow" w:hAnsi="Arial Narrow"/>
                <w:sz w:val="20"/>
                <w:lang w:eastAsia="en-AU"/>
              </w:rPr>
            </w:pPr>
          </w:p>
        </w:tc>
        <w:tc>
          <w:tcPr>
            <w:tcW w:w="1134" w:type="dxa"/>
            <w:vMerge/>
            <w:tcBorders>
              <w:left w:val="single" w:sz="4" w:space="0" w:color="auto"/>
              <w:bottom w:val="single" w:sz="4" w:space="0" w:color="auto"/>
              <w:right w:val="single" w:sz="4" w:space="0" w:color="auto"/>
            </w:tcBorders>
            <w:vAlign w:val="center"/>
          </w:tcPr>
          <w:p w14:paraId="53C15D80" w14:textId="77777777" w:rsidR="005B2CA4" w:rsidRPr="00F53F85" w:rsidRDefault="005B2CA4" w:rsidP="00316B11">
            <w:pPr>
              <w:spacing w:after="0"/>
              <w:jc w:val="center"/>
              <w:rPr>
                <w:rFonts w:ascii="Arial Narrow" w:hAnsi="Arial Narrow"/>
                <w:sz w:val="20"/>
                <w:szCs w:val="20"/>
                <w:lang w:eastAsia="en-AU"/>
              </w:rPr>
            </w:pPr>
          </w:p>
        </w:tc>
        <w:tc>
          <w:tcPr>
            <w:tcW w:w="779" w:type="dxa"/>
            <w:tcBorders>
              <w:top w:val="nil"/>
              <w:left w:val="single" w:sz="4" w:space="0" w:color="auto"/>
              <w:bottom w:val="single" w:sz="4" w:space="0" w:color="auto"/>
              <w:right w:val="single" w:sz="4" w:space="0" w:color="auto"/>
            </w:tcBorders>
            <w:vAlign w:val="center"/>
          </w:tcPr>
          <w:p w14:paraId="53C15D81"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5</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D82"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D83"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0.44</w:t>
            </w:r>
          </w:p>
        </w:tc>
        <w:tc>
          <w:tcPr>
            <w:tcW w:w="586" w:type="dxa"/>
            <w:tcBorders>
              <w:top w:val="nil"/>
              <w:left w:val="nil"/>
              <w:bottom w:val="single" w:sz="4" w:space="0" w:color="auto"/>
              <w:right w:val="single" w:sz="4" w:space="0" w:color="auto"/>
            </w:tcBorders>
            <w:shd w:val="clear" w:color="auto" w:fill="auto"/>
            <w:noWrap/>
            <w:vAlign w:val="center"/>
            <w:hideMark/>
          </w:tcPr>
          <w:p w14:paraId="53C15D84" w14:textId="77777777" w:rsidR="005B2CA4" w:rsidRPr="00F53F85" w:rsidRDefault="005B2CA4" w:rsidP="00316B11">
            <w:pPr>
              <w:spacing w:after="0"/>
              <w:jc w:val="center"/>
              <w:rPr>
                <w:rFonts w:ascii="Arial Narrow" w:hAnsi="Arial Narrow"/>
                <w:sz w:val="20"/>
                <w:szCs w:val="20"/>
                <w:lang w:eastAsia="en-AU"/>
              </w:rPr>
            </w:pPr>
          </w:p>
        </w:tc>
        <w:tc>
          <w:tcPr>
            <w:tcW w:w="564" w:type="dxa"/>
            <w:tcBorders>
              <w:top w:val="nil"/>
              <w:left w:val="nil"/>
              <w:bottom w:val="single" w:sz="4" w:space="0" w:color="auto"/>
              <w:right w:val="single" w:sz="4" w:space="0" w:color="auto"/>
            </w:tcBorders>
            <w:vAlign w:val="center"/>
          </w:tcPr>
          <w:p w14:paraId="53C15D85" w14:textId="77777777" w:rsidR="005B2CA4" w:rsidRPr="00F53F85" w:rsidRDefault="005B2CA4"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D86" w14:textId="77777777" w:rsidR="005B2CA4" w:rsidRPr="00F53F85" w:rsidRDefault="005B2CA4"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D87" w14:textId="77777777" w:rsidR="005B2CA4" w:rsidRPr="00F53F85" w:rsidRDefault="005B2CA4"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D88"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546" w:type="dxa"/>
            <w:tcBorders>
              <w:top w:val="nil"/>
              <w:left w:val="nil"/>
              <w:bottom w:val="single" w:sz="4" w:space="0" w:color="auto"/>
              <w:right w:val="single" w:sz="4" w:space="0" w:color="auto"/>
            </w:tcBorders>
            <w:shd w:val="clear" w:color="auto" w:fill="auto"/>
            <w:noWrap/>
            <w:vAlign w:val="center"/>
            <w:hideMark/>
          </w:tcPr>
          <w:p w14:paraId="53C15D89" w14:textId="77777777" w:rsidR="005B2CA4" w:rsidRPr="00F53F85" w:rsidRDefault="005B2CA4" w:rsidP="00316B11">
            <w:pPr>
              <w:spacing w:after="0"/>
              <w:jc w:val="center"/>
              <w:rPr>
                <w:rFonts w:ascii="Arial Narrow" w:hAnsi="Arial Narrow"/>
                <w:sz w:val="20"/>
                <w:szCs w:val="20"/>
                <w:lang w:eastAsia="en-AU"/>
              </w:rPr>
            </w:pPr>
          </w:p>
        </w:tc>
        <w:tc>
          <w:tcPr>
            <w:tcW w:w="573" w:type="dxa"/>
            <w:tcBorders>
              <w:top w:val="nil"/>
              <w:left w:val="nil"/>
              <w:bottom w:val="single" w:sz="4" w:space="0" w:color="auto"/>
              <w:right w:val="single" w:sz="4" w:space="0" w:color="auto"/>
            </w:tcBorders>
            <w:shd w:val="clear" w:color="auto" w:fill="auto"/>
            <w:noWrap/>
            <w:vAlign w:val="center"/>
            <w:hideMark/>
          </w:tcPr>
          <w:p w14:paraId="53C15D8A" w14:textId="77777777" w:rsidR="005B2CA4" w:rsidRPr="00F53F85" w:rsidRDefault="005B2CA4"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D8B"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D8C" w14:textId="77777777" w:rsidR="005B2CA4" w:rsidRPr="00F53F85" w:rsidRDefault="005B2CA4"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D8D"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D8E"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D8F"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788" w:type="dxa"/>
            <w:tcBorders>
              <w:top w:val="nil"/>
              <w:left w:val="nil"/>
              <w:bottom w:val="single" w:sz="4" w:space="0" w:color="auto"/>
              <w:right w:val="single" w:sz="4" w:space="0" w:color="auto"/>
            </w:tcBorders>
            <w:shd w:val="clear" w:color="auto" w:fill="auto"/>
            <w:noWrap/>
            <w:vAlign w:val="center"/>
            <w:hideMark/>
          </w:tcPr>
          <w:p w14:paraId="53C15D90" w14:textId="77777777" w:rsidR="005B2CA4" w:rsidRPr="00F53F85" w:rsidRDefault="005B2CA4" w:rsidP="00316B11">
            <w:pPr>
              <w:spacing w:after="0"/>
              <w:jc w:val="center"/>
              <w:rPr>
                <w:rFonts w:ascii="Arial Narrow" w:hAnsi="Arial Narrow"/>
                <w:sz w:val="20"/>
                <w:szCs w:val="20"/>
                <w:lang w:eastAsia="en-AU"/>
              </w:rPr>
            </w:pPr>
          </w:p>
        </w:tc>
        <w:tc>
          <w:tcPr>
            <w:tcW w:w="630" w:type="dxa"/>
            <w:tcBorders>
              <w:top w:val="nil"/>
              <w:left w:val="nil"/>
              <w:bottom w:val="single" w:sz="4" w:space="0" w:color="auto"/>
              <w:right w:val="single" w:sz="4" w:space="0" w:color="auto"/>
            </w:tcBorders>
            <w:vAlign w:val="center"/>
          </w:tcPr>
          <w:p w14:paraId="53C15D91" w14:textId="77777777" w:rsidR="005B2CA4" w:rsidRPr="00F53F85" w:rsidRDefault="005B2CA4" w:rsidP="00316B11">
            <w:pPr>
              <w:spacing w:after="0"/>
              <w:jc w:val="center"/>
              <w:rPr>
                <w:rFonts w:ascii="Arial Narrow" w:hAnsi="Arial Narrow"/>
                <w:sz w:val="20"/>
                <w:szCs w:val="20"/>
                <w:lang w:eastAsia="en-AU"/>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D92" w14:textId="77777777" w:rsidR="005B2CA4" w:rsidRPr="00F53F85" w:rsidRDefault="005B2CA4" w:rsidP="00316B11">
            <w:pPr>
              <w:spacing w:after="0"/>
              <w:jc w:val="center"/>
              <w:rPr>
                <w:rFonts w:ascii="Arial Narrow" w:hAnsi="Arial Narrow"/>
                <w:sz w:val="20"/>
                <w:szCs w:val="20"/>
                <w:lang w:eastAsia="en-AU"/>
              </w:rPr>
            </w:pPr>
          </w:p>
        </w:tc>
      </w:tr>
      <w:tr w:rsidR="005B2CA4" w:rsidRPr="00F53F85" w14:paraId="53C15DA8" w14:textId="77777777" w:rsidTr="005B2CA4">
        <w:trPr>
          <w:trHeight w:val="340"/>
        </w:trPr>
        <w:tc>
          <w:tcPr>
            <w:tcW w:w="611" w:type="dxa"/>
            <w:vMerge/>
            <w:tcBorders>
              <w:left w:val="single" w:sz="4" w:space="0" w:color="auto"/>
              <w:right w:val="single" w:sz="4" w:space="0" w:color="auto"/>
            </w:tcBorders>
            <w:vAlign w:val="center"/>
            <w:hideMark/>
          </w:tcPr>
          <w:p w14:paraId="53C15D94" w14:textId="77777777" w:rsidR="005B2CA4" w:rsidRPr="00F53F85" w:rsidRDefault="005B2CA4" w:rsidP="00F53F85">
            <w:pPr>
              <w:spacing w:after="0"/>
              <w:jc w:val="left"/>
              <w:rPr>
                <w:rFonts w:ascii="Arial Narrow" w:hAnsi="Arial Narrow"/>
                <w:sz w:val="20"/>
                <w:lang w:eastAsia="en-AU"/>
              </w:rPr>
            </w:pPr>
          </w:p>
        </w:tc>
        <w:tc>
          <w:tcPr>
            <w:tcW w:w="1134" w:type="dxa"/>
            <w:vMerge w:val="restart"/>
            <w:tcBorders>
              <w:top w:val="nil"/>
              <w:left w:val="single" w:sz="4" w:space="0" w:color="auto"/>
              <w:right w:val="single" w:sz="4" w:space="0" w:color="auto"/>
            </w:tcBorders>
            <w:vAlign w:val="center"/>
          </w:tcPr>
          <w:p w14:paraId="53C15D95"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Shute Harbour</w:t>
            </w:r>
          </w:p>
        </w:tc>
        <w:tc>
          <w:tcPr>
            <w:tcW w:w="779" w:type="dxa"/>
            <w:tcBorders>
              <w:top w:val="nil"/>
              <w:left w:val="single" w:sz="4" w:space="0" w:color="auto"/>
              <w:bottom w:val="single" w:sz="4" w:space="0" w:color="auto"/>
              <w:right w:val="single" w:sz="4" w:space="0" w:color="auto"/>
            </w:tcBorders>
            <w:vAlign w:val="center"/>
          </w:tcPr>
          <w:p w14:paraId="53C15D96"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2</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D97"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D98"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586" w:type="dxa"/>
            <w:tcBorders>
              <w:top w:val="nil"/>
              <w:left w:val="nil"/>
              <w:bottom w:val="single" w:sz="4" w:space="0" w:color="auto"/>
              <w:right w:val="single" w:sz="4" w:space="0" w:color="auto"/>
            </w:tcBorders>
            <w:shd w:val="clear" w:color="auto" w:fill="auto"/>
            <w:noWrap/>
            <w:vAlign w:val="center"/>
            <w:hideMark/>
          </w:tcPr>
          <w:p w14:paraId="53C15D99" w14:textId="77777777" w:rsidR="005B2CA4" w:rsidRPr="00F53F85" w:rsidRDefault="005B2CA4" w:rsidP="00316B11">
            <w:pPr>
              <w:spacing w:after="0"/>
              <w:jc w:val="center"/>
              <w:rPr>
                <w:rFonts w:ascii="Arial Narrow" w:hAnsi="Arial Narrow"/>
                <w:sz w:val="20"/>
                <w:szCs w:val="20"/>
                <w:lang w:eastAsia="en-AU"/>
              </w:rPr>
            </w:pPr>
          </w:p>
        </w:tc>
        <w:tc>
          <w:tcPr>
            <w:tcW w:w="564" w:type="dxa"/>
            <w:tcBorders>
              <w:top w:val="nil"/>
              <w:left w:val="nil"/>
              <w:bottom w:val="single" w:sz="4" w:space="0" w:color="auto"/>
              <w:right w:val="single" w:sz="4" w:space="0" w:color="auto"/>
            </w:tcBorders>
            <w:vAlign w:val="center"/>
          </w:tcPr>
          <w:p w14:paraId="53C15D9A" w14:textId="77777777" w:rsidR="005B2CA4" w:rsidRPr="00F53F85" w:rsidRDefault="005B2CA4"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D9B" w14:textId="77777777" w:rsidR="005B2CA4" w:rsidRPr="00F53F85" w:rsidRDefault="005B2CA4"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D9C" w14:textId="77777777" w:rsidR="005B2CA4" w:rsidRPr="00F53F85" w:rsidRDefault="005B2CA4" w:rsidP="00316B11">
            <w:pPr>
              <w:spacing w:after="0"/>
              <w:jc w:val="center"/>
              <w:rPr>
                <w:rFonts w:ascii="Arial Narrow" w:hAnsi="Arial Narrow"/>
                <w:sz w:val="20"/>
                <w:szCs w:val="20"/>
              </w:rPr>
            </w:pPr>
            <w:r w:rsidRPr="00F53F85">
              <w:rPr>
                <w:rFonts w:ascii="Arial Narrow" w:hAnsi="Arial Narrow"/>
                <w:sz w:val="20"/>
                <w:szCs w:val="20"/>
              </w:rPr>
              <w:t>0.13</w:t>
            </w: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D9D"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0.50</w:t>
            </w:r>
          </w:p>
        </w:tc>
        <w:tc>
          <w:tcPr>
            <w:tcW w:w="546" w:type="dxa"/>
            <w:tcBorders>
              <w:top w:val="nil"/>
              <w:left w:val="nil"/>
              <w:bottom w:val="single" w:sz="4" w:space="0" w:color="auto"/>
              <w:right w:val="single" w:sz="4" w:space="0" w:color="auto"/>
            </w:tcBorders>
            <w:shd w:val="clear" w:color="auto" w:fill="auto"/>
            <w:noWrap/>
            <w:vAlign w:val="center"/>
            <w:hideMark/>
          </w:tcPr>
          <w:p w14:paraId="53C15D9E" w14:textId="77777777" w:rsidR="005B2CA4" w:rsidRPr="00F53F85" w:rsidRDefault="005B2CA4" w:rsidP="00316B11">
            <w:pPr>
              <w:spacing w:after="0"/>
              <w:jc w:val="center"/>
              <w:rPr>
                <w:rFonts w:ascii="Arial Narrow" w:hAnsi="Arial Narrow"/>
                <w:sz w:val="20"/>
                <w:szCs w:val="20"/>
                <w:lang w:eastAsia="en-AU"/>
              </w:rPr>
            </w:pPr>
          </w:p>
        </w:tc>
        <w:tc>
          <w:tcPr>
            <w:tcW w:w="573" w:type="dxa"/>
            <w:tcBorders>
              <w:top w:val="nil"/>
              <w:left w:val="nil"/>
              <w:bottom w:val="single" w:sz="4" w:space="0" w:color="auto"/>
              <w:right w:val="single" w:sz="4" w:space="0" w:color="auto"/>
            </w:tcBorders>
            <w:shd w:val="clear" w:color="auto" w:fill="auto"/>
            <w:noWrap/>
            <w:vAlign w:val="center"/>
            <w:hideMark/>
          </w:tcPr>
          <w:p w14:paraId="53C15D9F" w14:textId="77777777" w:rsidR="005B2CA4" w:rsidRPr="00F53F85" w:rsidRDefault="005B2CA4"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DA0"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DA1" w14:textId="77777777" w:rsidR="005B2CA4" w:rsidRPr="00F53F85" w:rsidRDefault="005B2CA4"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DA2"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DA3"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DA4"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0.38</w:t>
            </w:r>
          </w:p>
        </w:tc>
        <w:tc>
          <w:tcPr>
            <w:tcW w:w="788" w:type="dxa"/>
            <w:tcBorders>
              <w:top w:val="nil"/>
              <w:left w:val="nil"/>
              <w:bottom w:val="single" w:sz="4" w:space="0" w:color="auto"/>
              <w:right w:val="single" w:sz="4" w:space="0" w:color="auto"/>
            </w:tcBorders>
            <w:shd w:val="clear" w:color="auto" w:fill="auto"/>
            <w:noWrap/>
            <w:vAlign w:val="center"/>
            <w:hideMark/>
          </w:tcPr>
          <w:p w14:paraId="53C15DA5" w14:textId="77777777" w:rsidR="005B2CA4" w:rsidRPr="00F53F85" w:rsidRDefault="005B2CA4" w:rsidP="00316B11">
            <w:pPr>
              <w:spacing w:after="0"/>
              <w:jc w:val="center"/>
              <w:rPr>
                <w:rFonts w:ascii="Arial Narrow" w:hAnsi="Arial Narrow"/>
                <w:sz w:val="20"/>
                <w:szCs w:val="20"/>
                <w:lang w:eastAsia="en-AU"/>
              </w:rPr>
            </w:pPr>
          </w:p>
        </w:tc>
        <w:tc>
          <w:tcPr>
            <w:tcW w:w="630" w:type="dxa"/>
            <w:tcBorders>
              <w:top w:val="nil"/>
              <w:left w:val="nil"/>
              <w:bottom w:val="single" w:sz="4" w:space="0" w:color="auto"/>
              <w:right w:val="single" w:sz="4" w:space="0" w:color="auto"/>
            </w:tcBorders>
            <w:vAlign w:val="center"/>
          </w:tcPr>
          <w:p w14:paraId="53C15DA6" w14:textId="77777777" w:rsidR="005B2CA4" w:rsidRPr="00F53F85" w:rsidRDefault="005B2CA4" w:rsidP="00316B11">
            <w:pPr>
              <w:spacing w:after="0"/>
              <w:jc w:val="center"/>
              <w:rPr>
                <w:rFonts w:ascii="Arial Narrow" w:hAnsi="Arial Narrow"/>
                <w:sz w:val="20"/>
                <w:szCs w:val="20"/>
                <w:lang w:eastAsia="en-AU"/>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DA7"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0.13</w:t>
            </w:r>
          </w:p>
        </w:tc>
      </w:tr>
      <w:tr w:rsidR="005B2CA4" w:rsidRPr="00F53F85" w14:paraId="53C15DBD" w14:textId="77777777" w:rsidTr="005B2CA4">
        <w:trPr>
          <w:trHeight w:val="340"/>
        </w:trPr>
        <w:tc>
          <w:tcPr>
            <w:tcW w:w="611" w:type="dxa"/>
            <w:vMerge/>
            <w:tcBorders>
              <w:left w:val="single" w:sz="4" w:space="0" w:color="auto"/>
              <w:right w:val="single" w:sz="4" w:space="0" w:color="auto"/>
            </w:tcBorders>
            <w:vAlign w:val="center"/>
            <w:hideMark/>
          </w:tcPr>
          <w:p w14:paraId="53C15DA9" w14:textId="77777777" w:rsidR="005B2CA4" w:rsidRPr="00F53F85" w:rsidRDefault="005B2CA4" w:rsidP="00F53F85">
            <w:pPr>
              <w:spacing w:after="0"/>
              <w:jc w:val="left"/>
              <w:rPr>
                <w:rFonts w:ascii="Arial Narrow" w:hAnsi="Arial Narrow"/>
                <w:sz w:val="20"/>
                <w:lang w:eastAsia="en-AU"/>
              </w:rPr>
            </w:pPr>
          </w:p>
        </w:tc>
        <w:tc>
          <w:tcPr>
            <w:tcW w:w="1134" w:type="dxa"/>
            <w:vMerge/>
            <w:tcBorders>
              <w:left w:val="single" w:sz="4" w:space="0" w:color="auto"/>
              <w:bottom w:val="single" w:sz="4" w:space="0" w:color="auto"/>
              <w:right w:val="single" w:sz="4" w:space="0" w:color="auto"/>
            </w:tcBorders>
            <w:vAlign w:val="center"/>
          </w:tcPr>
          <w:p w14:paraId="53C15DAA" w14:textId="77777777" w:rsidR="005B2CA4" w:rsidRPr="00F53F85" w:rsidRDefault="005B2CA4" w:rsidP="00316B11">
            <w:pPr>
              <w:spacing w:after="0"/>
              <w:jc w:val="center"/>
              <w:rPr>
                <w:rFonts w:ascii="Arial Narrow" w:hAnsi="Arial Narrow"/>
                <w:sz w:val="20"/>
                <w:szCs w:val="20"/>
                <w:lang w:eastAsia="en-AU"/>
              </w:rPr>
            </w:pPr>
          </w:p>
        </w:tc>
        <w:tc>
          <w:tcPr>
            <w:tcW w:w="779" w:type="dxa"/>
            <w:tcBorders>
              <w:top w:val="nil"/>
              <w:left w:val="single" w:sz="4" w:space="0" w:color="auto"/>
              <w:bottom w:val="single" w:sz="4" w:space="0" w:color="auto"/>
              <w:right w:val="single" w:sz="4" w:space="0" w:color="auto"/>
            </w:tcBorders>
            <w:vAlign w:val="center"/>
          </w:tcPr>
          <w:p w14:paraId="53C15DAB"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5</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DAC"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DAD"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0.19</w:t>
            </w:r>
          </w:p>
        </w:tc>
        <w:tc>
          <w:tcPr>
            <w:tcW w:w="586" w:type="dxa"/>
            <w:tcBorders>
              <w:top w:val="nil"/>
              <w:left w:val="nil"/>
              <w:bottom w:val="single" w:sz="4" w:space="0" w:color="auto"/>
              <w:right w:val="single" w:sz="4" w:space="0" w:color="auto"/>
            </w:tcBorders>
            <w:shd w:val="clear" w:color="auto" w:fill="auto"/>
            <w:noWrap/>
            <w:vAlign w:val="center"/>
            <w:hideMark/>
          </w:tcPr>
          <w:p w14:paraId="53C15DAE"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564" w:type="dxa"/>
            <w:tcBorders>
              <w:top w:val="nil"/>
              <w:left w:val="nil"/>
              <w:bottom w:val="single" w:sz="4" w:space="0" w:color="auto"/>
              <w:right w:val="single" w:sz="4" w:space="0" w:color="auto"/>
            </w:tcBorders>
            <w:vAlign w:val="center"/>
          </w:tcPr>
          <w:p w14:paraId="53C15DAF" w14:textId="77777777" w:rsidR="005B2CA4" w:rsidRPr="00F53F85" w:rsidRDefault="005B2CA4"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DB0" w14:textId="77777777" w:rsidR="005B2CA4" w:rsidRPr="00F53F85" w:rsidRDefault="005B2CA4"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DB1" w14:textId="77777777" w:rsidR="005B2CA4" w:rsidRPr="00F53F85" w:rsidRDefault="005B2CA4"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DB2"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0.31</w:t>
            </w:r>
          </w:p>
        </w:tc>
        <w:tc>
          <w:tcPr>
            <w:tcW w:w="546" w:type="dxa"/>
            <w:tcBorders>
              <w:top w:val="nil"/>
              <w:left w:val="nil"/>
              <w:bottom w:val="single" w:sz="4" w:space="0" w:color="auto"/>
              <w:right w:val="single" w:sz="4" w:space="0" w:color="auto"/>
            </w:tcBorders>
            <w:shd w:val="clear" w:color="auto" w:fill="auto"/>
            <w:noWrap/>
            <w:vAlign w:val="center"/>
            <w:hideMark/>
          </w:tcPr>
          <w:p w14:paraId="53C15DB3" w14:textId="77777777" w:rsidR="005B2CA4" w:rsidRPr="00F53F85" w:rsidRDefault="005B2CA4" w:rsidP="00316B11">
            <w:pPr>
              <w:spacing w:after="0"/>
              <w:jc w:val="center"/>
              <w:rPr>
                <w:rFonts w:ascii="Arial Narrow" w:hAnsi="Arial Narrow"/>
                <w:sz w:val="20"/>
                <w:szCs w:val="20"/>
                <w:lang w:eastAsia="en-AU"/>
              </w:rPr>
            </w:pPr>
          </w:p>
        </w:tc>
        <w:tc>
          <w:tcPr>
            <w:tcW w:w="573" w:type="dxa"/>
            <w:tcBorders>
              <w:top w:val="nil"/>
              <w:left w:val="nil"/>
              <w:bottom w:val="single" w:sz="4" w:space="0" w:color="auto"/>
              <w:right w:val="single" w:sz="4" w:space="0" w:color="auto"/>
            </w:tcBorders>
            <w:shd w:val="clear" w:color="auto" w:fill="auto"/>
            <w:noWrap/>
            <w:vAlign w:val="center"/>
            <w:hideMark/>
          </w:tcPr>
          <w:p w14:paraId="53C15DB4" w14:textId="77777777" w:rsidR="005B2CA4" w:rsidRPr="00F53F85" w:rsidRDefault="005B2CA4"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DB5"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0.13</w:t>
            </w:r>
          </w:p>
        </w:tc>
        <w:tc>
          <w:tcPr>
            <w:tcW w:w="536" w:type="dxa"/>
            <w:tcBorders>
              <w:top w:val="nil"/>
              <w:left w:val="nil"/>
              <w:bottom w:val="single" w:sz="4" w:space="0" w:color="auto"/>
              <w:right w:val="single" w:sz="4" w:space="0" w:color="auto"/>
            </w:tcBorders>
            <w:shd w:val="clear" w:color="auto" w:fill="auto"/>
            <w:noWrap/>
            <w:vAlign w:val="center"/>
            <w:hideMark/>
          </w:tcPr>
          <w:p w14:paraId="53C15DB6" w14:textId="77777777" w:rsidR="005B2CA4" w:rsidRPr="00F53F85" w:rsidRDefault="005B2CA4"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DB7"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788" w:type="dxa"/>
            <w:tcBorders>
              <w:top w:val="nil"/>
              <w:left w:val="nil"/>
              <w:bottom w:val="single" w:sz="4" w:space="0" w:color="auto"/>
              <w:right w:val="single" w:sz="4" w:space="0" w:color="auto"/>
            </w:tcBorders>
            <w:shd w:val="clear" w:color="auto" w:fill="auto"/>
            <w:noWrap/>
            <w:vAlign w:val="center"/>
            <w:hideMark/>
          </w:tcPr>
          <w:p w14:paraId="53C15DB8"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DB9"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0.13</w:t>
            </w:r>
          </w:p>
        </w:tc>
        <w:tc>
          <w:tcPr>
            <w:tcW w:w="788" w:type="dxa"/>
            <w:tcBorders>
              <w:top w:val="nil"/>
              <w:left w:val="nil"/>
              <w:bottom w:val="single" w:sz="4" w:space="0" w:color="auto"/>
              <w:right w:val="single" w:sz="4" w:space="0" w:color="auto"/>
            </w:tcBorders>
            <w:shd w:val="clear" w:color="auto" w:fill="auto"/>
            <w:noWrap/>
            <w:vAlign w:val="center"/>
            <w:hideMark/>
          </w:tcPr>
          <w:p w14:paraId="53C15DBA"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630" w:type="dxa"/>
            <w:tcBorders>
              <w:top w:val="nil"/>
              <w:left w:val="nil"/>
              <w:bottom w:val="single" w:sz="4" w:space="0" w:color="auto"/>
              <w:right w:val="single" w:sz="4" w:space="0" w:color="auto"/>
            </w:tcBorders>
            <w:vAlign w:val="center"/>
          </w:tcPr>
          <w:p w14:paraId="53C15DBB" w14:textId="77777777" w:rsidR="005B2CA4" w:rsidRPr="00F53F85" w:rsidRDefault="005B2CA4" w:rsidP="00316B11">
            <w:pPr>
              <w:spacing w:after="0"/>
              <w:jc w:val="center"/>
              <w:rPr>
                <w:rFonts w:ascii="Arial Narrow" w:hAnsi="Arial Narrow"/>
                <w:sz w:val="20"/>
                <w:szCs w:val="20"/>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DBC"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0.31</w:t>
            </w:r>
          </w:p>
        </w:tc>
      </w:tr>
      <w:tr w:rsidR="005B2CA4" w:rsidRPr="00F53F85" w14:paraId="53C15DD2" w14:textId="77777777" w:rsidTr="005B2CA4">
        <w:trPr>
          <w:trHeight w:val="340"/>
        </w:trPr>
        <w:tc>
          <w:tcPr>
            <w:tcW w:w="611" w:type="dxa"/>
            <w:vMerge/>
            <w:tcBorders>
              <w:left w:val="single" w:sz="4" w:space="0" w:color="auto"/>
              <w:right w:val="single" w:sz="4" w:space="0" w:color="auto"/>
            </w:tcBorders>
            <w:vAlign w:val="center"/>
            <w:hideMark/>
          </w:tcPr>
          <w:p w14:paraId="53C15DBE" w14:textId="77777777" w:rsidR="005B2CA4" w:rsidRPr="00F53F85" w:rsidRDefault="005B2CA4" w:rsidP="00F53F85">
            <w:pPr>
              <w:spacing w:after="0"/>
              <w:jc w:val="left"/>
              <w:rPr>
                <w:rFonts w:ascii="Arial Narrow" w:hAnsi="Arial Narrow"/>
                <w:sz w:val="20"/>
                <w:lang w:eastAsia="en-AU"/>
              </w:rPr>
            </w:pPr>
          </w:p>
        </w:tc>
        <w:tc>
          <w:tcPr>
            <w:tcW w:w="1134" w:type="dxa"/>
            <w:vMerge w:val="restart"/>
            <w:tcBorders>
              <w:top w:val="nil"/>
              <w:left w:val="single" w:sz="4" w:space="0" w:color="auto"/>
              <w:right w:val="single" w:sz="4" w:space="0" w:color="auto"/>
            </w:tcBorders>
            <w:vAlign w:val="center"/>
          </w:tcPr>
          <w:p w14:paraId="53C15DBF"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Pine</w:t>
            </w:r>
          </w:p>
        </w:tc>
        <w:tc>
          <w:tcPr>
            <w:tcW w:w="779" w:type="dxa"/>
            <w:tcBorders>
              <w:top w:val="nil"/>
              <w:left w:val="single" w:sz="4" w:space="0" w:color="auto"/>
              <w:bottom w:val="single" w:sz="4" w:space="0" w:color="auto"/>
              <w:right w:val="single" w:sz="4" w:space="0" w:color="auto"/>
            </w:tcBorders>
            <w:vAlign w:val="center"/>
          </w:tcPr>
          <w:p w14:paraId="53C15DC0"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2</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DC1"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1.25</w:t>
            </w:r>
          </w:p>
        </w:tc>
        <w:tc>
          <w:tcPr>
            <w:tcW w:w="536" w:type="dxa"/>
            <w:tcBorders>
              <w:top w:val="nil"/>
              <w:left w:val="nil"/>
              <w:bottom w:val="single" w:sz="4" w:space="0" w:color="auto"/>
              <w:right w:val="single" w:sz="4" w:space="0" w:color="auto"/>
            </w:tcBorders>
            <w:shd w:val="clear" w:color="auto" w:fill="auto"/>
            <w:noWrap/>
            <w:vAlign w:val="center"/>
            <w:hideMark/>
          </w:tcPr>
          <w:p w14:paraId="53C15DC2"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0.44</w:t>
            </w:r>
          </w:p>
        </w:tc>
        <w:tc>
          <w:tcPr>
            <w:tcW w:w="586" w:type="dxa"/>
            <w:tcBorders>
              <w:top w:val="nil"/>
              <w:left w:val="nil"/>
              <w:bottom w:val="single" w:sz="4" w:space="0" w:color="auto"/>
              <w:right w:val="single" w:sz="4" w:space="0" w:color="auto"/>
            </w:tcBorders>
            <w:shd w:val="clear" w:color="auto" w:fill="auto"/>
            <w:noWrap/>
            <w:vAlign w:val="center"/>
            <w:hideMark/>
          </w:tcPr>
          <w:p w14:paraId="53C15DC3"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0.88</w:t>
            </w:r>
          </w:p>
        </w:tc>
        <w:tc>
          <w:tcPr>
            <w:tcW w:w="564" w:type="dxa"/>
            <w:tcBorders>
              <w:top w:val="nil"/>
              <w:left w:val="nil"/>
              <w:bottom w:val="single" w:sz="4" w:space="0" w:color="auto"/>
              <w:right w:val="single" w:sz="4" w:space="0" w:color="auto"/>
            </w:tcBorders>
            <w:vAlign w:val="center"/>
          </w:tcPr>
          <w:p w14:paraId="53C15DC4" w14:textId="77777777" w:rsidR="005B2CA4" w:rsidRPr="00F53F85" w:rsidRDefault="005B2CA4"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DC5"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0.25</w:t>
            </w:r>
          </w:p>
        </w:tc>
        <w:tc>
          <w:tcPr>
            <w:tcW w:w="662" w:type="dxa"/>
            <w:tcBorders>
              <w:top w:val="nil"/>
              <w:left w:val="nil"/>
              <w:bottom w:val="single" w:sz="4" w:space="0" w:color="auto"/>
              <w:right w:val="single" w:sz="4" w:space="0" w:color="auto"/>
            </w:tcBorders>
            <w:vAlign w:val="center"/>
          </w:tcPr>
          <w:p w14:paraId="53C15DC6" w14:textId="77777777" w:rsidR="005B2CA4" w:rsidRPr="00F53F85" w:rsidRDefault="005B2CA4"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DC7"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8.00</w:t>
            </w:r>
          </w:p>
        </w:tc>
        <w:tc>
          <w:tcPr>
            <w:tcW w:w="546" w:type="dxa"/>
            <w:tcBorders>
              <w:top w:val="nil"/>
              <w:left w:val="nil"/>
              <w:bottom w:val="single" w:sz="4" w:space="0" w:color="auto"/>
              <w:right w:val="single" w:sz="4" w:space="0" w:color="auto"/>
            </w:tcBorders>
            <w:shd w:val="clear" w:color="auto" w:fill="auto"/>
            <w:noWrap/>
            <w:vAlign w:val="center"/>
            <w:hideMark/>
          </w:tcPr>
          <w:p w14:paraId="53C15DC8"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573" w:type="dxa"/>
            <w:tcBorders>
              <w:top w:val="nil"/>
              <w:left w:val="nil"/>
              <w:bottom w:val="single" w:sz="4" w:space="0" w:color="auto"/>
              <w:right w:val="single" w:sz="4" w:space="0" w:color="auto"/>
            </w:tcBorders>
            <w:shd w:val="clear" w:color="auto" w:fill="auto"/>
            <w:noWrap/>
            <w:vAlign w:val="center"/>
            <w:hideMark/>
          </w:tcPr>
          <w:p w14:paraId="53C15DC9"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0.63</w:t>
            </w:r>
          </w:p>
        </w:tc>
        <w:tc>
          <w:tcPr>
            <w:tcW w:w="799" w:type="dxa"/>
            <w:tcBorders>
              <w:top w:val="nil"/>
              <w:left w:val="nil"/>
              <w:bottom w:val="single" w:sz="4" w:space="0" w:color="auto"/>
              <w:right w:val="single" w:sz="4" w:space="0" w:color="auto"/>
            </w:tcBorders>
            <w:shd w:val="clear" w:color="auto" w:fill="auto"/>
            <w:noWrap/>
            <w:vAlign w:val="center"/>
            <w:hideMark/>
          </w:tcPr>
          <w:p w14:paraId="53C15DCA"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0.50</w:t>
            </w:r>
          </w:p>
        </w:tc>
        <w:tc>
          <w:tcPr>
            <w:tcW w:w="536" w:type="dxa"/>
            <w:tcBorders>
              <w:top w:val="nil"/>
              <w:left w:val="nil"/>
              <w:bottom w:val="single" w:sz="4" w:space="0" w:color="auto"/>
              <w:right w:val="single" w:sz="4" w:space="0" w:color="auto"/>
            </w:tcBorders>
            <w:shd w:val="clear" w:color="auto" w:fill="auto"/>
            <w:noWrap/>
            <w:vAlign w:val="center"/>
            <w:hideMark/>
          </w:tcPr>
          <w:p w14:paraId="53C15DCB" w14:textId="77777777" w:rsidR="005B2CA4" w:rsidRPr="00F53F85" w:rsidRDefault="005B2CA4"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DCC"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DCD"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0.88</w:t>
            </w:r>
          </w:p>
        </w:tc>
        <w:tc>
          <w:tcPr>
            <w:tcW w:w="788" w:type="dxa"/>
            <w:tcBorders>
              <w:top w:val="nil"/>
              <w:left w:val="nil"/>
              <w:bottom w:val="single" w:sz="4" w:space="0" w:color="auto"/>
              <w:right w:val="single" w:sz="4" w:space="0" w:color="auto"/>
            </w:tcBorders>
            <w:shd w:val="clear" w:color="auto" w:fill="auto"/>
            <w:noWrap/>
            <w:vAlign w:val="center"/>
            <w:hideMark/>
          </w:tcPr>
          <w:p w14:paraId="53C15DCE"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4.63</w:t>
            </w:r>
          </w:p>
        </w:tc>
        <w:tc>
          <w:tcPr>
            <w:tcW w:w="788" w:type="dxa"/>
            <w:tcBorders>
              <w:top w:val="nil"/>
              <w:left w:val="nil"/>
              <w:bottom w:val="single" w:sz="4" w:space="0" w:color="auto"/>
              <w:right w:val="single" w:sz="4" w:space="0" w:color="auto"/>
            </w:tcBorders>
            <w:shd w:val="clear" w:color="auto" w:fill="auto"/>
            <w:noWrap/>
            <w:vAlign w:val="center"/>
            <w:hideMark/>
          </w:tcPr>
          <w:p w14:paraId="53C15DCF"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2.00</w:t>
            </w:r>
          </w:p>
        </w:tc>
        <w:tc>
          <w:tcPr>
            <w:tcW w:w="630" w:type="dxa"/>
            <w:tcBorders>
              <w:top w:val="nil"/>
              <w:left w:val="nil"/>
              <w:bottom w:val="single" w:sz="4" w:space="0" w:color="auto"/>
              <w:right w:val="single" w:sz="4" w:space="0" w:color="auto"/>
            </w:tcBorders>
            <w:vAlign w:val="center"/>
          </w:tcPr>
          <w:p w14:paraId="53C15DD0" w14:textId="77777777" w:rsidR="005B2CA4" w:rsidRPr="00F53F85" w:rsidRDefault="005B2CA4" w:rsidP="00316B11">
            <w:pPr>
              <w:spacing w:after="0"/>
              <w:jc w:val="center"/>
              <w:rPr>
                <w:rFonts w:ascii="Arial Narrow" w:hAnsi="Arial Narrow"/>
                <w:sz w:val="20"/>
                <w:szCs w:val="20"/>
                <w:lang w:eastAsia="en-AU"/>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DD1"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2.94</w:t>
            </w:r>
          </w:p>
        </w:tc>
      </w:tr>
      <w:tr w:rsidR="005B2CA4" w:rsidRPr="00F53F85" w14:paraId="53C15DE7" w14:textId="77777777" w:rsidTr="005B2CA4">
        <w:trPr>
          <w:trHeight w:val="340"/>
        </w:trPr>
        <w:tc>
          <w:tcPr>
            <w:tcW w:w="611" w:type="dxa"/>
            <w:vMerge/>
            <w:tcBorders>
              <w:left w:val="single" w:sz="4" w:space="0" w:color="auto"/>
              <w:right w:val="single" w:sz="4" w:space="0" w:color="auto"/>
            </w:tcBorders>
            <w:vAlign w:val="center"/>
            <w:hideMark/>
          </w:tcPr>
          <w:p w14:paraId="53C15DD3" w14:textId="77777777" w:rsidR="005B2CA4" w:rsidRPr="00F53F85" w:rsidRDefault="005B2CA4" w:rsidP="00F53F85">
            <w:pPr>
              <w:spacing w:after="0"/>
              <w:jc w:val="left"/>
              <w:rPr>
                <w:rFonts w:ascii="Arial Narrow" w:hAnsi="Arial Narrow"/>
                <w:sz w:val="20"/>
                <w:lang w:eastAsia="en-AU"/>
              </w:rPr>
            </w:pPr>
          </w:p>
        </w:tc>
        <w:tc>
          <w:tcPr>
            <w:tcW w:w="1134" w:type="dxa"/>
            <w:vMerge/>
            <w:tcBorders>
              <w:left w:val="single" w:sz="4" w:space="0" w:color="auto"/>
              <w:bottom w:val="single" w:sz="4" w:space="0" w:color="auto"/>
              <w:right w:val="single" w:sz="4" w:space="0" w:color="auto"/>
            </w:tcBorders>
            <w:vAlign w:val="center"/>
          </w:tcPr>
          <w:p w14:paraId="53C15DD4" w14:textId="77777777" w:rsidR="005B2CA4" w:rsidRPr="00F53F85" w:rsidRDefault="005B2CA4" w:rsidP="00316B11">
            <w:pPr>
              <w:spacing w:after="0"/>
              <w:jc w:val="center"/>
              <w:rPr>
                <w:rFonts w:ascii="Arial Narrow" w:hAnsi="Arial Narrow" w:cs="Calibri"/>
                <w:sz w:val="20"/>
                <w:szCs w:val="20"/>
              </w:rPr>
            </w:pPr>
          </w:p>
        </w:tc>
        <w:tc>
          <w:tcPr>
            <w:tcW w:w="779" w:type="dxa"/>
            <w:tcBorders>
              <w:top w:val="nil"/>
              <w:left w:val="single" w:sz="4" w:space="0" w:color="auto"/>
              <w:bottom w:val="single" w:sz="4" w:space="0" w:color="auto"/>
              <w:right w:val="single" w:sz="4" w:space="0" w:color="auto"/>
            </w:tcBorders>
            <w:vAlign w:val="center"/>
          </w:tcPr>
          <w:p w14:paraId="53C15DD5" w14:textId="77777777" w:rsidR="005B2CA4" w:rsidRPr="00F53F85" w:rsidRDefault="005B2CA4" w:rsidP="00316B11">
            <w:pPr>
              <w:spacing w:after="0"/>
              <w:jc w:val="center"/>
              <w:rPr>
                <w:rFonts w:ascii="Arial Narrow" w:hAnsi="Arial Narrow" w:cs="Calibri"/>
                <w:sz w:val="20"/>
                <w:szCs w:val="20"/>
              </w:rPr>
            </w:pPr>
            <w:r w:rsidRPr="00F53F85">
              <w:rPr>
                <w:rFonts w:ascii="Arial Narrow" w:hAnsi="Arial Narrow"/>
                <w:sz w:val="20"/>
                <w:szCs w:val="20"/>
              </w:rPr>
              <w:t>5</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DD6"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DD7"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0.44</w:t>
            </w:r>
          </w:p>
        </w:tc>
        <w:tc>
          <w:tcPr>
            <w:tcW w:w="586" w:type="dxa"/>
            <w:tcBorders>
              <w:top w:val="nil"/>
              <w:left w:val="nil"/>
              <w:bottom w:val="single" w:sz="4" w:space="0" w:color="auto"/>
              <w:right w:val="single" w:sz="4" w:space="0" w:color="auto"/>
            </w:tcBorders>
            <w:shd w:val="clear" w:color="auto" w:fill="auto"/>
            <w:noWrap/>
            <w:vAlign w:val="center"/>
            <w:hideMark/>
          </w:tcPr>
          <w:p w14:paraId="53C15DD8"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0.13</w:t>
            </w:r>
          </w:p>
        </w:tc>
        <w:tc>
          <w:tcPr>
            <w:tcW w:w="564" w:type="dxa"/>
            <w:tcBorders>
              <w:top w:val="nil"/>
              <w:left w:val="nil"/>
              <w:bottom w:val="single" w:sz="4" w:space="0" w:color="auto"/>
              <w:right w:val="single" w:sz="4" w:space="0" w:color="auto"/>
            </w:tcBorders>
            <w:vAlign w:val="center"/>
          </w:tcPr>
          <w:p w14:paraId="53C15DD9" w14:textId="77777777" w:rsidR="005B2CA4" w:rsidRPr="00F53F85" w:rsidRDefault="005B2CA4"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DDA" w14:textId="77777777" w:rsidR="005B2CA4" w:rsidRPr="00F53F85" w:rsidRDefault="005B2CA4"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DDB" w14:textId="77777777" w:rsidR="005B2CA4" w:rsidRPr="00F53F85" w:rsidRDefault="005B2CA4"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DDC"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0.38</w:t>
            </w:r>
          </w:p>
        </w:tc>
        <w:tc>
          <w:tcPr>
            <w:tcW w:w="546" w:type="dxa"/>
            <w:tcBorders>
              <w:top w:val="nil"/>
              <w:left w:val="nil"/>
              <w:bottom w:val="single" w:sz="4" w:space="0" w:color="auto"/>
              <w:right w:val="single" w:sz="4" w:space="0" w:color="auto"/>
            </w:tcBorders>
            <w:shd w:val="clear" w:color="auto" w:fill="auto"/>
            <w:noWrap/>
            <w:vAlign w:val="center"/>
            <w:hideMark/>
          </w:tcPr>
          <w:p w14:paraId="53C15DDD" w14:textId="77777777" w:rsidR="005B2CA4" w:rsidRPr="00F53F85" w:rsidRDefault="005B2CA4" w:rsidP="00316B11">
            <w:pPr>
              <w:spacing w:after="0"/>
              <w:jc w:val="center"/>
              <w:rPr>
                <w:rFonts w:ascii="Arial Narrow" w:hAnsi="Arial Narrow"/>
                <w:sz w:val="20"/>
                <w:szCs w:val="20"/>
                <w:lang w:eastAsia="en-AU"/>
              </w:rPr>
            </w:pPr>
          </w:p>
        </w:tc>
        <w:tc>
          <w:tcPr>
            <w:tcW w:w="573" w:type="dxa"/>
            <w:tcBorders>
              <w:top w:val="nil"/>
              <w:left w:val="nil"/>
              <w:bottom w:val="single" w:sz="4" w:space="0" w:color="auto"/>
              <w:right w:val="single" w:sz="4" w:space="0" w:color="auto"/>
            </w:tcBorders>
            <w:shd w:val="clear" w:color="auto" w:fill="auto"/>
            <w:noWrap/>
            <w:vAlign w:val="center"/>
            <w:hideMark/>
          </w:tcPr>
          <w:p w14:paraId="53C15DDE"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0.69</w:t>
            </w:r>
          </w:p>
        </w:tc>
        <w:tc>
          <w:tcPr>
            <w:tcW w:w="799" w:type="dxa"/>
            <w:tcBorders>
              <w:top w:val="nil"/>
              <w:left w:val="nil"/>
              <w:bottom w:val="single" w:sz="4" w:space="0" w:color="auto"/>
              <w:right w:val="single" w:sz="4" w:space="0" w:color="auto"/>
            </w:tcBorders>
            <w:shd w:val="clear" w:color="auto" w:fill="auto"/>
            <w:noWrap/>
            <w:vAlign w:val="center"/>
            <w:hideMark/>
          </w:tcPr>
          <w:p w14:paraId="53C15DDF"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DE0" w14:textId="77777777" w:rsidR="005B2CA4" w:rsidRPr="00F53F85" w:rsidRDefault="005B2CA4"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DE1"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DE2"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0.13</w:t>
            </w:r>
          </w:p>
        </w:tc>
        <w:tc>
          <w:tcPr>
            <w:tcW w:w="788" w:type="dxa"/>
            <w:tcBorders>
              <w:top w:val="nil"/>
              <w:left w:val="nil"/>
              <w:bottom w:val="single" w:sz="4" w:space="0" w:color="auto"/>
              <w:right w:val="single" w:sz="4" w:space="0" w:color="auto"/>
            </w:tcBorders>
            <w:shd w:val="clear" w:color="auto" w:fill="auto"/>
            <w:noWrap/>
            <w:vAlign w:val="center"/>
            <w:hideMark/>
          </w:tcPr>
          <w:p w14:paraId="53C15DE3"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4.50</w:t>
            </w:r>
          </w:p>
        </w:tc>
        <w:tc>
          <w:tcPr>
            <w:tcW w:w="788" w:type="dxa"/>
            <w:tcBorders>
              <w:top w:val="nil"/>
              <w:left w:val="nil"/>
              <w:bottom w:val="single" w:sz="4" w:space="0" w:color="auto"/>
              <w:right w:val="single" w:sz="4" w:space="0" w:color="auto"/>
            </w:tcBorders>
            <w:shd w:val="clear" w:color="auto" w:fill="auto"/>
            <w:noWrap/>
            <w:vAlign w:val="center"/>
            <w:hideMark/>
          </w:tcPr>
          <w:p w14:paraId="53C15DE4"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0.13</w:t>
            </w:r>
          </w:p>
        </w:tc>
        <w:tc>
          <w:tcPr>
            <w:tcW w:w="630" w:type="dxa"/>
            <w:tcBorders>
              <w:top w:val="nil"/>
              <w:left w:val="nil"/>
              <w:bottom w:val="single" w:sz="4" w:space="0" w:color="auto"/>
              <w:right w:val="single" w:sz="4" w:space="0" w:color="auto"/>
            </w:tcBorders>
            <w:vAlign w:val="center"/>
          </w:tcPr>
          <w:p w14:paraId="53C15DE5" w14:textId="77777777" w:rsidR="005B2CA4" w:rsidRPr="00F53F85" w:rsidRDefault="005B2CA4" w:rsidP="00316B11">
            <w:pPr>
              <w:spacing w:after="0"/>
              <w:jc w:val="center"/>
              <w:rPr>
                <w:rFonts w:ascii="Arial Narrow" w:hAnsi="Arial Narrow"/>
                <w:sz w:val="20"/>
                <w:szCs w:val="20"/>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DE6"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0.13</w:t>
            </w:r>
          </w:p>
        </w:tc>
      </w:tr>
      <w:tr w:rsidR="005B2CA4" w:rsidRPr="00F53F85" w14:paraId="53C15DFC" w14:textId="77777777" w:rsidTr="00633C8A">
        <w:trPr>
          <w:trHeight w:val="366"/>
        </w:trPr>
        <w:tc>
          <w:tcPr>
            <w:tcW w:w="611" w:type="dxa"/>
            <w:vMerge/>
            <w:tcBorders>
              <w:left w:val="single" w:sz="4" w:space="0" w:color="auto"/>
              <w:right w:val="single" w:sz="4" w:space="0" w:color="auto"/>
            </w:tcBorders>
            <w:vAlign w:val="center"/>
            <w:hideMark/>
          </w:tcPr>
          <w:p w14:paraId="53C15DE8" w14:textId="77777777" w:rsidR="005B2CA4" w:rsidRPr="00F53F85" w:rsidRDefault="005B2CA4" w:rsidP="00F53F85">
            <w:pPr>
              <w:spacing w:after="0"/>
              <w:jc w:val="left"/>
              <w:rPr>
                <w:rFonts w:ascii="Arial Narrow" w:hAnsi="Arial Narrow"/>
                <w:sz w:val="20"/>
                <w:lang w:eastAsia="en-AU"/>
              </w:rPr>
            </w:pPr>
          </w:p>
        </w:tc>
        <w:tc>
          <w:tcPr>
            <w:tcW w:w="1134" w:type="dxa"/>
            <w:vMerge w:val="restart"/>
            <w:tcBorders>
              <w:top w:val="single" w:sz="4" w:space="0" w:color="auto"/>
              <w:left w:val="single" w:sz="4" w:space="0" w:color="auto"/>
              <w:right w:val="single" w:sz="4" w:space="0" w:color="auto"/>
            </w:tcBorders>
            <w:vAlign w:val="center"/>
          </w:tcPr>
          <w:p w14:paraId="53C15DE9" w14:textId="77777777" w:rsidR="005B2CA4" w:rsidRPr="00F53F85" w:rsidRDefault="005B2CA4" w:rsidP="005B2CA4">
            <w:pPr>
              <w:spacing w:after="0"/>
              <w:jc w:val="center"/>
              <w:rPr>
                <w:rFonts w:ascii="Arial Narrow" w:hAnsi="Arial Narrow"/>
                <w:sz w:val="20"/>
                <w:szCs w:val="20"/>
                <w:lang w:eastAsia="en-AU"/>
              </w:rPr>
            </w:pPr>
            <w:r w:rsidRPr="00F53F85">
              <w:rPr>
                <w:rFonts w:ascii="Arial Narrow" w:hAnsi="Arial Narrow"/>
                <w:sz w:val="20"/>
                <w:szCs w:val="20"/>
              </w:rPr>
              <w:t>Seaforth</w:t>
            </w:r>
          </w:p>
        </w:tc>
        <w:tc>
          <w:tcPr>
            <w:tcW w:w="779" w:type="dxa"/>
            <w:tcBorders>
              <w:top w:val="nil"/>
              <w:left w:val="single" w:sz="4" w:space="0" w:color="auto"/>
              <w:bottom w:val="single" w:sz="4" w:space="0" w:color="auto"/>
              <w:right w:val="single" w:sz="4" w:space="0" w:color="auto"/>
            </w:tcBorders>
            <w:vAlign w:val="center"/>
          </w:tcPr>
          <w:p w14:paraId="53C15DEA"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2</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DEB"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0.94</w:t>
            </w:r>
          </w:p>
        </w:tc>
        <w:tc>
          <w:tcPr>
            <w:tcW w:w="536" w:type="dxa"/>
            <w:tcBorders>
              <w:top w:val="nil"/>
              <w:left w:val="nil"/>
              <w:bottom w:val="single" w:sz="4" w:space="0" w:color="auto"/>
              <w:right w:val="single" w:sz="4" w:space="0" w:color="auto"/>
            </w:tcBorders>
            <w:shd w:val="clear" w:color="auto" w:fill="auto"/>
            <w:noWrap/>
            <w:vAlign w:val="center"/>
            <w:hideMark/>
          </w:tcPr>
          <w:p w14:paraId="53C15DEC"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586" w:type="dxa"/>
            <w:tcBorders>
              <w:top w:val="nil"/>
              <w:left w:val="nil"/>
              <w:bottom w:val="single" w:sz="4" w:space="0" w:color="auto"/>
              <w:right w:val="single" w:sz="4" w:space="0" w:color="auto"/>
            </w:tcBorders>
            <w:shd w:val="clear" w:color="auto" w:fill="auto"/>
            <w:noWrap/>
            <w:vAlign w:val="center"/>
            <w:hideMark/>
          </w:tcPr>
          <w:p w14:paraId="53C15DED"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1.94</w:t>
            </w:r>
          </w:p>
        </w:tc>
        <w:tc>
          <w:tcPr>
            <w:tcW w:w="564" w:type="dxa"/>
            <w:tcBorders>
              <w:top w:val="nil"/>
              <w:left w:val="nil"/>
              <w:bottom w:val="single" w:sz="4" w:space="0" w:color="auto"/>
              <w:right w:val="single" w:sz="4" w:space="0" w:color="auto"/>
            </w:tcBorders>
            <w:vAlign w:val="center"/>
          </w:tcPr>
          <w:p w14:paraId="53C15DEE" w14:textId="77777777" w:rsidR="005B2CA4" w:rsidRPr="00F53F85" w:rsidRDefault="005B2CA4"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DEF" w14:textId="77777777" w:rsidR="005B2CA4" w:rsidRPr="00F53F85" w:rsidRDefault="005B2CA4"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DF0" w14:textId="77777777" w:rsidR="005B2CA4" w:rsidRPr="00F53F85" w:rsidRDefault="005B2CA4"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DF1"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7.50</w:t>
            </w:r>
          </w:p>
        </w:tc>
        <w:tc>
          <w:tcPr>
            <w:tcW w:w="546" w:type="dxa"/>
            <w:tcBorders>
              <w:top w:val="nil"/>
              <w:left w:val="nil"/>
              <w:bottom w:val="single" w:sz="4" w:space="0" w:color="auto"/>
              <w:right w:val="single" w:sz="4" w:space="0" w:color="auto"/>
            </w:tcBorders>
            <w:shd w:val="clear" w:color="auto" w:fill="auto"/>
            <w:noWrap/>
            <w:vAlign w:val="center"/>
            <w:hideMark/>
          </w:tcPr>
          <w:p w14:paraId="53C15DF2"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573" w:type="dxa"/>
            <w:tcBorders>
              <w:top w:val="nil"/>
              <w:left w:val="nil"/>
              <w:bottom w:val="single" w:sz="4" w:space="0" w:color="auto"/>
              <w:right w:val="single" w:sz="4" w:space="0" w:color="auto"/>
            </w:tcBorders>
            <w:shd w:val="clear" w:color="auto" w:fill="auto"/>
            <w:noWrap/>
            <w:vAlign w:val="center"/>
            <w:hideMark/>
          </w:tcPr>
          <w:p w14:paraId="53C15DF3"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799" w:type="dxa"/>
            <w:tcBorders>
              <w:top w:val="nil"/>
              <w:left w:val="nil"/>
              <w:bottom w:val="single" w:sz="4" w:space="0" w:color="auto"/>
              <w:right w:val="single" w:sz="4" w:space="0" w:color="auto"/>
            </w:tcBorders>
            <w:shd w:val="clear" w:color="auto" w:fill="auto"/>
            <w:noWrap/>
            <w:vAlign w:val="center"/>
            <w:hideMark/>
          </w:tcPr>
          <w:p w14:paraId="53C15DF4"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0.13</w:t>
            </w:r>
          </w:p>
        </w:tc>
        <w:tc>
          <w:tcPr>
            <w:tcW w:w="536" w:type="dxa"/>
            <w:tcBorders>
              <w:top w:val="nil"/>
              <w:left w:val="nil"/>
              <w:bottom w:val="single" w:sz="4" w:space="0" w:color="auto"/>
              <w:right w:val="single" w:sz="4" w:space="0" w:color="auto"/>
            </w:tcBorders>
            <w:shd w:val="clear" w:color="auto" w:fill="auto"/>
            <w:noWrap/>
            <w:vAlign w:val="center"/>
            <w:hideMark/>
          </w:tcPr>
          <w:p w14:paraId="53C15DF5" w14:textId="77777777" w:rsidR="005B2CA4" w:rsidRPr="00F53F85" w:rsidRDefault="005B2CA4"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DF6"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0.25</w:t>
            </w:r>
          </w:p>
        </w:tc>
        <w:tc>
          <w:tcPr>
            <w:tcW w:w="788" w:type="dxa"/>
            <w:tcBorders>
              <w:top w:val="nil"/>
              <w:left w:val="nil"/>
              <w:bottom w:val="single" w:sz="4" w:space="0" w:color="auto"/>
              <w:right w:val="single" w:sz="4" w:space="0" w:color="auto"/>
            </w:tcBorders>
            <w:shd w:val="clear" w:color="auto" w:fill="auto"/>
            <w:noWrap/>
            <w:vAlign w:val="center"/>
            <w:hideMark/>
          </w:tcPr>
          <w:p w14:paraId="53C15DF7"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0.19</w:t>
            </w:r>
          </w:p>
        </w:tc>
        <w:tc>
          <w:tcPr>
            <w:tcW w:w="788" w:type="dxa"/>
            <w:tcBorders>
              <w:top w:val="nil"/>
              <w:left w:val="nil"/>
              <w:bottom w:val="single" w:sz="4" w:space="0" w:color="auto"/>
              <w:right w:val="single" w:sz="4" w:space="0" w:color="auto"/>
            </w:tcBorders>
            <w:shd w:val="clear" w:color="auto" w:fill="auto"/>
            <w:noWrap/>
            <w:vAlign w:val="center"/>
            <w:hideMark/>
          </w:tcPr>
          <w:p w14:paraId="53C15DF8"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3.13</w:t>
            </w:r>
          </w:p>
        </w:tc>
        <w:tc>
          <w:tcPr>
            <w:tcW w:w="788" w:type="dxa"/>
            <w:tcBorders>
              <w:top w:val="nil"/>
              <w:left w:val="nil"/>
              <w:bottom w:val="single" w:sz="4" w:space="0" w:color="auto"/>
              <w:right w:val="single" w:sz="4" w:space="0" w:color="auto"/>
            </w:tcBorders>
            <w:shd w:val="clear" w:color="auto" w:fill="auto"/>
            <w:noWrap/>
            <w:vAlign w:val="center"/>
            <w:hideMark/>
          </w:tcPr>
          <w:p w14:paraId="53C15DF9"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4.06</w:t>
            </w:r>
          </w:p>
        </w:tc>
        <w:tc>
          <w:tcPr>
            <w:tcW w:w="630" w:type="dxa"/>
            <w:tcBorders>
              <w:top w:val="nil"/>
              <w:left w:val="nil"/>
              <w:bottom w:val="single" w:sz="4" w:space="0" w:color="auto"/>
              <w:right w:val="single" w:sz="4" w:space="0" w:color="auto"/>
            </w:tcBorders>
            <w:vAlign w:val="center"/>
          </w:tcPr>
          <w:p w14:paraId="53C15DFA" w14:textId="77777777" w:rsidR="005B2CA4" w:rsidRPr="00F53F85" w:rsidRDefault="005B2CA4" w:rsidP="00316B11">
            <w:pPr>
              <w:spacing w:after="0"/>
              <w:jc w:val="center"/>
              <w:rPr>
                <w:rFonts w:ascii="Arial Narrow" w:hAnsi="Arial Narrow"/>
                <w:sz w:val="20"/>
                <w:szCs w:val="20"/>
                <w:lang w:eastAsia="en-AU"/>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DFB"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4.25</w:t>
            </w:r>
          </w:p>
        </w:tc>
      </w:tr>
      <w:tr w:rsidR="005B2CA4" w:rsidRPr="00F53F85" w14:paraId="53C15E11" w14:textId="77777777" w:rsidTr="00633C8A">
        <w:trPr>
          <w:trHeight w:val="340"/>
        </w:trPr>
        <w:tc>
          <w:tcPr>
            <w:tcW w:w="611" w:type="dxa"/>
            <w:vMerge/>
            <w:tcBorders>
              <w:left w:val="single" w:sz="4" w:space="0" w:color="auto"/>
              <w:bottom w:val="single" w:sz="4" w:space="0" w:color="auto"/>
              <w:right w:val="single" w:sz="4" w:space="0" w:color="auto"/>
            </w:tcBorders>
            <w:vAlign w:val="center"/>
            <w:hideMark/>
          </w:tcPr>
          <w:p w14:paraId="53C15DFD" w14:textId="77777777" w:rsidR="005B2CA4" w:rsidRPr="00F53F85" w:rsidRDefault="005B2CA4" w:rsidP="00F53F85">
            <w:pPr>
              <w:spacing w:after="0"/>
              <w:jc w:val="center"/>
              <w:rPr>
                <w:rFonts w:ascii="Arial Narrow" w:hAnsi="Arial Narrow"/>
                <w:sz w:val="20"/>
                <w:lang w:eastAsia="en-AU"/>
              </w:rPr>
            </w:pPr>
          </w:p>
        </w:tc>
        <w:tc>
          <w:tcPr>
            <w:tcW w:w="1134" w:type="dxa"/>
            <w:vMerge/>
            <w:tcBorders>
              <w:left w:val="single" w:sz="4" w:space="0" w:color="auto"/>
              <w:bottom w:val="single" w:sz="4" w:space="0" w:color="auto"/>
              <w:right w:val="single" w:sz="4" w:space="0" w:color="auto"/>
            </w:tcBorders>
            <w:vAlign w:val="center"/>
          </w:tcPr>
          <w:p w14:paraId="53C15DFE" w14:textId="77777777" w:rsidR="005B2CA4" w:rsidRPr="00F53F85" w:rsidRDefault="005B2CA4" w:rsidP="005B2CA4">
            <w:pPr>
              <w:spacing w:after="0"/>
              <w:jc w:val="center"/>
              <w:rPr>
                <w:rFonts w:ascii="Arial Narrow" w:hAnsi="Arial Narrow" w:cs="Calibri"/>
                <w:sz w:val="20"/>
                <w:szCs w:val="20"/>
              </w:rPr>
            </w:pPr>
          </w:p>
        </w:tc>
        <w:tc>
          <w:tcPr>
            <w:tcW w:w="779" w:type="dxa"/>
            <w:tcBorders>
              <w:top w:val="nil"/>
              <w:left w:val="single" w:sz="4" w:space="0" w:color="auto"/>
              <w:bottom w:val="single" w:sz="4" w:space="0" w:color="auto"/>
              <w:right w:val="single" w:sz="4" w:space="0" w:color="auto"/>
            </w:tcBorders>
            <w:vAlign w:val="center"/>
          </w:tcPr>
          <w:p w14:paraId="53C15DFF" w14:textId="77777777" w:rsidR="005B2CA4" w:rsidRPr="00F53F85" w:rsidRDefault="005B2CA4" w:rsidP="00316B11">
            <w:pPr>
              <w:spacing w:after="0"/>
              <w:jc w:val="center"/>
              <w:rPr>
                <w:rFonts w:ascii="Arial Narrow" w:hAnsi="Arial Narrow" w:cs="Calibri"/>
                <w:sz w:val="20"/>
                <w:szCs w:val="20"/>
              </w:rPr>
            </w:pPr>
            <w:r w:rsidRPr="00F53F85">
              <w:rPr>
                <w:rFonts w:ascii="Arial Narrow" w:hAnsi="Arial Narrow"/>
                <w:sz w:val="20"/>
                <w:szCs w:val="20"/>
              </w:rPr>
              <w:t>5</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E00"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E01" w14:textId="77777777" w:rsidR="005B2CA4" w:rsidRPr="00F53F85" w:rsidRDefault="005B2CA4" w:rsidP="00316B11">
            <w:pPr>
              <w:spacing w:after="0"/>
              <w:jc w:val="center"/>
              <w:rPr>
                <w:rFonts w:ascii="Arial Narrow" w:hAnsi="Arial Narrow"/>
                <w:sz w:val="20"/>
                <w:szCs w:val="20"/>
                <w:lang w:eastAsia="en-AU"/>
              </w:rPr>
            </w:pPr>
          </w:p>
        </w:tc>
        <w:tc>
          <w:tcPr>
            <w:tcW w:w="586" w:type="dxa"/>
            <w:tcBorders>
              <w:top w:val="nil"/>
              <w:left w:val="nil"/>
              <w:bottom w:val="single" w:sz="4" w:space="0" w:color="auto"/>
              <w:right w:val="single" w:sz="4" w:space="0" w:color="auto"/>
            </w:tcBorders>
            <w:shd w:val="clear" w:color="auto" w:fill="auto"/>
            <w:noWrap/>
            <w:vAlign w:val="center"/>
            <w:hideMark/>
          </w:tcPr>
          <w:p w14:paraId="53C15E02"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2.31</w:t>
            </w:r>
          </w:p>
        </w:tc>
        <w:tc>
          <w:tcPr>
            <w:tcW w:w="564" w:type="dxa"/>
            <w:tcBorders>
              <w:top w:val="nil"/>
              <w:left w:val="nil"/>
              <w:bottom w:val="single" w:sz="4" w:space="0" w:color="auto"/>
              <w:right w:val="single" w:sz="4" w:space="0" w:color="auto"/>
            </w:tcBorders>
            <w:vAlign w:val="center"/>
          </w:tcPr>
          <w:p w14:paraId="53C15E03" w14:textId="77777777" w:rsidR="005B2CA4" w:rsidRPr="00F53F85" w:rsidRDefault="005B2CA4"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E04" w14:textId="77777777" w:rsidR="005B2CA4" w:rsidRPr="00F53F85" w:rsidRDefault="005B2CA4"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E05" w14:textId="77777777" w:rsidR="005B2CA4" w:rsidRPr="00F53F85" w:rsidRDefault="005B2CA4"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E06"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0.25</w:t>
            </w:r>
          </w:p>
        </w:tc>
        <w:tc>
          <w:tcPr>
            <w:tcW w:w="546" w:type="dxa"/>
            <w:tcBorders>
              <w:top w:val="nil"/>
              <w:left w:val="nil"/>
              <w:bottom w:val="single" w:sz="4" w:space="0" w:color="auto"/>
              <w:right w:val="single" w:sz="4" w:space="0" w:color="auto"/>
            </w:tcBorders>
            <w:shd w:val="clear" w:color="auto" w:fill="auto"/>
            <w:noWrap/>
            <w:vAlign w:val="center"/>
            <w:hideMark/>
          </w:tcPr>
          <w:p w14:paraId="53C15E07"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573" w:type="dxa"/>
            <w:tcBorders>
              <w:top w:val="nil"/>
              <w:left w:val="nil"/>
              <w:bottom w:val="single" w:sz="4" w:space="0" w:color="auto"/>
              <w:right w:val="single" w:sz="4" w:space="0" w:color="auto"/>
            </w:tcBorders>
            <w:shd w:val="clear" w:color="auto" w:fill="auto"/>
            <w:noWrap/>
            <w:vAlign w:val="center"/>
            <w:hideMark/>
          </w:tcPr>
          <w:p w14:paraId="53C15E08" w14:textId="77777777" w:rsidR="005B2CA4" w:rsidRPr="00F53F85" w:rsidRDefault="005B2CA4"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E09"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0.19</w:t>
            </w:r>
          </w:p>
        </w:tc>
        <w:tc>
          <w:tcPr>
            <w:tcW w:w="536" w:type="dxa"/>
            <w:tcBorders>
              <w:top w:val="nil"/>
              <w:left w:val="nil"/>
              <w:bottom w:val="single" w:sz="4" w:space="0" w:color="auto"/>
              <w:right w:val="single" w:sz="4" w:space="0" w:color="auto"/>
            </w:tcBorders>
            <w:shd w:val="clear" w:color="auto" w:fill="auto"/>
            <w:noWrap/>
            <w:vAlign w:val="center"/>
            <w:hideMark/>
          </w:tcPr>
          <w:p w14:paraId="53C15E0A" w14:textId="77777777" w:rsidR="005B2CA4" w:rsidRPr="00F53F85" w:rsidRDefault="005B2CA4"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E0B"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0.25</w:t>
            </w:r>
          </w:p>
        </w:tc>
        <w:tc>
          <w:tcPr>
            <w:tcW w:w="788" w:type="dxa"/>
            <w:tcBorders>
              <w:top w:val="nil"/>
              <w:left w:val="nil"/>
              <w:bottom w:val="single" w:sz="4" w:space="0" w:color="auto"/>
              <w:right w:val="single" w:sz="4" w:space="0" w:color="auto"/>
            </w:tcBorders>
            <w:shd w:val="clear" w:color="auto" w:fill="auto"/>
            <w:noWrap/>
            <w:vAlign w:val="center"/>
            <w:hideMark/>
          </w:tcPr>
          <w:p w14:paraId="53C15E0C"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788" w:type="dxa"/>
            <w:tcBorders>
              <w:top w:val="nil"/>
              <w:left w:val="nil"/>
              <w:bottom w:val="single" w:sz="4" w:space="0" w:color="auto"/>
              <w:right w:val="single" w:sz="4" w:space="0" w:color="auto"/>
            </w:tcBorders>
            <w:shd w:val="clear" w:color="auto" w:fill="auto"/>
            <w:noWrap/>
            <w:vAlign w:val="center"/>
            <w:hideMark/>
          </w:tcPr>
          <w:p w14:paraId="53C15E0D"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3.69</w:t>
            </w:r>
          </w:p>
        </w:tc>
        <w:tc>
          <w:tcPr>
            <w:tcW w:w="788" w:type="dxa"/>
            <w:tcBorders>
              <w:top w:val="nil"/>
              <w:left w:val="nil"/>
              <w:bottom w:val="single" w:sz="4" w:space="0" w:color="auto"/>
              <w:right w:val="single" w:sz="4" w:space="0" w:color="auto"/>
            </w:tcBorders>
            <w:shd w:val="clear" w:color="auto" w:fill="auto"/>
            <w:noWrap/>
            <w:vAlign w:val="center"/>
            <w:hideMark/>
          </w:tcPr>
          <w:p w14:paraId="53C15E0E"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0.31</w:t>
            </w:r>
          </w:p>
        </w:tc>
        <w:tc>
          <w:tcPr>
            <w:tcW w:w="630" w:type="dxa"/>
            <w:tcBorders>
              <w:top w:val="nil"/>
              <w:left w:val="nil"/>
              <w:bottom w:val="single" w:sz="4" w:space="0" w:color="auto"/>
              <w:right w:val="single" w:sz="4" w:space="0" w:color="auto"/>
            </w:tcBorders>
            <w:vAlign w:val="center"/>
          </w:tcPr>
          <w:p w14:paraId="53C15E0F" w14:textId="77777777" w:rsidR="005B2CA4" w:rsidRPr="00F53F85" w:rsidRDefault="005B2CA4" w:rsidP="00316B11">
            <w:pPr>
              <w:spacing w:after="0"/>
              <w:jc w:val="center"/>
              <w:rPr>
                <w:rFonts w:ascii="Arial Narrow" w:hAnsi="Arial Narrow"/>
                <w:sz w:val="20"/>
                <w:szCs w:val="20"/>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E10"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1.31</w:t>
            </w:r>
          </w:p>
        </w:tc>
      </w:tr>
      <w:tr w:rsidR="005B2CA4" w:rsidRPr="00F53F85" w14:paraId="53C15E26" w14:textId="77777777" w:rsidTr="005B2CA4">
        <w:trPr>
          <w:trHeight w:val="340"/>
        </w:trPr>
        <w:tc>
          <w:tcPr>
            <w:tcW w:w="611" w:type="dxa"/>
            <w:vMerge w:val="restart"/>
            <w:tcBorders>
              <w:top w:val="single" w:sz="4" w:space="0" w:color="auto"/>
              <w:left w:val="single" w:sz="4" w:space="0" w:color="auto"/>
              <w:right w:val="single" w:sz="4" w:space="0" w:color="auto"/>
            </w:tcBorders>
            <w:textDirection w:val="btLr"/>
            <w:vAlign w:val="center"/>
            <w:hideMark/>
          </w:tcPr>
          <w:p w14:paraId="53C15E12" w14:textId="77777777" w:rsidR="005B2CA4" w:rsidRPr="00F53F85" w:rsidRDefault="005B2CA4" w:rsidP="005B2CA4">
            <w:pPr>
              <w:spacing w:after="0"/>
              <w:ind w:left="113" w:right="113"/>
              <w:jc w:val="center"/>
              <w:rPr>
                <w:rFonts w:ascii="Arial Narrow" w:hAnsi="Arial Narrow"/>
                <w:sz w:val="20"/>
                <w:lang w:eastAsia="en-AU"/>
              </w:rPr>
            </w:pPr>
            <w:r>
              <w:rPr>
                <w:rFonts w:ascii="Arial Narrow" w:hAnsi="Arial Narrow"/>
                <w:sz w:val="20"/>
                <w:lang w:eastAsia="en-AU"/>
              </w:rPr>
              <w:t>Fitzroy</w:t>
            </w:r>
          </w:p>
        </w:tc>
        <w:tc>
          <w:tcPr>
            <w:tcW w:w="1134" w:type="dxa"/>
            <w:vMerge w:val="restart"/>
            <w:tcBorders>
              <w:top w:val="nil"/>
              <w:left w:val="single" w:sz="4" w:space="0" w:color="auto"/>
              <w:right w:val="single" w:sz="4" w:space="0" w:color="auto"/>
            </w:tcBorders>
            <w:vAlign w:val="center"/>
          </w:tcPr>
          <w:p w14:paraId="53C15E13" w14:textId="77777777" w:rsidR="005B2CA4" w:rsidRPr="00F53F85" w:rsidRDefault="005B2CA4" w:rsidP="005B2CA4">
            <w:pPr>
              <w:spacing w:after="0"/>
              <w:jc w:val="center"/>
              <w:rPr>
                <w:rFonts w:ascii="Arial Narrow" w:hAnsi="Arial Narrow"/>
                <w:sz w:val="20"/>
                <w:szCs w:val="20"/>
                <w:lang w:eastAsia="en-AU"/>
              </w:rPr>
            </w:pPr>
            <w:r w:rsidRPr="00F53F85">
              <w:rPr>
                <w:rFonts w:ascii="Arial Narrow" w:hAnsi="Arial Narrow"/>
                <w:sz w:val="20"/>
                <w:szCs w:val="20"/>
              </w:rPr>
              <w:t>Barren</w:t>
            </w:r>
          </w:p>
        </w:tc>
        <w:tc>
          <w:tcPr>
            <w:tcW w:w="779" w:type="dxa"/>
            <w:tcBorders>
              <w:top w:val="nil"/>
              <w:left w:val="single" w:sz="4" w:space="0" w:color="auto"/>
              <w:bottom w:val="single" w:sz="4" w:space="0" w:color="auto"/>
              <w:right w:val="single" w:sz="4" w:space="0" w:color="auto"/>
            </w:tcBorders>
            <w:vAlign w:val="center"/>
          </w:tcPr>
          <w:p w14:paraId="53C15E14"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2</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E15"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E16" w14:textId="77777777" w:rsidR="005B2CA4" w:rsidRPr="00F53F85" w:rsidRDefault="005B2CA4" w:rsidP="00316B11">
            <w:pPr>
              <w:spacing w:after="0"/>
              <w:jc w:val="center"/>
              <w:rPr>
                <w:rFonts w:ascii="Arial Narrow" w:hAnsi="Arial Narrow"/>
                <w:sz w:val="20"/>
                <w:szCs w:val="20"/>
                <w:lang w:eastAsia="en-AU"/>
              </w:rPr>
            </w:pPr>
          </w:p>
        </w:tc>
        <w:tc>
          <w:tcPr>
            <w:tcW w:w="586" w:type="dxa"/>
            <w:tcBorders>
              <w:top w:val="nil"/>
              <w:left w:val="nil"/>
              <w:bottom w:val="single" w:sz="4" w:space="0" w:color="auto"/>
              <w:right w:val="single" w:sz="4" w:space="0" w:color="auto"/>
            </w:tcBorders>
            <w:shd w:val="clear" w:color="auto" w:fill="auto"/>
            <w:noWrap/>
            <w:vAlign w:val="center"/>
            <w:hideMark/>
          </w:tcPr>
          <w:p w14:paraId="53C15E17" w14:textId="77777777" w:rsidR="005B2CA4" w:rsidRPr="00F53F85" w:rsidRDefault="005B2CA4" w:rsidP="00316B11">
            <w:pPr>
              <w:spacing w:after="0"/>
              <w:jc w:val="center"/>
              <w:rPr>
                <w:rFonts w:ascii="Arial Narrow" w:hAnsi="Arial Narrow"/>
                <w:sz w:val="20"/>
                <w:szCs w:val="20"/>
                <w:lang w:eastAsia="en-AU"/>
              </w:rPr>
            </w:pPr>
          </w:p>
        </w:tc>
        <w:tc>
          <w:tcPr>
            <w:tcW w:w="564" w:type="dxa"/>
            <w:tcBorders>
              <w:top w:val="nil"/>
              <w:left w:val="nil"/>
              <w:bottom w:val="single" w:sz="4" w:space="0" w:color="auto"/>
              <w:right w:val="single" w:sz="4" w:space="0" w:color="auto"/>
            </w:tcBorders>
            <w:vAlign w:val="center"/>
          </w:tcPr>
          <w:p w14:paraId="53C15E18" w14:textId="77777777" w:rsidR="005B2CA4" w:rsidRPr="00F53F85" w:rsidRDefault="005B2CA4"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E19" w14:textId="77777777" w:rsidR="005B2CA4" w:rsidRPr="00F53F85" w:rsidRDefault="005B2CA4"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E1A" w14:textId="77777777" w:rsidR="005B2CA4" w:rsidRPr="00F53F85" w:rsidRDefault="005B2CA4"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E1B"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1.20</w:t>
            </w:r>
          </w:p>
        </w:tc>
        <w:tc>
          <w:tcPr>
            <w:tcW w:w="546" w:type="dxa"/>
            <w:tcBorders>
              <w:top w:val="nil"/>
              <w:left w:val="nil"/>
              <w:bottom w:val="single" w:sz="4" w:space="0" w:color="auto"/>
              <w:right w:val="single" w:sz="4" w:space="0" w:color="auto"/>
            </w:tcBorders>
            <w:shd w:val="clear" w:color="auto" w:fill="auto"/>
            <w:noWrap/>
            <w:vAlign w:val="center"/>
            <w:hideMark/>
          </w:tcPr>
          <w:p w14:paraId="53C15E1C" w14:textId="77777777" w:rsidR="005B2CA4" w:rsidRPr="00F53F85" w:rsidRDefault="005B2CA4" w:rsidP="00316B11">
            <w:pPr>
              <w:spacing w:after="0"/>
              <w:jc w:val="center"/>
              <w:rPr>
                <w:rFonts w:ascii="Arial Narrow" w:hAnsi="Arial Narrow"/>
                <w:sz w:val="20"/>
                <w:szCs w:val="20"/>
                <w:lang w:eastAsia="en-AU"/>
              </w:rPr>
            </w:pPr>
          </w:p>
        </w:tc>
        <w:tc>
          <w:tcPr>
            <w:tcW w:w="573" w:type="dxa"/>
            <w:tcBorders>
              <w:top w:val="nil"/>
              <w:left w:val="nil"/>
              <w:bottom w:val="single" w:sz="4" w:space="0" w:color="auto"/>
              <w:right w:val="single" w:sz="4" w:space="0" w:color="auto"/>
            </w:tcBorders>
            <w:shd w:val="clear" w:color="auto" w:fill="auto"/>
            <w:noWrap/>
            <w:vAlign w:val="center"/>
            <w:hideMark/>
          </w:tcPr>
          <w:p w14:paraId="53C15E1D" w14:textId="77777777" w:rsidR="005B2CA4" w:rsidRPr="00F53F85" w:rsidRDefault="005B2CA4"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E1E"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E1F" w14:textId="77777777" w:rsidR="005B2CA4" w:rsidRPr="00F53F85" w:rsidRDefault="005B2CA4"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E20"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E21"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E22"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E23" w14:textId="77777777" w:rsidR="005B2CA4" w:rsidRPr="00F53F85" w:rsidRDefault="005B2CA4" w:rsidP="00316B11">
            <w:pPr>
              <w:spacing w:after="0"/>
              <w:jc w:val="center"/>
              <w:rPr>
                <w:rFonts w:ascii="Arial Narrow" w:hAnsi="Arial Narrow"/>
                <w:sz w:val="20"/>
                <w:szCs w:val="20"/>
                <w:lang w:eastAsia="en-AU"/>
              </w:rPr>
            </w:pPr>
          </w:p>
        </w:tc>
        <w:tc>
          <w:tcPr>
            <w:tcW w:w="630" w:type="dxa"/>
            <w:tcBorders>
              <w:top w:val="nil"/>
              <w:left w:val="nil"/>
              <w:bottom w:val="single" w:sz="4" w:space="0" w:color="auto"/>
              <w:right w:val="single" w:sz="4" w:space="0" w:color="auto"/>
            </w:tcBorders>
            <w:vAlign w:val="center"/>
          </w:tcPr>
          <w:p w14:paraId="53C15E24" w14:textId="77777777" w:rsidR="005B2CA4" w:rsidRPr="00F53F85" w:rsidRDefault="005B2CA4" w:rsidP="00316B11">
            <w:pPr>
              <w:spacing w:after="0"/>
              <w:jc w:val="center"/>
              <w:rPr>
                <w:rFonts w:ascii="Arial Narrow" w:hAnsi="Arial Narrow"/>
                <w:sz w:val="20"/>
                <w:szCs w:val="20"/>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E25"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0.07</w:t>
            </w:r>
          </w:p>
        </w:tc>
      </w:tr>
      <w:tr w:rsidR="005B2CA4" w:rsidRPr="00F53F85" w14:paraId="53C15E3B" w14:textId="77777777" w:rsidTr="005B2CA4">
        <w:trPr>
          <w:trHeight w:val="340"/>
        </w:trPr>
        <w:tc>
          <w:tcPr>
            <w:tcW w:w="611" w:type="dxa"/>
            <w:vMerge/>
            <w:tcBorders>
              <w:left w:val="single" w:sz="4" w:space="0" w:color="auto"/>
              <w:right w:val="single" w:sz="4" w:space="0" w:color="auto"/>
            </w:tcBorders>
            <w:shd w:val="clear" w:color="auto" w:fill="auto"/>
            <w:noWrap/>
            <w:textDirection w:val="btLr"/>
            <w:vAlign w:val="center"/>
            <w:hideMark/>
          </w:tcPr>
          <w:p w14:paraId="53C15E27" w14:textId="77777777" w:rsidR="005B2CA4" w:rsidRPr="00F53F85" w:rsidRDefault="005B2CA4" w:rsidP="00F53F85">
            <w:pPr>
              <w:spacing w:after="0"/>
              <w:jc w:val="center"/>
              <w:rPr>
                <w:rFonts w:ascii="Arial Narrow" w:hAnsi="Arial Narrow"/>
                <w:sz w:val="20"/>
                <w:lang w:eastAsia="en-AU"/>
              </w:rPr>
            </w:pPr>
          </w:p>
        </w:tc>
        <w:tc>
          <w:tcPr>
            <w:tcW w:w="1134" w:type="dxa"/>
            <w:vMerge/>
            <w:tcBorders>
              <w:left w:val="single" w:sz="4" w:space="0" w:color="auto"/>
              <w:bottom w:val="single" w:sz="4" w:space="0" w:color="auto"/>
              <w:right w:val="single" w:sz="4" w:space="0" w:color="auto"/>
            </w:tcBorders>
            <w:vAlign w:val="center"/>
          </w:tcPr>
          <w:p w14:paraId="53C15E28" w14:textId="77777777" w:rsidR="005B2CA4" w:rsidRPr="00F53F85" w:rsidRDefault="005B2CA4" w:rsidP="00316B11">
            <w:pPr>
              <w:spacing w:after="0"/>
              <w:jc w:val="center"/>
              <w:rPr>
                <w:rFonts w:ascii="Arial Narrow" w:hAnsi="Arial Narrow"/>
                <w:sz w:val="20"/>
                <w:szCs w:val="20"/>
                <w:lang w:eastAsia="en-AU"/>
              </w:rPr>
            </w:pPr>
          </w:p>
        </w:tc>
        <w:tc>
          <w:tcPr>
            <w:tcW w:w="779" w:type="dxa"/>
            <w:tcBorders>
              <w:top w:val="nil"/>
              <w:left w:val="single" w:sz="4" w:space="0" w:color="auto"/>
              <w:bottom w:val="single" w:sz="4" w:space="0" w:color="auto"/>
              <w:right w:val="single" w:sz="4" w:space="0" w:color="auto"/>
            </w:tcBorders>
            <w:vAlign w:val="center"/>
          </w:tcPr>
          <w:p w14:paraId="53C15E29"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5</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E2A"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E2B"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586" w:type="dxa"/>
            <w:tcBorders>
              <w:top w:val="nil"/>
              <w:left w:val="nil"/>
              <w:bottom w:val="single" w:sz="4" w:space="0" w:color="auto"/>
              <w:right w:val="single" w:sz="4" w:space="0" w:color="auto"/>
            </w:tcBorders>
            <w:shd w:val="clear" w:color="auto" w:fill="auto"/>
            <w:noWrap/>
            <w:vAlign w:val="center"/>
            <w:hideMark/>
          </w:tcPr>
          <w:p w14:paraId="53C15E2C" w14:textId="77777777" w:rsidR="005B2CA4" w:rsidRPr="00F53F85" w:rsidRDefault="005B2CA4" w:rsidP="00316B11">
            <w:pPr>
              <w:spacing w:after="0"/>
              <w:jc w:val="center"/>
              <w:rPr>
                <w:rFonts w:ascii="Arial Narrow" w:hAnsi="Arial Narrow"/>
                <w:sz w:val="20"/>
                <w:szCs w:val="20"/>
                <w:lang w:eastAsia="en-AU"/>
              </w:rPr>
            </w:pPr>
          </w:p>
        </w:tc>
        <w:tc>
          <w:tcPr>
            <w:tcW w:w="564" w:type="dxa"/>
            <w:tcBorders>
              <w:top w:val="nil"/>
              <w:left w:val="nil"/>
              <w:bottom w:val="single" w:sz="4" w:space="0" w:color="auto"/>
              <w:right w:val="single" w:sz="4" w:space="0" w:color="auto"/>
            </w:tcBorders>
            <w:vAlign w:val="center"/>
          </w:tcPr>
          <w:p w14:paraId="53C15E2D" w14:textId="77777777" w:rsidR="005B2CA4" w:rsidRPr="00F53F85" w:rsidRDefault="005B2CA4"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E2E" w14:textId="77777777" w:rsidR="005B2CA4" w:rsidRPr="00F53F85" w:rsidRDefault="005B2CA4"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E2F" w14:textId="77777777" w:rsidR="005B2CA4" w:rsidRPr="00F53F85" w:rsidRDefault="005B2CA4"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E30"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7.01</w:t>
            </w:r>
          </w:p>
        </w:tc>
        <w:tc>
          <w:tcPr>
            <w:tcW w:w="546" w:type="dxa"/>
            <w:tcBorders>
              <w:top w:val="nil"/>
              <w:left w:val="nil"/>
              <w:bottom w:val="single" w:sz="4" w:space="0" w:color="auto"/>
              <w:right w:val="single" w:sz="4" w:space="0" w:color="auto"/>
            </w:tcBorders>
            <w:shd w:val="clear" w:color="auto" w:fill="auto"/>
            <w:noWrap/>
            <w:vAlign w:val="center"/>
            <w:hideMark/>
          </w:tcPr>
          <w:p w14:paraId="53C15E31" w14:textId="77777777" w:rsidR="005B2CA4" w:rsidRPr="00F53F85" w:rsidRDefault="005B2CA4" w:rsidP="00316B11">
            <w:pPr>
              <w:spacing w:after="0"/>
              <w:jc w:val="center"/>
              <w:rPr>
                <w:rFonts w:ascii="Arial Narrow" w:hAnsi="Arial Narrow"/>
                <w:sz w:val="20"/>
                <w:szCs w:val="20"/>
                <w:lang w:eastAsia="en-AU"/>
              </w:rPr>
            </w:pPr>
          </w:p>
        </w:tc>
        <w:tc>
          <w:tcPr>
            <w:tcW w:w="573" w:type="dxa"/>
            <w:tcBorders>
              <w:top w:val="nil"/>
              <w:left w:val="nil"/>
              <w:bottom w:val="single" w:sz="4" w:space="0" w:color="auto"/>
              <w:right w:val="single" w:sz="4" w:space="0" w:color="auto"/>
            </w:tcBorders>
            <w:shd w:val="clear" w:color="auto" w:fill="auto"/>
            <w:noWrap/>
            <w:vAlign w:val="center"/>
            <w:hideMark/>
          </w:tcPr>
          <w:p w14:paraId="53C15E32" w14:textId="77777777" w:rsidR="005B2CA4" w:rsidRPr="00F53F85" w:rsidRDefault="005B2CA4"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E33"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E34" w14:textId="77777777" w:rsidR="005B2CA4" w:rsidRPr="00F53F85" w:rsidRDefault="005B2CA4"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E35"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E36"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E37"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0.31</w:t>
            </w:r>
          </w:p>
        </w:tc>
        <w:tc>
          <w:tcPr>
            <w:tcW w:w="788" w:type="dxa"/>
            <w:tcBorders>
              <w:top w:val="nil"/>
              <w:left w:val="nil"/>
              <w:bottom w:val="single" w:sz="4" w:space="0" w:color="auto"/>
              <w:right w:val="single" w:sz="4" w:space="0" w:color="auto"/>
            </w:tcBorders>
            <w:shd w:val="clear" w:color="auto" w:fill="auto"/>
            <w:noWrap/>
            <w:vAlign w:val="center"/>
            <w:hideMark/>
          </w:tcPr>
          <w:p w14:paraId="53C15E38" w14:textId="77777777" w:rsidR="005B2CA4" w:rsidRPr="00F53F85" w:rsidRDefault="005B2CA4" w:rsidP="00316B11">
            <w:pPr>
              <w:spacing w:after="0"/>
              <w:jc w:val="center"/>
              <w:rPr>
                <w:rFonts w:ascii="Arial Narrow" w:hAnsi="Arial Narrow"/>
                <w:sz w:val="20"/>
                <w:szCs w:val="20"/>
                <w:lang w:eastAsia="en-AU"/>
              </w:rPr>
            </w:pPr>
          </w:p>
        </w:tc>
        <w:tc>
          <w:tcPr>
            <w:tcW w:w="630" w:type="dxa"/>
            <w:tcBorders>
              <w:top w:val="nil"/>
              <w:left w:val="nil"/>
              <w:bottom w:val="single" w:sz="4" w:space="0" w:color="auto"/>
              <w:right w:val="single" w:sz="4" w:space="0" w:color="auto"/>
            </w:tcBorders>
            <w:vAlign w:val="center"/>
          </w:tcPr>
          <w:p w14:paraId="53C15E39" w14:textId="77777777" w:rsidR="005B2CA4" w:rsidRPr="00F53F85" w:rsidRDefault="005B2CA4" w:rsidP="00316B11">
            <w:pPr>
              <w:spacing w:after="0"/>
              <w:jc w:val="center"/>
              <w:rPr>
                <w:rFonts w:ascii="Arial Narrow" w:hAnsi="Arial Narrow"/>
                <w:sz w:val="20"/>
                <w:szCs w:val="20"/>
                <w:lang w:eastAsia="en-AU"/>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E3A" w14:textId="77777777" w:rsidR="005B2CA4" w:rsidRPr="00F53F85" w:rsidRDefault="005B2CA4" w:rsidP="00316B11">
            <w:pPr>
              <w:spacing w:after="0"/>
              <w:jc w:val="center"/>
              <w:rPr>
                <w:rFonts w:ascii="Arial Narrow" w:hAnsi="Arial Narrow"/>
                <w:sz w:val="20"/>
                <w:szCs w:val="20"/>
                <w:lang w:eastAsia="en-AU"/>
              </w:rPr>
            </w:pPr>
          </w:p>
        </w:tc>
      </w:tr>
      <w:tr w:rsidR="005B2CA4" w:rsidRPr="00F53F85" w14:paraId="53C15E50" w14:textId="77777777" w:rsidTr="005B2CA4">
        <w:trPr>
          <w:trHeight w:val="340"/>
        </w:trPr>
        <w:tc>
          <w:tcPr>
            <w:tcW w:w="611" w:type="dxa"/>
            <w:vMerge/>
            <w:tcBorders>
              <w:left w:val="single" w:sz="4" w:space="0" w:color="auto"/>
              <w:right w:val="single" w:sz="4" w:space="0" w:color="auto"/>
            </w:tcBorders>
            <w:vAlign w:val="center"/>
            <w:hideMark/>
          </w:tcPr>
          <w:p w14:paraId="53C15E3C" w14:textId="77777777" w:rsidR="005B2CA4" w:rsidRPr="00F53F85" w:rsidRDefault="005B2CA4" w:rsidP="00F53F85">
            <w:pPr>
              <w:spacing w:after="0"/>
              <w:jc w:val="left"/>
              <w:rPr>
                <w:rFonts w:ascii="Arial Narrow" w:hAnsi="Arial Narrow"/>
                <w:sz w:val="20"/>
                <w:lang w:eastAsia="en-AU"/>
              </w:rPr>
            </w:pPr>
          </w:p>
        </w:tc>
        <w:tc>
          <w:tcPr>
            <w:tcW w:w="1134" w:type="dxa"/>
            <w:vMerge w:val="restart"/>
            <w:tcBorders>
              <w:top w:val="nil"/>
              <w:left w:val="single" w:sz="4" w:space="0" w:color="auto"/>
              <w:right w:val="single" w:sz="4" w:space="0" w:color="auto"/>
            </w:tcBorders>
            <w:vAlign w:val="center"/>
          </w:tcPr>
          <w:p w14:paraId="53C15E3D" w14:textId="77777777" w:rsidR="005B2CA4" w:rsidRPr="00F53F85" w:rsidRDefault="005B2CA4" w:rsidP="005B2CA4">
            <w:pPr>
              <w:spacing w:after="0"/>
              <w:jc w:val="center"/>
              <w:rPr>
                <w:rFonts w:ascii="Arial Narrow" w:hAnsi="Arial Narrow"/>
                <w:sz w:val="20"/>
                <w:szCs w:val="20"/>
                <w:lang w:eastAsia="en-AU"/>
              </w:rPr>
            </w:pPr>
            <w:r w:rsidRPr="00F53F85">
              <w:rPr>
                <w:rFonts w:ascii="Arial Narrow" w:hAnsi="Arial Narrow"/>
                <w:sz w:val="20"/>
                <w:szCs w:val="20"/>
              </w:rPr>
              <w:t>North Keppel</w:t>
            </w:r>
          </w:p>
        </w:tc>
        <w:tc>
          <w:tcPr>
            <w:tcW w:w="779" w:type="dxa"/>
            <w:tcBorders>
              <w:top w:val="nil"/>
              <w:left w:val="single" w:sz="4" w:space="0" w:color="auto"/>
              <w:bottom w:val="single" w:sz="4" w:space="0" w:color="auto"/>
              <w:right w:val="single" w:sz="4" w:space="0" w:color="auto"/>
            </w:tcBorders>
            <w:vAlign w:val="center"/>
          </w:tcPr>
          <w:p w14:paraId="53C15E3E"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2</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E3F"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E40"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1.06</w:t>
            </w:r>
          </w:p>
        </w:tc>
        <w:tc>
          <w:tcPr>
            <w:tcW w:w="586" w:type="dxa"/>
            <w:tcBorders>
              <w:top w:val="nil"/>
              <w:left w:val="nil"/>
              <w:bottom w:val="single" w:sz="4" w:space="0" w:color="auto"/>
              <w:right w:val="single" w:sz="4" w:space="0" w:color="auto"/>
            </w:tcBorders>
            <w:shd w:val="clear" w:color="auto" w:fill="auto"/>
            <w:noWrap/>
            <w:vAlign w:val="center"/>
            <w:hideMark/>
          </w:tcPr>
          <w:p w14:paraId="53C15E41" w14:textId="77777777" w:rsidR="005B2CA4" w:rsidRPr="00F53F85" w:rsidRDefault="005B2CA4" w:rsidP="00316B11">
            <w:pPr>
              <w:spacing w:after="0"/>
              <w:jc w:val="center"/>
              <w:rPr>
                <w:rFonts w:ascii="Arial Narrow" w:hAnsi="Arial Narrow"/>
                <w:sz w:val="20"/>
                <w:szCs w:val="20"/>
                <w:lang w:eastAsia="en-AU"/>
              </w:rPr>
            </w:pPr>
          </w:p>
        </w:tc>
        <w:tc>
          <w:tcPr>
            <w:tcW w:w="564" w:type="dxa"/>
            <w:tcBorders>
              <w:top w:val="nil"/>
              <w:left w:val="nil"/>
              <w:bottom w:val="single" w:sz="4" w:space="0" w:color="auto"/>
              <w:right w:val="single" w:sz="4" w:space="0" w:color="auto"/>
            </w:tcBorders>
            <w:vAlign w:val="center"/>
          </w:tcPr>
          <w:p w14:paraId="53C15E42" w14:textId="77777777" w:rsidR="005B2CA4" w:rsidRPr="00F53F85" w:rsidRDefault="005B2CA4"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E43" w14:textId="77777777" w:rsidR="005B2CA4" w:rsidRPr="00F53F85" w:rsidRDefault="005B2CA4"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E44" w14:textId="77777777" w:rsidR="005B2CA4" w:rsidRPr="00F53F85" w:rsidRDefault="005B2CA4"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E45"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0.44</w:t>
            </w:r>
          </w:p>
        </w:tc>
        <w:tc>
          <w:tcPr>
            <w:tcW w:w="546" w:type="dxa"/>
            <w:tcBorders>
              <w:top w:val="nil"/>
              <w:left w:val="nil"/>
              <w:bottom w:val="single" w:sz="4" w:space="0" w:color="auto"/>
              <w:right w:val="single" w:sz="4" w:space="0" w:color="auto"/>
            </w:tcBorders>
            <w:shd w:val="clear" w:color="auto" w:fill="auto"/>
            <w:noWrap/>
            <w:vAlign w:val="center"/>
            <w:hideMark/>
          </w:tcPr>
          <w:p w14:paraId="53C15E46" w14:textId="77777777" w:rsidR="005B2CA4" w:rsidRPr="00F53F85" w:rsidRDefault="005B2CA4" w:rsidP="00316B11">
            <w:pPr>
              <w:spacing w:after="0"/>
              <w:jc w:val="center"/>
              <w:rPr>
                <w:rFonts w:ascii="Arial Narrow" w:hAnsi="Arial Narrow"/>
                <w:sz w:val="20"/>
                <w:szCs w:val="20"/>
                <w:lang w:eastAsia="en-AU"/>
              </w:rPr>
            </w:pPr>
          </w:p>
        </w:tc>
        <w:tc>
          <w:tcPr>
            <w:tcW w:w="573" w:type="dxa"/>
            <w:tcBorders>
              <w:top w:val="nil"/>
              <w:left w:val="nil"/>
              <w:bottom w:val="single" w:sz="4" w:space="0" w:color="auto"/>
              <w:right w:val="single" w:sz="4" w:space="0" w:color="auto"/>
            </w:tcBorders>
            <w:shd w:val="clear" w:color="auto" w:fill="auto"/>
            <w:noWrap/>
            <w:vAlign w:val="center"/>
            <w:hideMark/>
          </w:tcPr>
          <w:p w14:paraId="53C15E47" w14:textId="77777777" w:rsidR="005B2CA4" w:rsidRPr="00F53F85" w:rsidRDefault="005B2CA4"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E48"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E49" w14:textId="77777777" w:rsidR="005B2CA4" w:rsidRPr="00F53F85" w:rsidRDefault="005B2CA4"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E4A"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E4B"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E4C"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25.56</w:t>
            </w:r>
          </w:p>
        </w:tc>
        <w:tc>
          <w:tcPr>
            <w:tcW w:w="788" w:type="dxa"/>
            <w:tcBorders>
              <w:top w:val="nil"/>
              <w:left w:val="nil"/>
              <w:bottom w:val="single" w:sz="4" w:space="0" w:color="auto"/>
              <w:right w:val="single" w:sz="4" w:space="0" w:color="auto"/>
            </w:tcBorders>
            <w:shd w:val="clear" w:color="auto" w:fill="auto"/>
            <w:noWrap/>
            <w:vAlign w:val="center"/>
            <w:hideMark/>
          </w:tcPr>
          <w:p w14:paraId="53C15E4D" w14:textId="77777777" w:rsidR="005B2CA4" w:rsidRPr="00F53F85" w:rsidRDefault="005B2CA4" w:rsidP="00316B11">
            <w:pPr>
              <w:spacing w:after="0"/>
              <w:jc w:val="center"/>
              <w:rPr>
                <w:rFonts w:ascii="Arial Narrow" w:hAnsi="Arial Narrow"/>
                <w:sz w:val="20"/>
                <w:szCs w:val="20"/>
                <w:lang w:eastAsia="en-AU"/>
              </w:rPr>
            </w:pPr>
          </w:p>
        </w:tc>
        <w:tc>
          <w:tcPr>
            <w:tcW w:w="630" w:type="dxa"/>
            <w:tcBorders>
              <w:top w:val="nil"/>
              <w:left w:val="nil"/>
              <w:bottom w:val="single" w:sz="4" w:space="0" w:color="auto"/>
              <w:right w:val="single" w:sz="4" w:space="0" w:color="auto"/>
            </w:tcBorders>
            <w:vAlign w:val="center"/>
          </w:tcPr>
          <w:p w14:paraId="53C15E4E" w14:textId="77777777" w:rsidR="005B2CA4" w:rsidRPr="00F53F85" w:rsidRDefault="005B2CA4" w:rsidP="00316B11">
            <w:pPr>
              <w:spacing w:after="0"/>
              <w:jc w:val="center"/>
              <w:rPr>
                <w:rFonts w:ascii="Arial Narrow" w:hAnsi="Arial Narrow"/>
                <w:sz w:val="20"/>
                <w:szCs w:val="20"/>
                <w:lang w:eastAsia="en-AU"/>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E4F" w14:textId="77777777" w:rsidR="005B2CA4" w:rsidRPr="00F53F85" w:rsidRDefault="005B2CA4" w:rsidP="00316B11">
            <w:pPr>
              <w:spacing w:after="0"/>
              <w:jc w:val="center"/>
              <w:rPr>
                <w:rFonts w:ascii="Arial Narrow" w:hAnsi="Arial Narrow"/>
                <w:sz w:val="20"/>
                <w:szCs w:val="20"/>
                <w:lang w:eastAsia="en-AU"/>
              </w:rPr>
            </w:pPr>
          </w:p>
        </w:tc>
      </w:tr>
      <w:tr w:rsidR="005B2CA4" w:rsidRPr="00F53F85" w14:paraId="53C15E65" w14:textId="77777777" w:rsidTr="005B2CA4">
        <w:trPr>
          <w:trHeight w:val="340"/>
        </w:trPr>
        <w:tc>
          <w:tcPr>
            <w:tcW w:w="611" w:type="dxa"/>
            <w:vMerge/>
            <w:tcBorders>
              <w:left w:val="single" w:sz="4" w:space="0" w:color="auto"/>
              <w:right w:val="single" w:sz="4" w:space="0" w:color="auto"/>
            </w:tcBorders>
            <w:vAlign w:val="center"/>
            <w:hideMark/>
          </w:tcPr>
          <w:p w14:paraId="53C15E51" w14:textId="77777777" w:rsidR="005B2CA4" w:rsidRPr="00F53F85" w:rsidRDefault="005B2CA4" w:rsidP="00F53F85">
            <w:pPr>
              <w:spacing w:after="0"/>
              <w:jc w:val="left"/>
              <w:rPr>
                <w:rFonts w:ascii="Arial Narrow" w:hAnsi="Arial Narrow"/>
                <w:sz w:val="20"/>
                <w:lang w:eastAsia="en-AU"/>
              </w:rPr>
            </w:pPr>
          </w:p>
        </w:tc>
        <w:tc>
          <w:tcPr>
            <w:tcW w:w="1134" w:type="dxa"/>
            <w:vMerge/>
            <w:tcBorders>
              <w:left w:val="single" w:sz="4" w:space="0" w:color="auto"/>
              <w:bottom w:val="single" w:sz="4" w:space="0" w:color="auto"/>
              <w:right w:val="single" w:sz="4" w:space="0" w:color="auto"/>
            </w:tcBorders>
            <w:vAlign w:val="center"/>
          </w:tcPr>
          <w:p w14:paraId="53C15E52" w14:textId="77777777" w:rsidR="005B2CA4" w:rsidRPr="00F53F85" w:rsidRDefault="005B2CA4" w:rsidP="00316B11">
            <w:pPr>
              <w:spacing w:after="0"/>
              <w:jc w:val="center"/>
              <w:rPr>
                <w:rFonts w:ascii="Arial Narrow" w:hAnsi="Arial Narrow"/>
                <w:sz w:val="20"/>
                <w:szCs w:val="20"/>
                <w:lang w:eastAsia="en-AU"/>
              </w:rPr>
            </w:pPr>
          </w:p>
        </w:tc>
        <w:tc>
          <w:tcPr>
            <w:tcW w:w="779" w:type="dxa"/>
            <w:tcBorders>
              <w:top w:val="nil"/>
              <w:left w:val="single" w:sz="4" w:space="0" w:color="auto"/>
              <w:bottom w:val="single" w:sz="4" w:space="0" w:color="auto"/>
              <w:right w:val="single" w:sz="4" w:space="0" w:color="auto"/>
            </w:tcBorders>
            <w:vAlign w:val="center"/>
          </w:tcPr>
          <w:p w14:paraId="53C15E53"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5</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E54"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E55"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1.44</w:t>
            </w:r>
          </w:p>
        </w:tc>
        <w:tc>
          <w:tcPr>
            <w:tcW w:w="586" w:type="dxa"/>
            <w:tcBorders>
              <w:top w:val="nil"/>
              <w:left w:val="nil"/>
              <w:bottom w:val="single" w:sz="4" w:space="0" w:color="auto"/>
              <w:right w:val="single" w:sz="4" w:space="0" w:color="auto"/>
            </w:tcBorders>
            <w:shd w:val="clear" w:color="auto" w:fill="auto"/>
            <w:noWrap/>
            <w:vAlign w:val="center"/>
            <w:hideMark/>
          </w:tcPr>
          <w:p w14:paraId="53C15E56" w14:textId="77777777" w:rsidR="005B2CA4" w:rsidRPr="00F53F85" w:rsidRDefault="005B2CA4" w:rsidP="00316B11">
            <w:pPr>
              <w:spacing w:after="0"/>
              <w:jc w:val="center"/>
              <w:rPr>
                <w:rFonts w:ascii="Arial Narrow" w:hAnsi="Arial Narrow"/>
                <w:sz w:val="20"/>
                <w:szCs w:val="20"/>
                <w:lang w:eastAsia="en-AU"/>
              </w:rPr>
            </w:pPr>
          </w:p>
        </w:tc>
        <w:tc>
          <w:tcPr>
            <w:tcW w:w="564" w:type="dxa"/>
            <w:tcBorders>
              <w:top w:val="nil"/>
              <w:left w:val="nil"/>
              <w:bottom w:val="single" w:sz="4" w:space="0" w:color="auto"/>
              <w:right w:val="single" w:sz="4" w:space="0" w:color="auto"/>
            </w:tcBorders>
            <w:vAlign w:val="center"/>
          </w:tcPr>
          <w:p w14:paraId="53C15E57" w14:textId="77777777" w:rsidR="005B2CA4" w:rsidRPr="00F53F85" w:rsidRDefault="005B2CA4"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E58" w14:textId="77777777" w:rsidR="005B2CA4" w:rsidRPr="00F53F85" w:rsidRDefault="005B2CA4"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E59" w14:textId="77777777" w:rsidR="005B2CA4" w:rsidRPr="00F53F85" w:rsidRDefault="005B2CA4"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E5A"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0.75</w:t>
            </w:r>
          </w:p>
        </w:tc>
        <w:tc>
          <w:tcPr>
            <w:tcW w:w="546" w:type="dxa"/>
            <w:tcBorders>
              <w:top w:val="nil"/>
              <w:left w:val="nil"/>
              <w:bottom w:val="single" w:sz="4" w:space="0" w:color="auto"/>
              <w:right w:val="single" w:sz="4" w:space="0" w:color="auto"/>
            </w:tcBorders>
            <w:shd w:val="clear" w:color="auto" w:fill="auto"/>
            <w:noWrap/>
            <w:vAlign w:val="center"/>
            <w:hideMark/>
          </w:tcPr>
          <w:p w14:paraId="53C15E5B" w14:textId="77777777" w:rsidR="005B2CA4" w:rsidRPr="00F53F85" w:rsidRDefault="005B2CA4" w:rsidP="00316B11">
            <w:pPr>
              <w:spacing w:after="0"/>
              <w:jc w:val="center"/>
              <w:rPr>
                <w:rFonts w:ascii="Arial Narrow" w:hAnsi="Arial Narrow"/>
                <w:sz w:val="20"/>
                <w:szCs w:val="20"/>
                <w:lang w:eastAsia="en-AU"/>
              </w:rPr>
            </w:pPr>
          </w:p>
        </w:tc>
        <w:tc>
          <w:tcPr>
            <w:tcW w:w="573" w:type="dxa"/>
            <w:tcBorders>
              <w:top w:val="nil"/>
              <w:left w:val="nil"/>
              <w:bottom w:val="single" w:sz="4" w:space="0" w:color="auto"/>
              <w:right w:val="single" w:sz="4" w:space="0" w:color="auto"/>
            </w:tcBorders>
            <w:shd w:val="clear" w:color="auto" w:fill="auto"/>
            <w:noWrap/>
            <w:vAlign w:val="center"/>
            <w:hideMark/>
          </w:tcPr>
          <w:p w14:paraId="53C15E5C" w14:textId="77777777" w:rsidR="005B2CA4" w:rsidRPr="00F53F85" w:rsidRDefault="005B2CA4"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E5D"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E5E" w14:textId="77777777" w:rsidR="005B2CA4" w:rsidRPr="00F53F85" w:rsidRDefault="005B2CA4"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E5F"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E60"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0.50</w:t>
            </w:r>
          </w:p>
        </w:tc>
        <w:tc>
          <w:tcPr>
            <w:tcW w:w="788" w:type="dxa"/>
            <w:tcBorders>
              <w:top w:val="nil"/>
              <w:left w:val="nil"/>
              <w:bottom w:val="single" w:sz="4" w:space="0" w:color="auto"/>
              <w:right w:val="single" w:sz="4" w:space="0" w:color="auto"/>
            </w:tcBorders>
            <w:shd w:val="clear" w:color="auto" w:fill="auto"/>
            <w:noWrap/>
            <w:vAlign w:val="center"/>
            <w:hideMark/>
          </w:tcPr>
          <w:p w14:paraId="53C15E61"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17.69</w:t>
            </w:r>
          </w:p>
        </w:tc>
        <w:tc>
          <w:tcPr>
            <w:tcW w:w="788" w:type="dxa"/>
            <w:tcBorders>
              <w:top w:val="nil"/>
              <w:left w:val="nil"/>
              <w:bottom w:val="single" w:sz="4" w:space="0" w:color="auto"/>
              <w:right w:val="single" w:sz="4" w:space="0" w:color="auto"/>
            </w:tcBorders>
            <w:shd w:val="clear" w:color="auto" w:fill="auto"/>
            <w:noWrap/>
            <w:vAlign w:val="center"/>
            <w:hideMark/>
          </w:tcPr>
          <w:p w14:paraId="53C15E62" w14:textId="77777777" w:rsidR="005B2CA4" w:rsidRPr="00F53F85" w:rsidRDefault="005B2CA4" w:rsidP="00316B11">
            <w:pPr>
              <w:spacing w:after="0"/>
              <w:jc w:val="center"/>
              <w:rPr>
                <w:rFonts w:ascii="Arial Narrow" w:hAnsi="Arial Narrow"/>
                <w:sz w:val="20"/>
                <w:szCs w:val="20"/>
                <w:lang w:eastAsia="en-AU"/>
              </w:rPr>
            </w:pPr>
          </w:p>
        </w:tc>
        <w:tc>
          <w:tcPr>
            <w:tcW w:w="630" w:type="dxa"/>
            <w:tcBorders>
              <w:top w:val="nil"/>
              <w:left w:val="nil"/>
              <w:bottom w:val="single" w:sz="4" w:space="0" w:color="auto"/>
              <w:right w:val="single" w:sz="4" w:space="0" w:color="auto"/>
            </w:tcBorders>
            <w:vAlign w:val="center"/>
          </w:tcPr>
          <w:p w14:paraId="53C15E63" w14:textId="77777777" w:rsidR="005B2CA4" w:rsidRPr="00F53F85" w:rsidRDefault="005B2CA4" w:rsidP="00316B11">
            <w:pPr>
              <w:spacing w:after="0"/>
              <w:jc w:val="center"/>
              <w:rPr>
                <w:rFonts w:ascii="Arial Narrow" w:hAnsi="Arial Narrow"/>
                <w:sz w:val="20"/>
                <w:szCs w:val="20"/>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E64"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0.13</w:t>
            </w:r>
          </w:p>
        </w:tc>
      </w:tr>
      <w:tr w:rsidR="005B2CA4" w:rsidRPr="00F53F85" w14:paraId="53C15E7A" w14:textId="77777777" w:rsidTr="005B2CA4">
        <w:trPr>
          <w:trHeight w:val="340"/>
        </w:trPr>
        <w:tc>
          <w:tcPr>
            <w:tcW w:w="611" w:type="dxa"/>
            <w:vMerge/>
            <w:tcBorders>
              <w:left w:val="single" w:sz="4" w:space="0" w:color="auto"/>
              <w:right w:val="single" w:sz="4" w:space="0" w:color="auto"/>
            </w:tcBorders>
            <w:vAlign w:val="center"/>
            <w:hideMark/>
          </w:tcPr>
          <w:p w14:paraId="53C15E66" w14:textId="77777777" w:rsidR="005B2CA4" w:rsidRPr="00F53F85" w:rsidRDefault="005B2CA4" w:rsidP="00F53F85">
            <w:pPr>
              <w:spacing w:after="0"/>
              <w:jc w:val="left"/>
              <w:rPr>
                <w:rFonts w:ascii="Arial Narrow" w:hAnsi="Arial Narrow"/>
                <w:sz w:val="20"/>
                <w:lang w:eastAsia="en-AU"/>
              </w:rPr>
            </w:pPr>
          </w:p>
        </w:tc>
        <w:tc>
          <w:tcPr>
            <w:tcW w:w="1134" w:type="dxa"/>
            <w:vMerge w:val="restart"/>
            <w:tcBorders>
              <w:top w:val="nil"/>
              <w:left w:val="single" w:sz="4" w:space="0" w:color="auto"/>
              <w:right w:val="single" w:sz="4" w:space="0" w:color="auto"/>
            </w:tcBorders>
            <w:vAlign w:val="center"/>
          </w:tcPr>
          <w:p w14:paraId="53C15E67" w14:textId="77777777" w:rsidR="005B2CA4" w:rsidRPr="00F53F85" w:rsidRDefault="005B2CA4" w:rsidP="005B2CA4">
            <w:pPr>
              <w:spacing w:after="0"/>
              <w:jc w:val="center"/>
              <w:rPr>
                <w:rFonts w:ascii="Arial Narrow" w:hAnsi="Arial Narrow"/>
                <w:sz w:val="20"/>
                <w:szCs w:val="20"/>
                <w:lang w:eastAsia="en-AU"/>
              </w:rPr>
            </w:pPr>
            <w:r w:rsidRPr="00F53F85">
              <w:rPr>
                <w:rFonts w:ascii="Arial Narrow" w:hAnsi="Arial Narrow"/>
                <w:sz w:val="20"/>
                <w:szCs w:val="20"/>
              </w:rPr>
              <w:t>Middle</w:t>
            </w:r>
          </w:p>
        </w:tc>
        <w:tc>
          <w:tcPr>
            <w:tcW w:w="779" w:type="dxa"/>
            <w:tcBorders>
              <w:top w:val="nil"/>
              <w:left w:val="single" w:sz="4" w:space="0" w:color="auto"/>
              <w:bottom w:val="single" w:sz="4" w:space="0" w:color="auto"/>
              <w:right w:val="single" w:sz="4" w:space="0" w:color="auto"/>
            </w:tcBorders>
            <w:vAlign w:val="center"/>
          </w:tcPr>
          <w:p w14:paraId="53C15E68"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2</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E69"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E6A"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2.31</w:t>
            </w:r>
          </w:p>
        </w:tc>
        <w:tc>
          <w:tcPr>
            <w:tcW w:w="586" w:type="dxa"/>
            <w:tcBorders>
              <w:top w:val="nil"/>
              <w:left w:val="nil"/>
              <w:bottom w:val="single" w:sz="4" w:space="0" w:color="auto"/>
              <w:right w:val="single" w:sz="4" w:space="0" w:color="auto"/>
            </w:tcBorders>
            <w:shd w:val="clear" w:color="auto" w:fill="auto"/>
            <w:noWrap/>
            <w:vAlign w:val="center"/>
            <w:hideMark/>
          </w:tcPr>
          <w:p w14:paraId="53C15E6B" w14:textId="77777777" w:rsidR="005B2CA4" w:rsidRPr="00F53F85" w:rsidRDefault="005B2CA4" w:rsidP="00316B11">
            <w:pPr>
              <w:spacing w:after="0"/>
              <w:jc w:val="center"/>
              <w:rPr>
                <w:rFonts w:ascii="Arial Narrow" w:hAnsi="Arial Narrow"/>
                <w:sz w:val="20"/>
                <w:szCs w:val="20"/>
                <w:lang w:eastAsia="en-AU"/>
              </w:rPr>
            </w:pPr>
          </w:p>
        </w:tc>
        <w:tc>
          <w:tcPr>
            <w:tcW w:w="564" w:type="dxa"/>
            <w:tcBorders>
              <w:top w:val="nil"/>
              <w:left w:val="nil"/>
              <w:bottom w:val="single" w:sz="4" w:space="0" w:color="auto"/>
              <w:right w:val="single" w:sz="4" w:space="0" w:color="auto"/>
            </w:tcBorders>
            <w:vAlign w:val="center"/>
          </w:tcPr>
          <w:p w14:paraId="53C15E6C" w14:textId="77777777" w:rsidR="005B2CA4" w:rsidRPr="00F53F85" w:rsidRDefault="005B2CA4"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E6D" w14:textId="77777777" w:rsidR="005B2CA4" w:rsidRPr="00F53F85" w:rsidRDefault="005B2CA4"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E6E" w14:textId="77777777" w:rsidR="005B2CA4" w:rsidRPr="00F53F85" w:rsidRDefault="005B2CA4" w:rsidP="00316B11">
            <w:pPr>
              <w:spacing w:after="0"/>
              <w:jc w:val="center"/>
              <w:rPr>
                <w:rFonts w:ascii="Arial Narrow" w:hAnsi="Arial Narrow"/>
                <w:sz w:val="20"/>
                <w:szCs w:val="20"/>
              </w:rPr>
            </w:pPr>
            <w:r w:rsidRPr="00F53F85">
              <w:rPr>
                <w:rFonts w:ascii="Arial Narrow" w:hAnsi="Arial Narrow"/>
                <w:sz w:val="20"/>
                <w:szCs w:val="20"/>
              </w:rPr>
              <w:t>0.06</w:t>
            </w: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E6F"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0.75</w:t>
            </w:r>
          </w:p>
        </w:tc>
        <w:tc>
          <w:tcPr>
            <w:tcW w:w="546" w:type="dxa"/>
            <w:tcBorders>
              <w:top w:val="nil"/>
              <w:left w:val="nil"/>
              <w:bottom w:val="single" w:sz="4" w:space="0" w:color="auto"/>
              <w:right w:val="single" w:sz="4" w:space="0" w:color="auto"/>
            </w:tcBorders>
            <w:shd w:val="clear" w:color="auto" w:fill="auto"/>
            <w:noWrap/>
            <w:vAlign w:val="center"/>
            <w:hideMark/>
          </w:tcPr>
          <w:p w14:paraId="53C15E70"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2.75</w:t>
            </w:r>
          </w:p>
        </w:tc>
        <w:tc>
          <w:tcPr>
            <w:tcW w:w="573" w:type="dxa"/>
            <w:tcBorders>
              <w:top w:val="nil"/>
              <w:left w:val="nil"/>
              <w:bottom w:val="single" w:sz="4" w:space="0" w:color="auto"/>
              <w:right w:val="single" w:sz="4" w:space="0" w:color="auto"/>
            </w:tcBorders>
            <w:shd w:val="clear" w:color="auto" w:fill="auto"/>
            <w:noWrap/>
            <w:vAlign w:val="center"/>
            <w:hideMark/>
          </w:tcPr>
          <w:p w14:paraId="53C15E71" w14:textId="77777777" w:rsidR="005B2CA4" w:rsidRPr="00F53F85" w:rsidRDefault="005B2CA4"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E72"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536" w:type="dxa"/>
            <w:tcBorders>
              <w:top w:val="nil"/>
              <w:left w:val="nil"/>
              <w:bottom w:val="single" w:sz="4" w:space="0" w:color="auto"/>
              <w:right w:val="single" w:sz="4" w:space="0" w:color="auto"/>
            </w:tcBorders>
            <w:shd w:val="clear" w:color="auto" w:fill="auto"/>
            <w:noWrap/>
            <w:vAlign w:val="center"/>
            <w:hideMark/>
          </w:tcPr>
          <w:p w14:paraId="53C15E73" w14:textId="77777777" w:rsidR="005B2CA4" w:rsidRPr="00F53F85" w:rsidRDefault="005B2CA4"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E74"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E75"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E76"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15.50</w:t>
            </w:r>
          </w:p>
        </w:tc>
        <w:tc>
          <w:tcPr>
            <w:tcW w:w="788" w:type="dxa"/>
            <w:tcBorders>
              <w:top w:val="nil"/>
              <w:left w:val="nil"/>
              <w:bottom w:val="single" w:sz="4" w:space="0" w:color="auto"/>
              <w:right w:val="single" w:sz="4" w:space="0" w:color="auto"/>
            </w:tcBorders>
            <w:shd w:val="clear" w:color="auto" w:fill="auto"/>
            <w:noWrap/>
            <w:vAlign w:val="center"/>
            <w:hideMark/>
          </w:tcPr>
          <w:p w14:paraId="53C15E77"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1.81</w:t>
            </w:r>
          </w:p>
        </w:tc>
        <w:tc>
          <w:tcPr>
            <w:tcW w:w="630" w:type="dxa"/>
            <w:tcBorders>
              <w:top w:val="nil"/>
              <w:left w:val="nil"/>
              <w:bottom w:val="single" w:sz="4" w:space="0" w:color="auto"/>
              <w:right w:val="single" w:sz="4" w:space="0" w:color="auto"/>
            </w:tcBorders>
            <w:vAlign w:val="center"/>
          </w:tcPr>
          <w:p w14:paraId="53C15E78" w14:textId="77777777" w:rsidR="005B2CA4" w:rsidRPr="00F53F85" w:rsidRDefault="005B2CA4" w:rsidP="00316B11">
            <w:pPr>
              <w:spacing w:after="0"/>
              <w:jc w:val="center"/>
              <w:rPr>
                <w:rFonts w:ascii="Arial Narrow" w:hAnsi="Arial Narrow"/>
                <w:sz w:val="20"/>
                <w:szCs w:val="20"/>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E79"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0.31</w:t>
            </w:r>
          </w:p>
        </w:tc>
      </w:tr>
      <w:tr w:rsidR="005B2CA4" w:rsidRPr="00F53F85" w14:paraId="53C15E8F" w14:textId="77777777" w:rsidTr="005B2CA4">
        <w:trPr>
          <w:trHeight w:val="340"/>
        </w:trPr>
        <w:tc>
          <w:tcPr>
            <w:tcW w:w="611" w:type="dxa"/>
            <w:vMerge/>
            <w:tcBorders>
              <w:left w:val="single" w:sz="4" w:space="0" w:color="auto"/>
              <w:right w:val="single" w:sz="4" w:space="0" w:color="auto"/>
            </w:tcBorders>
            <w:vAlign w:val="center"/>
            <w:hideMark/>
          </w:tcPr>
          <w:p w14:paraId="53C15E7B" w14:textId="77777777" w:rsidR="005B2CA4" w:rsidRPr="00F53F85" w:rsidRDefault="005B2CA4" w:rsidP="00F53F85">
            <w:pPr>
              <w:spacing w:after="0"/>
              <w:jc w:val="left"/>
              <w:rPr>
                <w:rFonts w:ascii="Arial Narrow" w:hAnsi="Arial Narrow"/>
                <w:sz w:val="20"/>
                <w:lang w:eastAsia="en-AU"/>
              </w:rPr>
            </w:pPr>
          </w:p>
        </w:tc>
        <w:tc>
          <w:tcPr>
            <w:tcW w:w="1134" w:type="dxa"/>
            <w:vMerge/>
            <w:tcBorders>
              <w:left w:val="single" w:sz="4" w:space="0" w:color="auto"/>
              <w:bottom w:val="single" w:sz="4" w:space="0" w:color="auto"/>
              <w:right w:val="single" w:sz="4" w:space="0" w:color="auto"/>
            </w:tcBorders>
            <w:vAlign w:val="center"/>
          </w:tcPr>
          <w:p w14:paraId="53C15E7C" w14:textId="77777777" w:rsidR="005B2CA4" w:rsidRPr="00F53F85" w:rsidRDefault="005B2CA4" w:rsidP="00316B11">
            <w:pPr>
              <w:spacing w:after="0"/>
              <w:jc w:val="center"/>
              <w:rPr>
                <w:rFonts w:ascii="Arial Narrow" w:hAnsi="Arial Narrow"/>
                <w:sz w:val="20"/>
                <w:szCs w:val="20"/>
                <w:lang w:eastAsia="en-AU"/>
              </w:rPr>
            </w:pPr>
          </w:p>
        </w:tc>
        <w:tc>
          <w:tcPr>
            <w:tcW w:w="779" w:type="dxa"/>
            <w:tcBorders>
              <w:top w:val="nil"/>
              <w:left w:val="single" w:sz="4" w:space="0" w:color="auto"/>
              <w:bottom w:val="single" w:sz="4" w:space="0" w:color="auto"/>
              <w:right w:val="single" w:sz="4" w:space="0" w:color="auto"/>
            </w:tcBorders>
            <w:vAlign w:val="center"/>
          </w:tcPr>
          <w:p w14:paraId="53C15E7D"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5</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E7E"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E7F"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1.50</w:t>
            </w:r>
          </w:p>
        </w:tc>
        <w:tc>
          <w:tcPr>
            <w:tcW w:w="586" w:type="dxa"/>
            <w:tcBorders>
              <w:top w:val="nil"/>
              <w:left w:val="nil"/>
              <w:bottom w:val="single" w:sz="4" w:space="0" w:color="auto"/>
              <w:right w:val="single" w:sz="4" w:space="0" w:color="auto"/>
            </w:tcBorders>
            <w:shd w:val="clear" w:color="auto" w:fill="auto"/>
            <w:noWrap/>
            <w:vAlign w:val="center"/>
            <w:hideMark/>
          </w:tcPr>
          <w:p w14:paraId="53C15E80" w14:textId="77777777" w:rsidR="005B2CA4" w:rsidRPr="00F53F85" w:rsidRDefault="005B2CA4" w:rsidP="00316B11">
            <w:pPr>
              <w:spacing w:after="0"/>
              <w:jc w:val="center"/>
              <w:rPr>
                <w:rFonts w:ascii="Arial Narrow" w:hAnsi="Arial Narrow"/>
                <w:sz w:val="20"/>
                <w:szCs w:val="20"/>
                <w:lang w:eastAsia="en-AU"/>
              </w:rPr>
            </w:pPr>
          </w:p>
        </w:tc>
        <w:tc>
          <w:tcPr>
            <w:tcW w:w="564" w:type="dxa"/>
            <w:tcBorders>
              <w:top w:val="nil"/>
              <w:left w:val="nil"/>
              <w:bottom w:val="single" w:sz="4" w:space="0" w:color="auto"/>
              <w:right w:val="single" w:sz="4" w:space="0" w:color="auto"/>
            </w:tcBorders>
            <w:vAlign w:val="center"/>
          </w:tcPr>
          <w:p w14:paraId="53C15E81" w14:textId="77777777" w:rsidR="005B2CA4" w:rsidRPr="00F53F85" w:rsidRDefault="005B2CA4"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E82" w14:textId="77777777" w:rsidR="005B2CA4" w:rsidRPr="00F53F85" w:rsidRDefault="005B2CA4"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E83" w14:textId="77777777" w:rsidR="005B2CA4" w:rsidRPr="00F53F85" w:rsidRDefault="005B2CA4"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E84"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1.38</w:t>
            </w:r>
          </w:p>
        </w:tc>
        <w:tc>
          <w:tcPr>
            <w:tcW w:w="546" w:type="dxa"/>
            <w:tcBorders>
              <w:top w:val="nil"/>
              <w:left w:val="nil"/>
              <w:bottom w:val="single" w:sz="4" w:space="0" w:color="auto"/>
              <w:right w:val="single" w:sz="4" w:space="0" w:color="auto"/>
            </w:tcBorders>
            <w:shd w:val="clear" w:color="auto" w:fill="auto"/>
            <w:noWrap/>
            <w:vAlign w:val="center"/>
            <w:hideMark/>
          </w:tcPr>
          <w:p w14:paraId="53C15E85"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0.88</w:t>
            </w:r>
          </w:p>
        </w:tc>
        <w:tc>
          <w:tcPr>
            <w:tcW w:w="573" w:type="dxa"/>
            <w:tcBorders>
              <w:top w:val="nil"/>
              <w:left w:val="nil"/>
              <w:bottom w:val="single" w:sz="4" w:space="0" w:color="auto"/>
              <w:right w:val="single" w:sz="4" w:space="0" w:color="auto"/>
            </w:tcBorders>
            <w:shd w:val="clear" w:color="auto" w:fill="auto"/>
            <w:noWrap/>
            <w:vAlign w:val="center"/>
            <w:hideMark/>
          </w:tcPr>
          <w:p w14:paraId="53C15E86" w14:textId="77777777" w:rsidR="005B2CA4" w:rsidRPr="00F53F85" w:rsidRDefault="005B2CA4"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E87"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E88" w14:textId="77777777" w:rsidR="005B2CA4" w:rsidRPr="00F53F85" w:rsidRDefault="005B2CA4"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E89"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E8A"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0.50</w:t>
            </w:r>
          </w:p>
        </w:tc>
        <w:tc>
          <w:tcPr>
            <w:tcW w:w="788" w:type="dxa"/>
            <w:tcBorders>
              <w:top w:val="nil"/>
              <w:left w:val="nil"/>
              <w:bottom w:val="single" w:sz="4" w:space="0" w:color="auto"/>
              <w:right w:val="single" w:sz="4" w:space="0" w:color="auto"/>
            </w:tcBorders>
            <w:shd w:val="clear" w:color="auto" w:fill="auto"/>
            <w:noWrap/>
            <w:vAlign w:val="center"/>
            <w:hideMark/>
          </w:tcPr>
          <w:p w14:paraId="53C15E8B"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7.00</w:t>
            </w:r>
          </w:p>
        </w:tc>
        <w:tc>
          <w:tcPr>
            <w:tcW w:w="788" w:type="dxa"/>
            <w:tcBorders>
              <w:top w:val="nil"/>
              <w:left w:val="nil"/>
              <w:bottom w:val="single" w:sz="4" w:space="0" w:color="auto"/>
              <w:right w:val="single" w:sz="4" w:space="0" w:color="auto"/>
            </w:tcBorders>
            <w:shd w:val="clear" w:color="auto" w:fill="auto"/>
            <w:noWrap/>
            <w:vAlign w:val="center"/>
            <w:hideMark/>
          </w:tcPr>
          <w:p w14:paraId="53C15E8C"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0.13</w:t>
            </w:r>
          </w:p>
        </w:tc>
        <w:tc>
          <w:tcPr>
            <w:tcW w:w="630" w:type="dxa"/>
            <w:tcBorders>
              <w:top w:val="nil"/>
              <w:left w:val="nil"/>
              <w:bottom w:val="single" w:sz="4" w:space="0" w:color="auto"/>
              <w:right w:val="single" w:sz="4" w:space="0" w:color="auto"/>
            </w:tcBorders>
            <w:vAlign w:val="center"/>
          </w:tcPr>
          <w:p w14:paraId="53C15E8D" w14:textId="77777777" w:rsidR="005B2CA4" w:rsidRPr="00F53F85" w:rsidRDefault="005B2CA4" w:rsidP="00316B11">
            <w:pPr>
              <w:spacing w:after="0"/>
              <w:jc w:val="center"/>
              <w:rPr>
                <w:rFonts w:ascii="Arial Narrow" w:hAnsi="Arial Narrow"/>
                <w:sz w:val="20"/>
                <w:szCs w:val="20"/>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E8E"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0.63</w:t>
            </w:r>
          </w:p>
        </w:tc>
      </w:tr>
      <w:tr w:rsidR="005B2CA4" w:rsidRPr="00F53F85" w14:paraId="53C15EA4" w14:textId="77777777" w:rsidTr="005B2CA4">
        <w:trPr>
          <w:trHeight w:val="340"/>
        </w:trPr>
        <w:tc>
          <w:tcPr>
            <w:tcW w:w="611" w:type="dxa"/>
            <w:vMerge/>
            <w:tcBorders>
              <w:left w:val="single" w:sz="4" w:space="0" w:color="auto"/>
              <w:right w:val="single" w:sz="4" w:space="0" w:color="auto"/>
            </w:tcBorders>
            <w:vAlign w:val="center"/>
            <w:hideMark/>
          </w:tcPr>
          <w:p w14:paraId="53C15E90" w14:textId="77777777" w:rsidR="005B2CA4" w:rsidRPr="00F53F85" w:rsidRDefault="005B2CA4" w:rsidP="00F53F85">
            <w:pPr>
              <w:spacing w:after="0"/>
              <w:jc w:val="left"/>
              <w:rPr>
                <w:rFonts w:ascii="Arial Narrow" w:hAnsi="Arial Narrow"/>
                <w:sz w:val="20"/>
                <w:lang w:eastAsia="en-AU"/>
              </w:rPr>
            </w:pPr>
          </w:p>
        </w:tc>
        <w:tc>
          <w:tcPr>
            <w:tcW w:w="1134" w:type="dxa"/>
            <w:vMerge w:val="restart"/>
            <w:tcBorders>
              <w:top w:val="nil"/>
              <w:left w:val="single" w:sz="4" w:space="0" w:color="auto"/>
              <w:right w:val="single" w:sz="4" w:space="0" w:color="auto"/>
            </w:tcBorders>
            <w:vAlign w:val="center"/>
          </w:tcPr>
          <w:p w14:paraId="53C15E91" w14:textId="77777777" w:rsidR="005B2CA4" w:rsidRPr="00F53F85" w:rsidRDefault="005B2CA4" w:rsidP="005B2CA4">
            <w:pPr>
              <w:spacing w:after="0"/>
              <w:jc w:val="center"/>
              <w:rPr>
                <w:rFonts w:ascii="Arial Narrow" w:hAnsi="Arial Narrow"/>
                <w:sz w:val="20"/>
                <w:szCs w:val="20"/>
                <w:lang w:eastAsia="en-AU"/>
              </w:rPr>
            </w:pPr>
            <w:r w:rsidRPr="00F53F85">
              <w:rPr>
                <w:rFonts w:ascii="Arial Narrow" w:hAnsi="Arial Narrow"/>
                <w:sz w:val="20"/>
                <w:szCs w:val="20"/>
              </w:rPr>
              <w:t>Keppels South</w:t>
            </w:r>
          </w:p>
        </w:tc>
        <w:tc>
          <w:tcPr>
            <w:tcW w:w="779" w:type="dxa"/>
            <w:tcBorders>
              <w:top w:val="nil"/>
              <w:left w:val="single" w:sz="4" w:space="0" w:color="auto"/>
              <w:bottom w:val="single" w:sz="4" w:space="0" w:color="auto"/>
              <w:right w:val="single" w:sz="4" w:space="0" w:color="auto"/>
            </w:tcBorders>
            <w:vAlign w:val="center"/>
          </w:tcPr>
          <w:p w14:paraId="53C15E92"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2</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E93"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E94"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4.33</w:t>
            </w:r>
          </w:p>
        </w:tc>
        <w:tc>
          <w:tcPr>
            <w:tcW w:w="586" w:type="dxa"/>
            <w:tcBorders>
              <w:top w:val="nil"/>
              <w:left w:val="nil"/>
              <w:bottom w:val="single" w:sz="4" w:space="0" w:color="auto"/>
              <w:right w:val="single" w:sz="4" w:space="0" w:color="auto"/>
            </w:tcBorders>
            <w:shd w:val="clear" w:color="auto" w:fill="auto"/>
            <w:noWrap/>
            <w:vAlign w:val="center"/>
            <w:hideMark/>
          </w:tcPr>
          <w:p w14:paraId="53C15E95" w14:textId="77777777" w:rsidR="005B2CA4" w:rsidRPr="00F53F85" w:rsidRDefault="005B2CA4" w:rsidP="00316B11">
            <w:pPr>
              <w:spacing w:after="0"/>
              <w:jc w:val="center"/>
              <w:rPr>
                <w:rFonts w:ascii="Arial Narrow" w:hAnsi="Arial Narrow"/>
                <w:sz w:val="20"/>
                <w:szCs w:val="20"/>
                <w:lang w:eastAsia="en-AU"/>
              </w:rPr>
            </w:pPr>
          </w:p>
        </w:tc>
        <w:tc>
          <w:tcPr>
            <w:tcW w:w="564" w:type="dxa"/>
            <w:tcBorders>
              <w:top w:val="nil"/>
              <w:left w:val="nil"/>
              <w:bottom w:val="single" w:sz="4" w:space="0" w:color="auto"/>
              <w:right w:val="single" w:sz="4" w:space="0" w:color="auto"/>
            </w:tcBorders>
            <w:vAlign w:val="center"/>
          </w:tcPr>
          <w:p w14:paraId="53C15E96" w14:textId="77777777" w:rsidR="005B2CA4" w:rsidRPr="00F53F85" w:rsidRDefault="005B2CA4"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E97" w14:textId="77777777" w:rsidR="005B2CA4" w:rsidRPr="00F53F85" w:rsidRDefault="005B2CA4"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E98" w14:textId="77777777" w:rsidR="005B2CA4" w:rsidRPr="00F53F85" w:rsidRDefault="005B2CA4"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E99"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0.94</w:t>
            </w:r>
          </w:p>
        </w:tc>
        <w:tc>
          <w:tcPr>
            <w:tcW w:w="546" w:type="dxa"/>
            <w:tcBorders>
              <w:top w:val="nil"/>
              <w:left w:val="nil"/>
              <w:bottom w:val="single" w:sz="4" w:space="0" w:color="auto"/>
              <w:right w:val="single" w:sz="4" w:space="0" w:color="auto"/>
            </w:tcBorders>
            <w:shd w:val="clear" w:color="auto" w:fill="auto"/>
            <w:noWrap/>
            <w:vAlign w:val="center"/>
            <w:hideMark/>
          </w:tcPr>
          <w:p w14:paraId="53C15E9A" w14:textId="77777777" w:rsidR="005B2CA4" w:rsidRPr="00F53F85" w:rsidRDefault="005B2CA4" w:rsidP="00316B11">
            <w:pPr>
              <w:spacing w:after="0"/>
              <w:jc w:val="center"/>
              <w:rPr>
                <w:rFonts w:ascii="Arial Narrow" w:hAnsi="Arial Narrow"/>
                <w:sz w:val="20"/>
                <w:szCs w:val="20"/>
                <w:lang w:eastAsia="en-AU"/>
              </w:rPr>
            </w:pPr>
          </w:p>
        </w:tc>
        <w:tc>
          <w:tcPr>
            <w:tcW w:w="573" w:type="dxa"/>
            <w:tcBorders>
              <w:top w:val="nil"/>
              <w:left w:val="nil"/>
              <w:bottom w:val="single" w:sz="4" w:space="0" w:color="auto"/>
              <w:right w:val="single" w:sz="4" w:space="0" w:color="auto"/>
            </w:tcBorders>
            <w:shd w:val="clear" w:color="auto" w:fill="auto"/>
            <w:noWrap/>
            <w:vAlign w:val="center"/>
            <w:hideMark/>
          </w:tcPr>
          <w:p w14:paraId="53C15E9B" w14:textId="77777777" w:rsidR="005B2CA4" w:rsidRPr="00F53F85" w:rsidRDefault="005B2CA4"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E9C"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E9D" w14:textId="77777777" w:rsidR="005B2CA4" w:rsidRPr="00F53F85" w:rsidRDefault="005B2CA4"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E9E"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E9F"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0.19</w:t>
            </w:r>
          </w:p>
        </w:tc>
        <w:tc>
          <w:tcPr>
            <w:tcW w:w="788" w:type="dxa"/>
            <w:tcBorders>
              <w:top w:val="nil"/>
              <w:left w:val="nil"/>
              <w:bottom w:val="single" w:sz="4" w:space="0" w:color="auto"/>
              <w:right w:val="single" w:sz="4" w:space="0" w:color="auto"/>
            </w:tcBorders>
            <w:shd w:val="clear" w:color="auto" w:fill="auto"/>
            <w:noWrap/>
            <w:vAlign w:val="center"/>
            <w:hideMark/>
          </w:tcPr>
          <w:p w14:paraId="53C15EA0"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7.65</w:t>
            </w:r>
          </w:p>
        </w:tc>
        <w:tc>
          <w:tcPr>
            <w:tcW w:w="788" w:type="dxa"/>
            <w:tcBorders>
              <w:top w:val="nil"/>
              <w:left w:val="nil"/>
              <w:bottom w:val="single" w:sz="4" w:space="0" w:color="auto"/>
              <w:right w:val="single" w:sz="4" w:space="0" w:color="auto"/>
            </w:tcBorders>
            <w:shd w:val="clear" w:color="auto" w:fill="auto"/>
            <w:noWrap/>
            <w:vAlign w:val="center"/>
            <w:hideMark/>
          </w:tcPr>
          <w:p w14:paraId="53C15EA1" w14:textId="77777777" w:rsidR="005B2CA4" w:rsidRPr="00F53F85" w:rsidRDefault="005B2CA4" w:rsidP="00316B11">
            <w:pPr>
              <w:spacing w:after="0"/>
              <w:jc w:val="center"/>
              <w:rPr>
                <w:rFonts w:ascii="Arial Narrow" w:hAnsi="Arial Narrow"/>
                <w:sz w:val="20"/>
                <w:szCs w:val="20"/>
                <w:lang w:eastAsia="en-AU"/>
              </w:rPr>
            </w:pPr>
          </w:p>
        </w:tc>
        <w:tc>
          <w:tcPr>
            <w:tcW w:w="630" w:type="dxa"/>
            <w:tcBorders>
              <w:top w:val="nil"/>
              <w:left w:val="nil"/>
              <w:bottom w:val="single" w:sz="4" w:space="0" w:color="auto"/>
              <w:right w:val="single" w:sz="4" w:space="0" w:color="auto"/>
            </w:tcBorders>
            <w:vAlign w:val="center"/>
          </w:tcPr>
          <w:p w14:paraId="53C15EA2" w14:textId="77777777" w:rsidR="005B2CA4" w:rsidRPr="00F53F85" w:rsidRDefault="005B2CA4" w:rsidP="00316B11">
            <w:pPr>
              <w:spacing w:after="0"/>
              <w:jc w:val="center"/>
              <w:rPr>
                <w:rFonts w:ascii="Arial Narrow" w:hAnsi="Arial Narrow"/>
                <w:sz w:val="20"/>
                <w:szCs w:val="20"/>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EA3"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0.06</w:t>
            </w:r>
          </w:p>
        </w:tc>
      </w:tr>
      <w:tr w:rsidR="005B2CA4" w:rsidRPr="00F53F85" w14:paraId="53C15EB9" w14:textId="77777777" w:rsidTr="005B2CA4">
        <w:trPr>
          <w:trHeight w:val="340"/>
        </w:trPr>
        <w:tc>
          <w:tcPr>
            <w:tcW w:w="611" w:type="dxa"/>
            <w:vMerge/>
            <w:tcBorders>
              <w:left w:val="single" w:sz="4" w:space="0" w:color="auto"/>
              <w:right w:val="single" w:sz="4" w:space="0" w:color="auto"/>
            </w:tcBorders>
            <w:vAlign w:val="center"/>
            <w:hideMark/>
          </w:tcPr>
          <w:p w14:paraId="53C15EA5" w14:textId="77777777" w:rsidR="005B2CA4" w:rsidRPr="00F53F85" w:rsidRDefault="005B2CA4" w:rsidP="00F53F85">
            <w:pPr>
              <w:spacing w:after="0"/>
              <w:jc w:val="left"/>
              <w:rPr>
                <w:rFonts w:ascii="Arial Narrow" w:hAnsi="Arial Narrow"/>
                <w:sz w:val="20"/>
                <w:lang w:eastAsia="en-AU"/>
              </w:rPr>
            </w:pPr>
          </w:p>
        </w:tc>
        <w:tc>
          <w:tcPr>
            <w:tcW w:w="1134" w:type="dxa"/>
            <w:vMerge/>
            <w:tcBorders>
              <w:left w:val="single" w:sz="4" w:space="0" w:color="auto"/>
              <w:bottom w:val="single" w:sz="4" w:space="0" w:color="auto"/>
              <w:right w:val="single" w:sz="4" w:space="0" w:color="auto"/>
            </w:tcBorders>
            <w:vAlign w:val="center"/>
          </w:tcPr>
          <w:p w14:paraId="53C15EA6" w14:textId="77777777" w:rsidR="005B2CA4" w:rsidRPr="00F53F85" w:rsidRDefault="005B2CA4" w:rsidP="00316B11">
            <w:pPr>
              <w:spacing w:after="0"/>
              <w:jc w:val="center"/>
              <w:rPr>
                <w:rFonts w:ascii="Arial Narrow" w:hAnsi="Arial Narrow"/>
                <w:sz w:val="20"/>
                <w:szCs w:val="20"/>
                <w:lang w:eastAsia="en-AU"/>
              </w:rPr>
            </w:pPr>
          </w:p>
        </w:tc>
        <w:tc>
          <w:tcPr>
            <w:tcW w:w="779" w:type="dxa"/>
            <w:tcBorders>
              <w:top w:val="nil"/>
              <w:left w:val="single" w:sz="4" w:space="0" w:color="auto"/>
              <w:bottom w:val="single" w:sz="4" w:space="0" w:color="auto"/>
              <w:right w:val="single" w:sz="4" w:space="0" w:color="auto"/>
            </w:tcBorders>
            <w:vAlign w:val="center"/>
          </w:tcPr>
          <w:p w14:paraId="53C15EA7"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5</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EA8"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EA9"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3.63</w:t>
            </w:r>
          </w:p>
        </w:tc>
        <w:tc>
          <w:tcPr>
            <w:tcW w:w="586" w:type="dxa"/>
            <w:tcBorders>
              <w:top w:val="nil"/>
              <w:left w:val="nil"/>
              <w:bottom w:val="single" w:sz="4" w:space="0" w:color="auto"/>
              <w:right w:val="single" w:sz="4" w:space="0" w:color="auto"/>
            </w:tcBorders>
            <w:shd w:val="clear" w:color="auto" w:fill="auto"/>
            <w:noWrap/>
            <w:vAlign w:val="center"/>
            <w:hideMark/>
          </w:tcPr>
          <w:p w14:paraId="53C15EAA" w14:textId="77777777" w:rsidR="005B2CA4" w:rsidRPr="00F53F85" w:rsidRDefault="005B2CA4" w:rsidP="00316B11">
            <w:pPr>
              <w:spacing w:after="0"/>
              <w:jc w:val="center"/>
              <w:rPr>
                <w:rFonts w:ascii="Arial Narrow" w:hAnsi="Arial Narrow"/>
                <w:sz w:val="20"/>
                <w:szCs w:val="20"/>
                <w:lang w:eastAsia="en-AU"/>
              </w:rPr>
            </w:pPr>
          </w:p>
        </w:tc>
        <w:tc>
          <w:tcPr>
            <w:tcW w:w="564" w:type="dxa"/>
            <w:tcBorders>
              <w:top w:val="nil"/>
              <w:left w:val="nil"/>
              <w:bottom w:val="single" w:sz="4" w:space="0" w:color="auto"/>
              <w:right w:val="single" w:sz="4" w:space="0" w:color="auto"/>
            </w:tcBorders>
            <w:vAlign w:val="center"/>
          </w:tcPr>
          <w:p w14:paraId="53C15EAB" w14:textId="77777777" w:rsidR="005B2CA4" w:rsidRPr="00F53F85" w:rsidRDefault="005B2CA4"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EAC" w14:textId="77777777" w:rsidR="005B2CA4" w:rsidRPr="00F53F85" w:rsidRDefault="005B2CA4"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EAD" w14:textId="77777777" w:rsidR="005B2CA4" w:rsidRPr="00F53F85" w:rsidRDefault="005B2CA4"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EAE"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0.25</w:t>
            </w:r>
          </w:p>
        </w:tc>
        <w:tc>
          <w:tcPr>
            <w:tcW w:w="546" w:type="dxa"/>
            <w:tcBorders>
              <w:top w:val="nil"/>
              <w:left w:val="nil"/>
              <w:bottom w:val="single" w:sz="4" w:space="0" w:color="auto"/>
              <w:right w:val="single" w:sz="4" w:space="0" w:color="auto"/>
            </w:tcBorders>
            <w:shd w:val="clear" w:color="auto" w:fill="auto"/>
            <w:noWrap/>
            <w:vAlign w:val="center"/>
            <w:hideMark/>
          </w:tcPr>
          <w:p w14:paraId="53C15EAF" w14:textId="77777777" w:rsidR="005B2CA4" w:rsidRPr="00F53F85" w:rsidRDefault="005B2CA4" w:rsidP="00316B11">
            <w:pPr>
              <w:spacing w:after="0"/>
              <w:jc w:val="center"/>
              <w:rPr>
                <w:rFonts w:ascii="Arial Narrow" w:hAnsi="Arial Narrow"/>
                <w:sz w:val="20"/>
                <w:szCs w:val="20"/>
                <w:lang w:eastAsia="en-AU"/>
              </w:rPr>
            </w:pPr>
          </w:p>
        </w:tc>
        <w:tc>
          <w:tcPr>
            <w:tcW w:w="573" w:type="dxa"/>
            <w:tcBorders>
              <w:top w:val="nil"/>
              <w:left w:val="nil"/>
              <w:bottom w:val="single" w:sz="4" w:space="0" w:color="auto"/>
              <w:right w:val="single" w:sz="4" w:space="0" w:color="auto"/>
            </w:tcBorders>
            <w:shd w:val="clear" w:color="auto" w:fill="auto"/>
            <w:noWrap/>
            <w:vAlign w:val="center"/>
            <w:hideMark/>
          </w:tcPr>
          <w:p w14:paraId="53C15EB0" w14:textId="77777777" w:rsidR="005B2CA4" w:rsidRPr="00F53F85" w:rsidRDefault="005B2CA4"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EB1"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EB2" w14:textId="77777777" w:rsidR="005B2CA4" w:rsidRPr="00F53F85" w:rsidRDefault="005B2CA4"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EB3"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EB4"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788" w:type="dxa"/>
            <w:tcBorders>
              <w:top w:val="nil"/>
              <w:left w:val="nil"/>
              <w:bottom w:val="single" w:sz="4" w:space="0" w:color="auto"/>
              <w:right w:val="single" w:sz="4" w:space="0" w:color="auto"/>
            </w:tcBorders>
            <w:shd w:val="clear" w:color="auto" w:fill="auto"/>
            <w:noWrap/>
            <w:vAlign w:val="center"/>
            <w:hideMark/>
          </w:tcPr>
          <w:p w14:paraId="53C15EB5"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5.69</w:t>
            </w:r>
          </w:p>
        </w:tc>
        <w:tc>
          <w:tcPr>
            <w:tcW w:w="788" w:type="dxa"/>
            <w:tcBorders>
              <w:top w:val="nil"/>
              <w:left w:val="nil"/>
              <w:bottom w:val="single" w:sz="4" w:space="0" w:color="auto"/>
              <w:right w:val="single" w:sz="4" w:space="0" w:color="auto"/>
            </w:tcBorders>
            <w:shd w:val="clear" w:color="auto" w:fill="auto"/>
            <w:noWrap/>
            <w:vAlign w:val="center"/>
            <w:hideMark/>
          </w:tcPr>
          <w:p w14:paraId="53C15EB6" w14:textId="77777777" w:rsidR="005B2CA4" w:rsidRPr="00F53F85" w:rsidRDefault="005B2CA4" w:rsidP="00316B11">
            <w:pPr>
              <w:spacing w:after="0"/>
              <w:jc w:val="center"/>
              <w:rPr>
                <w:rFonts w:ascii="Arial Narrow" w:hAnsi="Arial Narrow"/>
                <w:sz w:val="20"/>
                <w:szCs w:val="20"/>
                <w:lang w:eastAsia="en-AU"/>
              </w:rPr>
            </w:pPr>
          </w:p>
        </w:tc>
        <w:tc>
          <w:tcPr>
            <w:tcW w:w="630" w:type="dxa"/>
            <w:tcBorders>
              <w:top w:val="nil"/>
              <w:left w:val="nil"/>
              <w:bottom w:val="single" w:sz="4" w:space="0" w:color="auto"/>
              <w:right w:val="single" w:sz="4" w:space="0" w:color="auto"/>
            </w:tcBorders>
            <w:vAlign w:val="center"/>
          </w:tcPr>
          <w:p w14:paraId="53C15EB7" w14:textId="77777777" w:rsidR="005B2CA4" w:rsidRPr="00F53F85" w:rsidRDefault="005B2CA4" w:rsidP="00316B11">
            <w:pPr>
              <w:spacing w:after="0"/>
              <w:jc w:val="center"/>
              <w:rPr>
                <w:rFonts w:ascii="Arial Narrow" w:hAnsi="Arial Narrow"/>
                <w:sz w:val="20"/>
                <w:szCs w:val="20"/>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EB8" w14:textId="77777777" w:rsidR="005B2CA4" w:rsidRPr="00F53F85" w:rsidRDefault="005B2CA4" w:rsidP="00316B11">
            <w:pPr>
              <w:spacing w:after="0"/>
              <w:jc w:val="center"/>
              <w:rPr>
                <w:rFonts w:ascii="Arial Narrow" w:hAnsi="Arial Narrow"/>
                <w:sz w:val="20"/>
                <w:szCs w:val="20"/>
                <w:lang w:eastAsia="en-AU"/>
              </w:rPr>
            </w:pPr>
          </w:p>
        </w:tc>
      </w:tr>
      <w:tr w:rsidR="005B2CA4" w:rsidRPr="00F53F85" w14:paraId="53C15ECE" w14:textId="77777777" w:rsidTr="005B2CA4">
        <w:trPr>
          <w:trHeight w:val="340"/>
        </w:trPr>
        <w:tc>
          <w:tcPr>
            <w:tcW w:w="611" w:type="dxa"/>
            <w:vMerge/>
            <w:tcBorders>
              <w:left w:val="single" w:sz="4" w:space="0" w:color="auto"/>
              <w:right w:val="single" w:sz="4" w:space="0" w:color="auto"/>
            </w:tcBorders>
            <w:vAlign w:val="center"/>
            <w:hideMark/>
          </w:tcPr>
          <w:p w14:paraId="53C15EBA" w14:textId="77777777" w:rsidR="005B2CA4" w:rsidRPr="00F53F85" w:rsidRDefault="005B2CA4" w:rsidP="00F53F85">
            <w:pPr>
              <w:spacing w:after="0"/>
              <w:jc w:val="left"/>
              <w:rPr>
                <w:rFonts w:ascii="Arial Narrow" w:hAnsi="Arial Narrow"/>
                <w:sz w:val="20"/>
                <w:lang w:eastAsia="en-AU"/>
              </w:rPr>
            </w:pPr>
          </w:p>
        </w:tc>
        <w:tc>
          <w:tcPr>
            <w:tcW w:w="1134" w:type="dxa"/>
            <w:vMerge w:val="restart"/>
            <w:tcBorders>
              <w:top w:val="single" w:sz="4" w:space="0" w:color="auto"/>
              <w:left w:val="single" w:sz="4" w:space="0" w:color="auto"/>
              <w:right w:val="single" w:sz="4" w:space="0" w:color="auto"/>
            </w:tcBorders>
            <w:vAlign w:val="center"/>
          </w:tcPr>
          <w:p w14:paraId="53C15EBB" w14:textId="77777777" w:rsidR="005B2CA4" w:rsidRPr="00F53F85" w:rsidRDefault="005B2CA4" w:rsidP="005B2CA4">
            <w:pPr>
              <w:spacing w:after="0"/>
              <w:jc w:val="center"/>
              <w:rPr>
                <w:rFonts w:ascii="Arial Narrow" w:hAnsi="Arial Narrow"/>
                <w:sz w:val="20"/>
                <w:szCs w:val="20"/>
                <w:lang w:eastAsia="en-AU"/>
              </w:rPr>
            </w:pPr>
            <w:r w:rsidRPr="00F53F85">
              <w:rPr>
                <w:rFonts w:ascii="Arial Narrow" w:hAnsi="Arial Narrow"/>
                <w:sz w:val="20"/>
                <w:szCs w:val="20"/>
              </w:rPr>
              <w:t>Pelican</w:t>
            </w:r>
          </w:p>
        </w:tc>
        <w:tc>
          <w:tcPr>
            <w:tcW w:w="779" w:type="dxa"/>
            <w:tcBorders>
              <w:top w:val="single" w:sz="4" w:space="0" w:color="auto"/>
              <w:left w:val="single" w:sz="4" w:space="0" w:color="auto"/>
              <w:bottom w:val="single" w:sz="4" w:space="0" w:color="auto"/>
              <w:right w:val="single" w:sz="4" w:space="0" w:color="auto"/>
            </w:tcBorders>
            <w:vAlign w:val="center"/>
          </w:tcPr>
          <w:p w14:paraId="53C15EBC"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2</w:t>
            </w:r>
          </w:p>
        </w:tc>
        <w:tc>
          <w:tcPr>
            <w:tcW w:w="6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C15EBD"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single" w:sz="4" w:space="0" w:color="auto"/>
              <w:left w:val="nil"/>
              <w:bottom w:val="single" w:sz="4" w:space="0" w:color="auto"/>
              <w:right w:val="single" w:sz="4" w:space="0" w:color="auto"/>
            </w:tcBorders>
            <w:shd w:val="clear" w:color="auto" w:fill="auto"/>
            <w:noWrap/>
            <w:vAlign w:val="center"/>
            <w:hideMark/>
          </w:tcPr>
          <w:p w14:paraId="53C15EBE"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0.25</w:t>
            </w:r>
          </w:p>
        </w:tc>
        <w:tc>
          <w:tcPr>
            <w:tcW w:w="586" w:type="dxa"/>
            <w:tcBorders>
              <w:top w:val="single" w:sz="4" w:space="0" w:color="auto"/>
              <w:left w:val="nil"/>
              <w:bottom w:val="single" w:sz="4" w:space="0" w:color="auto"/>
              <w:right w:val="single" w:sz="4" w:space="0" w:color="auto"/>
            </w:tcBorders>
            <w:shd w:val="clear" w:color="auto" w:fill="auto"/>
            <w:noWrap/>
            <w:vAlign w:val="center"/>
            <w:hideMark/>
          </w:tcPr>
          <w:p w14:paraId="53C15EBF"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2.75</w:t>
            </w:r>
          </w:p>
        </w:tc>
        <w:tc>
          <w:tcPr>
            <w:tcW w:w="564" w:type="dxa"/>
            <w:tcBorders>
              <w:top w:val="single" w:sz="4" w:space="0" w:color="auto"/>
              <w:left w:val="nil"/>
              <w:bottom w:val="single" w:sz="4" w:space="0" w:color="auto"/>
              <w:right w:val="single" w:sz="4" w:space="0" w:color="auto"/>
            </w:tcBorders>
            <w:vAlign w:val="center"/>
          </w:tcPr>
          <w:p w14:paraId="53C15EC0" w14:textId="77777777" w:rsidR="005B2CA4" w:rsidRPr="00F53F85" w:rsidRDefault="005B2CA4" w:rsidP="00316B11">
            <w:pPr>
              <w:spacing w:after="0"/>
              <w:jc w:val="center"/>
              <w:rPr>
                <w:rFonts w:ascii="Arial Narrow" w:hAnsi="Arial Narrow"/>
                <w:sz w:val="20"/>
                <w:szCs w:val="20"/>
                <w:lang w:eastAsia="en-AU"/>
              </w:rPr>
            </w:pPr>
          </w:p>
        </w:tc>
        <w:tc>
          <w:tcPr>
            <w:tcW w:w="5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C15EC1" w14:textId="77777777" w:rsidR="005B2CA4" w:rsidRPr="00F53F85" w:rsidRDefault="005B2CA4" w:rsidP="00316B11">
            <w:pPr>
              <w:spacing w:after="0"/>
              <w:jc w:val="center"/>
              <w:rPr>
                <w:rFonts w:ascii="Arial Narrow" w:hAnsi="Arial Narrow"/>
                <w:sz w:val="20"/>
                <w:szCs w:val="20"/>
                <w:lang w:eastAsia="en-AU"/>
              </w:rPr>
            </w:pPr>
          </w:p>
        </w:tc>
        <w:tc>
          <w:tcPr>
            <w:tcW w:w="662" w:type="dxa"/>
            <w:tcBorders>
              <w:top w:val="single" w:sz="4" w:space="0" w:color="auto"/>
              <w:left w:val="nil"/>
              <w:bottom w:val="single" w:sz="4" w:space="0" w:color="auto"/>
              <w:right w:val="single" w:sz="4" w:space="0" w:color="auto"/>
            </w:tcBorders>
            <w:vAlign w:val="center"/>
          </w:tcPr>
          <w:p w14:paraId="53C15EC2" w14:textId="77777777" w:rsidR="005B2CA4" w:rsidRPr="00F53F85" w:rsidRDefault="005B2CA4" w:rsidP="00316B11">
            <w:pPr>
              <w:spacing w:after="0"/>
              <w:jc w:val="center"/>
              <w:rPr>
                <w:rFonts w:ascii="Arial Narrow" w:hAnsi="Arial Narrow"/>
                <w:sz w:val="20"/>
                <w:szCs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C15EC3"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10.19</w:t>
            </w:r>
          </w:p>
        </w:tc>
        <w:tc>
          <w:tcPr>
            <w:tcW w:w="546" w:type="dxa"/>
            <w:tcBorders>
              <w:top w:val="single" w:sz="4" w:space="0" w:color="auto"/>
              <w:left w:val="nil"/>
              <w:bottom w:val="single" w:sz="4" w:space="0" w:color="auto"/>
              <w:right w:val="single" w:sz="4" w:space="0" w:color="auto"/>
            </w:tcBorders>
            <w:shd w:val="clear" w:color="auto" w:fill="auto"/>
            <w:noWrap/>
            <w:vAlign w:val="center"/>
            <w:hideMark/>
          </w:tcPr>
          <w:p w14:paraId="53C15EC4" w14:textId="77777777" w:rsidR="005B2CA4" w:rsidRPr="00F53F85" w:rsidRDefault="005B2CA4" w:rsidP="00316B11">
            <w:pPr>
              <w:spacing w:after="0"/>
              <w:jc w:val="center"/>
              <w:rPr>
                <w:rFonts w:ascii="Arial Narrow" w:hAnsi="Arial Narrow"/>
                <w:sz w:val="20"/>
                <w:szCs w:val="20"/>
                <w:lang w:eastAsia="en-AU"/>
              </w:rPr>
            </w:pPr>
          </w:p>
        </w:tc>
        <w:tc>
          <w:tcPr>
            <w:tcW w:w="573" w:type="dxa"/>
            <w:tcBorders>
              <w:top w:val="single" w:sz="4" w:space="0" w:color="auto"/>
              <w:left w:val="nil"/>
              <w:bottom w:val="single" w:sz="4" w:space="0" w:color="auto"/>
              <w:right w:val="single" w:sz="4" w:space="0" w:color="auto"/>
            </w:tcBorders>
            <w:shd w:val="clear" w:color="auto" w:fill="auto"/>
            <w:noWrap/>
            <w:vAlign w:val="center"/>
            <w:hideMark/>
          </w:tcPr>
          <w:p w14:paraId="53C15EC5" w14:textId="77777777" w:rsidR="005B2CA4" w:rsidRPr="00F53F85" w:rsidRDefault="005B2CA4" w:rsidP="00316B11">
            <w:pPr>
              <w:spacing w:after="0"/>
              <w:jc w:val="center"/>
              <w:rPr>
                <w:rFonts w:ascii="Arial Narrow" w:hAnsi="Arial Narrow"/>
                <w:sz w:val="20"/>
                <w:szCs w:val="20"/>
                <w:lang w:eastAsia="en-AU"/>
              </w:rPr>
            </w:pPr>
          </w:p>
        </w:tc>
        <w:tc>
          <w:tcPr>
            <w:tcW w:w="799" w:type="dxa"/>
            <w:tcBorders>
              <w:top w:val="single" w:sz="4" w:space="0" w:color="auto"/>
              <w:left w:val="nil"/>
              <w:bottom w:val="single" w:sz="4" w:space="0" w:color="auto"/>
              <w:right w:val="single" w:sz="4" w:space="0" w:color="auto"/>
            </w:tcBorders>
            <w:shd w:val="clear" w:color="auto" w:fill="auto"/>
            <w:noWrap/>
            <w:vAlign w:val="center"/>
            <w:hideMark/>
          </w:tcPr>
          <w:p w14:paraId="53C15EC6"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0.13</w:t>
            </w:r>
          </w:p>
        </w:tc>
        <w:tc>
          <w:tcPr>
            <w:tcW w:w="536" w:type="dxa"/>
            <w:tcBorders>
              <w:top w:val="single" w:sz="4" w:space="0" w:color="auto"/>
              <w:left w:val="nil"/>
              <w:bottom w:val="single" w:sz="4" w:space="0" w:color="auto"/>
              <w:right w:val="single" w:sz="4" w:space="0" w:color="auto"/>
            </w:tcBorders>
            <w:shd w:val="clear" w:color="auto" w:fill="auto"/>
            <w:noWrap/>
            <w:vAlign w:val="center"/>
            <w:hideMark/>
          </w:tcPr>
          <w:p w14:paraId="53C15EC7"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0.88</w:t>
            </w:r>
          </w:p>
        </w:tc>
        <w:tc>
          <w:tcPr>
            <w:tcW w:w="646" w:type="dxa"/>
            <w:gridSpan w:val="2"/>
            <w:tcBorders>
              <w:top w:val="single" w:sz="4" w:space="0" w:color="auto"/>
              <w:left w:val="nil"/>
              <w:bottom w:val="single" w:sz="4" w:space="0" w:color="auto"/>
              <w:right w:val="single" w:sz="4" w:space="0" w:color="auto"/>
            </w:tcBorders>
            <w:shd w:val="clear" w:color="auto" w:fill="auto"/>
            <w:noWrap/>
            <w:vAlign w:val="center"/>
            <w:hideMark/>
          </w:tcPr>
          <w:p w14:paraId="53C15EC8"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788" w:type="dxa"/>
            <w:tcBorders>
              <w:top w:val="single" w:sz="4" w:space="0" w:color="auto"/>
              <w:left w:val="nil"/>
              <w:bottom w:val="single" w:sz="4" w:space="0" w:color="auto"/>
              <w:right w:val="single" w:sz="4" w:space="0" w:color="auto"/>
            </w:tcBorders>
            <w:shd w:val="clear" w:color="auto" w:fill="auto"/>
            <w:noWrap/>
            <w:vAlign w:val="center"/>
            <w:hideMark/>
          </w:tcPr>
          <w:p w14:paraId="53C15EC9"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1.00</w:t>
            </w:r>
          </w:p>
        </w:tc>
        <w:tc>
          <w:tcPr>
            <w:tcW w:w="788" w:type="dxa"/>
            <w:tcBorders>
              <w:top w:val="single" w:sz="4" w:space="0" w:color="auto"/>
              <w:left w:val="nil"/>
              <w:bottom w:val="single" w:sz="4" w:space="0" w:color="auto"/>
              <w:right w:val="single" w:sz="4" w:space="0" w:color="auto"/>
            </w:tcBorders>
            <w:shd w:val="clear" w:color="auto" w:fill="auto"/>
            <w:noWrap/>
            <w:vAlign w:val="center"/>
            <w:hideMark/>
          </w:tcPr>
          <w:p w14:paraId="53C15ECA"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5.50</w:t>
            </w:r>
          </w:p>
        </w:tc>
        <w:tc>
          <w:tcPr>
            <w:tcW w:w="788" w:type="dxa"/>
            <w:tcBorders>
              <w:top w:val="single" w:sz="4" w:space="0" w:color="auto"/>
              <w:left w:val="nil"/>
              <w:bottom w:val="single" w:sz="4" w:space="0" w:color="auto"/>
              <w:right w:val="single" w:sz="4" w:space="0" w:color="auto"/>
            </w:tcBorders>
            <w:shd w:val="clear" w:color="auto" w:fill="auto"/>
            <w:noWrap/>
            <w:vAlign w:val="center"/>
            <w:hideMark/>
          </w:tcPr>
          <w:p w14:paraId="53C15ECB"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34.25</w:t>
            </w:r>
          </w:p>
        </w:tc>
        <w:tc>
          <w:tcPr>
            <w:tcW w:w="630" w:type="dxa"/>
            <w:tcBorders>
              <w:top w:val="single" w:sz="4" w:space="0" w:color="auto"/>
              <w:left w:val="nil"/>
              <w:bottom w:val="single" w:sz="4" w:space="0" w:color="auto"/>
              <w:right w:val="single" w:sz="4" w:space="0" w:color="auto"/>
            </w:tcBorders>
            <w:vAlign w:val="center"/>
          </w:tcPr>
          <w:p w14:paraId="53C15ECC"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0.19</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C15ECD"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3.31</w:t>
            </w:r>
          </w:p>
        </w:tc>
      </w:tr>
      <w:tr w:rsidR="005B2CA4" w:rsidRPr="00F53F85" w14:paraId="53C15EE3" w14:textId="77777777" w:rsidTr="005B2CA4">
        <w:trPr>
          <w:trHeight w:val="340"/>
        </w:trPr>
        <w:tc>
          <w:tcPr>
            <w:tcW w:w="611" w:type="dxa"/>
            <w:vMerge/>
            <w:tcBorders>
              <w:left w:val="single" w:sz="4" w:space="0" w:color="auto"/>
              <w:right w:val="single" w:sz="4" w:space="0" w:color="auto"/>
            </w:tcBorders>
            <w:vAlign w:val="center"/>
            <w:hideMark/>
          </w:tcPr>
          <w:p w14:paraId="53C15ECF" w14:textId="77777777" w:rsidR="005B2CA4" w:rsidRPr="00F53F85" w:rsidRDefault="005B2CA4" w:rsidP="00F53F85">
            <w:pPr>
              <w:spacing w:after="0"/>
              <w:jc w:val="left"/>
              <w:rPr>
                <w:rFonts w:ascii="Arial Narrow" w:hAnsi="Arial Narrow"/>
                <w:sz w:val="20"/>
                <w:lang w:eastAsia="en-AU"/>
              </w:rPr>
            </w:pPr>
          </w:p>
        </w:tc>
        <w:tc>
          <w:tcPr>
            <w:tcW w:w="1134" w:type="dxa"/>
            <w:vMerge/>
            <w:tcBorders>
              <w:left w:val="single" w:sz="4" w:space="0" w:color="auto"/>
              <w:bottom w:val="single" w:sz="4" w:space="0" w:color="auto"/>
              <w:right w:val="single" w:sz="4" w:space="0" w:color="auto"/>
            </w:tcBorders>
            <w:vAlign w:val="center"/>
          </w:tcPr>
          <w:p w14:paraId="53C15ED0" w14:textId="77777777" w:rsidR="005B2CA4" w:rsidRPr="00F53F85" w:rsidRDefault="005B2CA4" w:rsidP="00316B11">
            <w:pPr>
              <w:spacing w:after="0"/>
              <w:jc w:val="center"/>
              <w:rPr>
                <w:rFonts w:ascii="Arial Narrow" w:hAnsi="Arial Narrow"/>
                <w:sz w:val="20"/>
                <w:szCs w:val="20"/>
                <w:lang w:eastAsia="en-AU"/>
              </w:rPr>
            </w:pPr>
          </w:p>
        </w:tc>
        <w:tc>
          <w:tcPr>
            <w:tcW w:w="779" w:type="dxa"/>
            <w:tcBorders>
              <w:top w:val="nil"/>
              <w:left w:val="single" w:sz="4" w:space="0" w:color="auto"/>
              <w:bottom w:val="single" w:sz="4" w:space="0" w:color="auto"/>
              <w:right w:val="single" w:sz="4" w:space="0" w:color="auto"/>
            </w:tcBorders>
            <w:vAlign w:val="center"/>
          </w:tcPr>
          <w:p w14:paraId="53C15ED1"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5</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ED2"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ED3"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0.94</w:t>
            </w:r>
          </w:p>
        </w:tc>
        <w:tc>
          <w:tcPr>
            <w:tcW w:w="586" w:type="dxa"/>
            <w:tcBorders>
              <w:top w:val="nil"/>
              <w:left w:val="nil"/>
              <w:bottom w:val="single" w:sz="4" w:space="0" w:color="auto"/>
              <w:right w:val="single" w:sz="4" w:space="0" w:color="auto"/>
            </w:tcBorders>
            <w:shd w:val="clear" w:color="auto" w:fill="auto"/>
            <w:noWrap/>
            <w:vAlign w:val="center"/>
            <w:hideMark/>
          </w:tcPr>
          <w:p w14:paraId="53C15ED4"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0.63</w:t>
            </w:r>
          </w:p>
        </w:tc>
        <w:tc>
          <w:tcPr>
            <w:tcW w:w="564" w:type="dxa"/>
            <w:tcBorders>
              <w:top w:val="nil"/>
              <w:left w:val="nil"/>
              <w:bottom w:val="single" w:sz="4" w:space="0" w:color="auto"/>
              <w:right w:val="single" w:sz="4" w:space="0" w:color="auto"/>
            </w:tcBorders>
            <w:vAlign w:val="center"/>
          </w:tcPr>
          <w:p w14:paraId="53C15ED5" w14:textId="77777777" w:rsidR="005B2CA4" w:rsidRPr="00F53F85" w:rsidRDefault="005B2CA4"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ED6" w14:textId="77777777" w:rsidR="005B2CA4" w:rsidRPr="00F53F85" w:rsidRDefault="005B2CA4"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ED7" w14:textId="77777777" w:rsidR="005B2CA4" w:rsidRPr="00F53F85" w:rsidRDefault="005B2CA4"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ED8"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5.38</w:t>
            </w:r>
          </w:p>
        </w:tc>
        <w:tc>
          <w:tcPr>
            <w:tcW w:w="546" w:type="dxa"/>
            <w:tcBorders>
              <w:top w:val="nil"/>
              <w:left w:val="nil"/>
              <w:bottom w:val="single" w:sz="4" w:space="0" w:color="auto"/>
              <w:right w:val="single" w:sz="4" w:space="0" w:color="auto"/>
            </w:tcBorders>
            <w:shd w:val="clear" w:color="auto" w:fill="auto"/>
            <w:noWrap/>
            <w:vAlign w:val="center"/>
            <w:hideMark/>
          </w:tcPr>
          <w:p w14:paraId="53C15ED9" w14:textId="77777777" w:rsidR="005B2CA4" w:rsidRPr="00F53F85" w:rsidRDefault="005B2CA4" w:rsidP="00316B11">
            <w:pPr>
              <w:spacing w:after="0"/>
              <w:jc w:val="center"/>
              <w:rPr>
                <w:rFonts w:ascii="Arial Narrow" w:hAnsi="Arial Narrow"/>
                <w:sz w:val="20"/>
                <w:szCs w:val="20"/>
                <w:lang w:eastAsia="en-AU"/>
              </w:rPr>
            </w:pPr>
          </w:p>
        </w:tc>
        <w:tc>
          <w:tcPr>
            <w:tcW w:w="573" w:type="dxa"/>
            <w:tcBorders>
              <w:top w:val="nil"/>
              <w:left w:val="nil"/>
              <w:bottom w:val="single" w:sz="4" w:space="0" w:color="auto"/>
              <w:right w:val="single" w:sz="4" w:space="0" w:color="auto"/>
            </w:tcBorders>
            <w:shd w:val="clear" w:color="auto" w:fill="auto"/>
            <w:noWrap/>
            <w:vAlign w:val="center"/>
            <w:hideMark/>
          </w:tcPr>
          <w:p w14:paraId="53C15EDA" w14:textId="77777777" w:rsidR="005B2CA4" w:rsidRPr="00F53F85" w:rsidRDefault="005B2CA4" w:rsidP="00316B11">
            <w:pPr>
              <w:spacing w:after="0"/>
              <w:jc w:val="center"/>
              <w:rPr>
                <w:rFonts w:ascii="Arial Narrow" w:hAnsi="Arial Narrow"/>
                <w:sz w:val="20"/>
                <w:szCs w:val="20"/>
                <w:lang w:eastAsia="en-AU"/>
              </w:rPr>
            </w:pPr>
          </w:p>
        </w:tc>
        <w:tc>
          <w:tcPr>
            <w:tcW w:w="799" w:type="dxa"/>
            <w:tcBorders>
              <w:top w:val="nil"/>
              <w:left w:val="nil"/>
              <w:bottom w:val="single" w:sz="4" w:space="0" w:color="auto"/>
              <w:right w:val="single" w:sz="4" w:space="0" w:color="auto"/>
            </w:tcBorders>
            <w:shd w:val="clear" w:color="auto" w:fill="auto"/>
            <w:noWrap/>
            <w:vAlign w:val="center"/>
            <w:hideMark/>
          </w:tcPr>
          <w:p w14:paraId="53C15EDB"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0.44</w:t>
            </w:r>
          </w:p>
        </w:tc>
        <w:tc>
          <w:tcPr>
            <w:tcW w:w="536" w:type="dxa"/>
            <w:tcBorders>
              <w:top w:val="nil"/>
              <w:left w:val="nil"/>
              <w:bottom w:val="single" w:sz="4" w:space="0" w:color="auto"/>
              <w:right w:val="single" w:sz="4" w:space="0" w:color="auto"/>
            </w:tcBorders>
            <w:shd w:val="clear" w:color="auto" w:fill="auto"/>
            <w:noWrap/>
            <w:vAlign w:val="center"/>
            <w:hideMark/>
          </w:tcPr>
          <w:p w14:paraId="53C15EDC" w14:textId="77777777" w:rsidR="005B2CA4" w:rsidRPr="00F53F85" w:rsidRDefault="005B2CA4"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EDD"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EDE"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0.13</w:t>
            </w:r>
          </w:p>
        </w:tc>
        <w:tc>
          <w:tcPr>
            <w:tcW w:w="788" w:type="dxa"/>
            <w:tcBorders>
              <w:top w:val="nil"/>
              <w:left w:val="nil"/>
              <w:bottom w:val="single" w:sz="4" w:space="0" w:color="auto"/>
              <w:right w:val="single" w:sz="4" w:space="0" w:color="auto"/>
            </w:tcBorders>
            <w:shd w:val="clear" w:color="auto" w:fill="auto"/>
            <w:noWrap/>
            <w:vAlign w:val="center"/>
            <w:hideMark/>
          </w:tcPr>
          <w:p w14:paraId="53C15EDF"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7.56</w:t>
            </w:r>
          </w:p>
        </w:tc>
        <w:tc>
          <w:tcPr>
            <w:tcW w:w="788" w:type="dxa"/>
            <w:tcBorders>
              <w:top w:val="nil"/>
              <w:left w:val="nil"/>
              <w:bottom w:val="single" w:sz="4" w:space="0" w:color="auto"/>
              <w:right w:val="single" w:sz="4" w:space="0" w:color="auto"/>
            </w:tcBorders>
            <w:shd w:val="clear" w:color="auto" w:fill="auto"/>
            <w:noWrap/>
            <w:vAlign w:val="center"/>
            <w:hideMark/>
          </w:tcPr>
          <w:p w14:paraId="53C15EE0"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1.63</w:t>
            </w:r>
          </w:p>
        </w:tc>
        <w:tc>
          <w:tcPr>
            <w:tcW w:w="630" w:type="dxa"/>
            <w:tcBorders>
              <w:top w:val="nil"/>
              <w:left w:val="nil"/>
              <w:bottom w:val="single" w:sz="4" w:space="0" w:color="auto"/>
              <w:right w:val="single" w:sz="4" w:space="0" w:color="auto"/>
            </w:tcBorders>
            <w:vAlign w:val="center"/>
          </w:tcPr>
          <w:p w14:paraId="53C15EE1" w14:textId="77777777" w:rsidR="005B2CA4" w:rsidRPr="00F53F85" w:rsidRDefault="005B2CA4" w:rsidP="00316B11">
            <w:pPr>
              <w:spacing w:after="0"/>
              <w:jc w:val="center"/>
              <w:rPr>
                <w:rFonts w:ascii="Arial Narrow" w:hAnsi="Arial Narrow"/>
                <w:sz w:val="20"/>
                <w:szCs w:val="20"/>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EE2"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1.00</w:t>
            </w:r>
          </w:p>
        </w:tc>
      </w:tr>
      <w:tr w:rsidR="005B2CA4" w:rsidRPr="00F53F85" w14:paraId="53C15EF8" w14:textId="77777777" w:rsidTr="005B2CA4">
        <w:trPr>
          <w:trHeight w:val="340"/>
        </w:trPr>
        <w:tc>
          <w:tcPr>
            <w:tcW w:w="611" w:type="dxa"/>
            <w:vMerge/>
            <w:tcBorders>
              <w:left w:val="single" w:sz="4" w:space="0" w:color="auto"/>
              <w:right w:val="single" w:sz="4" w:space="0" w:color="auto"/>
            </w:tcBorders>
            <w:vAlign w:val="center"/>
            <w:hideMark/>
          </w:tcPr>
          <w:p w14:paraId="53C15EE4" w14:textId="77777777" w:rsidR="005B2CA4" w:rsidRPr="00F53F85" w:rsidRDefault="005B2CA4" w:rsidP="00F53F85">
            <w:pPr>
              <w:spacing w:after="0"/>
              <w:jc w:val="left"/>
              <w:rPr>
                <w:rFonts w:ascii="Arial Narrow" w:hAnsi="Arial Narrow"/>
                <w:sz w:val="20"/>
                <w:lang w:eastAsia="en-AU"/>
              </w:rPr>
            </w:pPr>
          </w:p>
        </w:tc>
        <w:tc>
          <w:tcPr>
            <w:tcW w:w="1134" w:type="dxa"/>
            <w:vMerge w:val="restart"/>
            <w:tcBorders>
              <w:top w:val="nil"/>
              <w:left w:val="single" w:sz="4" w:space="0" w:color="auto"/>
              <w:right w:val="single" w:sz="4" w:space="0" w:color="auto"/>
            </w:tcBorders>
            <w:vAlign w:val="center"/>
          </w:tcPr>
          <w:p w14:paraId="53C15EE5" w14:textId="77777777" w:rsidR="005B2CA4" w:rsidRPr="00F53F85" w:rsidRDefault="005B2CA4" w:rsidP="005B2CA4">
            <w:pPr>
              <w:spacing w:after="0"/>
              <w:jc w:val="center"/>
              <w:rPr>
                <w:rFonts w:ascii="Arial Narrow" w:hAnsi="Arial Narrow"/>
                <w:sz w:val="20"/>
                <w:szCs w:val="20"/>
                <w:lang w:eastAsia="en-AU"/>
              </w:rPr>
            </w:pPr>
            <w:r w:rsidRPr="00F53F85">
              <w:rPr>
                <w:rFonts w:ascii="Arial Narrow" w:hAnsi="Arial Narrow"/>
                <w:sz w:val="20"/>
                <w:szCs w:val="20"/>
              </w:rPr>
              <w:t>Peak</w:t>
            </w:r>
          </w:p>
        </w:tc>
        <w:tc>
          <w:tcPr>
            <w:tcW w:w="779" w:type="dxa"/>
            <w:tcBorders>
              <w:top w:val="nil"/>
              <w:left w:val="single" w:sz="4" w:space="0" w:color="auto"/>
              <w:bottom w:val="single" w:sz="4" w:space="0" w:color="auto"/>
              <w:right w:val="single" w:sz="4" w:space="0" w:color="auto"/>
            </w:tcBorders>
            <w:vAlign w:val="center"/>
          </w:tcPr>
          <w:p w14:paraId="53C15EE6"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2</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EE7"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EE8"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0.75</w:t>
            </w:r>
          </w:p>
        </w:tc>
        <w:tc>
          <w:tcPr>
            <w:tcW w:w="586" w:type="dxa"/>
            <w:tcBorders>
              <w:top w:val="nil"/>
              <w:left w:val="nil"/>
              <w:bottom w:val="single" w:sz="4" w:space="0" w:color="auto"/>
              <w:right w:val="single" w:sz="4" w:space="0" w:color="auto"/>
            </w:tcBorders>
            <w:shd w:val="clear" w:color="auto" w:fill="auto"/>
            <w:noWrap/>
            <w:vAlign w:val="center"/>
            <w:hideMark/>
          </w:tcPr>
          <w:p w14:paraId="53C15EE9"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3.38</w:t>
            </w:r>
          </w:p>
        </w:tc>
        <w:tc>
          <w:tcPr>
            <w:tcW w:w="564" w:type="dxa"/>
            <w:tcBorders>
              <w:top w:val="nil"/>
              <w:left w:val="nil"/>
              <w:bottom w:val="single" w:sz="4" w:space="0" w:color="auto"/>
              <w:right w:val="single" w:sz="4" w:space="0" w:color="auto"/>
            </w:tcBorders>
            <w:vAlign w:val="center"/>
          </w:tcPr>
          <w:p w14:paraId="53C15EEA" w14:textId="77777777" w:rsidR="005B2CA4" w:rsidRPr="00F53F85" w:rsidRDefault="005B2CA4" w:rsidP="00316B11">
            <w:pPr>
              <w:spacing w:after="0"/>
              <w:jc w:val="center"/>
              <w:rPr>
                <w:rFonts w:ascii="Arial Narrow" w:hAnsi="Arial Narrow"/>
                <w:sz w:val="20"/>
                <w:szCs w:val="20"/>
                <w:lang w:eastAsia="en-AU"/>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EEB" w14:textId="77777777" w:rsidR="005B2CA4" w:rsidRPr="00F53F85" w:rsidRDefault="005B2CA4"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EEC" w14:textId="77777777" w:rsidR="005B2CA4" w:rsidRPr="00F53F85" w:rsidRDefault="005B2CA4" w:rsidP="00316B11">
            <w:pPr>
              <w:spacing w:after="0"/>
              <w:jc w:val="center"/>
              <w:rPr>
                <w:rFonts w:ascii="Arial Narrow" w:hAnsi="Arial Narrow"/>
                <w:sz w:val="20"/>
                <w:szCs w:val="20"/>
              </w:rPr>
            </w:pPr>
            <w:r w:rsidRPr="00F53F85">
              <w:rPr>
                <w:rFonts w:ascii="Arial Narrow" w:hAnsi="Arial Narrow"/>
                <w:sz w:val="20"/>
                <w:szCs w:val="20"/>
              </w:rPr>
              <w:t>1.25</w:t>
            </w: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EED"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33.75</w:t>
            </w:r>
          </w:p>
        </w:tc>
        <w:tc>
          <w:tcPr>
            <w:tcW w:w="546" w:type="dxa"/>
            <w:tcBorders>
              <w:top w:val="nil"/>
              <w:left w:val="nil"/>
              <w:bottom w:val="single" w:sz="4" w:space="0" w:color="auto"/>
              <w:right w:val="single" w:sz="4" w:space="0" w:color="auto"/>
            </w:tcBorders>
            <w:shd w:val="clear" w:color="auto" w:fill="auto"/>
            <w:noWrap/>
            <w:vAlign w:val="center"/>
            <w:hideMark/>
          </w:tcPr>
          <w:p w14:paraId="53C15EEE"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573" w:type="dxa"/>
            <w:tcBorders>
              <w:top w:val="nil"/>
              <w:left w:val="nil"/>
              <w:bottom w:val="single" w:sz="4" w:space="0" w:color="auto"/>
              <w:right w:val="single" w:sz="4" w:space="0" w:color="auto"/>
            </w:tcBorders>
            <w:shd w:val="clear" w:color="auto" w:fill="auto"/>
            <w:noWrap/>
            <w:vAlign w:val="center"/>
            <w:hideMark/>
          </w:tcPr>
          <w:p w14:paraId="53C15EEF"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2.94</w:t>
            </w:r>
          </w:p>
        </w:tc>
        <w:tc>
          <w:tcPr>
            <w:tcW w:w="799" w:type="dxa"/>
            <w:tcBorders>
              <w:top w:val="nil"/>
              <w:left w:val="nil"/>
              <w:bottom w:val="single" w:sz="4" w:space="0" w:color="auto"/>
              <w:right w:val="single" w:sz="4" w:space="0" w:color="auto"/>
            </w:tcBorders>
            <w:shd w:val="clear" w:color="auto" w:fill="auto"/>
            <w:noWrap/>
            <w:vAlign w:val="center"/>
            <w:hideMark/>
          </w:tcPr>
          <w:p w14:paraId="53C15EF0"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536" w:type="dxa"/>
            <w:tcBorders>
              <w:top w:val="nil"/>
              <w:left w:val="nil"/>
              <w:bottom w:val="single" w:sz="4" w:space="0" w:color="auto"/>
              <w:right w:val="single" w:sz="4" w:space="0" w:color="auto"/>
            </w:tcBorders>
            <w:shd w:val="clear" w:color="auto" w:fill="auto"/>
            <w:noWrap/>
            <w:vAlign w:val="center"/>
            <w:hideMark/>
          </w:tcPr>
          <w:p w14:paraId="53C15EF1"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3.50</w:t>
            </w: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EF2"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EF3"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0.06</w:t>
            </w:r>
          </w:p>
        </w:tc>
        <w:tc>
          <w:tcPr>
            <w:tcW w:w="788" w:type="dxa"/>
            <w:tcBorders>
              <w:top w:val="nil"/>
              <w:left w:val="nil"/>
              <w:bottom w:val="single" w:sz="4" w:space="0" w:color="auto"/>
              <w:right w:val="single" w:sz="4" w:space="0" w:color="auto"/>
            </w:tcBorders>
            <w:shd w:val="clear" w:color="auto" w:fill="auto"/>
            <w:noWrap/>
            <w:vAlign w:val="center"/>
            <w:hideMark/>
          </w:tcPr>
          <w:p w14:paraId="53C15EF4"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5.06</w:t>
            </w:r>
          </w:p>
        </w:tc>
        <w:tc>
          <w:tcPr>
            <w:tcW w:w="788" w:type="dxa"/>
            <w:tcBorders>
              <w:top w:val="nil"/>
              <w:left w:val="nil"/>
              <w:bottom w:val="single" w:sz="4" w:space="0" w:color="auto"/>
              <w:right w:val="single" w:sz="4" w:space="0" w:color="auto"/>
            </w:tcBorders>
            <w:shd w:val="clear" w:color="auto" w:fill="auto"/>
            <w:noWrap/>
            <w:vAlign w:val="center"/>
            <w:hideMark/>
          </w:tcPr>
          <w:p w14:paraId="53C15EF5"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16.56</w:t>
            </w:r>
          </w:p>
        </w:tc>
        <w:tc>
          <w:tcPr>
            <w:tcW w:w="630" w:type="dxa"/>
            <w:tcBorders>
              <w:top w:val="nil"/>
              <w:left w:val="nil"/>
              <w:bottom w:val="single" w:sz="4" w:space="0" w:color="auto"/>
              <w:right w:val="single" w:sz="4" w:space="0" w:color="auto"/>
            </w:tcBorders>
            <w:vAlign w:val="center"/>
          </w:tcPr>
          <w:p w14:paraId="53C15EF6" w14:textId="77777777" w:rsidR="005B2CA4" w:rsidRPr="00F53F85" w:rsidRDefault="005B2CA4" w:rsidP="00316B11">
            <w:pPr>
              <w:spacing w:after="0"/>
              <w:jc w:val="center"/>
              <w:rPr>
                <w:rFonts w:ascii="Arial Narrow" w:hAnsi="Arial Narrow"/>
                <w:sz w:val="20"/>
                <w:szCs w:val="20"/>
              </w:rPr>
            </w:pPr>
            <w:r w:rsidRPr="00F53F85">
              <w:rPr>
                <w:rFonts w:ascii="Arial Narrow" w:hAnsi="Arial Narrow"/>
                <w:sz w:val="20"/>
                <w:szCs w:val="20"/>
              </w:rPr>
              <w:t>1.19</w:t>
            </w: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EF7"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1.06</w:t>
            </w:r>
          </w:p>
        </w:tc>
      </w:tr>
      <w:tr w:rsidR="005B2CA4" w:rsidRPr="00F53F85" w14:paraId="53C15F0D" w14:textId="77777777" w:rsidTr="005B2CA4">
        <w:trPr>
          <w:trHeight w:val="340"/>
        </w:trPr>
        <w:tc>
          <w:tcPr>
            <w:tcW w:w="611" w:type="dxa"/>
            <w:vMerge/>
            <w:tcBorders>
              <w:left w:val="single" w:sz="4" w:space="0" w:color="auto"/>
              <w:bottom w:val="single" w:sz="4" w:space="0" w:color="auto"/>
              <w:right w:val="single" w:sz="4" w:space="0" w:color="auto"/>
            </w:tcBorders>
            <w:vAlign w:val="center"/>
            <w:hideMark/>
          </w:tcPr>
          <w:p w14:paraId="53C15EF9" w14:textId="77777777" w:rsidR="005B2CA4" w:rsidRPr="00F53F85" w:rsidRDefault="005B2CA4" w:rsidP="00F53F85">
            <w:pPr>
              <w:spacing w:after="0"/>
              <w:jc w:val="left"/>
              <w:rPr>
                <w:rFonts w:ascii="Arial Narrow" w:hAnsi="Arial Narrow"/>
                <w:sz w:val="20"/>
                <w:lang w:eastAsia="en-AU"/>
              </w:rPr>
            </w:pPr>
          </w:p>
        </w:tc>
        <w:tc>
          <w:tcPr>
            <w:tcW w:w="1134" w:type="dxa"/>
            <w:vMerge/>
            <w:tcBorders>
              <w:left w:val="single" w:sz="4" w:space="0" w:color="auto"/>
              <w:bottom w:val="single" w:sz="4" w:space="0" w:color="auto"/>
              <w:right w:val="single" w:sz="4" w:space="0" w:color="auto"/>
            </w:tcBorders>
            <w:vAlign w:val="center"/>
          </w:tcPr>
          <w:p w14:paraId="53C15EFA" w14:textId="77777777" w:rsidR="005B2CA4" w:rsidRPr="00F53F85" w:rsidRDefault="005B2CA4" w:rsidP="00316B11">
            <w:pPr>
              <w:spacing w:after="0"/>
              <w:jc w:val="center"/>
              <w:rPr>
                <w:rFonts w:ascii="Arial Narrow" w:hAnsi="Arial Narrow"/>
                <w:sz w:val="20"/>
                <w:szCs w:val="20"/>
                <w:lang w:eastAsia="en-AU"/>
              </w:rPr>
            </w:pPr>
          </w:p>
        </w:tc>
        <w:tc>
          <w:tcPr>
            <w:tcW w:w="779" w:type="dxa"/>
            <w:tcBorders>
              <w:top w:val="nil"/>
              <w:left w:val="single" w:sz="4" w:space="0" w:color="auto"/>
              <w:bottom w:val="single" w:sz="4" w:space="0" w:color="auto"/>
              <w:right w:val="single" w:sz="4" w:space="0" w:color="auto"/>
            </w:tcBorders>
            <w:vAlign w:val="center"/>
          </w:tcPr>
          <w:p w14:paraId="53C15EFB"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5</w:t>
            </w:r>
          </w:p>
        </w:tc>
        <w:tc>
          <w:tcPr>
            <w:tcW w:w="6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3C15EFC"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EFD"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1.75</w:t>
            </w:r>
          </w:p>
        </w:tc>
        <w:tc>
          <w:tcPr>
            <w:tcW w:w="586" w:type="dxa"/>
            <w:tcBorders>
              <w:top w:val="nil"/>
              <w:left w:val="nil"/>
              <w:bottom w:val="single" w:sz="4" w:space="0" w:color="auto"/>
              <w:right w:val="single" w:sz="4" w:space="0" w:color="auto"/>
            </w:tcBorders>
            <w:shd w:val="clear" w:color="auto" w:fill="auto"/>
            <w:noWrap/>
            <w:vAlign w:val="center"/>
            <w:hideMark/>
          </w:tcPr>
          <w:p w14:paraId="53C15EFE"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2.56</w:t>
            </w:r>
          </w:p>
        </w:tc>
        <w:tc>
          <w:tcPr>
            <w:tcW w:w="564" w:type="dxa"/>
            <w:tcBorders>
              <w:top w:val="nil"/>
              <w:left w:val="nil"/>
              <w:bottom w:val="single" w:sz="4" w:space="0" w:color="auto"/>
              <w:right w:val="single" w:sz="4" w:space="0" w:color="auto"/>
            </w:tcBorders>
            <w:vAlign w:val="center"/>
          </w:tcPr>
          <w:p w14:paraId="53C15EFF" w14:textId="77777777" w:rsidR="005B2CA4" w:rsidRPr="00F53F85" w:rsidRDefault="005B2CA4" w:rsidP="00316B11">
            <w:pPr>
              <w:spacing w:after="0"/>
              <w:jc w:val="center"/>
              <w:rPr>
                <w:rFonts w:ascii="Arial Narrow" w:hAnsi="Arial Narrow"/>
                <w:sz w:val="20"/>
                <w:szCs w:val="20"/>
              </w:rPr>
            </w:pP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14:paraId="53C15F00" w14:textId="77777777" w:rsidR="005B2CA4" w:rsidRPr="00F53F85" w:rsidRDefault="005B2CA4" w:rsidP="00316B11">
            <w:pPr>
              <w:spacing w:after="0"/>
              <w:jc w:val="center"/>
              <w:rPr>
                <w:rFonts w:ascii="Arial Narrow" w:hAnsi="Arial Narrow"/>
                <w:sz w:val="20"/>
                <w:szCs w:val="20"/>
                <w:lang w:eastAsia="en-AU"/>
              </w:rPr>
            </w:pPr>
          </w:p>
        </w:tc>
        <w:tc>
          <w:tcPr>
            <w:tcW w:w="662" w:type="dxa"/>
            <w:tcBorders>
              <w:top w:val="nil"/>
              <w:left w:val="nil"/>
              <w:bottom w:val="single" w:sz="4" w:space="0" w:color="auto"/>
              <w:right w:val="single" w:sz="4" w:space="0" w:color="auto"/>
            </w:tcBorders>
            <w:vAlign w:val="center"/>
          </w:tcPr>
          <w:p w14:paraId="53C15F01" w14:textId="77777777" w:rsidR="005B2CA4" w:rsidRPr="00F53F85" w:rsidRDefault="005B2CA4" w:rsidP="00316B11">
            <w:pPr>
              <w:spacing w:after="0"/>
              <w:jc w:val="center"/>
              <w:rPr>
                <w:rFonts w:ascii="Arial Narrow" w:hAnsi="Arial Narrow"/>
                <w:sz w:val="20"/>
                <w:szCs w:val="20"/>
              </w:rPr>
            </w:pPr>
          </w:p>
        </w:tc>
        <w:tc>
          <w:tcPr>
            <w:tcW w:w="875" w:type="dxa"/>
            <w:tcBorders>
              <w:top w:val="nil"/>
              <w:left w:val="single" w:sz="4" w:space="0" w:color="auto"/>
              <w:bottom w:val="single" w:sz="4" w:space="0" w:color="auto"/>
              <w:right w:val="single" w:sz="4" w:space="0" w:color="auto"/>
            </w:tcBorders>
            <w:shd w:val="clear" w:color="auto" w:fill="auto"/>
            <w:noWrap/>
            <w:vAlign w:val="center"/>
            <w:hideMark/>
          </w:tcPr>
          <w:p w14:paraId="53C15F02"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24.56</w:t>
            </w:r>
          </w:p>
        </w:tc>
        <w:tc>
          <w:tcPr>
            <w:tcW w:w="546" w:type="dxa"/>
            <w:tcBorders>
              <w:top w:val="nil"/>
              <w:left w:val="nil"/>
              <w:bottom w:val="single" w:sz="4" w:space="0" w:color="auto"/>
              <w:right w:val="single" w:sz="4" w:space="0" w:color="auto"/>
            </w:tcBorders>
            <w:shd w:val="clear" w:color="auto" w:fill="auto"/>
            <w:noWrap/>
            <w:vAlign w:val="center"/>
            <w:hideMark/>
          </w:tcPr>
          <w:p w14:paraId="53C15F03"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0.19</w:t>
            </w:r>
          </w:p>
        </w:tc>
        <w:tc>
          <w:tcPr>
            <w:tcW w:w="573" w:type="dxa"/>
            <w:tcBorders>
              <w:top w:val="nil"/>
              <w:left w:val="nil"/>
              <w:bottom w:val="single" w:sz="4" w:space="0" w:color="auto"/>
              <w:right w:val="single" w:sz="4" w:space="0" w:color="auto"/>
            </w:tcBorders>
            <w:shd w:val="clear" w:color="auto" w:fill="auto"/>
            <w:noWrap/>
            <w:vAlign w:val="center"/>
            <w:hideMark/>
          </w:tcPr>
          <w:p w14:paraId="53C15F04"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2.63</w:t>
            </w:r>
          </w:p>
        </w:tc>
        <w:tc>
          <w:tcPr>
            <w:tcW w:w="799" w:type="dxa"/>
            <w:tcBorders>
              <w:top w:val="nil"/>
              <w:left w:val="nil"/>
              <w:bottom w:val="single" w:sz="4" w:space="0" w:color="auto"/>
              <w:right w:val="single" w:sz="4" w:space="0" w:color="auto"/>
            </w:tcBorders>
            <w:shd w:val="clear" w:color="auto" w:fill="auto"/>
            <w:noWrap/>
            <w:vAlign w:val="center"/>
            <w:hideMark/>
          </w:tcPr>
          <w:p w14:paraId="53C15F05" w14:textId="77777777" w:rsidR="005B2CA4" w:rsidRPr="00F53F85" w:rsidRDefault="005B2CA4" w:rsidP="00316B11">
            <w:pPr>
              <w:spacing w:after="0"/>
              <w:jc w:val="center"/>
              <w:rPr>
                <w:rFonts w:ascii="Arial Narrow" w:hAnsi="Arial Narrow"/>
                <w:sz w:val="20"/>
                <w:szCs w:val="20"/>
                <w:lang w:eastAsia="en-AU"/>
              </w:rPr>
            </w:pPr>
          </w:p>
        </w:tc>
        <w:tc>
          <w:tcPr>
            <w:tcW w:w="536" w:type="dxa"/>
            <w:tcBorders>
              <w:top w:val="nil"/>
              <w:left w:val="nil"/>
              <w:bottom w:val="single" w:sz="4" w:space="0" w:color="auto"/>
              <w:right w:val="single" w:sz="4" w:space="0" w:color="auto"/>
            </w:tcBorders>
            <w:shd w:val="clear" w:color="auto" w:fill="auto"/>
            <w:noWrap/>
            <w:vAlign w:val="center"/>
            <w:hideMark/>
          </w:tcPr>
          <w:p w14:paraId="53C15F06" w14:textId="77777777" w:rsidR="005B2CA4" w:rsidRPr="00F53F85" w:rsidRDefault="005B2CA4" w:rsidP="00316B11">
            <w:pPr>
              <w:spacing w:after="0"/>
              <w:jc w:val="center"/>
              <w:rPr>
                <w:rFonts w:ascii="Arial Narrow" w:hAnsi="Arial Narrow"/>
                <w:sz w:val="20"/>
                <w:szCs w:val="20"/>
                <w:lang w:eastAsia="en-AU"/>
              </w:rPr>
            </w:pPr>
          </w:p>
        </w:tc>
        <w:tc>
          <w:tcPr>
            <w:tcW w:w="646" w:type="dxa"/>
            <w:gridSpan w:val="2"/>
            <w:tcBorders>
              <w:top w:val="nil"/>
              <w:left w:val="nil"/>
              <w:bottom w:val="single" w:sz="4" w:space="0" w:color="auto"/>
              <w:right w:val="single" w:sz="4" w:space="0" w:color="auto"/>
            </w:tcBorders>
            <w:shd w:val="clear" w:color="auto" w:fill="auto"/>
            <w:noWrap/>
            <w:vAlign w:val="center"/>
            <w:hideMark/>
          </w:tcPr>
          <w:p w14:paraId="53C15F07"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F08" w14:textId="77777777" w:rsidR="005B2CA4" w:rsidRPr="00F53F85" w:rsidRDefault="005B2CA4" w:rsidP="00316B11">
            <w:pPr>
              <w:spacing w:after="0"/>
              <w:jc w:val="center"/>
              <w:rPr>
                <w:rFonts w:ascii="Arial Narrow" w:hAnsi="Arial Narrow"/>
                <w:sz w:val="20"/>
                <w:szCs w:val="20"/>
                <w:lang w:eastAsia="en-AU"/>
              </w:rPr>
            </w:pPr>
          </w:p>
        </w:tc>
        <w:tc>
          <w:tcPr>
            <w:tcW w:w="788" w:type="dxa"/>
            <w:tcBorders>
              <w:top w:val="nil"/>
              <w:left w:val="nil"/>
              <w:bottom w:val="single" w:sz="4" w:space="0" w:color="auto"/>
              <w:right w:val="single" w:sz="4" w:space="0" w:color="auto"/>
            </w:tcBorders>
            <w:shd w:val="clear" w:color="auto" w:fill="auto"/>
            <w:noWrap/>
            <w:vAlign w:val="center"/>
            <w:hideMark/>
          </w:tcPr>
          <w:p w14:paraId="53C15F09"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0.63</w:t>
            </w:r>
          </w:p>
        </w:tc>
        <w:tc>
          <w:tcPr>
            <w:tcW w:w="788" w:type="dxa"/>
            <w:tcBorders>
              <w:top w:val="nil"/>
              <w:left w:val="nil"/>
              <w:bottom w:val="single" w:sz="4" w:space="0" w:color="auto"/>
              <w:right w:val="single" w:sz="4" w:space="0" w:color="auto"/>
            </w:tcBorders>
            <w:shd w:val="clear" w:color="auto" w:fill="auto"/>
            <w:noWrap/>
            <w:vAlign w:val="center"/>
            <w:hideMark/>
          </w:tcPr>
          <w:p w14:paraId="53C15F0A" w14:textId="77777777" w:rsidR="005B2CA4" w:rsidRPr="00F53F85" w:rsidRDefault="005B2CA4" w:rsidP="00316B11">
            <w:pPr>
              <w:spacing w:after="0"/>
              <w:jc w:val="center"/>
              <w:rPr>
                <w:rFonts w:ascii="Arial Narrow" w:hAnsi="Arial Narrow"/>
                <w:sz w:val="20"/>
                <w:szCs w:val="20"/>
                <w:lang w:eastAsia="en-AU"/>
              </w:rPr>
            </w:pPr>
          </w:p>
        </w:tc>
        <w:tc>
          <w:tcPr>
            <w:tcW w:w="630" w:type="dxa"/>
            <w:tcBorders>
              <w:top w:val="nil"/>
              <w:left w:val="nil"/>
              <w:bottom w:val="single" w:sz="4" w:space="0" w:color="auto"/>
              <w:right w:val="single" w:sz="4" w:space="0" w:color="auto"/>
            </w:tcBorders>
            <w:vAlign w:val="center"/>
          </w:tcPr>
          <w:p w14:paraId="53C15F0B" w14:textId="77777777" w:rsidR="005B2CA4" w:rsidRPr="00F53F85" w:rsidRDefault="005B2CA4" w:rsidP="00316B11">
            <w:pPr>
              <w:spacing w:after="0"/>
              <w:jc w:val="center"/>
              <w:rPr>
                <w:rFonts w:ascii="Arial Narrow" w:hAnsi="Arial Narrow"/>
                <w:sz w:val="20"/>
                <w:szCs w:val="20"/>
              </w:rPr>
            </w:pPr>
          </w:p>
        </w:tc>
        <w:tc>
          <w:tcPr>
            <w:tcW w:w="630" w:type="dxa"/>
            <w:tcBorders>
              <w:top w:val="nil"/>
              <w:left w:val="single" w:sz="4" w:space="0" w:color="auto"/>
              <w:bottom w:val="single" w:sz="4" w:space="0" w:color="auto"/>
              <w:right w:val="single" w:sz="4" w:space="0" w:color="auto"/>
            </w:tcBorders>
            <w:shd w:val="clear" w:color="auto" w:fill="auto"/>
            <w:noWrap/>
            <w:vAlign w:val="center"/>
            <w:hideMark/>
          </w:tcPr>
          <w:p w14:paraId="53C15F0C" w14:textId="77777777" w:rsidR="005B2CA4" w:rsidRPr="00F53F85" w:rsidRDefault="005B2CA4" w:rsidP="00316B11">
            <w:pPr>
              <w:spacing w:after="0"/>
              <w:jc w:val="center"/>
              <w:rPr>
                <w:rFonts w:ascii="Arial Narrow" w:hAnsi="Arial Narrow"/>
                <w:sz w:val="20"/>
                <w:szCs w:val="20"/>
                <w:lang w:eastAsia="en-AU"/>
              </w:rPr>
            </w:pPr>
            <w:r w:rsidRPr="00F53F85">
              <w:rPr>
                <w:rFonts w:ascii="Arial Narrow" w:hAnsi="Arial Narrow"/>
                <w:sz w:val="20"/>
                <w:szCs w:val="20"/>
              </w:rPr>
              <w:t>0.13</w:t>
            </w:r>
          </w:p>
        </w:tc>
      </w:tr>
    </w:tbl>
    <w:p w14:paraId="53C15F0E" w14:textId="77777777" w:rsidR="00A84742" w:rsidRPr="00CE4E0F" w:rsidRDefault="00A84742" w:rsidP="00A84742">
      <w:pPr>
        <w:rPr>
          <w:color w:val="548DD4" w:themeColor="text2" w:themeTint="99"/>
        </w:rPr>
      </w:pPr>
      <w:bookmarkStart w:id="715" w:name="_Ref528584917"/>
    </w:p>
    <w:p w14:paraId="53C15F0F" w14:textId="77777777" w:rsidR="00A84742" w:rsidRPr="00CE4E0F" w:rsidRDefault="00A84742" w:rsidP="00A84742">
      <w:pPr>
        <w:jc w:val="left"/>
        <w:rPr>
          <w:color w:val="548DD4" w:themeColor="text2" w:themeTint="99"/>
        </w:rPr>
      </w:pPr>
      <w:r w:rsidRPr="00CE4E0F">
        <w:rPr>
          <w:color w:val="548DD4" w:themeColor="text2" w:themeTint="99"/>
        </w:rPr>
        <w:br w:type="page"/>
      </w:r>
    </w:p>
    <w:p w14:paraId="53C15F10" w14:textId="77777777" w:rsidR="00A84742" w:rsidRPr="00CE4E0F" w:rsidRDefault="00A84742" w:rsidP="00A84742">
      <w:pPr>
        <w:rPr>
          <w:color w:val="548DD4" w:themeColor="text2" w:themeTint="99"/>
        </w:rPr>
        <w:sectPr w:rsidR="00A84742" w:rsidRPr="00CE4E0F" w:rsidSect="000A241F">
          <w:pgSz w:w="16840" w:h="11907" w:orient="landscape" w:code="9"/>
          <w:pgMar w:top="1134" w:right="1440" w:bottom="1134" w:left="1276" w:header="862" w:footer="720" w:gutter="0"/>
          <w:cols w:space="720"/>
          <w:docGrid w:linePitch="299"/>
        </w:sectPr>
      </w:pPr>
    </w:p>
    <w:p w14:paraId="53C15F11" w14:textId="77777777" w:rsidR="00A84742" w:rsidRPr="00CE4E0F" w:rsidRDefault="00F84489" w:rsidP="00A84742">
      <w:pPr>
        <w:rPr>
          <w:color w:val="548DD4" w:themeColor="text2" w:themeTint="99"/>
        </w:rPr>
      </w:pPr>
      <w:bookmarkStart w:id="716" w:name="_Toc437423867"/>
      <w:bookmarkStart w:id="717" w:name="_Toc437424046"/>
      <w:bookmarkStart w:id="718" w:name="_Toc437424334"/>
      <w:r>
        <w:rPr>
          <w:noProof/>
          <w:color w:val="548DD4" w:themeColor="text2" w:themeTint="99"/>
          <w:lang w:eastAsia="en-AU"/>
        </w:rPr>
        <w:lastRenderedPageBreak/>
        <w:drawing>
          <wp:inline distT="0" distB="0" distL="0" distR="0" wp14:anchorId="53C15F9A" wp14:editId="3F473B1A">
            <wp:extent cx="5855304" cy="7353300"/>
            <wp:effectExtent l="0" t="0" r="0" b="0"/>
            <wp:docPr id="51" name="Picture 51" descr="shows range since 2007" title="Temporal trends in water quality: Barron Daintree sub-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gamm_Barron_Daintree.AIMS_JCU_OMO_summary.png"/>
                    <pic:cNvPicPr/>
                  </pic:nvPicPr>
                  <pic:blipFill rotWithShape="1">
                    <a:blip r:embed="rId106" cstate="print">
                      <a:extLst>
                        <a:ext uri="{28A0092B-C50C-407E-A947-70E740481C1C}">
                          <a14:useLocalDpi xmlns:a14="http://schemas.microsoft.com/office/drawing/2010/main" val="0"/>
                        </a:ext>
                      </a:extLst>
                    </a:blip>
                    <a:srcRect b="2324"/>
                    <a:stretch/>
                  </pic:blipFill>
                  <pic:spPr bwMode="auto">
                    <a:xfrm>
                      <a:off x="0" y="0"/>
                      <a:ext cx="5858835" cy="7357735"/>
                    </a:xfrm>
                    <a:prstGeom prst="rect">
                      <a:avLst/>
                    </a:prstGeom>
                    <a:ln>
                      <a:noFill/>
                    </a:ln>
                    <a:extLst>
                      <a:ext uri="{53640926-AAD7-44D8-BBD7-CCE9431645EC}">
                        <a14:shadowObscured xmlns:a14="http://schemas.microsoft.com/office/drawing/2010/main"/>
                      </a:ext>
                    </a:extLst>
                  </pic:spPr>
                </pic:pic>
              </a:graphicData>
            </a:graphic>
          </wp:inline>
        </w:drawing>
      </w:r>
    </w:p>
    <w:p w14:paraId="53C15F12" w14:textId="434E93DA" w:rsidR="00E41BC6" w:rsidRPr="00D758C6" w:rsidRDefault="00A84742" w:rsidP="002B5296">
      <w:pPr>
        <w:pStyle w:val="Caption"/>
        <w:rPr>
          <w:rFonts w:ascii="Arial" w:hAnsi="Arial" w:cs="Arial"/>
          <w:i/>
          <w:vanish/>
          <w:specVanish/>
        </w:rPr>
      </w:pPr>
      <w:bookmarkStart w:id="719" w:name="_Ref528585319"/>
      <w:bookmarkStart w:id="720" w:name="_Toc35524088"/>
      <w:bookmarkStart w:id="721" w:name="_Ref469728282"/>
      <w:bookmarkStart w:id="722" w:name="_Toc453243777"/>
      <w:bookmarkStart w:id="723" w:name="_Toc471373209"/>
      <w:bookmarkStart w:id="724" w:name="_Ref501097011"/>
      <w:bookmarkStart w:id="725" w:name="_Toc530654894"/>
      <w:r w:rsidRPr="00D758C6">
        <w:lastRenderedPageBreak/>
        <w:t xml:space="preserve">Figure A </w:t>
      </w:r>
      <w:r w:rsidR="005D7AC6" w:rsidRPr="00D758C6">
        <w:rPr>
          <w:noProof/>
        </w:rPr>
        <w:fldChar w:fldCharType="begin"/>
      </w:r>
      <w:r w:rsidR="005D7AC6" w:rsidRPr="00D758C6">
        <w:rPr>
          <w:noProof/>
        </w:rPr>
        <w:instrText xml:space="preserve"> SEQ Figure_A \* ARABIC </w:instrText>
      </w:r>
      <w:r w:rsidR="005D7AC6" w:rsidRPr="00D758C6">
        <w:rPr>
          <w:noProof/>
        </w:rPr>
        <w:fldChar w:fldCharType="separate"/>
      </w:r>
      <w:r w:rsidR="003053D1">
        <w:rPr>
          <w:noProof/>
        </w:rPr>
        <w:t>10</w:t>
      </w:r>
      <w:r w:rsidR="005D7AC6" w:rsidRPr="00D758C6">
        <w:rPr>
          <w:noProof/>
        </w:rPr>
        <w:fldChar w:fldCharType="end"/>
      </w:r>
      <w:bookmarkEnd w:id="715"/>
      <w:bookmarkEnd w:id="719"/>
      <w:r w:rsidRPr="00D758C6">
        <w:t xml:space="preserve"> Temporal trends in water quality: Bar</w:t>
      </w:r>
      <w:r w:rsidR="008E17A4">
        <w:t>r</w:t>
      </w:r>
      <w:r w:rsidRPr="00D758C6">
        <w:t>on Daintree sub-region</w:t>
      </w:r>
      <w:bookmarkEnd w:id="720"/>
    </w:p>
    <w:p w14:paraId="53C15F13" w14:textId="77777777" w:rsidR="00A84742" w:rsidRPr="00D758C6" w:rsidRDefault="00E41BC6">
      <w:pPr>
        <w:pStyle w:val="Caption"/>
      </w:pPr>
      <w:r w:rsidRPr="00D758C6">
        <w:t>.</w:t>
      </w:r>
      <w:bookmarkEnd w:id="716"/>
      <w:bookmarkEnd w:id="717"/>
      <w:bookmarkEnd w:id="718"/>
      <w:bookmarkEnd w:id="721"/>
      <w:bookmarkEnd w:id="722"/>
      <w:r w:rsidR="00A84742" w:rsidRPr="00D758C6">
        <w:t xml:space="preserve"> a) </w:t>
      </w:r>
      <w:bookmarkStart w:id="726" w:name="_Toc437424335"/>
      <w:bookmarkStart w:id="727" w:name="_Toc437432387"/>
      <w:r w:rsidR="00A84742" w:rsidRPr="00D758C6">
        <w:t xml:space="preserve">water quality index, b) chlorophyll a, c) nitrate/nitrite, d) Phosphate, e) total suspended solids, f) secchi depth, g) particulate nitrogen, h) particulate phosphorus, i) particulate organic carbon and j) dissolved organic carbon. Water quality index colour coding: dark green- ‘very good’; light green – ‘good’; yellow – ‘moderate; orange – ‘poor’; red – ‘very poor’. The water quality index is the aggregate of variables plotted in b, c, e - h and calculated as described in </w:t>
      </w:r>
      <w:r w:rsidR="002C5A1E">
        <w:t>Gruber</w:t>
      </w:r>
      <w:r w:rsidR="00A84742" w:rsidRPr="00D758C6">
        <w:t xml:space="preserve"> </w:t>
      </w:r>
      <w:r w:rsidR="00A84742" w:rsidRPr="00D758C6">
        <w:rPr>
          <w:i/>
        </w:rPr>
        <w:t>et al</w:t>
      </w:r>
      <w:r w:rsidR="002C5A1E">
        <w:t>. (2020</w:t>
      </w:r>
      <w:r w:rsidR="00A84742" w:rsidRPr="00D758C6">
        <w:t xml:space="preserve">). Trends in PO4, POC and DOC values are plotted here (d, I, j); threshold levels have yet to be established. Trends in manually sampled water quality variables are represented by blue lines with blue shaded areas defining 95% confidence intervals of those trends, black dots represent observed data. Dashed reference lines indicate guideline values (GBRMPA 2010). Extract from Gruber </w:t>
      </w:r>
      <w:r w:rsidR="00A84742" w:rsidRPr="00D758C6">
        <w:rPr>
          <w:i/>
        </w:rPr>
        <w:t>et al</w:t>
      </w:r>
      <w:r w:rsidR="002C5A1E">
        <w:t>. (2020</w:t>
      </w:r>
      <w:r w:rsidR="00A84742" w:rsidRPr="00D758C6">
        <w:t>)</w:t>
      </w:r>
      <w:bookmarkEnd w:id="726"/>
      <w:bookmarkEnd w:id="727"/>
      <w:r w:rsidR="00A84742" w:rsidRPr="00D758C6">
        <w:t>.</w:t>
      </w:r>
      <w:bookmarkEnd w:id="723"/>
      <w:bookmarkEnd w:id="724"/>
      <w:bookmarkEnd w:id="725"/>
    </w:p>
    <w:p w14:paraId="53C15F14" w14:textId="77777777" w:rsidR="00A84742" w:rsidRPr="003622F3" w:rsidRDefault="00F84489" w:rsidP="00A84742">
      <w:pPr>
        <w:rPr>
          <w:color w:val="4F81BD" w:themeColor="accent1"/>
        </w:rPr>
      </w:pPr>
      <w:bookmarkStart w:id="728" w:name="_Toc437423868"/>
      <w:bookmarkStart w:id="729" w:name="_Toc437424047"/>
      <w:bookmarkStart w:id="730" w:name="_Toc437424336"/>
      <w:r>
        <w:rPr>
          <w:noProof/>
          <w:color w:val="4F81BD" w:themeColor="accent1"/>
          <w:lang w:eastAsia="en-AU"/>
        </w:rPr>
        <w:lastRenderedPageBreak/>
        <w:drawing>
          <wp:inline distT="0" distB="0" distL="0" distR="0" wp14:anchorId="53C15F9C" wp14:editId="5E451321">
            <wp:extent cx="5762959" cy="7210425"/>
            <wp:effectExtent l="0" t="0" r="9525" b="0"/>
            <wp:docPr id="52" name="Picture 52" descr="shows range since 2007" title="Temporal trends in water quality. Johnstone Russell-Mulgrave sub-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gamm_Johnstone_Russell_Mulgrave.AIMS_JCU_OMO_summary.png"/>
                    <pic:cNvPicPr/>
                  </pic:nvPicPr>
                  <pic:blipFill rotWithShape="1">
                    <a:blip r:embed="rId107" cstate="print">
                      <a:extLst>
                        <a:ext uri="{28A0092B-C50C-407E-A947-70E740481C1C}">
                          <a14:useLocalDpi xmlns:a14="http://schemas.microsoft.com/office/drawing/2010/main" val="0"/>
                        </a:ext>
                      </a:extLst>
                    </a:blip>
                    <a:srcRect b="2687"/>
                    <a:stretch/>
                  </pic:blipFill>
                  <pic:spPr bwMode="auto">
                    <a:xfrm>
                      <a:off x="0" y="0"/>
                      <a:ext cx="5766818" cy="7215254"/>
                    </a:xfrm>
                    <a:prstGeom prst="rect">
                      <a:avLst/>
                    </a:prstGeom>
                    <a:ln>
                      <a:noFill/>
                    </a:ln>
                    <a:extLst>
                      <a:ext uri="{53640926-AAD7-44D8-BBD7-CCE9431645EC}">
                        <a14:shadowObscured xmlns:a14="http://schemas.microsoft.com/office/drawing/2010/main"/>
                      </a:ext>
                    </a:extLst>
                  </pic:spPr>
                </pic:pic>
              </a:graphicData>
            </a:graphic>
          </wp:inline>
        </w:drawing>
      </w:r>
    </w:p>
    <w:p w14:paraId="53C15F15" w14:textId="08B84F92" w:rsidR="00E41BC6" w:rsidRPr="00D758C6" w:rsidRDefault="00A84742" w:rsidP="002B5296">
      <w:pPr>
        <w:pStyle w:val="Caption"/>
        <w:rPr>
          <w:rFonts w:ascii="Arial" w:hAnsi="Arial" w:cs="Arial"/>
          <w:i/>
          <w:vanish/>
          <w:specVanish/>
        </w:rPr>
      </w:pPr>
      <w:bookmarkStart w:id="731" w:name="_Ref528596213"/>
      <w:bookmarkStart w:id="732" w:name="_Ref528593638"/>
      <w:bookmarkStart w:id="733" w:name="_Toc35524089"/>
      <w:bookmarkStart w:id="734" w:name="_Ref469732715"/>
      <w:bookmarkStart w:id="735" w:name="_Toc453243778"/>
      <w:bookmarkStart w:id="736" w:name="_Toc471373210"/>
      <w:bookmarkStart w:id="737" w:name="_Toc530654895"/>
      <w:r w:rsidRPr="00D758C6">
        <w:lastRenderedPageBreak/>
        <w:t xml:space="preserve">Figure A </w:t>
      </w:r>
      <w:r w:rsidR="005D7AC6" w:rsidRPr="00D758C6">
        <w:rPr>
          <w:noProof/>
        </w:rPr>
        <w:fldChar w:fldCharType="begin"/>
      </w:r>
      <w:r w:rsidR="005D7AC6" w:rsidRPr="00D758C6">
        <w:rPr>
          <w:noProof/>
        </w:rPr>
        <w:instrText xml:space="preserve"> SEQ Figure_A \* ARABIC </w:instrText>
      </w:r>
      <w:r w:rsidR="005D7AC6" w:rsidRPr="00D758C6">
        <w:rPr>
          <w:noProof/>
        </w:rPr>
        <w:fldChar w:fldCharType="separate"/>
      </w:r>
      <w:r w:rsidR="003053D1">
        <w:rPr>
          <w:noProof/>
        </w:rPr>
        <w:t>11</w:t>
      </w:r>
      <w:r w:rsidR="005D7AC6" w:rsidRPr="00D758C6">
        <w:rPr>
          <w:noProof/>
        </w:rPr>
        <w:fldChar w:fldCharType="end"/>
      </w:r>
      <w:bookmarkEnd w:id="731"/>
      <w:bookmarkEnd w:id="732"/>
      <w:r w:rsidRPr="00D758C6">
        <w:t xml:space="preserve"> Temporal trends in water quality</w:t>
      </w:r>
      <w:bookmarkEnd w:id="733"/>
    </w:p>
    <w:p w14:paraId="53C15F16" w14:textId="77777777" w:rsidR="00A84742" w:rsidRPr="00D758C6" w:rsidRDefault="00E41BC6">
      <w:pPr>
        <w:pStyle w:val="Caption"/>
      </w:pPr>
      <w:r w:rsidRPr="00D758C6">
        <w:t>.</w:t>
      </w:r>
      <w:r w:rsidR="00A84742" w:rsidRPr="00D758C6">
        <w:t xml:space="preserve"> Johnstone Russell-Mulgrave sub-region.</w:t>
      </w:r>
      <w:bookmarkEnd w:id="728"/>
      <w:bookmarkEnd w:id="729"/>
      <w:bookmarkEnd w:id="730"/>
      <w:bookmarkEnd w:id="734"/>
      <w:bookmarkEnd w:id="735"/>
      <w:bookmarkEnd w:id="736"/>
      <w:r w:rsidR="00A84742" w:rsidRPr="00D758C6">
        <w:t xml:space="preserve"> </w:t>
      </w:r>
      <w:bookmarkStart w:id="738" w:name="_Toc437424337"/>
      <w:r w:rsidR="00A84742" w:rsidRPr="00D758C6">
        <w:t xml:space="preserve">a) water quality index, b) chlorophyll a, c) nitrate/nitrite, d) Phosphate e) turbidity, f) total suspended solids, g) secchi depth, h) particulate nitrogen, i) particulate phosphorus j), particulate organic carbon and k) dissolved organic carbon. Water quality index colour coding: dark green- ‘very good’; light green – ‘good’; yellow – ‘moderate; orange – ‘poor’; red – ‘very poor’. The water quality index is the aggregate of variables plotted in b, c, f - i and calculated as described in </w:t>
      </w:r>
      <w:r w:rsidR="00D758C6" w:rsidRPr="00D758C6">
        <w:t>Gruber</w:t>
      </w:r>
      <w:r w:rsidR="00A84742" w:rsidRPr="00D758C6">
        <w:t xml:space="preserve"> </w:t>
      </w:r>
      <w:r w:rsidR="00A84742" w:rsidRPr="00D758C6">
        <w:rPr>
          <w:i/>
        </w:rPr>
        <w:t>et al</w:t>
      </w:r>
      <w:r w:rsidR="00D758C6" w:rsidRPr="00D758C6">
        <w:t>. (2020</w:t>
      </w:r>
      <w:r w:rsidR="00A84742" w:rsidRPr="00D758C6">
        <w:t xml:space="preserve">). Trends in PO4, POC and DOC values are plotted here (d, j, k); threshold levels have yet to be established. Trends in manually sampled water quality variables are represented by blue lines with blue shaded areas defining 95% confidence intervals of those trends, black dots represent observed data. Trends of records from ECO FLNTUSB instruments (b, e) are represented in red, individual records are not displayed. Dashed reference lines indicate guideline values (GBRMPA 2010). Extract from Gruber </w:t>
      </w:r>
      <w:r w:rsidR="00A84742" w:rsidRPr="00D758C6">
        <w:rPr>
          <w:i/>
        </w:rPr>
        <w:t>et al.</w:t>
      </w:r>
      <w:r w:rsidR="00D758C6" w:rsidRPr="00D758C6">
        <w:t xml:space="preserve"> (2020</w:t>
      </w:r>
      <w:r w:rsidR="00A84742" w:rsidRPr="00D758C6">
        <w:t>)</w:t>
      </w:r>
      <w:bookmarkEnd w:id="738"/>
      <w:r w:rsidR="00A84742" w:rsidRPr="00D758C6">
        <w:t>.</w:t>
      </w:r>
      <w:bookmarkEnd w:id="737"/>
    </w:p>
    <w:p w14:paraId="53C15F17" w14:textId="77777777" w:rsidR="002B5296" w:rsidRDefault="00F84489" w:rsidP="002B5296">
      <w:r>
        <w:rPr>
          <w:noProof/>
          <w:lang w:eastAsia="en-AU"/>
        </w:rPr>
        <w:lastRenderedPageBreak/>
        <w:drawing>
          <wp:inline distT="0" distB="0" distL="0" distR="0" wp14:anchorId="53C15F9E" wp14:editId="7C2EF82E">
            <wp:extent cx="5911215" cy="7405117"/>
            <wp:effectExtent l="0" t="0" r="0" b="5715"/>
            <wp:docPr id="53" name="Picture 53" descr="shows range since 2007" title="Temporal trends in water quality: Herbert Tully sub-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gamm_Tully_Herbert.AIMS_JCU_OMO_summary.png"/>
                    <pic:cNvPicPr/>
                  </pic:nvPicPr>
                  <pic:blipFill rotWithShape="1">
                    <a:blip r:embed="rId108" cstate="print">
                      <a:extLst>
                        <a:ext uri="{28A0092B-C50C-407E-A947-70E740481C1C}">
                          <a14:useLocalDpi xmlns:a14="http://schemas.microsoft.com/office/drawing/2010/main" val="0"/>
                        </a:ext>
                      </a:extLst>
                    </a:blip>
                    <a:srcRect b="2566"/>
                    <a:stretch/>
                  </pic:blipFill>
                  <pic:spPr bwMode="auto">
                    <a:xfrm>
                      <a:off x="0" y="0"/>
                      <a:ext cx="5913457" cy="7407925"/>
                    </a:xfrm>
                    <a:prstGeom prst="rect">
                      <a:avLst/>
                    </a:prstGeom>
                    <a:ln>
                      <a:noFill/>
                    </a:ln>
                    <a:extLst>
                      <a:ext uri="{53640926-AAD7-44D8-BBD7-CCE9431645EC}">
                        <a14:shadowObscured xmlns:a14="http://schemas.microsoft.com/office/drawing/2010/main"/>
                      </a:ext>
                    </a:extLst>
                  </pic:spPr>
                </pic:pic>
              </a:graphicData>
            </a:graphic>
          </wp:inline>
        </w:drawing>
      </w:r>
      <w:bookmarkStart w:id="739" w:name="_Ref528589238"/>
      <w:bookmarkStart w:id="740" w:name="_Ref469736077"/>
      <w:bookmarkStart w:id="741" w:name="_Toc437423869"/>
      <w:bookmarkStart w:id="742" w:name="_Toc437424048"/>
      <w:bookmarkStart w:id="743" w:name="_Toc437424338"/>
      <w:bookmarkStart w:id="744" w:name="_Toc453243779"/>
      <w:bookmarkStart w:id="745" w:name="_Ref460485523"/>
      <w:bookmarkStart w:id="746" w:name="_Toc471373211"/>
      <w:bookmarkStart w:id="747" w:name="_Ref528589230"/>
      <w:bookmarkStart w:id="748" w:name="_Toc530654896"/>
    </w:p>
    <w:p w14:paraId="53C15F18" w14:textId="0D715CC9" w:rsidR="00E41BC6" w:rsidRPr="00D758C6" w:rsidRDefault="00A84742" w:rsidP="002B5296">
      <w:pPr>
        <w:pStyle w:val="Caption"/>
        <w:rPr>
          <w:i/>
          <w:vanish/>
          <w:specVanish/>
        </w:rPr>
      </w:pPr>
      <w:bookmarkStart w:id="749" w:name="_Ref48908537"/>
      <w:bookmarkStart w:id="750" w:name="_Toc35524090"/>
      <w:r w:rsidRPr="00D758C6">
        <w:lastRenderedPageBreak/>
        <w:t xml:space="preserve">Figure A </w:t>
      </w:r>
      <w:r w:rsidR="005D7AC6" w:rsidRPr="00D758C6">
        <w:rPr>
          <w:noProof/>
        </w:rPr>
        <w:fldChar w:fldCharType="begin"/>
      </w:r>
      <w:r w:rsidR="005D7AC6" w:rsidRPr="00D758C6">
        <w:rPr>
          <w:noProof/>
        </w:rPr>
        <w:instrText xml:space="preserve"> SEQ Figure_A \* ARABIC </w:instrText>
      </w:r>
      <w:r w:rsidR="005D7AC6" w:rsidRPr="00D758C6">
        <w:rPr>
          <w:noProof/>
        </w:rPr>
        <w:fldChar w:fldCharType="separate"/>
      </w:r>
      <w:r w:rsidR="003053D1">
        <w:rPr>
          <w:noProof/>
        </w:rPr>
        <w:t>12</w:t>
      </w:r>
      <w:r w:rsidR="005D7AC6" w:rsidRPr="00D758C6">
        <w:rPr>
          <w:noProof/>
        </w:rPr>
        <w:fldChar w:fldCharType="end"/>
      </w:r>
      <w:bookmarkEnd w:id="739"/>
      <w:bookmarkEnd w:id="749"/>
      <w:r w:rsidRPr="00D758C6">
        <w:t xml:space="preserve"> Temporal trends in water quality: Herbert Tully sub-region</w:t>
      </w:r>
      <w:bookmarkEnd w:id="740"/>
      <w:bookmarkEnd w:id="750"/>
    </w:p>
    <w:p w14:paraId="53C15F19" w14:textId="77777777" w:rsidR="00A84742" w:rsidRPr="00D758C6" w:rsidRDefault="00E41BC6">
      <w:pPr>
        <w:pStyle w:val="Caption"/>
      </w:pPr>
      <w:r w:rsidRPr="00D758C6">
        <w:t>.</w:t>
      </w:r>
      <w:bookmarkEnd w:id="741"/>
      <w:bookmarkEnd w:id="742"/>
      <w:bookmarkEnd w:id="743"/>
      <w:bookmarkEnd w:id="744"/>
      <w:bookmarkEnd w:id="745"/>
      <w:bookmarkEnd w:id="746"/>
      <w:bookmarkEnd w:id="747"/>
      <w:bookmarkEnd w:id="748"/>
      <w:r w:rsidR="00A84742" w:rsidRPr="00D758C6">
        <w:t xml:space="preserve"> a) water quality index, b) chlorophyll a, c) nitrate/nitrite, d) Phosphate e) turbidity, f) total suspended solids, g) secchi depth, h) particulate nitrogen, i) particulate phosphorus, j) particulate organic carbon and k) dissolved organic carbon. Water quality index colour coding: dark green- ‘very good’; light green – ‘good’; yellow – ‘moderate; orange – ‘poor’; red – ‘very poor’. The water quality index is the aggregate of variables plotted in b - i and calculated as described in Gruber </w:t>
      </w:r>
      <w:r w:rsidR="00A84742" w:rsidRPr="00D758C6">
        <w:rPr>
          <w:i/>
        </w:rPr>
        <w:t>et al</w:t>
      </w:r>
      <w:r w:rsidR="00D758C6" w:rsidRPr="00D758C6">
        <w:t>. (2020</w:t>
      </w:r>
      <w:r w:rsidR="00A84742" w:rsidRPr="00D758C6">
        <w:t xml:space="preserve">). Trends in PO4, POC and DOC values are plotted here (d, j, k); threshold levels have yet to be established. Trends in manually sampled water quality variables are represented by blue lines with blue shaded areas defining 95% confidence intervals of those trends, black dots represent observed data. Trends of records from ECO FLNTUSB instruments (b, e) are represented in red, individual records are not displayed. Dashed reference lines indicate guideline values (GBRMPA 2010). Extract from Gruber </w:t>
      </w:r>
      <w:r w:rsidR="00A84742" w:rsidRPr="00D758C6">
        <w:rPr>
          <w:i/>
        </w:rPr>
        <w:t>et al</w:t>
      </w:r>
      <w:r w:rsidR="00A84742" w:rsidRPr="00D758C6">
        <w:t>. (</w:t>
      </w:r>
      <w:r w:rsidR="00D758C6" w:rsidRPr="00D758C6">
        <w:t>2020</w:t>
      </w:r>
      <w:r w:rsidR="00A84742" w:rsidRPr="00D758C6">
        <w:t>).</w:t>
      </w:r>
    </w:p>
    <w:p w14:paraId="53C15F1A" w14:textId="77777777" w:rsidR="00A84742" w:rsidRPr="003622F3" w:rsidRDefault="00F84489" w:rsidP="00A84742">
      <w:pPr>
        <w:rPr>
          <w:color w:val="4F81BD" w:themeColor="accent1"/>
        </w:rPr>
      </w:pPr>
      <w:bookmarkStart w:id="751" w:name="_Toc437423870"/>
      <w:bookmarkStart w:id="752" w:name="_Toc437424049"/>
      <w:bookmarkStart w:id="753" w:name="_Toc437424340"/>
      <w:r>
        <w:rPr>
          <w:noProof/>
          <w:color w:val="4F81BD" w:themeColor="accent1"/>
          <w:lang w:eastAsia="en-AU"/>
        </w:rPr>
        <w:lastRenderedPageBreak/>
        <w:drawing>
          <wp:inline distT="0" distB="0" distL="0" distR="0" wp14:anchorId="53C15FA0" wp14:editId="676DCDAA">
            <wp:extent cx="5711190" cy="7172316"/>
            <wp:effectExtent l="0" t="0" r="3810" b="0"/>
            <wp:docPr id="54" name="Picture 54" descr="shows range since 2005" title="Temporal trends in water quality: Burdekin 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gamm_Burdekin.AIMS_JCU_OMO_summary.png"/>
                    <pic:cNvPicPr/>
                  </pic:nvPicPr>
                  <pic:blipFill rotWithShape="1">
                    <a:blip r:embed="rId109" cstate="print">
                      <a:extLst>
                        <a:ext uri="{28A0092B-C50C-407E-A947-70E740481C1C}">
                          <a14:useLocalDpi xmlns:a14="http://schemas.microsoft.com/office/drawing/2010/main" val="0"/>
                        </a:ext>
                      </a:extLst>
                    </a:blip>
                    <a:srcRect b="2324"/>
                    <a:stretch/>
                  </pic:blipFill>
                  <pic:spPr bwMode="auto">
                    <a:xfrm>
                      <a:off x="0" y="0"/>
                      <a:ext cx="5717212" cy="7179879"/>
                    </a:xfrm>
                    <a:prstGeom prst="rect">
                      <a:avLst/>
                    </a:prstGeom>
                    <a:ln>
                      <a:noFill/>
                    </a:ln>
                    <a:extLst>
                      <a:ext uri="{53640926-AAD7-44D8-BBD7-CCE9431645EC}">
                        <a14:shadowObscured xmlns:a14="http://schemas.microsoft.com/office/drawing/2010/main"/>
                      </a:ext>
                    </a:extLst>
                  </pic:spPr>
                </pic:pic>
              </a:graphicData>
            </a:graphic>
          </wp:inline>
        </w:drawing>
      </w:r>
    </w:p>
    <w:p w14:paraId="53C15F1B" w14:textId="1A65F9E5" w:rsidR="00E41BC6" w:rsidRPr="00D758C6" w:rsidRDefault="00A84742" w:rsidP="002B5296">
      <w:pPr>
        <w:pStyle w:val="Caption"/>
        <w:rPr>
          <w:rFonts w:ascii="Arial" w:hAnsi="Arial" w:cs="Arial"/>
          <w:i/>
          <w:vanish/>
          <w:specVanish/>
        </w:rPr>
      </w:pPr>
      <w:bookmarkStart w:id="754" w:name="_Ref528674727"/>
      <w:bookmarkStart w:id="755" w:name="_Toc35524091"/>
      <w:bookmarkStart w:id="756" w:name="_Ref469946199"/>
      <w:bookmarkStart w:id="757" w:name="_Toc453243780"/>
      <w:bookmarkStart w:id="758" w:name="_Toc471373212"/>
      <w:bookmarkStart w:id="759" w:name="_Toc530654897"/>
      <w:r w:rsidRPr="00D758C6">
        <w:lastRenderedPageBreak/>
        <w:t xml:space="preserve">Figure A </w:t>
      </w:r>
      <w:r w:rsidR="005D7AC6" w:rsidRPr="00D758C6">
        <w:rPr>
          <w:noProof/>
        </w:rPr>
        <w:fldChar w:fldCharType="begin"/>
      </w:r>
      <w:r w:rsidR="005D7AC6" w:rsidRPr="00D758C6">
        <w:rPr>
          <w:noProof/>
        </w:rPr>
        <w:instrText xml:space="preserve"> SEQ Figure_A \* ARABIC </w:instrText>
      </w:r>
      <w:r w:rsidR="005D7AC6" w:rsidRPr="00D758C6">
        <w:rPr>
          <w:noProof/>
        </w:rPr>
        <w:fldChar w:fldCharType="separate"/>
      </w:r>
      <w:r w:rsidR="003053D1">
        <w:rPr>
          <w:noProof/>
        </w:rPr>
        <w:t>13</w:t>
      </w:r>
      <w:r w:rsidR="005D7AC6" w:rsidRPr="00D758C6">
        <w:rPr>
          <w:noProof/>
        </w:rPr>
        <w:fldChar w:fldCharType="end"/>
      </w:r>
      <w:bookmarkEnd w:id="754"/>
      <w:r w:rsidRPr="00D758C6">
        <w:t xml:space="preserve"> Temporal trends in water quality: Burdekin region</w:t>
      </w:r>
      <w:bookmarkEnd w:id="755"/>
    </w:p>
    <w:p w14:paraId="53C15F1C" w14:textId="77777777" w:rsidR="00A84742" w:rsidRPr="00D758C6" w:rsidRDefault="00E41BC6">
      <w:pPr>
        <w:pStyle w:val="Caption"/>
      </w:pPr>
      <w:r w:rsidRPr="00D758C6">
        <w:t>.</w:t>
      </w:r>
      <w:bookmarkEnd w:id="751"/>
      <w:bookmarkEnd w:id="752"/>
      <w:bookmarkEnd w:id="753"/>
      <w:bookmarkEnd w:id="756"/>
      <w:bookmarkEnd w:id="757"/>
      <w:bookmarkEnd w:id="758"/>
      <w:bookmarkEnd w:id="759"/>
      <w:r w:rsidR="00A84742" w:rsidRPr="00D758C6">
        <w:t xml:space="preserve"> </w:t>
      </w:r>
      <w:bookmarkStart w:id="760" w:name="_Toc437424341"/>
      <w:r w:rsidR="00A84742" w:rsidRPr="00D758C6">
        <w:t xml:space="preserve">a) water quality index, b) chlorophyll a, c) nitrate/nitrite, d) Phosphate e) turbidity, f) total suspended solids, g) secchi depth, h) particulate nitrogen, i) particulate phosphorus, j) particulate organic carbon and k) dissolved organic carbon. Water quality index colour coding: dark green- ‘very good’; light green – ‘good’; yellow – ‘moderate; orange – ‘poor’; red – ‘very poor’. The water quality index is the aggregate of variables plotted in b - i and calculated as described in Gruber </w:t>
      </w:r>
      <w:r w:rsidR="00A84742" w:rsidRPr="00D758C6">
        <w:rPr>
          <w:i/>
        </w:rPr>
        <w:t>et al.</w:t>
      </w:r>
      <w:r w:rsidR="002C5A1E">
        <w:t xml:space="preserve"> (2020</w:t>
      </w:r>
      <w:r w:rsidR="00A84742" w:rsidRPr="00D758C6">
        <w:t xml:space="preserve">). Trends in PO4, POC and DOC values are plotted here (d, j, k); threshold levels have yet to be established. Trends in manually sampled water quality variables are represented by blue lines with blue shaded areas defining 95% confidence intervals of those trends, black dots represent observed data. Trends of records from ECO FLNTUSB instruments (b, e) are represented in red, individual records are not displayed. Dashed reference lines indicate guideline values (GBRMPA 2010). Extract from Gruber </w:t>
      </w:r>
      <w:r w:rsidR="00A84742" w:rsidRPr="00D758C6">
        <w:rPr>
          <w:i/>
        </w:rPr>
        <w:t>et al</w:t>
      </w:r>
      <w:r w:rsidR="00D758C6" w:rsidRPr="00D758C6">
        <w:t>. (2020</w:t>
      </w:r>
      <w:r w:rsidR="00A84742" w:rsidRPr="00D758C6">
        <w:t>).</w:t>
      </w:r>
    </w:p>
    <w:bookmarkEnd w:id="760"/>
    <w:p w14:paraId="53C15F1D" w14:textId="77777777" w:rsidR="002B5296" w:rsidRDefault="00A84742" w:rsidP="00777077">
      <w:pPr>
        <w:rPr>
          <w:bCs/>
        </w:rPr>
      </w:pPr>
      <w:r w:rsidRPr="003622F3">
        <w:rPr>
          <w:bCs/>
        </w:rPr>
        <w:br w:type="page"/>
      </w:r>
      <w:r w:rsidR="00F84489">
        <w:rPr>
          <w:noProof/>
          <w:lang w:eastAsia="en-AU"/>
        </w:rPr>
        <w:lastRenderedPageBreak/>
        <w:drawing>
          <wp:inline distT="0" distB="0" distL="0" distR="0" wp14:anchorId="53C15FA2" wp14:editId="01D55CC1">
            <wp:extent cx="5915981" cy="7429500"/>
            <wp:effectExtent l="0" t="0" r="8890" b="0"/>
            <wp:docPr id="55" name="Picture 55" descr="shows range since 2005" title="Temporal trends in water quality. Mackay-Whitsundays 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gamm_Mackay_Whitsunday.AIMS_JCU_OMO_summary.png"/>
                    <pic:cNvPicPr/>
                  </pic:nvPicPr>
                  <pic:blipFill rotWithShape="1">
                    <a:blip r:embed="rId110" cstate="print">
                      <a:extLst>
                        <a:ext uri="{28A0092B-C50C-407E-A947-70E740481C1C}">
                          <a14:useLocalDpi xmlns:a14="http://schemas.microsoft.com/office/drawing/2010/main" val="0"/>
                        </a:ext>
                      </a:extLst>
                    </a:blip>
                    <a:srcRect b="2324"/>
                    <a:stretch/>
                  </pic:blipFill>
                  <pic:spPr bwMode="auto">
                    <a:xfrm>
                      <a:off x="0" y="0"/>
                      <a:ext cx="5917290" cy="7431144"/>
                    </a:xfrm>
                    <a:prstGeom prst="rect">
                      <a:avLst/>
                    </a:prstGeom>
                    <a:ln>
                      <a:noFill/>
                    </a:ln>
                    <a:extLst>
                      <a:ext uri="{53640926-AAD7-44D8-BBD7-CCE9431645EC}">
                        <a14:shadowObscured xmlns:a14="http://schemas.microsoft.com/office/drawing/2010/main"/>
                      </a:ext>
                    </a:extLst>
                  </pic:spPr>
                </pic:pic>
              </a:graphicData>
            </a:graphic>
          </wp:inline>
        </w:drawing>
      </w:r>
      <w:bookmarkStart w:id="761" w:name="_Ref528591655"/>
      <w:bookmarkStart w:id="762" w:name="_Ref469981130"/>
      <w:bookmarkStart w:id="763" w:name="_Toc437423871"/>
      <w:bookmarkStart w:id="764" w:name="_Toc437424050"/>
      <w:bookmarkStart w:id="765" w:name="_Toc437424342"/>
      <w:bookmarkStart w:id="766" w:name="_Toc453243781"/>
      <w:bookmarkStart w:id="767" w:name="_Toc471373213"/>
      <w:bookmarkStart w:id="768" w:name="_Ref501374379"/>
      <w:bookmarkStart w:id="769" w:name="_Toc530654898"/>
    </w:p>
    <w:p w14:paraId="53C15F1E" w14:textId="1640E197" w:rsidR="00E41BC6" w:rsidRPr="00D758C6" w:rsidRDefault="00A84742" w:rsidP="002B5296">
      <w:pPr>
        <w:pStyle w:val="Caption"/>
        <w:rPr>
          <w:i/>
          <w:vanish/>
          <w:specVanish/>
        </w:rPr>
      </w:pPr>
      <w:bookmarkStart w:id="770" w:name="_Toc35524092"/>
      <w:r w:rsidRPr="00D758C6">
        <w:lastRenderedPageBreak/>
        <w:t xml:space="preserve">Figure A </w:t>
      </w:r>
      <w:r w:rsidR="005D7AC6" w:rsidRPr="00D758C6">
        <w:rPr>
          <w:noProof/>
        </w:rPr>
        <w:fldChar w:fldCharType="begin"/>
      </w:r>
      <w:r w:rsidR="005D7AC6" w:rsidRPr="00D758C6">
        <w:rPr>
          <w:noProof/>
        </w:rPr>
        <w:instrText xml:space="preserve"> SEQ Figure_A \* ARABIC </w:instrText>
      </w:r>
      <w:r w:rsidR="005D7AC6" w:rsidRPr="00D758C6">
        <w:rPr>
          <w:noProof/>
        </w:rPr>
        <w:fldChar w:fldCharType="separate"/>
      </w:r>
      <w:r w:rsidR="003053D1">
        <w:rPr>
          <w:noProof/>
        </w:rPr>
        <w:t>14</w:t>
      </w:r>
      <w:r w:rsidR="005D7AC6" w:rsidRPr="00D758C6">
        <w:rPr>
          <w:noProof/>
        </w:rPr>
        <w:fldChar w:fldCharType="end"/>
      </w:r>
      <w:bookmarkEnd w:id="761"/>
      <w:r w:rsidRPr="00D758C6">
        <w:t xml:space="preserve"> Temporal trends in water quality</w:t>
      </w:r>
      <w:bookmarkEnd w:id="770"/>
    </w:p>
    <w:p w14:paraId="53C15F1F" w14:textId="77777777" w:rsidR="00A84742" w:rsidRPr="00D758C6" w:rsidRDefault="00E41BC6" w:rsidP="002B5296">
      <w:pPr>
        <w:pStyle w:val="Caption"/>
      </w:pPr>
      <w:r w:rsidRPr="00D758C6">
        <w:t>.</w:t>
      </w:r>
      <w:r w:rsidR="00A84742" w:rsidRPr="00D758C6">
        <w:t xml:space="preserve"> </w:t>
      </w:r>
      <w:r w:rsidR="005F2B5B">
        <w:t>Mackay-Whitsunday</w:t>
      </w:r>
      <w:r w:rsidR="00A84742" w:rsidRPr="00D758C6">
        <w:t>s region.</w:t>
      </w:r>
      <w:bookmarkEnd w:id="762"/>
      <w:bookmarkEnd w:id="763"/>
      <w:bookmarkEnd w:id="764"/>
      <w:bookmarkEnd w:id="765"/>
      <w:bookmarkEnd w:id="766"/>
      <w:bookmarkEnd w:id="767"/>
      <w:r w:rsidR="00A84742" w:rsidRPr="00D758C6">
        <w:t xml:space="preserve"> </w:t>
      </w:r>
      <w:bookmarkStart w:id="771" w:name="_Toc437424343"/>
      <w:bookmarkStart w:id="772" w:name="_Toc437432395"/>
      <w:r w:rsidR="00A84742" w:rsidRPr="00D758C6">
        <w:t xml:space="preserve">a) water quality index, b) chlorophyll a, c) nitrate/nitrite, d) Phosphate e) turbidity, f) total suspended solids, g) secchi depth, h) particulate nitrogen, i) particulate phosphorus, j) particulate organic carbon and k) dissolved organic carbon. Water quality index colour coding: dark green- ‘very good’; light green – ‘good’; yellow – ‘moderate; orange – ‘poor’; red – ‘very poor’. The water quality index is the aggregate of variables plotted in b - i and calculated as described in Gruber </w:t>
      </w:r>
      <w:r w:rsidR="00A84742" w:rsidRPr="00D758C6">
        <w:rPr>
          <w:i/>
        </w:rPr>
        <w:t>et al</w:t>
      </w:r>
      <w:r w:rsidR="00D758C6" w:rsidRPr="00D758C6">
        <w:t>. (2020</w:t>
      </w:r>
      <w:r w:rsidR="00A84742" w:rsidRPr="00D758C6">
        <w:t xml:space="preserve">). Trends in PO4, POC and DOC values are plotted here (d, j, k); threshold levels have yet to be established. Trends in manually sampled water quality variables are represented by blue lines with blue shaded areas defining 95% confidence intervals of those trends, black dots represent observed data. Trends of records from ECO FLNTUSB instruments (b, e) are represented in red, individual records are not displayed. Dashed reference lines indicate guideline values (GBRMPA 2010). Extract from Gruber </w:t>
      </w:r>
      <w:r w:rsidR="00A84742" w:rsidRPr="00D758C6">
        <w:rPr>
          <w:i/>
        </w:rPr>
        <w:t>et al</w:t>
      </w:r>
      <w:r w:rsidR="00F84489" w:rsidRPr="00D758C6">
        <w:t>. (2020</w:t>
      </w:r>
      <w:r w:rsidR="00A84742" w:rsidRPr="00D758C6">
        <w:t>).</w:t>
      </w:r>
      <w:bookmarkEnd w:id="768"/>
      <w:bookmarkEnd w:id="769"/>
    </w:p>
    <w:bookmarkEnd w:id="771"/>
    <w:bookmarkEnd w:id="772"/>
    <w:p w14:paraId="53C15F20" w14:textId="77777777" w:rsidR="00A84742" w:rsidRPr="003622F3" w:rsidRDefault="00A84742" w:rsidP="00F84489">
      <w:pPr>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left"/>
        <w:rPr>
          <w:color w:val="4F81BD" w:themeColor="accent1"/>
        </w:rPr>
      </w:pPr>
      <w:r w:rsidRPr="003622F3">
        <w:rPr>
          <w:rFonts w:ascii="Arial Narrow" w:eastAsia="SimSun" w:hAnsi="Arial Narrow"/>
          <w:bCs/>
          <w:color w:val="4F81BD" w:themeColor="accent1"/>
          <w:sz w:val="20"/>
        </w:rPr>
        <w:br w:type="page"/>
      </w:r>
      <w:bookmarkStart w:id="773" w:name="_Toc437424344"/>
      <w:r w:rsidRPr="003622F3">
        <w:rPr>
          <w:noProof/>
          <w:color w:val="4F81BD" w:themeColor="accent1"/>
          <w:lang w:eastAsia="en-AU"/>
        </w:rPr>
        <w:lastRenderedPageBreak/>
        <w:t xml:space="preserve"> </w:t>
      </w:r>
      <w:r w:rsidRPr="003622F3">
        <w:rPr>
          <w:noProof/>
          <w:color w:val="4F81BD" w:themeColor="accent1"/>
          <w:lang w:eastAsia="en-AU"/>
        </w:rPr>
        <w:drawing>
          <wp:inline distT="0" distB="0" distL="0" distR="0" wp14:anchorId="53C15FA4" wp14:editId="53C15FA5">
            <wp:extent cx="6120765" cy="6120765"/>
            <wp:effectExtent l="0" t="0" r="0" b="0"/>
            <wp:docPr id="1026314446" name="picture" descr="A panel of plots showing observed concentrations of WQ variables since 2005. " title="Figure A1.14 Trends in marine water quality Fitzroy 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1" cstate="print">
                      <a:extLst>
                        <a:ext uri="{28A0092B-C50C-407E-A947-70E740481C1C}">
                          <a14:useLocalDpi xmlns:a14="http://schemas.microsoft.com/office/drawing/2010/main" val="0"/>
                        </a:ext>
                      </a:extLst>
                    </a:blip>
                    <a:stretch>
                      <a:fillRect/>
                    </a:stretch>
                  </pic:blipFill>
                  <pic:spPr>
                    <a:xfrm>
                      <a:off x="0" y="0"/>
                      <a:ext cx="6120765" cy="6120765"/>
                    </a:xfrm>
                    <a:prstGeom prst="rect">
                      <a:avLst/>
                    </a:prstGeom>
                  </pic:spPr>
                </pic:pic>
              </a:graphicData>
            </a:graphic>
          </wp:inline>
        </w:drawing>
      </w:r>
      <w:bookmarkEnd w:id="773"/>
    </w:p>
    <w:p w14:paraId="53C15F21" w14:textId="51B53014" w:rsidR="00E41BC6" w:rsidRPr="00D758C6" w:rsidRDefault="00A84742" w:rsidP="002B5296">
      <w:pPr>
        <w:pStyle w:val="Caption"/>
        <w:rPr>
          <w:rFonts w:ascii="Arial" w:hAnsi="Arial" w:cs="Arial"/>
          <w:i/>
          <w:vanish/>
          <w:specVanish/>
        </w:rPr>
      </w:pPr>
      <w:bookmarkStart w:id="774" w:name="_Toc35524093"/>
      <w:bookmarkStart w:id="775" w:name="_Ref469728294"/>
      <w:bookmarkStart w:id="776" w:name="_Toc453243782"/>
      <w:bookmarkStart w:id="777" w:name="_Toc471373214"/>
      <w:bookmarkStart w:id="778" w:name="_Toc530654899"/>
      <w:bookmarkStart w:id="779" w:name="_Toc437423872"/>
      <w:bookmarkStart w:id="780" w:name="_Toc437424051"/>
      <w:bookmarkStart w:id="781" w:name="_Toc437424345"/>
      <w:r w:rsidRPr="00D758C6">
        <w:lastRenderedPageBreak/>
        <w:t xml:space="preserve">Figure A </w:t>
      </w:r>
      <w:r w:rsidR="005D7AC6" w:rsidRPr="00D758C6">
        <w:rPr>
          <w:noProof/>
        </w:rPr>
        <w:fldChar w:fldCharType="begin"/>
      </w:r>
      <w:r w:rsidR="005D7AC6" w:rsidRPr="00D758C6">
        <w:rPr>
          <w:noProof/>
        </w:rPr>
        <w:instrText xml:space="preserve"> SEQ Figure_A \* ARABIC </w:instrText>
      </w:r>
      <w:r w:rsidR="005D7AC6" w:rsidRPr="00D758C6">
        <w:rPr>
          <w:noProof/>
        </w:rPr>
        <w:fldChar w:fldCharType="separate"/>
      </w:r>
      <w:r w:rsidR="003053D1">
        <w:rPr>
          <w:noProof/>
        </w:rPr>
        <w:t>15</w:t>
      </w:r>
      <w:r w:rsidR="005D7AC6" w:rsidRPr="00D758C6">
        <w:rPr>
          <w:noProof/>
        </w:rPr>
        <w:fldChar w:fldCharType="end"/>
      </w:r>
      <w:r w:rsidRPr="00D758C6">
        <w:t xml:space="preserve"> Temporal trends in water quality: Fitzroy region</w:t>
      </w:r>
      <w:bookmarkEnd w:id="774"/>
    </w:p>
    <w:p w14:paraId="53C15F22" w14:textId="77777777" w:rsidR="00A84742" w:rsidRDefault="00E41BC6">
      <w:pPr>
        <w:pStyle w:val="Caption"/>
      </w:pPr>
      <w:r w:rsidRPr="00D758C6">
        <w:t>.</w:t>
      </w:r>
      <w:bookmarkEnd w:id="775"/>
      <w:bookmarkEnd w:id="776"/>
      <w:bookmarkEnd w:id="777"/>
      <w:bookmarkEnd w:id="778"/>
      <w:r w:rsidR="00A84742" w:rsidRPr="00D758C6">
        <w:t xml:space="preserve"> a) water quality index, b) chlorophyll a, c) total suspended solids, d) nitrate/nitrite, e) secchi depth, f) particulate nitrogen, g) turbidity, h) particulate phosphorus, i) particulate organic carbon and j) dissolved organic carbon. Water quality index colour coding: dark green- ‘very good’; light green – ‘good’; yellow – ‘moderate; orange – ‘poor’; red – ‘very poor’. The water quality index is the aggregate of variables plotted in b - h and calculated as described in </w:t>
      </w:r>
      <w:r w:rsidR="002C5A1E">
        <w:t>Gruber</w:t>
      </w:r>
      <w:r w:rsidR="00A84742" w:rsidRPr="00D758C6">
        <w:t xml:space="preserve"> </w:t>
      </w:r>
      <w:r w:rsidR="00A84742" w:rsidRPr="00D758C6">
        <w:rPr>
          <w:i/>
        </w:rPr>
        <w:t>et al</w:t>
      </w:r>
      <w:r w:rsidR="00A84742" w:rsidRPr="00D758C6">
        <w:t>. (</w:t>
      </w:r>
      <w:r w:rsidR="002C5A1E">
        <w:t>2020</w:t>
      </w:r>
      <w:r w:rsidR="00A84742" w:rsidRPr="00D758C6">
        <w:t xml:space="preserve">). Trends in POC and DOC values are plotted here (I, j); threshold levels have yet to be established. Trends in manually sampled water quality variables are represented by blue lines with blue shaded areas defining 95% confidence intervals of those trends, black dots represent observed data. Trends of records from ECO FLNTUSB instruments (b, g) are represented in red, individual records are not displayed. Dashed reference lines indicate guideline values (GBRMPA 2010). Extract from </w:t>
      </w:r>
      <w:r w:rsidR="002C5A1E">
        <w:t>Gruber</w:t>
      </w:r>
      <w:r w:rsidR="00A84742" w:rsidRPr="00D758C6">
        <w:t xml:space="preserve"> </w:t>
      </w:r>
      <w:r w:rsidR="00A84742" w:rsidRPr="00D758C6">
        <w:rPr>
          <w:i/>
        </w:rPr>
        <w:t>et al</w:t>
      </w:r>
      <w:r w:rsidR="00A84742" w:rsidRPr="00D758C6">
        <w:t>. (</w:t>
      </w:r>
      <w:r w:rsidR="002C5A1E">
        <w:t>2020</w:t>
      </w:r>
      <w:r w:rsidR="00A84742" w:rsidRPr="00D758C6">
        <w:t>)</w:t>
      </w:r>
      <w:bookmarkEnd w:id="779"/>
      <w:bookmarkEnd w:id="780"/>
      <w:bookmarkEnd w:id="781"/>
      <w:r w:rsidR="00A84742" w:rsidRPr="00D758C6">
        <w:t>.</w:t>
      </w:r>
    </w:p>
    <w:p w14:paraId="53C15F23" w14:textId="77777777" w:rsidR="003E1937" w:rsidRDefault="003E1937">
      <w:pPr>
        <w:jc w:val="left"/>
        <w:rPr>
          <w:lang w:val="en-GB"/>
        </w:rPr>
      </w:pPr>
      <w:r>
        <w:rPr>
          <w:lang w:val="en-GB"/>
        </w:rPr>
        <w:br w:type="page"/>
      </w:r>
    </w:p>
    <w:p w14:paraId="53C15F24" w14:textId="77777777" w:rsidR="00A84742" w:rsidRPr="00CE4E0F" w:rsidRDefault="00A84742" w:rsidP="00D217FF">
      <w:pPr>
        <w:pStyle w:val="Heading1"/>
      </w:pPr>
      <w:bookmarkStart w:id="782" w:name="_Toc530654993"/>
      <w:bookmarkStart w:id="783" w:name="_Toc35947150"/>
      <w:bookmarkEnd w:id="688"/>
      <w:r w:rsidRPr="00CE4E0F">
        <w:lastRenderedPageBreak/>
        <w:t>Appendix 2: Publications and presentations 201</w:t>
      </w:r>
      <w:r w:rsidR="00527CAF">
        <w:t>8</w:t>
      </w:r>
      <w:r w:rsidRPr="00CE4E0F">
        <w:t>–201</w:t>
      </w:r>
      <w:bookmarkEnd w:id="782"/>
      <w:r w:rsidR="00527CAF">
        <w:t>9</w:t>
      </w:r>
      <w:bookmarkEnd w:id="783"/>
    </w:p>
    <w:p w14:paraId="53C15F25" w14:textId="77777777" w:rsidR="00D76E45" w:rsidRPr="002C4AB1" w:rsidRDefault="00527CAF" w:rsidP="00D76E45">
      <w:pPr>
        <w:autoSpaceDE w:val="0"/>
        <w:autoSpaceDN w:val="0"/>
        <w:adjustRightInd w:val="0"/>
        <w:ind w:left="340" w:hanging="340"/>
        <w:rPr>
          <w:u w:val="single"/>
        </w:rPr>
      </w:pPr>
      <w:r w:rsidRPr="00527CAF">
        <w:rPr>
          <w:color w:val="000000"/>
        </w:rPr>
        <w:t xml:space="preserve">Davidson J, Thompson A, Logan M, Schaffelke B (2019) High spatio-temporal variability in Acroporidae settlement to inshore reefs of the Great Barrier Reef. PLoS ONE 14(1):e0209771. </w:t>
      </w:r>
      <w:hyperlink r:id="rId112" w:history="1">
        <w:r w:rsidR="00D76E45" w:rsidRPr="000C32B7">
          <w:rPr>
            <w:rStyle w:val="Hyperlink"/>
            <w:rFonts w:cs="Arial"/>
          </w:rPr>
          <w:t>https://doi.org/10.1371/journal.pone.0209771</w:t>
        </w:r>
      </w:hyperlink>
    </w:p>
    <w:p w14:paraId="53C15F26" w14:textId="77777777" w:rsidR="006A5C2F" w:rsidRDefault="006B544C" w:rsidP="00D76E45">
      <w:pPr>
        <w:ind w:left="340" w:hanging="340"/>
        <w:rPr>
          <w:color w:val="222222"/>
          <w:lang w:val="en"/>
        </w:rPr>
      </w:pPr>
      <w:r>
        <w:rPr>
          <w:color w:val="222222"/>
          <w:lang w:val="en"/>
        </w:rPr>
        <w:t>Jonker</w:t>
      </w:r>
      <w:r w:rsidR="002042F6">
        <w:rPr>
          <w:color w:val="222222"/>
          <w:lang w:val="en"/>
        </w:rPr>
        <w:t xml:space="preserve"> MJ</w:t>
      </w:r>
      <w:r w:rsidR="006A5C2F">
        <w:rPr>
          <w:color w:val="222222"/>
          <w:lang w:val="en"/>
        </w:rPr>
        <w:t xml:space="preserve">, </w:t>
      </w:r>
      <w:r w:rsidR="006A5C2F" w:rsidRPr="006A5C2F">
        <w:rPr>
          <w:color w:val="222222"/>
          <w:lang w:val="en"/>
        </w:rPr>
        <w:t>Thompson A</w:t>
      </w:r>
      <w:r w:rsidR="006A5C2F">
        <w:rPr>
          <w:color w:val="222222"/>
          <w:lang w:val="en"/>
        </w:rPr>
        <w:t>,</w:t>
      </w:r>
      <w:r w:rsidR="006A5C2F" w:rsidRPr="006A5C2F">
        <w:rPr>
          <w:color w:val="222222"/>
          <w:lang w:val="en"/>
        </w:rPr>
        <w:t xml:space="preserve"> Menéndez P</w:t>
      </w:r>
      <w:r w:rsidR="006A5C2F">
        <w:rPr>
          <w:color w:val="222222"/>
          <w:lang w:val="en"/>
        </w:rPr>
        <w:t>,</w:t>
      </w:r>
      <w:r w:rsidR="006A5C2F" w:rsidRPr="006A5C2F">
        <w:rPr>
          <w:color w:val="222222"/>
          <w:lang w:val="en"/>
        </w:rPr>
        <w:t xml:space="preserve"> Osborne K</w:t>
      </w:r>
      <w:r w:rsidR="006A5C2F">
        <w:rPr>
          <w:color w:val="222222"/>
          <w:lang w:val="en"/>
        </w:rPr>
        <w:t>.</w:t>
      </w:r>
      <w:r>
        <w:rPr>
          <w:color w:val="222222"/>
          <w:lang w:val="en"/>
        </w:rPr>
        <w:t xml:space="preserve"> (2019)</w:t>
      </w:r>
      <w:r w:rsidR="006A5C2F" w:rsidRPr="006A5C2F">
        <w:rPr>
          <w:color w:val="222222"/>
          <w:lang w:val="en"/>
        </w:rPr>
        <w:t xml:space="preserve"> Cross-Shelf Variation Among Juvenile and Adult Coral Assemblages on Australia’s Great Barrier Reef. </w:t>
      </w:r>
      <w:r w:rsidR="006A5C2F" w:rsidRPr="006A5C2F">
        <w:rPr>
          <w:i/>
          <w:iCs/>
          <w:color w:val="222222"/>
          <w:lang w:val="en"/>
        </w:rPr>
        <w:t>Diversity</w:t>
      </w:r>
      <w:r w:rsidR="006A5C2F" w:rsidRPr="006A5C2F">
        <w:rPr>
          <w:color w:val="222222"/>
          <w:lang w:val="en"/>
        </w:rPr>
        <w:t xml:space="preserve">, </w:t>
      </w:r>
      <w:r w:rsidR="006A5C2F" w:rsidRPr="006A5C2F">
        <w:rPr>
          <w:i/>
          <w:iCs/>
          <w:color w:val="222222"/>
          <w:lang w:val="en"/>
        </w:rPr>
        <w:t>11</w:t>
      </w:r>
      <w:r w:rsidR="006A5C2F" w:rsidRPr="006A5C2F">
        <w:rPr>
          <w:color w:val="222222"/>
          <w:lang w:val="en"/>
        </w:rPr>
        <w:t>, 85.</w:t>
      </w:r>
    </w:p>
    <w:p w14:paraId="53C15F27" w14:textId="77777777" w:rsidR="00570631" w:rsidRDefault="00570631" w:rsidP="00D76E45">
      <w:pPr>
        <w:ind w:left="340" w:hanging="340"/>
        <w:rPr>
          <w:color w:val="222222"/>
          <w:lang w:val="en"/>
        </w:rPr>
      </w:pPr>
      <w:r>
        <w:rPr>
          <w:color w:val="222222"/>
          <w:lang w:val="en"/>
        </w:rPr>
        <w:t>Mellin C</w:t>
      </w:r>
      <w:r w:rsidR="003A0E41">
        <w:rPr>
          <w:color w:val="222222"/>
          <w:lang w:val="en"/>
        </w:rPr>
        <w:t>, Matthews S, Anthony KRN, Brown SC, Caley JM, Johns KA, Osborne K, Puotinen M, Thompson A, Wolff NH, Fordham DA, MacNeil MA (2019) Spatial resilience of the Great Barrier Reef under cumulative disturbance impacts. Global Change Biology.</w:t>
      </w:r>
      <w:r w:rsidR="004B78AB">
        <w:rPr>
          <w:color w:val="222222"/>
          <w:lang w:val="en"/>
        </w:rPr>
        <w:t xml:space="preserve"> 2019;00:1-15</w:t>
      </w:r>
      <w:r w:rsidR="003A0E41">
        <w:rPr>
          <w:color w:val="222222"/>
          <w:lang w:val="en"/>
        </w:rPr>
        <w:t xml:space="preserve"> DOI</w:t>
      </w:r>
      <w:r w:rsidR="004B78AB">
        <w:rPr>
          <w:color w:val="222222"/>
          <w:lang w:val="en"/>
        </w:rPr>
        <w:t>:10.1111/gcb.14625</w:t>
      </w:r>
    </w:p>
    <w:sectPr w:rsidR="00570631" w:rsidSect="006B637E">
      <w:footerReference w:type="even" r:id="rId113"/>
      <w:headerReference w:type="first" r:id="rId114"/>
      <w:pgSz w:w="11907" w:h="16840" w:code="9"/>
      <w:pgMar w:top="1440" w:right="1134" w:bottom="1440" w:left="1134" w:header="709" w:footer="709"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C15FAC" w14:textId="77777777" w:rsidR="003053D1" w:rsidRDefault="003053D1" w:rsidP="008A1A24">
      <w:r>
        <w:separator/>
      </w:r>
    </w:p>
    <w:p w14:paraId="53C15FAD" w14:textId="77777777" w:rsidR="003053D1" w:rsidRDefault="003053D1"/>
  </w:endnote>
  <w:endnote w:type="continuationSeparator" w:id="0">
    <w:p w14:paraId="53C15FAE" w14:textId="77777777" w:rsidR="003053D1" w:rsidRDefault="003053D1" w:rsidP="008A1A24">
      <w:r>
        <w:continuationSeparator/>
      </w:r>
    </w:p>
    <w:p w14:paraId="53C15FAF" w14:textId="77777777" w:rsidR="003053D1" w:rsidRDefault="003053D1"/>
  </w:endnote>
  <w:endnote w:type="continuationNotice" w:id="1">
    <w:p w14:paraId="53C15FB0" w14:textId="77777777" w:rsidR="003053D1" w:rsidRDefault="003053D1">
      <w:pPr>
        <w:spacing w:after="0"/>
      </w:pPr>
    </w:p>
    <w:p w14:paraId="53C15FB1" w14:textId="77777777" w:rsidR="003053D1" w:rsidRDefault="003053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Optimum">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inion Pro">
    <w:altName w:val="Minion Pro"/>
    <w:charset w:val="00"/>
    <w:family w:val="auto"/>
    <w:pitch w:val="variable"/>
    <w:sig w:usb0="60000287" w:usb1="00000001" w:usb2="00000000" w:usb3="00000000" w:csb0="000001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ArialMT">
    <w:altName w:val="Arial"/>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LMSansQuot8-Regular">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Neue-Bold">
    <w:panose1 w:val="00000000000000000000"/>
    <w:charset w:val="00"/>
    <w:family w:val="swiss"/>
    <w:notTrueType/>
    <w:pitch w:val="default"/>
    <w:sig w:usb0="00000003" w:usb1="00000000" w:usb2="00000000" w:usb3="00000000" w:csb0="00000001" w:csb1="00000000"/>
  </w:font>
  <w:font w:name="Arial Narrow Bold">
    <w:altName w:val="Arial Narrow"/>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C6F21B" w14:textId="77777777" w:rsidR="003053D1" w:rsidRDefault="003053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6F4A98" w14:textId="77777777" w:rsidR="003053D1" w:rsidRDefault="003053D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A3CAD3" w14:textId="77777777" w:rsidR="003053D1" w:rsidRDefault="003053D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C15FBA" w14:textId="197D49A0" w:rsidR="003053D1" w:rsidRDefault="003053D1" w:rsidP="00A80F4F">
    <w:pPr>
      <w:pStyle w:val="Footer"/>
      <w:pBdr>
        <w:top w:val="single" w:sz="18" w:space="1" w:color="91DC41"/>
      </w:pBdr>
      <w:tabs>
        <w:tab w:val="clear" w:pos="8306"/>
      </w:tabs>
      <w:ind w:right="47"/>
      <w:jc w:val="center"/>
    </w:pPr>
    <w:r>
      <w:fldChar w:fldCharType="begin"/>
    </w:r>
    <w:r>
      <w:instrText xml:space="preserve"> PAGE   \* MERGEFORMAT </w:instrText>
    </w:r>
    <w:r>
      <w:fldChar w:fldCharType="separate"/>
    </w:r>
    <w:r w:rsidR="00827297">
      <w:rPr>
        <w:noProof/>
      </w:rPr>
      <w:t>iv</w:t>
    </w:r>
    <w:r>
      <w:rPr>
        <w:noProof/>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C15FBB" w14:textId="36B4E847" w:rsidR="003053D1" w:rsidRDefault="003053D1" w:rsidP="00A80F4F">
    <w:pPr>
      <w:pStyle w:val="Footer"/>
      <w:pBdr>
        <w:top w:val="single" w:sz="18" w:space="1" w:color="91DC41"/>
      </w:pBdr>
      <w:tabs>
        <w:tab w:val="clear" w:pos="8306"/>
      </w:tabs>
      <w:ind w:right="47"/>
      <w:jc w:val="center"/>
    </w:pPr>
    <w:r>
      <w:fldChar w:fldCharType="begin"/>
    </w:r>
    <w:r>
      <w:instrText xml:space="preserve"> PAGE   \* MERGEFORMAT </w:instrText>
    </w:r>
    <w:r>
      <w:fldChar w:fldCharType="separate"/>
    </w:r>
    <w:r w:rsidR="00827297">
      <w:rPr>
        <w:noProof/>
      </w:rPr>
      <w:t>v</w:t>
    </w:r>
    <w:r>
      <w:rPr>
        <w:noProof/>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C15FBC" w14:textId="44813C7D" w:rsidR="003053D1" w:rsidRDefault="003053D1" w:rsidP="00A80F4F">
    <w:pPr>
      <w:pStyle w:val="Footer"/>
      <w:pBdr>
        <w:top w:val="single" w:sz="18" w:space="1" w:color="91DC41"/>
      </w:pBdr>
      <w:tabs>
        <w:tab w:val="clear" w:pos="8306"/>
      </w:tabs>
      <w:ind w:right="47"/>
      <w:jc w:val="center"/>
    </w:pPr>
    <w:r>
      <w:fldChar w:fldCharType="begin"/>
    </w:r>
    <w:r>
      <w:instrText xml:space="preserve"> PAGE   \* MERGEFORMAT </w:instrText>
    </w:r>
    <w:r>
      <w:fldChar w:fldCharType="separate"/>
    </w:r>
    <w:r w:rsidR="00827297">
      <w:rPr>
        <w:noProof/>
      </w:rPr>
      <w:t>8</w:t>
    </w:r>
    <w:r>
      <w:rPr>
        <w:noProof/>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C15FBD" w14:textId="257FFBD3" w:rsidR="003053D1" w:rsidRDefault="003053D1" w:rsidP="00A80F4F">
    <w:pPr>
      <w:pStyle w:val="Footer"/>
      <w:pBdr>
        <w:top w:val="single" w:sz="18" w:space="1" w:color="91DC41"/>
      </w:pBdr>
      <w:tabs>
        <w:tab w:val="clear" w:pos="8306"/>
      </w:tabs>
      <w:ind w:right="47"/>
      <w:jc w:val="center"/>
    </w:pPr>
    <w:r>
      <w:fldChar w:fldCharType="begin"/>
    </w:r>
    <w:r>
      <w:instrText xml:space="preserve"> PAGE   \* MERGEFORMAT </w:instrText>
    </w:r>
    <w:r>
      <w:fldChar w:fldCharType="separate"/>
    </w:r>
    <w:r w:rsidR="00827297">
      <w:rPr>
        <w:noProof/>
      </w:rPr>
      <w:t>9</w:t>
    </w:r>
    <w:r>
      <w:rPr>
        <w:noProof/>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C15FBE" w14:textId="4CF4E848" w:rsidR="003053D1" w:rsidRDefault="003053D1" w:rsidP="00A80F4F">
    <w:pPr>
      <w:pStyle w:val="Footer"/>
      <w:pBdr>
        <w:top w:val="single" w:sz="18" w:space="1" w:color="91DC41"/>
      </w:pBdr>
      <w:tabs>
        <w:tab w:val="clear" w:pos="8306"/>
      </w:tabs>
      <w:ind w:right="47"/>
      <w:jc w:val="center"/>
    </w:pPr>
    <w:r>
      <w:fldChar w:fldCharType="begin"/>
    </w:r>
    <w:r>
      <w:instrText xml:space="preserve"> PAGE   \* MERGEFORMAT </w:instrText>
    </w:r>
    <w:r>
      <w:fldChar w:fldCharType="separate"/>
    </w:r>
    <w:r w:rsidR="00827297">
      <w:rPr>
        <w:noProof/>
      </w:rPr>
      <w:t>142</w:t>
    </w:r>
    <w:r>
      <w:rPr>
        <w:noProof/>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C15FBF" w14:textId="77777777" w:rsidR="003053D1" w:rsidRDefault="003053D1" w:rsidP="008C501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3C15FC0" w14:textId="77777777" w:rsidR="003053D1" w:rsidRDefault="003053D1">
    <w:pPr>
      <w:pStyle w:val="Footer"/>
      <w:ind w:right="360"/>
    </w:pPr>
  </w:p>
  <w:p w14:paraId="53C15FC1" w14:textId="77777777" w:rsidR="003053D1" w:rsidRDefault="003053D1"/>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C15FA6" w14:textId="77777777" w:rsidR="003053D1" w:rsidRDefault="003053D1" w:rsidP="008A1A24">
      <w:r>
        <w:separator/>
      </w:r>
    </w:p>
    <w:p w14:paraId="53C15FA7" w14:textId="77777777" w:rsidR="003053D1" w:rsidRDefault="003053D1"/>
  </w:footnote>
  <w:footnote w:type="continuationSeparator" w:id="0">
    <w:p w14:paraId="53C15FA8" w14:textId="77777777" w:rsidR="003053D1" w:rsidRDefault="003053D1" w:rsidP="008A1A24">
      <w:r>
        <w:continuationSeparator/>
      </w:r>
    </w:p>
    <w:p w14:paraId="53C15FA9" w14:textId="77777777" w:rsidR="003053D1" w:rsidRDefault="003053D1"/>
  </w:footnote>
  <w:footnote w:type="continuationNotice" w:id="1">
    <w:p w14:paraId="53C15FAA" w14:textId="77777777" w:rsidR="003053D1" w:rsidRDefault="003053D1">
      <w:pPr>
        <w:spacing w:after="0"/>
      </w:pPr>
    </w:p>
    <w:p w14:paraId="53C15FAB" w14:textId="77777777" w:rsidR="003053D1" w:rsidRDefault="003053D1"/>
  </w:footnote>
  <w:footnote w:id="2">
    <w:p w14:paraId="53C15FC4" w14:textId="77777777" w:rsidR="003053D1" w:rsidRPr="005B52B1" w:rsidRDefault="003053D1" w:rsidP="00DF6F02">
      <w:pPr>
        <w:pStyle w:val="FootnoteText"/>
      </w:pPr>
      <w:r>
        <w:rPr>
          <w:rStyle w:val="FootnoteReference"/>
        </w:rPr>
        <w:footnoteRef/>
      </w:r>
      <w:r>
        <w:t xml:space="preserve"> </w:t>
      </w:r>
      <w:r w:rsidRPr="000F6A99">
        <w:t xml:space="preserve">. ReefTemp Next Generation was developed through the Centre for Australian Weather and Climate Research (CAWCR) – a partnership between CSIRO and the Bureau of Meteorology (Garde </w:t>
      </w:r>
      <w:r w:rsidRPr="00E303E6">
        <w:rPr>
          <w:i/>
        </w:rPr>
        <w:t>et al</w:t>
      </w:r>
      <w:r w:rsidRPr="000F6A99">
        <w:rPr>
          <w:i/>
        </w:rPr>
        <w:t>.</w:t>
      </w:r>
      <w:r w:rsidRPr="000F6A99">
        <w:t xml:space="preserve"> 2014).</w:t>
      </w:r>
    </w:p>
  </w:footnote>
  <w:footnote w:id="3">
    <w:p w14:paraId="53C15FC5" w14:textId="77777777" w:rsidR="003053D1" w:rsidRPr="004C0333" w:rsidRDefault="003053D1" w:rsidP="00DF6F02">
      <w:pPr>
        <w:pStyle w:val="FootnoteText"/>
      </w:pPr>
      <w:r>
        <w:rPr>
          <w:rStyle w:val="FootnoteReference"/>
        </w:rPr>
        <w:footnoteRef/>
      </w:r>
      <w:r>
        <w:t xml:space="preserve"> </w:t>
      </w:r>
      <w:r>
        <w:rPr>
          <w:rStyle w:val="FootnoteReference"/>
        </w:rPr>
        <w:footnoteRef/>
      </w:r>
      <w:r>
        <w:t xml:space="preserve"> </w:t>
      </w:r>
      <w:r w:rsidRPr="004C20BB">
        <w:rPr>
          <w:i/>
        </w:rPr>
        <w:t>Marine water quality indices produced by the Australian Bureau of Meteorology as a contribution to eReefs - a collaboration between the Great Barrier Reef Foundation, Australian Government</w:t>
      </w:r>
      <w:r>
        <w:rPr>
          <w:i/>
        </w:rPr>
        <w:t>,</w:t>
      </w:r>
      <w:r w:rsidRPr="004C20BB">
        <w:rPr>
          <w:i/>
        </w:rPr>
        <w:t xml:space="preserve"> Bureau of Meteorology, Commonwealth Scientific and Industrial Research Organisation, Australian Institute of Marine Science</w:t>
      </w:r>
      <w:r>
        <w:rPr>
          <w:i/>
        </w:rPr>
        <w:t xml:space="preserve"> and the Queensland Government.</w:t>
      </w:r>
      <w:r w:rsidRPr="004C20BB">
        <w:rPr>
          <w:i/>
        </w:rPr>
        <w:t xml:space="preserve"> Data are acquired from NASA spacecraft</w:t>
      </w:r>
      <w:r>
        <w:rPr>
          <w:i/>
        </w:rPr>
        <w:t xml:space="preserve">. </w:t>
      </w:r>
      <w:hyperlink r:id="rId1" w:history="1">
        <w:r w:rsidRPr="00270738">
          <w:rPr>
            <w:rStyle w:val="Hyperlink"/>
            <w:i/>
          </w:rPr>
          <w:t>http://www.bom.gov.au/marinewaterquality/</w:t>
        </w:r>
      </w:hyperlink>
      <w:r>
        <w:rPr>
          <w:i/>
        </w:rPr>
        <w:t xml:space="preserve">. Although the confidence in individual estimates of Chl a in turbid inshore waters is low the time averaged conditions do describe gradient that correspond to differences in benthic communities. </w:t>
      </w:r>
    </w:p>
    <w:p w14:paraId="53C15FC6" w14:textId="77777777" w:rsidR="003053D1" w:rsidRPr="00DA65CF" w:rsidRDefault="003053D1" w:rsidP="00DF6F02">
      <w:pPr>
        <w:pStyle w:val="FootnoteText"/>
      </w:pPr>
    </w:p>
  </w:footnote>
  <w:footnote w:id="4">
    <w:p w14:paraId="53C15FC7" w14:textId="77777777" w:rsidR="003053D1" w:rsidRPr="00F96ACA" w:rsidRDefault="003053D1" w:rsidP="003B5981">
      <w:pPr>
        <w:pStyle w:val="Reportrefs"/>
        <w:spacing w:after="120"/>
        <w:ind w:left="284" w:hanging="284"/>
        <w:rPr>
          <w:color w:val="0070C0"/>
          <w:sz w:val="22"/>
          <w:lang w:eastAsia="en-AU"/>
        </w:rPr>
      </w:pPr>
      <w:r>
        <w:rPr>
          <w:rStyle w:val="FootnoteReference"/>
        </w:rPr>
        <w:footnoteRef/>
      </w:r>
      <w:r>
        <w:t xml:space="preserve"> </w:t>
      </w:r>
      <w:r w:rsidRPr="004F3D40">
        <w:rPr>
          <w:sz w:val="20"/>
          <w:lang w:eastAsia="en-AU"/>
        </w:rPr>
        <w:t xml:space="preserve">Connie 2.0, CSIRO Connectivity Interface, </w:t>
      </w:r>
      <w:hyperlink r:id="rId2" w:history="1">
        <w:r>
          <w:rPr>
            <w:rStyle w:val="Hyperlink"/>
            <w:rFonts w:eastAsia="SimSun" w:cs="Arial"/>
            <w:color w:val="0070C0"/>
            <w:sz w:val="20"/>
            <w:lang w:eastAsia="en-AU"/>
          </w:rPr>
          <w:t>CSIRO connie2</w:t>
        </w:r>
      </w:hyperlink>
    </w:p>
  </w:footnote>
  <w:footnote w:id="5">
    <w:p w14:paraId="53C15FC8" w14:textId="77777777" w:rsidR="003053D1" w:rsidRPr="00F41217" w:rsidRDefault="003053D1" w:rsidP="00483EE3">
      <w:pPr>
        <w:pStyle w:val="FootnoteText"/>
      </w:pPr>
      <w:r>
        <w:rPr>
          <w:rStyle w:val="FootnoteReference"/>
        </w:rPr>
        <w:footnoteRef/>
      </w:r>
      <w:r>
        <w:t xml:space="preserve"> Australian Government crown-of-thorns starfish management programme data supplied by Great Barrier Reef Marine Park Authority, Eye on the Reef.</w:t>
      </w:r>
    </w:p>
  </w:footnote>
  <w:footnote w:id="6">
    <w:p w14:paraId="53C15FC9" w14:textId="77777777" w:rsidR="003053D1" w:rsidRPr="00F96ACA" w:rsidRDefault="003053D1" w:rsidP="00E842E3">
      <w:pPr>
        <w:pStyle w:val="Reportrefs"/>
        <w:spacing w:after="120"/>
        <w:ind w:left="284" w:hanging="284"/>
        <w:rPr>
          <w:color w:val="0070C0"/>
          <w:sz w:val="22"/>
          <w:lang w:eastAsia="en-AU"/>
        </w:rPr>
      </w:pPr>
      <w:r>
        <w:rPr>
          <w:rStyle w:val="FootnoteReference"/>
        </w:rPr>
        <w:footnoteRef/>
      </w:r>
      <w:r>
        <w:t xml:space="preserve"> </w:t>
      </w:r>
      <w:r w:rsidRPr="004F3D40">
        <w:rPr>
          <w:sz w:val="20"/>
          <w:lang w:eastAsia="en-AU"/>
        </w:rPr>
        <w:t xml:space="preserve">Connie 2.0, CSIRO Connectivity Interface, </w:t>
      </w:r>
      <w:hyperlink r:id="rId3" w:history="1">
        <w:r>
          <w:rPr>
            <w:rStyle w:val="Hyperlink"/>
            <w:rFonts w:eastAsia="SimSun" w:cs="Arial"/>
            <w:color w:val="0070C0"/>
            <w:sz w:val="20"/>
            <w:lang w:eastAsia="en-AU"/>
          </w:rPr>
          <w:t>CSIRO connie2</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7D9DB1" w14:textId="77777777" w:rsidR="003053D1" w:rsidRDefault="003053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C15FB3" w14:textId="77777777" w:rsidR="003053D1" w:rsidRPr="008905C8" w:rsidRDefault="003053D1" w:rsidP="008905C8">
    <w:pPr>
      <w:pStyle w:val="Header"/>
      <w:pBdr>
        <w:bottom w:val="none" w:sz="0" w:space="0" w:color="auto"/>
      </w:pBdr>
      <w:spacing w:after="0"/>
      <w:rPr>
        <w:rFonts w:ascii="Arial" w:hAnsi="Arial"/>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CA2F2" w14:textId="77777777" w:rsidR="003053D1" w:rsidRDefault="003053D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C15FB8" w14:textId="77777777" w:rsidR="003053D1" w:rsidRPr="00C15C2E" w:rsidRDefault="003053D1" w:rsidP="00A80F4F">
    <w:pPr>
      <w:pBdr>
        <w:bottom w:val="single" w:sz="18" w:space="1" w:color="91DC41"/>
      </w:pBdr>
      <w:rPr>
        <w:sz w:val="18"/>
      </w:rPr>
    </w:pPr>
    <w:r>
      <w:rPr>
        <w:sz w:val="18"/>
      </w:rPr>
      <w:t>Marine Monitoring Program</w:t>
    </w:r>
    <w:r w:rsidRPr="00C15C2E">
      <w:rPr>
        <w:sz w:val="18"/>
      </w:rPr>
      <w:tab/>
    </w:r>
    <w:r>
      <w:rPr>
        <w:sz w:val="18"/>
      </w:rPr>
      <w:tab/>
      <w:t xml:space="preserve">Annual Report for inshore </w:t>
    </w:r>
    <w:r w:rsidRPr="00C15C2E">
      <w:rPr>
        <w:sz w:val="18"/>
      </w:rPr>
      <w:t>coral reef monitoring</w:t>
    </w:r>
    <w:r>
      <w:rPr>
        <w:sz w:val="18"/>
      </w:rPr>
      <w:t xml:space="preserve"> 2018–19</w:t>
    </w:r>
  </w:p>
  <w:p w14:paraId="53C15FB9" w14:textId="77777777" w:rsidR="003053D1" w:rsidRPr="00F17C15" w:rsidRDefault="003053D1" w:rsidP="008C5017">
    <w:pPr>
      <w:pStyle w:val="Header"/>
      <w:pBdr>
        <w:bottom w:val="none" w:sz="0" w:space="0" w:color="auto"/>
      </w:pBd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C15FC2" w14:textId="77777777" w:rsidR="003053D1" w:rsidRPr="00262F5E" w:rsidRDefault="003053D1" w:rsidP="008C5017">
    <w:pPr>
      <w:pBdr>
        <w:bottom w:val="single" w:sz="12" w:space="1" w:color="0070C0"/>
      </w:pBdr>
      <w:rPr>
        <w:sz w:val="20"/>
      </w:rPr>
    </w:pPr>
    <w:r w:rsidRPr="00262F5E">
      <w:rPr>
        <w:sz w:val="20"/>
      </w:rPr>
      <w:t>Reef Rescue Marine Monitoring Program</w:t>
    </w:r>
    <w:r w:rsidRPr="00262F5E">
      <w:rPr>
        <w:sz w:val="20"/>
      </w:rPr>
      <w:tab/>
    </w:r>
    <w:r>
      <w:rPr>
        <w:sz w:val="20"/>
      </w:rPr>
      <w:tab/>
    </w:r>
    <w:r w:rsidRPr="00262F5E">
      <w:rPr>
        <w:sz w:val="20"/>
      </w:rPr>
      <w:t>Inshore reef monitoring - Final Report 201</w:t>
    </w:r>
    <w:r>
      <w:rPr>
        <w:sz w:val="20"/>
      </w:rPr>
      <w:t>1</w:t>
    </w:r>
  </w:p>
  <w:p w14:paraId="53C15FC3" w14:textId="77777777" w:rsidR="003053D1" w:rsidRDefault="003053D1"/>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542250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99CE45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DD66196"/>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FBB27F0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F86AAFFA"/>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0669988"/>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47E62E2"/>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8"/>
    <w:multiLevelType w:val="singleLevel"/>
    <w:tmpl w:val="0546B15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88021F6"/>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0527CE7"/>
    <w:multiLevelType w:val="multilevel"/>
    <w:tmpl w:val="2F1A7216"/>
    <w:lvl w:ilvl="0">
      <w:start w:val="1"/>
      <w:numFmt w:val="decimal"/>
      <w:lvlText w:val="%1"/>
      <w:lvlJc w:val="left"/>
      <w:pPr>
        <w:ind w:left="432" w:hanging="432"/>
      </w:pPr>
      <w:rPr>
        <w:rFonts w:hint="default"/>
      </w:rPr>
    </w:lvl>
    <w:lvl w:ilvl="1">
      <w:start w:val="1"/>
      <w:numFmt w:val="decimal"/>
      <w:lvlText w:val="%1.%2"/>
      <w:lvlJc w:val="left"/>
      <w:pPr>
        <w:ind w:left="7806" w:hanging="576"/>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146"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037603A9"/>
    <w:multiLevelType w:val="multilevel"/>
    <w:tmpl w:val="989E901A"/>
    <w:lvl w:ilvl="0">
      <w:start w:val="1"/>
      <w:numFmt w:val="decimal"/>
      <w:lvlText w:val="%1"/>
      <w:lvlJc w:val="left"/>
      <w:pPr>
        <w:ind w:left="360" w:hanging="360"/>
      </w:pPr>
      <w:rPr>
        <w:rFonts w:cs="Times New Roman" w:hint="default"/>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2"/>
      <w:numFmt w:val="decimal"/>
      <w:isLgl/>
      <w:lvlText w:val="%1.%2"/>
      <w:lvlJc w:val="left"/>
      <w:pPr>
        <w:ind w:left="885" w:hanging="525"/>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08EF7A56"/>
    <w:multiLevelType w:val="hybridMultilevel"/>
    <w:tmpl w:val="EF702D0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0CAB26DA"/>
    <w:multiLevelType w:val="multilevel"/>
    <w:tmpl w:val="5E8C98A6"/>
    <w:lvl w:ilvl="0">
      <w:start w:val="1"/>
      <w:numFmt w:val="decimal"/>
      <w:lvlText w:val="%1"/>
      <w:lvlJc w:val="left"/>
      <w:pPr>
        <w:ind w:left="432" w:hanging="432"/>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rPr>
        <w:b w:val="0"/>
        <w:i w:val="0"/>
        <w:iCs w:val="0"/>
        <w:caps w:val="0"/>
        <w:smallCaps w:val="0"/>
        <w:strike w:val="0"/>
        <w:dstrike w:val="0"/>
        <w:outline w:val="0"/>
        <w:shadow w:val="0"/>
        <w:emboss w:val="0"/>
        <w:imprint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179C7F96"/>
    <w:multiLevelType w:val="hybridMultilevel"/>
    <w:tmpl w:val="D5F6E4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ACF3C5C"/>
    <w:multiLevelType w:val="hybridMultilevel"/>
    <w:tmpl w:val="B868EA22"/>
    <w:lvl w:ilvl="0" w:tplc="0C090001">
      <w:start w:val="1"/>
      <w:numFmt w:val="bullet"/>
      <w:lvlText w:val=""/>
      <w:lvlJc w:val="left"/>
      <w:pPr>
        <w:ind w:left="780" w:hanging="360"/>
      </w:pPr>
      <w:rPr>
        <w:rFonts w:ascii="Symbol" w:hAnsi="Symbol" w:hint="default"/>
      </w:rPr>
    </w:lvl>
    <w:lvl w:ilvl="1" w:tplc="0C090003">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15" w15:restartNumberingAfterBreak="0">
    <w:nsid w:val="1E6247F9"/>
    <w:multiLevelType w:val="hybridMultilevel"/>
    <w:tmpl w:val="AEFA34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01A4C9D"/>
    <w:multiLevelType w:val="hybridMultilevel"/>
    <w:tmpl w:val="B9F80E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0AA51DC"/>
    <w:multiLevelType w:val="multilevel"/>
    <w:tmpl w:val="0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0B86BBA"/>
    <w:multiLevelType w:val="hybridMultilevel"/>
    <w:tmpl w:val="20E42E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22362380"/>
    <w:multiLevelType w:val="hybridMultilevel"/>
    <w:tmpl w:val="DB76E284"/>
    <w:lvl w:ilvl="0" w:tplc="C41AC8FA">
      <w:numFmt w:val="bullet"/>
      <w:lvlText w:val="-"/>
      <w:lvlJc w:val="left"/>
      <w:pPr>
        <w:ind w:left="720" w:hanging="360"/>
      </w:pPr>
      <w:rPr>
        <w:rFonts w:ascii="Gill Sans MT" w:eastAsiaTheme="minorHAnsi" w:hAnsi="Gill Sans MT"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27D97BE2"/>
    <w:multiLevelType w:val="hybridMultilevel"/>
    <w:tmpl w:val="9AF672A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289B0963"/>
    <w:multiLevelType w:val="hybridMultilevel"/>
    <w:tmpl w:val="27C8900A"/>
    <w:lvl w:ilvl="0" w:tplc="57527F8A">
      <w:numFmt w:val="decimal"/>
      <w:lvlText w:val="%1."/>
      <w:lvlJc w:val="left"/>
      <w:pPr>
        <w:ind w:left="360" w:hanging="360"/>
      </w:pPr>
      <w:rPr>
        <w:rFonts w:hint="default"/>
      </w:rPr>
    </w:lvl>
    <w:lvl w:ilvl="1" w:tplc="0C090019" w:tentative="1">
      <w:start w:val="1"/>
      <w:numFmt w:val="lowerLetter"/>
      <w:lvlText w:val="%2."/>
      <w:lvlJc w:val="left"/>
      <w:pPr>
        <w:ind w:left="-1112" w:hanging="360"/>
      </w:pPr>
    </w:lvl>
    <w:lvl w:ilvl="2" w:tplc="0C09001B" w:tentative="1">
      <w:start w:val="1"/>
      <w:numFmt w:val="lowerRoman"/>
      <w:lvlText w:val="%3."/>
      <w:lvlJc w:val="right"/>
      <w:pPr>
        <w:ind w:left="-392" w:hanging="180"/>
      </w:pPr>
    </w:lvl>
    <w:lvl w:ilvl="3" w:tplc="0C09000F" w:tentative="1">
      <w:start w:val="1"/>
      <w:numFmt w:val="decimal"/>
      <w:lvlText w:val="%4."/>
      <w:lvlJc w:val="left"/>
      <w:pPr>
        <w:ind w:left="328" w:hanging="360"/>
      </w:pPr>
    </w:lvl>
    <w:lvl w:ilvl="4" w:tplc="0C090019" w:tentative="1">
      <w:start w:val="1"/>
      <w:numFmt w:val="lowerLetter"/>
      <w:lvlText w:val="%5."/>
      <w:lvlJc w:val="left"/>
      <w:pPr>
        <w:ind w:left="1048" w:hanging="360"/>
      </w:pPr>
    </w:lvl>
    <w:lvl w:ilvl="5" w:tplc="0C09001B" w:tentative="1">
      <w:start w:val="1"/>
      <w:numFmt w:val="lowerRoman"/>
      <w:lvlText w:val="%6."/>
      <w:lvlJc w:val="right"/>
      <w:pPr>
        <w:ind w:left="1768" w:hanging="180"/>
      </w:pPr>
    </w:lvl>
    <w:lvl w:ilvl="6" w:tplc="0C09000F" w:tentative="1">
      <w:start w:val="1"/>
      <w:numFmt w:val="decimal"/>
      <w:lvlText w:val="%7."/>
      <w:lvlJc w:val="left"/>
      <w:pPr>
        <w:ind w:left="2488" w:hanging="360"/>
      </w:pPr>
    </w:lvl>
    <w:lvl w:ilvl="7" w:tplc="0C090019" w:tentative="1">
      <w:start w:val="1"/>
      <w:numFmt w:val="lowerLetter"/>
      <w:lvlText w:val="%8."/>
      <w:lvlJc w:val="left"/>
      <w:pPr>
        <w:ind w:left="3208" w:hanging="360"/>
      </w:pPr>
    </w:lvl>
    <w:lvl w:ilvl="8" w:tplc="0C09001B" w:tentative="1">
      <w:start w:val="1"/>
      <w:numFmt w:val="lowerRoman"/>
      <w:lvlText w:val="%9."/>
      <w:lvlJc w:val="right"/>
      <w:pPr>
        <w:ind w:left="3928" w:hanging="180"/>
      </w:pPr>
    </w:lvl>
  </w:abstractNum>
  <w:abstractNum w:abstractNumId="22" w15:restartNumberingAfterBreak="0">
    <w:nsid w:val="28FF71A4"/>
    <w:multiLevelType w:val="hybridMultilevel"/>
    <w:tmpl w:val="D13EBD0A"/>
    <w:lvl w:ilvl="0" w:tplc="04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2C7E1267"/>
    <w:multiLevelType w:val="hybridMultilevel"/>
    <w:tmpl w:val="3BBE4DE0"/>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04E6F38"/>
    <w:multiLevelType w:val="hybridMultilevel"/>
    <w:tmpl w:val="471C77BE"/>
    <w:lvl w:ilvl="0" w:tplc="14FEB962">
      <w:start w:val="1"/>
      <w:numFmt w:val="bullet"/>
      <w:pStyle w:val="CommentText"/>
      <w:lvlText w:val=""/>
      <w:lvlJc w:val="left"/>
      <w:pPr>
        <w:tabs>
          <w:tab w:val="num" w:pos="432"/>
        </w:tabs>
        <w:ind w:left="432" w:hanging="432"/>
      </w:pPr>
      <w:rPr>
        <w:rFonts w:ascii="Wingdings 2" w:hAnsi="Wingdings 2" w:hint="default"/>
        <w:color w:val="808080"/>
        <w:sz w:val="20"/>
      </w:rPr>
    </w:lvl>
    <w:lvl w:ilvl="1" w:tplc="0C090003">
      <w:start w:val="1"/>
      <w:numFmt w:val="bullet"/>
      <w:lvlText w:val="o"/>
      <w:lvlJc w:val="left"/>
      <w:pPr>
        <w:tabs>
          <w:tab w:val="num" w:pos="1495"/>
        </w:tabs>
        <w:ind w:left="1495"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1AA0398"/>
    <w:multiLevelType w:val="multilevel"/>
    <w:tmpl w:val="4B461E92"/>
    <w:lvl w:ilvl="0">
      <w:start w:val="1"/>
      <w:numFmt w:val="decimal"/>
      <w:pStyle w:val="TOCHeading"/>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pStyle w:val="Head4"/>
      <w:lvlText w:val="%1.%2.%3"/>
      <w:lvlJc w:val="left"/>
      <w:pPr>
        <w:ind w:left="720" w:hanging="720"/>
      </w:pPr>
      <w:rPr>
        <w:rFonts w:hint="default"/>
      </w:rPr>
    </w:lvl>
    <w:lvl w:ilvl="3">
      <w:start w:val="1"/>
      <w:numFmt w:val="decimal"/>
      <w:pStyle w:val="StyleHeading4After6pt"/>
      <w:lvlText w:val="%1.%2.%3.%4"/>
      <w:lvlJc w:val="left"/>
      <w:pPr>
        <w:ind w:left="864" w:hanging="864"/>
      </w:pPr>
      <w:rPr>
        <w:rFonts w:hint="default"/>
      </w:rPr>
    </w:lvl>
    <w:lvl w:ilvl="4">
      <w:start w:val="1"/>
      <w:numFmt w:val="decimal"/>
      <w:pStyle w:val="StyleHeading5Optimum"/>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6" w15:restartNumberingAfterBreak="0">
    <w:nsid w:val="33C53C0B"/>
    <w:multiLevelType w:val="hybridMultilevel"/>
    <w:tmpl w:val="4782A1A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7" w15:restartNumberingAfterBreak="0">
    <w:nsid w:val="3FB301A3"/>
    <w:multiLevelType w:val="multilevel"/>
    <w:tmpl w:val="2434564A"/>
    <w:lvl w:ilvl="0">
      <w:start w:val="1"/>
      <w:numFmt w:val="decimal"/>
      <w:lvlText w:val="%1"/>
      <w:lvlJc w:val="left"/>
      <w:pPr>
        <w:ind w:left="360" w:hanging="360"/>
      </w:pPr>
      <w:rPr>
        <w:rFonts w:hint="default"/>
        <w:color w:val="auto"/>
      </w:rPr>
    </w:lvl>
    <w:lvl w:ilvl="1">
      <w:start w:val="2"/>
      <w:numFmt w:val="decimal"/>
      <w:isLgl/>
      <w:lvlText w:val="%1.%2"/>
      <w:lvlJc w:val="left"/>
      <w:pPr>
        <w:ind w:left="885" w:hanging="525"/>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400001BF"/>
    <w:multiLevelType w:val="hybridMultilevel"/>
    <w:tmpl w:val="63588A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40A404B1"/>
    <w:multiLevelType w:val="hybridMultilevel"/>
    <w:tmpl w:val="6C64D446"/>
    <w:lvl w:ilvl="0" w:tplc="35D21DEE">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41D11F11"/>
    <w:multiLevelType w:val="multilevel"/>
    <w:tmpl w:val="3976B76A"/>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1" w15:restartNumberingAfterBreak="0">
    <w:nsid w:val="42711E00"/>
    <w:multiLevelType w:val="hybridMultilevel"/>
    <w:tmpl w:val="1A00CC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45F61E93"/>
    <w:multiLevelType w:val="multilevel"/>
    <w:tmpl w:val="C5EA17B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2%1..%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461434FB"/>
    <w:multiLevelType w:val="hybridMultilevel"/>
    <w:tmpl w:val="8C5E70BE"/>
    <w:lvl w:ilvl="0" w:tplc="0C090001">
      <w:start w:val="1"/>
      <w:numFmt w:val="bullet"/>
      <w:lvlText w:val=""/>
      <w:lvlJc w:val="left"/>
      <w:pPr>
        <w:ind w:left="766" w:hanging="360"/>
      </w:pPr>
      <w:rPr>
        <w:rFonts w:ascii="Symbol" w:hAnsi="Symbol" w:hint="default"/>
      </w:rPr>
    </w:lvl>
    <w:lvl w:ilvl="1" w:tplc="0C090003" w:tentative="1">
      <w:start w:val="1"/>
      <w:numFmt w:val="bullet"/>
      <w:lvlText w:val="o"/>
      <w:lvlJc w:val="left"/>
      <w:pPr>
        <w:ind w:left="1486" w:hanging="360"/>
      </w:pPr>
      <w:rPr>
        <w:rFonts w:ascii="Courier New" w:hAnsi="Courier New" w:cs="Courier New" w:hint="default"/>
      </w:rPr>
    </w:lvl>
    <w:lvl w:ilvl="2" w:tplc="0C090005" w:tentative="1">
      <w:start w:val="1"/>
      <w:numFmt w:val="bullet"/>
      <w:lvlText w:val=""/>
      <w:lvlJc w:val="left"/>
      <w:pPr>
        <w:ind w:left="2206" w:hanging="360"/>
      </w:pPr>
      <w:rPr>
        <w:rFonts w:ascii="Wingdings" w:hAnsi="Wingdings" w:hint="default"/>
      </w:rPr>
    </w:lvl>
    <w:lvl w:ilvl="3" w:tplc="0C090001" w:tentative="1">
      <w:start w:val="1"/>
      <w:numFmt w:val="bullet"/>
      <w:lvlText w:val=""/>
      <w:lvlJc w:val="left"/>
      <w:pPr>
        <w:ind w:left="2926" w:hanging="360"/>
      </w:pPr>
      <w:rPr>
        <w:rFonts w:ascii="Symbol" w:hAnsi="Symbol" w:hint="default"/>
      </w:rPr>
    </w:lvl>
    <w:lvl w:ilvl="4" w:tplc="0C090003" w:tentative="1">
      <w:start w:val="1"/>
      <w:numFmt w:val="bullet"/>
      <w:lvlText w:val="o"/>
      <w:lvlJc w:val="left"/>
      <w:pPr>
        <w:ind w:left="3646" w:hanging="360"/>
      </w:pPr>
      <w:rPr>
        <w:rFonts w:ascii="Courier New" w:hAnsi="Courier New" w:cs="Courier New" w:hint="default"/>
      </w:rPr>
    </w:lvl>
    <w:lvl w:ilvl="5" w:tplc="0C090005" w:tentative="1">
      <w:start w:val="1"/>
      <w:numFmt w:val="bullet"/>
      <w:lvlText w:val=""/>
      <w:lvlJc w:val="left"/>
      <w:pPr>
        <w:ind w:left="4366" w:hanging="360"/>
      </w:pPr>
      <w:rPr>
        <w:rFonts w:ascii="Wingdings" w:hAnsi="Wingdings" w:hint="default"/>
      </w:rPr>
    </w:lvl>
    <w:lvl w:ilvl="6" w:tplc="0C090001" w:tentative="1">
      <w:start w:val="1"/>
      <w:numFmt w:val="bullet"/>
      <w:lvlText w:val=""/>
      <w:lvlJc w:val="left"/>
      <w:pPr>
        <w:ind w:left="5086" w:hanging="360"/>
      </w:pPr>
      <w:rPr>
        <w:rFonts w:ascii="Symbol" w:hAnsi="Symbol" w:hint="default"/>
      </w:rPr>
    </w:lvl>
    <w:lvl w:ilvl="7" w:tplc="0C090003" w:tentative="1">
      <w:start w:val="1"/>
      <w:numFmt w:val="bullet"/>
      <w:lvlText w:val="o"/>
      <w:lvlJc w:val="left"/>
      <w:pPr>
        <w:ind w:left="5806" w:hanging="360"/>
      </w:pPr>
      <w:rPr>
        <w:rFonts w:ascii="Courier New" w:hAnsi="Courier New" w:cs="Courier New" w:hint="default"/>
      </w:rPr>
    </w:lvl>
    <w:lvl w:ilvl="8" w:tplc="0C090005" w:tentative="1">
      <w:start w:val="1"/>
      <w:numFmt w:val="bullet"/>
      <w:lvlText w:val=""/>
      <w:lvlJc w:val="left"/>
      <w:pPr>
        <w:ind w:left="6526" w:hanging="360"/>
      </w:pPr>
      <w:rPr>
        <w:rFonts w:ascii="Wingdings" w:hAnsi="Wingdings" w:hint="default"/>
      </w:rPr>
    </w:lvl>
  </w:abstractNum>
  <w:abstractNum w:abstractNumId="34" w15:restartNumberingAfterBreak="0">
    <w:nsid w:val="4B38578E"/>
    <w:multiLevelType w:val="hybridMultilevel"/>
    <w:tmpl w:val="6308B8DE"/>
    <w:lvl w:ilvl="0" w:tplc="0C090001">
      <w:start w:val="1"/>
      <w:numFmt w:val="bullet"/>
      <w:lvlText w:val=""/>
      <w:lvlJc w:val="left"/>
      <w:pPr>
        <w:ind w:left="771" w:hanging="360"/>
      </w:pPr>
      <w:rPr>
        <w:rFonts w:ascii="Symbol" w:hAnsi="Symbol" w:hint="default"/>
      </w:rPr>
    </w:lvl>
    <w:lvl w:ilvl="1" w:tplc="0C090003" w:tentative="1">
      <w:start w:val="1"/>
      <w:numFmt w:val="bullet"/>
      <w:lvlText w:val="o"/>
      <w:lvlJc w:val="left"/>
      <w:pPr>
        <w:ind w:left="1491" w:hanging="360"/>
      </w:pPr>
      <w:rPr>
        <w:rFonts w:ascii="Courier New" w:hAnsi="Courier New" w:cs="Courier New" w:hint="default"/>
      </w:rPr>
    </w:lvl>
    <w:lvl w:ilvl="2" w:tplc="0C090005" w:tentative="1">
      <w:start w:val="1"/>
      <w:numFmt w:val="bullet"/>
      <w:lvlText w:val=""/>
      <w:lvlJc w:val="left"/>
      <w:pPr>
        <w:ind w:left="2211" w:hanging="360"/>
      </w:pPr>
      <w:rPr>
        <w:rFonts w:ascii="Wingdings" w:hAnsi="Wingdings" w:hint="default"/>
      </w:rPr>
    </w:lvl>
    <w:lvl w:ilvl="3" w:tplc="0C090001" w:tentative="1">
      <w:start w:val="1"/>
      <w:numFmt w:val="bullet"/>
      <w:lvlText w:val=""/>
      <w:lvlJc w:val="left"/>
      <w:pPr>
        <w:ind w:left="2931" w:hanging="360"/>
      </w:pPr>
      <w:rPr>
        <w:rFonts w:ascii="Symbol" w:hAnsi="Symbol" w:hint="default"/>
      </w:rPr>
    </w:lvl>
    <w:lvl w:ilvl="4" w:tplc="0C090003" w:tentative="1">
      <w:start w:val="1"/>
      <w:numFmt w:val="bullet"/>
      <w:lvlText w:val="o"/>
      <w:lvlJc w:val="left"/>
      <w:pPr>
        <w:ind w:left="3651" w:hanging="360"/>
      </w:pPr>
      <w:rPr>
        <w:rFonts w:ascii="Courier New" w:hAnsi="Courier New" w:cs="Courier New" w:hint="default"/>
      </w:rPr>
    </w:lvl>
    <w:lvl w:ilvl="5" w:tplc="0C090005" w:tentative="1">
      <w:start w:val="1"/>
      <w:numFmt w:val="bullet"/>
      <w:lvlText w:val=""/>
      <w:lvlJc w:val="left"/>
      <w:pPr>
        <w:ind w:left="4371" w:hanging="360"/>
      </w:pPr>
      <w:rPr>
        <w:rFonts w:ascii="Wingdings" w:hAnsi="Wingdings" w:hint="default"/>
      </w:rPr>
    </w:lvl>
    <w:lvl w:ilvl="6" w:tplc="0C090001" w:tentative="1">
      <w:start w:val="1"/>
      <w:numFmt w:val="bullet"/>
      <w:lvlText w:val=""/>
      <w:lvlJc w:val="left"/>
      <w:pPr>
        <w:ind w:left="5091" w:hanging="360"/>
      </w:pPr>
      <w:rPr>
        <w:rFonts w:ascii="Symbol" w:hAnsi="Symbol" w:hint="default"/>
      </w:rPr>
    </w:lvl>
    <w:lvl w:ilvl="7" w:tplc="0C090003" w:tentative="1">
      <w:start w:val="1"/>
      <w:numFmt w:val="bullet"/>
      <w:lvlText w:val="o"/>
      <w:lvlJc w:val="left"/>
      <w:pPr>
        <w:ind w:left="5811" w:hanging="360"/>
      </w:pPr>
      <w:rPr>
        <w:rFonts w:ascii="Courier New" w:hAnsi="Courier New" w:cs="Courier New" w:hint="default"/>
      </w:rPr>
    </w:lvl>
    <w:lvl w:ilvl="8" w:tplc="0C090005" w:tentative="1">
      <w:start w:val="1"/>
      <w:numFmt w:val="bullet"/>
      <w:lvlText w:val=""/>
      <w:lvlJc w:val="left"/>
      <w:pPr>
        <w:ind w:left="6531" w:hanging="360"/>
      </w:pPr>
      <w:rPr>
        <w:rFonts w:ascii="Wingdings" w:hAnsi="Wingdings" w:hint="default"/>
      </w:rPr>
    </w:lvl>
  </w:abstractNum>
  <w:abstractNum w:abstractNumId="35" w15:restartNumberingAfterBreak="0">
    <w:nsid w:val="4D7D018E"/>
    <w:multiLevelType w:val="hybridMultilevel"/>
    <w:tmpl w:val="C2F82AD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4EA66BCA"/>
    <w:multiLevelType w:val="hybridMultilevel"/>
    <w:tmpl w:val="9C62036E"/>
    <w:lvl w:ilvl="0" w:tplc="8004B148">
      <w:start w:val="1"/>
      <w:numFmt w:val="lowerRoman"/>
      <w:lvlText w:val="%1."/>
      <w:lvlJc w:val="left"/>
      <w:pPr>
        <w:ind w:left="1440" w:hanging="72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7" w15:restartNumberingAfterBreak="0">
    <w:nsid w:val="508849C1"/>
    <w:multiLevelType w:val="hybridMultilevel"/>
    <w:tmpl w:val="8D6E60D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51EF7FC3"/>
    <w:multiLevelType w:val="multilevel"/>
    <w:tmpl w:val="78C8F992"/>
    <w:lvl w:ilvl="0">
      <w:start w:val="1"/>
      <w:numFmt w:val="decimal"/>
      <w:pStyle w:val="Heading1"/>
      <w:lvlText w:val="%1"/>
      <w:lvlJc w:val="left"/>
      <w:pPr>
        <w:ind w:left="432" w:hanging="432"/>
      </w:pPr>
      <w:rPr>
        <w:rFonts w:hint="default"/>
      </w:rPr>
    </w:lvl>
    <w:lvl w:ilv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9" w15:restartNumberingAfterBreak="0">
    <w:nsid w:val="551B34D6"/>
    <w:multiLevelType w:val="hybridMultilevel"/>
    <w:tmpl w:val="13A4B944"/>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40" w15:restartNumberingAfterBreak="0">
    <w:nsid w:val="55E45EC5"/>
    <w:multiLevelType w:val="hybridMultilevel"/>
    <w:tmpl w:val="64AA6858"/>
    <w:lvl w:ilvl="0" w:tplc="95D0DB10">
      <w:start w:val="1"/>
      <w:numFmt w:val="bullet"/>
      <w:lvlText w:val=""/>
      <w:lvlJc w:val="left"/>
      <w:pPr>
        <w:ind w:left="643" w:hanging="360"/>
      </w:pPr>
      <w:rPr>
        <w:rFonts w:ascii="Symbol" w:hAnsi="Symbol" w:hint="default"/>
        <w:color w:val="000000" w:themeColor="text1"/>
      </w:rPr>
    </w:lvl>
    <w:lvl w:ilvl="1" w:tplc="0C090003" w:tentative="1">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41" w15:restartNumberingAfterBreak="0">
    <w:nsid w:val="56EA04DD"/>
    <w:multiLevelType w:val="hybridMultilevel"/>
    <w:tmpl w:val="8026A0A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58A20620"/>
    <w:multiLevelType w:val="hybridMultilevel"/>
    <w:tmpl w:val="4BF44FE2"/>
    <w:lvl w:ilvl="0" w:tplc="04090001">
      <w:start w:val="1"/>
      <w:numFmt w:val="bullet"/>
      <w:lvlText w:val=""/>
      <w:lvlJc w:val="left"/>
      <w:pPr>
        <w:tabs>
          <w:tab w:val="num" w:pos="1152"/>
        </w:tabs>
        <w:ind w:left="1152" w:hanging="432"/>
      </w:pPr>
      <w:rPr>
        <w:rFonts w:ascii="Symbol" w:hAnsi="Symbol" w:hint="default"/>
        <w:color w:val="808080"/>
        <w:sz w:val="20"/>
      </w:rPr>
    </w:lvl>
    <w:lvl w:ilvl="1" w:tplc="0C090003">
      <w:start w:val="1"/>
      <w:numFmt w:val="bullet"/>
      <w:lvlText w:val="o"/>
      <w:lvlJc w:val="left"/>
      <w:pPr>
        <w:tabs>
          <w:tab w:val="num" w:pos="2215"/>
        </w:tabs>
        <w:ind w:left="2215" w:hanging="360"/>
      </w:pPr>
      <w:rPr>
        <w:rFonts w:ascii="Courier New" w:hAnsi="Courier New" w:hint="default"/>
      </w:rPr>
    </w:lvl>
    <w:lvl w:ilvl="2" w:tplc="0C090005" w:tentative="1">
      <w:start w:val="1"/>
      <w:numFmt w:val="bullet"/>
      <w:lvlText w:val=""/>
      <w:lvlJc w:val="left"/>
      <w:pPr>
        <w:tabs>
          <w:tab w:val="num" w:pos="2880"/>
        </w:tabs>
        <w:ind w:left="2880" w:hanging="360"/>
      </w:pPr>
      <w:rPr>
        <w:rFonts w:ascii="Wingdings" w:hAnsi="Wingdings" w:hint="default"/>
      </w:rPr>
    </w:lvl>
    <w:lvl w:ilvl="3" w:tplc="0C090001" w:tentative="1">
      <w:start w:val="1"/>
      <w:numFmt w:val="bullet"/>
      <w:lvlText w:val=""/>
      <w:lvlJc w:val="left"/>
      <w:pPr>
        <w:tabs>
          <w:tab w:val="num" w:pos="3600"/>
        </w:tabs>
        <w:ind w:left="3600" w:hanging="360"/>
      </w:pPr>
      <w:rPr>
        <w:rFonts w:ascii="Symbol" w:hAnsi="Symbol" w:hint="default"/>
      </w:rPr>
    </w:lvl>
    <w:lvl w:ilvl="4" w:tplc="0C090003" w:tentative="1">
      <w:start w:val="1"/>
      <w:numFmt w:val="bullet"/>
      <w:lvlText w:val="o"/>
      <w:lvlJc w:val="left"/>
      <w:pPr>
        <w:tabs>
          <w:tab w:val="num" w:pos="4320"/>
        </w:tabs>
        <w:ind w:left="4320" w:hanging="360"/>
      </w:pPr>
      <w:rPr>
        <w:rFonts w:ascii="Courier New" w:hAnsi="Courier New" w:hint="default"/>
      </w:rPr>
    </w:lvl>
    <w:lvl w:ilvl="5" w:tplc="0C090005" w:tentative="1">
      <w:start w:val="1"/>
      <w:numFmt w:val="bullet"/>
      <w:lvlText w:val=""/>
      <w:lvlJc w:val="left"/>
      <w:pPr>
        <w:tabs>
          <w:tab w:val="num" w:pos="5040"/>
        </w:tabs>
        <w:ind w:left="5040" w:hanging="360"/>
      </w:pPr>
      <w:rPr>
        <w:rFonts w:ascii="Wingdings" w:hAnsi="Wingdings" w:hint="default"/>
      </w:rPr>
    </w:lvl>
    <w:lvl w:ilvl="6" w:tplc="0C090001" w:tentative="1">
      <w:start w:val="1"/>
      <w:numFmt w:val="bullet"/>
      <w:lvlText w:val=""/>
      <w:lvlJc w:val="left"/>
      <w:pPr>
        <w:tabs>
          <w:tab w:val="num" w:pos="5760"/>
        </w:tabs>
        <w:ind w:left="5760" w:hanging="360"/>
      </w:pPr>
      <w:rPr>
        <w:rFonts w:ascii="Symbol" w:hAnsi="Symbol" w:hint="default"/>
      </w:rPr>
    </w:lvl>
    <w:lvl w:ilvl="7" w:tplc="0C090003" w:tentative="1">
      <w:start w:val="1"/>
      <w:numFmt w:val="bullet"/>
      <w:lvlText w:val="o"/>
      <w:lvlJc w:val="left"/>
      <w:pPr>
        <w:tabs>
          <w:tab w:val="num" w:pos="6480"/>
        </w:tabs>
        <w:ind w:left="6480" w:hanging="360"/>
      </w:pPr>
      <w:rPr>
        <w:rFonts w:ascii="Courier New" w:hAnsi="Courier New" w:hint="default"/>
      </w:rPr>
    </w:lvl>
    <w:lvl w:ilvl="8" w:tplc="0C090005" w:tentative="1">
      <w:start w:val="1"/>
      <w:numFmt w:val="bullet"/>
      <w:lvlText w:val=""/>
      <w:lvlJc w:val="left"/>
      <w:pPr>
        <w:tabs>
          <w:tab w:val="num" w:pos="7200"/>
        </w:tabs>
        <w:ind w:left="7200" w:hanging="360"/>
      </w:pPr>
      <w:rPr>
        <w:rFonts w:ascii="Wingdings" w:hAnsi="Wingdings" w:hint="default"/>
      </w:rPr>
    </w:lvl>
  </w:abstractNum>
  <w:abstractNum w:abstractNumId="43" w15:restartNumberingAfterBreak="0">
    <w:nsid w:val="59D80F97"/>
    <w:multiLevelType w:val="multilevel"/>
    <w:tmpl w:val="36EA107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4" w15:restartNumberingAfterBreak="0">
    <w:nsid w:val="5A315121"/>
    <w:multiLevelType w:val="multilevel"/>
    <w:tmpl w:val="8B80335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5F131F83"/>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6194486B"/>
    <w:multiLevelType w:val="hybridMultilevel"/>
    <w:tmpl w:val="C66EE0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62D54FD2"/>
    <w:multiLevelType w:val="hybridMultilevel"/>
    <w:tmpl w:val="F44A6E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641B3347"/>
    <w:multiLevelType w:val="hybridMultilevel"/>
    <w:tmpl w:val="BA748158"/>
    <w:lvl w:ilvl="0" w:tplc="0C09001B">
      <w:start w:val="1"/>
      <w:numFmt w:val="lowerRoman"/>
      <w:lvlText w:val="%1."/>
      <w:lvlJc w:val="righ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658E4C60"/>
    <w:multiLevelType w:val="multilevel"/>
    <w:tmpl w:val="0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65CC7CEC"/>
    <w:multiLevelType w:val="hybridMultilevel"/>
    <w:tmpl w:val="910601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6E8E0565"/>
    <w:multiLevelType w:val="hybridMultilevel"/>
    <w:tmpl w:val="62B2D686"/>
    <w:lvl w:ilvl="0" w:tplc="688ADC10">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72AB50F0"/>
    <w:multiLevelType w:val="hybridMultilevel"/>
    <w:tmpl w:val="7CC65B00"/>
    <w:lvl w:ilvl="0" w:tplc="0C090001">
      <w:start w:val="1"/>
      <w:numFmt w:val="bullet"/>
      <w:lvlText w:val=""/>
      <w:lvlJc w:val="left"/>
      <w:pPr>
        <w:ind w:left="783" w:hanging="360"/>
      </w:pPr>
      <w:rPr>
        <w:rFonts w:ascii="Symbol" w:hAnsi="Symbol" w:hint="default"/>
      </w:rPr>
    </w:lvl>
    <w:lvl w:ilvl="1" w:tplc="0C090003" w:tentative="1">
      <w:start w:val="1"/>
      <w:numFmt w:val="bullet"/>
      <w:lvlText w:val="o"/>
      <w:lvlJc w:val="left"/>
      <w:pPr>
        <w:ind w:left="1503" w:hanging="360"/>
      </w:pPr>
      <w:rPr>
        <w:rFonts w:ascii="Courier New" w:hAnsi="Courier New" w:cs="Courier New" w:hint="default"/>
      </w:rPr>
    </w:lvl>
    <w:lvl w:ilvl="2" w:tplc="0C090005" w:tentative="1">
      <w:start w:val="1"/>
      <w:numFmt w:val="bullet"/>
      <w:lvlText w:val=""/>
      <w:lvlJc w:val="left"/>
      <w:pPr>
        <w:ind w:left="2223" w:hanging="360"/>
      </w:pPr>
      <w:rPr>
        <w:rFonts w:ascii="Wingdings" w:hAnsi="Wingdings" w:hint="default"/>
      </w:rPr>
    </w:lvl>
    <w:lvl w:ilvl="3" w:tplc="0C090001" w:tentative="1">
      <w:start w:val="1"/>
      <w:numFmt w:val="bullet"/>
      <w:lvlText w:val=""/>
      <w:lvlJc w:val="left"/>
      <w:pPr>
        <w:ind w:left="2943" w:hanging="360"/>
      </w:pPr>
      <w:rPr>
        <w:rFonts w:ascii="Symbol" w:hAnsi="Symbol" w:hint="default"/>
      </w:rPr>
    </w:lvl>
    <w:lvl w:ilvl="4" w:tplc="0C090003" w:tentative="1">
      <w:start w:val="1"/>
      <w:numFmt w:val="bullet"/>
      <w:lvlText w:val="o"/>
      <w:lvlJc w:val="left"/>
      <w:pPr>
        <w:ind w:left="3663" w:hanging="360"/>
      </w:pPr>
      <w:rPr>
        <w:rFonts w:ascii="Courier New" w:hAnsi="Courier New" w:cs="Courier New" w:hint="default"/>
      </w:rPr>
    </w:lvl>
    <w:lvl w:ilvl="5" w:tplc="0C090005" w:tentative="1">
      <w:start w:val="1"/>
      <w:numFmt w:val="bullet"/>
      <w:lvlText w:val=""/>
      <w:lvlJc w:val="left"/>
      <w:pPr>
        <w:ind w:left="4383" w:hanging="360"/>
      </w:pPr>
      <w:rPr>
        <w:rFonts w:ascii="Wingdings" w:hAnsi="Wingdings" w:hint="default"/>
      </w:rPr>
    </w:lvl>
    <w:lvl w:ilvl="6" w:tplc="0C090001" w:tentative="1">
      <w:start w:val="1"/>
      <w:numFmt w:val="bullet"/>
      <w:lvlText w:val=""/>
      <w:lvlJc w:val="left"/>
      <w:pPr>
        <w:ind w:left="5103" w:hanging="360"/>
      </w:pPr>
      <w:rPr>
        <w:rFonts w:ascii="Symbol" w:hAnsi="Symbol" w:hint="default"/>
      </w:rPr>
    </w:lvl>
    <w:lvl w:ilvl="7" w:tplc="0C090003" w:tentative="1">
      <w:start w:val="1"/>
      <w:numFmt w:val="bullet"/>
      <w:lvlText w:val="o"/>
      <w:lvlJc w:val="left"/>
      <w:pPr>
        <w:ind w:left="5823" w:hanging="360"/>
      </w:pPr>
      <w:rPr>
        <w:rFonts w:ascii="Courier New" w:hAnsi="Courier New" w:cs="Courier New" w:hint="default"/>
      </w:rPr>
    </w:lvl>
    <w:lvl w:ilvl="8" w:tplc="0C090005" w:tentative="1">
      <w:start w:val="1"/>
      <w:numFmt w:val="bullet"/>
      <w:lvlText w:val=""/>
      <w:lvlJc w:val="left"/>
      <w:pPr>
        <w:ind w:left="6543" w:hanging="360"/>
      </w:pPr>
      <w:rPr>
        <w:rFonts w:ascii="Wingdings" w:hAnsi="Wingdings" w:hint="default"/>
      </w:rPr>
    </w:lvl>
  </w:abstractNum>
  <w:abstractNum w:abstractNumId="53" w15:restartNumberingAfterBreak="0">
    <w:nsid w:val="73571793"/>
    <w:multiLevelType w:val="hybridMultilevel"/>
    <w:tmpl w:val="1DEAE0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74913F65"/>
    <w:multiLevelType w:val="multilevel"/>
    <w:tmpl w:val="9DF653B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5" w15:restartNumberingAfterBreak="0">
    <w:nsid w:val="783139AB"/>
    <w:multiLevelType w:val="hybridMultilevel"/>
    <w:tmpl w:val="BA748158"/>
    <w:lvl w:ilvl="0" w:tplc="0C09001B">
      <w:start w:val="1"/>
      <w:numFmt w:val="lowerRoman"/>
      <w:lvlText w:val="%1."/>
      <w:lvlJc w:val="righ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7DA86AE0"/>
    <w:multiLevelType w:val="hybridMultilevel"/>
    <w:tmpl w:val="9438BE76"/>
    <w:lvl w:ilvl="0" w:tplc="2FD4278A">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57" w15:restartNumberingAfterBreak="0">
    <w:nsid w:val="7F5E1F9B"/>
    <w:multiLevelType w:val="hybridMultilevel"/>
    <w:tmpl w:val="5B927F32"/>
    <w:lvl w:ilvl="0" w:tplc="0C090001">
      <w:start w:val="1"/>
      <w:numFmt w:val="bullet"/>
      <w:lvlText w:val=""/>
      <w:lvlJc w:val="left"/>
      <w:pPr>
        <w:ind w:left="787" w:hanging="360"/>
      </w:pPr>
      <w:rPr>
        <w:rFonts w:ascii="Symbol" w:hAnsi="Symbol" w:hint="default"/>
      </w:rPr>
    </w:lvl>
    <w:lvl w:ilvl="1" w:tplc="0C090003" w:tentative="1">
      <w:start w:val="1"/>
      <w:numFmt w:val="bullet"/>
      <w:lvlText w:val="o"/>
      <w:lvlJc w:val="left"/>
      <w:pPr>
        <w:ind w:left="1507" w:hanging="360"/>
      </w:pPr>
      <w:rPr>
        <w:rFonts w:ascii="Courier New" w:hAnsi="Courier New" w:cs="Courier New" w:hint="default"/>
      </w:rPr>
    </w:lvl>
    <w:lvl w:ilvl="2" w:tplc="0C090005" w:tentative="1">
      <w:start w:val="1"/>
      <w:numFmt w:val="bullet"/>
      <w:lvlText w:val=""/>
      <w:lvlJc w:val="left"/>
      <w:pPr>
        <w:ind w:left="2227" w:hanging="360"/>
      </w:pPr>
      <w:rPr>
        <w:rFonts w:ascii="Wingdings" w:hAnsi="Wingdings" w:hint="default"/>
      </w:rPr>
    </w:lvl>
    <w:lvl w:ilvl="3" w:tplc="0C090001" w:tentative="1">
      <w:start w:val="1"/>
      <w:numFmt w:val="bullet"/>
      <w:lvlText w:val=""/>
      <w:lvlJc w:val="left"/>
      <w:pPr>
        <w:ind w:left="2947" w:hanging="360"/>
      </w:pPr>
      <w:rPr>
        <w:rFonts w:ascii="Symbol" w:hAnsi="Symbol" w:hint="default"/>
      </w:rPr>
    </w:lvl>
    <w:lvl w:ilvl="4" w:tplc="0C090003" w:tentative="1">
      <w:start w:val="1"/>
      <w:numFmt w:val="bullet"/>
      <w:lvlText w:val="o"/>
      <w:lvlJc w:val="left"/>
      <w:pPr>
        <w:ind w:left="3667" w:hanging="360"/>
      </w:pPr>
      <w:rPr>
        <w:rFonts w:ascii="Courier New" w:hAnsi="Courier New" w:cs="Courier New" w:hint="default"/>
      </w:rPr>
    </w:lvl>
    <w:lvl w:ilvl="5" w:tplc="0C090005" w:tentative="1">
      <w:start w:val="1"/>
      <w:numFmt w:val="bullet"/>
      <w:lvlText w:val=""/>
      <w:lvlJc w:val="left"/>
      <w:pPr>
        <w:ind w:left="4387" w:hanging="360"/>
      </w:pPr>
      <w:rPr>
        <w:rFonts w:ascii="Wingdings" w:hAnsi="Wingdings" w:hint="default"/>
      </w:rPr>
    </w:lvl>
    <w:lvl w:ilvl="6" w:tplc="0C090001" w:tentative="1">
      <w:start w:val="1"/>
      <w:numFmt w:val="bullet"/>
      <w:lvlText w:val=""/>
      <w:lvlJc w:val="left"/>
      <w:pPr>
        <w:ind w:left="5107" w:hanging="360"/>
      </w:pPr>
      <w:rPr>
        <w:rFonts w:ascii="Symbol" w:hAnsi="Symbol" w:hint="default"/>
      </w:rPr>
    </w:lvl>
    <w:lvl w:ilvl="7" w:tplc="0C090003" w:tentative="1">
      <w:start w:val="1"/>
      <w:numFmt w:val="bullet"/>
      <w:lvlText w:val="o"/>
      <w:lvlJc w:val="left"/>
      <w:pPr>
        <w:ind w:left="5827" w:hanging="360"/>
      </w:pPr>
      <w:rPr>
        <w:rFonts w:ascii="Courier New" w:hAnsi="Courier New" w:cs="Courier New" w:hint="default"/>
      </w:rPr>
    </w:lvl>
    <w:lvl w:ilvl="8" w:tplc="0C090005" w:tentative="1">
      <w:start w:val="1"/>
      <w:numFmt w:val="bullet"/>
      <w:lvlText w:val=""/>
      <w:lvlJc w:val="left"/>
      <w:pPr>
        <w:ind w:left="6547" w:hanging="360"/>
      </w:pPr>
      <w:rPr>
        <w:rFonts w:ascii="Wingdings" w:hAnsi="Wingdings" w:hint="default"/>
      </w:rPr>
    </w:lvl>
  </w:abstractNum>
  <w:num w:numId="1">
    <w:abstractNumId w:val="24"/>
  </w:num>
  <w:num w:numId="2">
    <w:abstractNumId w:val="23"/>
  </w:num>
  <w:num w:numId="3">
    <w:abstractNumId w:val="8"/>
  </w:num>
  <w:num w:numId="4">
    <w:abstractNumId w:val="6"/>
  </w:num>
  <w:num w:numId="5">
    <w:abstractNumId w:val="5"/>
  </w:num>
  <w:num w:numId="6">
    <w:abstractNumId w:val="4"/>
  </w:num>
  <w:num w:numId="7">
    <w:abstractNumId w:val="7"/>
  </w:num>
  <w:num w:numId="8">
    <w:abstractNumId w:val="3"/>
  </w:num>
  <w:num w:numId="9">
    <w:abstractNumId w:val="2"/>
  </w:num>
  <w:num w:numId="10">
    <w:abstractNumId w:val="1"/>
  </w:num>
  <w:num w:numId="11">
    <w:abstractNumId w:val="0"/>
  </w:num>
  <w:num w:numId="12">
    <w:abstractNumId w:val="28"/>
  </w:num>
  <w:num w:numId="13">
    <w:abstractNumId w:val="26"/>
  </w:num>
  <w:num w:numId="14">
    <w:abstractNumId w:val="39"/>
  </w:num>
  <w:num w:numId="15">
    <w:abstractNumId w:val="27"/>
  </w:num>
  <w:num w:numId="16">
    <w:abstractNumId w:val="36"/>
  </w:num>
  <w:num w:numId="17">
    <w:abstractNumId w:val="41"/>
  </w:num>
  <w:num w:numId="18">
    <w:abstractNumId w:val="31"/>
  </w:num>
  <w:num w:numId="19">
    <w:abstractNumId w:val="52"/>
  </w:num>
  <w:num w:numId="2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num>
  <w:num w:numId="22">
    <w:abstractNumId w:val="10"/>
    <w:lvlOverride w:ilvl="0">
      <w:startOverride w:val="9"/>
    </w:lvlOverride>
  </w:num>
  <w:num w:numId="23">
    <w:abstractNumId w:val="10"/>
    <w:lvlOverride w:ilvl="0">
      <w:startOverride w:val="9"/>
    </w:lvlOverride>
    <w:lvlOverride w:ilvl="1">
      <w:startOverride w:val="2"/>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num>
  <w:num w:numId="25">
    <w:abstractNumId w:val="33"/>
  </w:num>
  <w:num w:numId="26">
    <w:abstractNumId w:val="34"/>
  </w:num>
  <w:num w:numId="27">
    <w:abstractNumId w:val="47"/>
  </w:num>
  <w:num w:numId="28">
    <w:abstractNumId w:val="35"/>
  </w:num>
  <w:num w:numId="29">
    <w:abstractNumId w:val="53"/>
  </w:num>
  <w:num w:numId="30">
    <w:abstractNumId w:val="18"/>
  </w:num>
  <w:num w:numId="31">
    <w:abstractNumId w:val="16"/>
  </w:num>
  <w:num w:numId="32">
    <w:abstractNumId w:val="40"/>
  </w:num>
  <w:num w:numId="33">
    <w:abstractNumId w:val="15"/>
  </w:num>
  <w:num w:numId="34">
    <w:abstractNumId w:val="37"/>
  </w:num>
  <w:num w:numId="35">
    <w:abstractNumId w:val="46"/>
  </w:num>
  <w:num w:numId="36">
    <w:abstractNumId w:val="17"/>
  </w:num>
  <w:num w:numId="37">
    <w:abstractNumId w:val="32"/>
  </w:num>
  <w:num w:numId="38">
    <w:abstractNumId w:val="49"/>
  </w:num>
  <w:num w:numId="39">
    <w:abstractNumId w:val="12"/>
  </w:num>
  <w:num w:numId="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8"/>
  </w:num>
  <w:num w:numId="42">
    <w:abstractNumId w:val="44"/>
  </w:num>
  <w:num w:numId="43">
    <w:abstractNumId w:val="9"/>
  </w:num>
  <w:num w:numId="44">
    <w:abstractNumId w:val="14"/>
  </w:num>
  <w:num w:numId="45">
    <w:abstractNumId w:val="56"/>
  </w:num>
  <w:num w:numId="46">
    <w:abstractNumId w:val="51"/>
  </w:num>
  <w:num w:numId="47">
    <w:abstractNumId w:val="21"/>
  </w:num>
  <w:num w:numId="48">
    <w:abstractNumId w:val="42"/>
  </w:num>
  <w:num w:numId="49">
    <w:abstractNumId w:val="22"/>
  </w:num>
  <w:num w:numId="50">
    <w:abstractNumId w:val="21"/>
    <w:lvlOverride w:ilvl="0">
      <w:startOverride w:val="1"/>
    </w:lvlOverride>
  </w:num>
  <w:num w:numId="51">
    <w:abstractNumId w:val="13"/>
  </w:num>
  <w:num w:numId="52">
    <w:abstractNumId w:val="20"/>
  </w:num>
  <w:num w:numId="53">
    <w:abstractNumId w:val="38"/>
  </w:num>
  <w:num w:numId="54">
    <w:abstractNumId w:val="57"/>
  </w:num>
  <w:num w:numId="55">
    <w:abstractNumId w:val="29"/>
  </w:num>
  <w:num w:numId="56">
    <w:abstractNumId w:val="43"/>
  </w:num>
  <w:num w:numId="57">
    <w:abstractNumId w:val="38"/>
  </w:num>
  <w:num w:numId="58">
    <w:abstractNumId w:val="30"/>
  </w:num>
  <w:num w:numId="59">
    <w:abstractNumId w:val="30"/>
  </w:num>
  <w:num w:numId="60">
    <w:abstractNumId w:val="54"/>
  </w:num>
  <w:num w:numId="61">
    <w:abstractNumId w:val="25"/>
  </w:num>
  <w:num w:numId="6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1"/>
  </w:num>
  <w:num w:numId="6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5"/>
  </w:num>
  <w:num w:numId="6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50"/>
  </w:num>
  <w:num w:numId="68">
    <w:abstractNumId w:val="3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3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3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3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1321" w:allStyles="1" w:customStyles="0" w:latentStyles="0" w:stylesInUse="0" w:headingStyles="1" w:numberingStyles="0" w:tableStyles="0" w:directFormattingOnRuns="1" w:directFormattingOnParagraphs="1" w:directFormattingOnNumbering="0" w:directFormattingOnTables="0" w:clearFormatting="1" w:top3HeadingStyles="0" w:visibleStyles="0" w:alternateStyleNames="0"/>
  <w:stylePaneSortMethod w:val="0004"/>
  <w:defaultTabStop w:val="720"/>
  <w:characterSpacingControl w:val="doNotCompress"/>
  <w:hdrShapeDefaults>
    <o:shapedefaults v:ext="edit" spidmax="36865"/>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1A24"/>
    <w:rsid w:val="0000039C"/>
    <w:rsid w:val="0000066F"/>
    <w:rsid w:val="0000077D"/>
    <w:rsid w:val="00000E26"/>
    <w:rsid w:val="00000F96"/>
    <w:rsid w:val="00001113"/>
    <w:rsid w:val="00001423"/>
    <w:rsid w:val="0000157F"/>
    <w:rsid w:val="00001850"/>
    <w:rsid w:val="00001956"/>
    <w:rsid w:val="00001A7B"/>
    <w:rsid w:val="00001B54"/>
    <w:rsid w:val="0000274C"/>
    <w:rsid w:val="00002DE9"/>
    <w:rsid w:val="00003205"/>
    <w:rsid w:val="000032B7"/>
    <w:rsid w:val="00003AEF"/>
    <w:rsid w:val="00003C56"/>
    <w:rsid w:val="00003C57"/>
    <w:rsid w:val="00003E8A"/>
    <w:rsid w:val="00003F6F"/>
    <w:rsid w:val="000045FF"/>
    <w:rsid w:val="0000504F"/>
    <w:rsid w:val="00005115"/>
    <w:rsid w:val="000052BC"/>
    <w:rsid w:val="00005EE4"/>
    <w:rsid w:val="000064C6"/>
    <w:rsid w:val="0000663C"/>
    <w:rsid w:val="00006664"/>
    <w:rsid w:val="0000691A"/>
    <w:rsid w:val="00006E78"/>
    <w:rsid w:val="0000788F"/>
    <w:rsid w:val="00010147"/>
    <w:rsid w:val="000101F9"/>
    <w:rsid w:val="00010203"/>
    <w:rsid w:val="000114F1"/>
    <w:rsid w:val="00011813"/>
    <w:rsid w:val="0001199E"/>
    <w:rsid w:val="000119B3"/>
    <w:rsid w:val="00011DC3"/>
    <w:rsid w:val="00011F70"/>
    <w:rsid w:val="00011FFD"/>
    <w:rsid w:val="00012606"/>
    <w:rsid w:val="00012612"/>
    <w:rsid w:val="00012CD2"/>
    <w:rsid w:val="00013039"/>
    <w:rsid w:val="00013050"/>
    <w:rsid w:val="0001401C"/>
    <w:rsid w:val="000141A5"/>
    <w:rsid w:val="000148F4"/>
    <w:rsid w:val="00014B00"/>
    <w:rsid w:val="00014DCC"/>
    <w:rsid w:val="00015113"/>
    <w:rsid w:val="00015475"/>
    <w:rsid w:val="00015AE2"/>
    <w:rsid w:val="00015C5C"/>
    <w:rsid w:val="00015CB5"/>
    <w:rsid w:val="00015FEE"/>
    <w:rsid w:val="00016054"/>
    <w:rsid w:val="0001634C"/>
    <w:rsid w:val="00016545"/>
    <w:rsid w:val="0001659C"/>
    <w:rsid w:val="0001683E"/>
    <w:rsid w:val="00016CD2"/>
    <w:rsid w:val="0001742D"/>
    <w:rsid w:val="000176B0"/>
    <w:rsid w:val="000205B0"/>
    <w:rsid w:val="00020D02"/>
    <w:rsid w:val="00021014"/>
    <w:rsid w:val="0002136F"/>
    <w:rsid w:val="00021970"/>
    <w:rsid w:val="00021A8F"/>
    <w:rsid w:val="00022269"/>
    <w:rsid w:val="00022315"/>
    <w:rsid w:val="00022884"/>
    <w:rsid w:val="00022D01"/>
    <w:rsid w:val="000237FF"/>
    <w:rsid w:val="00023987"/>
    <w:rsid w:val="00023B99"/>
    <w:rsid w:val="00023CD1"/>
    <w:rsid w:val="00023D7E"/>
    <w:rsid w:val="00024501"/>
    <w:rsid w:val="0002559E"/>
    <w:rsid w:val="000255C9"/>
    <w:rsid w:val="00025917"/>
    <w:rsid w:val="000260D6"/>
    <w:rsid w:val="000262C7"/>
    <w:rsid w:val="00026729"/>
    <w:rsid w:val="00026B0E"/>
    <w:rsid w:val="00026BA9"/>
    <w:rsid w:val="00026F17"/>
    <w:rsid w:val="00026F73"/>
    <w:rsid w:val="00027694"/>
    <w:rsid w:val="000276AD"/>
    <w:rsid w:val="00027704"/>
    <w:rsid w:val="000277D1"/>
    <w:rsid w:val="0003000F"/>
    <w:rsid w:val="000305DA"/>
    <w:rsid w:val="00030A46"/>
    <w:rsid w:val="00030B54"/>
    <w:rsid w:val="0003155D"/>
    <w:rsid w:val="000316E4"/>
    <w:rsid w:val="00031AA5"/>
    <w:rsid w:val="00031F89"/>
    <w:rsid w:val="00032649"/>
    <w:rsid w:val="00032785"/>
    <w:rsid w:val="00032887"/>
    <w:rsid w:val="000332E5"/>
    <w:rsid w:val="000335AB"/>
    <w:rsid w:val="000337BE"/>
    <w:rsid w:val="00033A8C"/>
    <w:rsid w:val="00033AFF"/>
    <w:rsid w:val="00033CE3"/>
    <w:rsid w:val="0003405C"/>
    <w:rsid w:val="000350F4"/>
    <w:rsid w:val="000355B6"/>
    <w:rsid w:val="00035C95"/>
    <w:rsid w:val="00035CF4"/>
    <w:rsid w:val="00035EA5"/>
    <w:rsid w:val="000362FA"/>
    <w:rsid w:val="000365CC"/>
    <w:rsid w:val="000366D3"/>
    <w:rsid w:val="000368A9"/>
    <w:rsid w:val="00036C05"/>
    <w:rsid w:val="00036F02"/>
    <w:rsid w:val="0003784C"/>
    <w:rsid w:val="000379C7"/>
    <w:rsid w:val="00037AB2"/>
    <w:rsid w:val="00040878"/>
    <w:rsid w:val="000410EE"/>
    <w:rsid w:val="000412A6"/>
    <w:rsid w:val="00042104"/>
    <w:rsid w:val="000421C3"/>
    <w:rsid w:val="0004224C"/>
    <w:rsid w:val="00042894"/>
    <w:rsid w:val="00042A47"/>
    <w:rsid w:val="000430C3"/>
    <w:rsid w:val="00043E54"/>
    <w:rsid w:val="00044595"/>
    <w:rsid w:val="000449B0"/>
    <w:rsid w:val="00044E50"/>
    <w:rsid w:val="000450E7"/>
    <w:rsid w:val="000450F4"/>
    <w:rsid w:val="0004538B"/>
    <w:rsid w:val="000456C6"/>
    <w:rsid w:val="00045814"/>
    <w:rsid w:val="00045B1B"/>
    <w:rsid w:val="00045D20"/>
    <w:rsid w:val="000462E4"/>
    <w:rsid w:val="0004665D"/>
    <w:rsid w:val="0004708D"/>
    <w:rsid w:val="000470A0"/>
    <w:rsid w:val="0004750B"/>
    <w:rsid w:val="0004755A"/>
    <w:rsid w:val="00047C31"/>
    <w:rsid w:val="00050110"/>
    <w:rsid w:val="0005026D"/>
    <w:rsid w:val="000503AA"/>
    <w:rsid w:val="000506DD"/>
    <w:rsid w:val="00050A36"/>
    <w:rsid w:val="00050A54"/>
    <w:rsid w:val="00051519"/>
    <w:rsid w:val="000515BF"/>
    <w:rsid w:val="00051715"/>
    <w:rsid w:val="00051941"/>
    <w:rsid w:val="000519D7"/>
    <w:rsid w:val="00051C52"/>
    <w:rsid w:val="00052100"/>
    <w:rsid w:val="00052402"/>
    <w:rsid w:val="00052896"/>
    <w:rsid w:val="00052B5C"/>
    <w:rsid w:val="00053073"/>
    <w:rsid w:val="0005332E"/>
    <w:rsid w:val="000538E7"/>
    <w:rsid w:val="000538E8"/>
    <w:rsid w:val="00053B56"/>
    <w:rsid w:val="00053E9A"/>
    <w:rsid w:val="00054105"/>
    <w:rsid w:val="000543B8"/>
    <w:rsid w:val="00054AA7"/>
    <w:rsid w:val="00054AB3"/>
    <w:rsid w:val="000557BD"/>
    <w:rsid w:val="00055AD0"/>
    <w:rsid w:val="000564C4"/>
    <w:rsid w:val="00056503"/>
    <w:rsid w:val="00056A57"/>
    <w:rsid w:val="00056C15"/>
    <w:rsid w:val="00056E7F"/>
    <w:rsid w:val="00056F6C"/>
    <w:rsid w:val="00057B1F"/>
    <w:rsid w:val="00057BF2"/>
    <w:rsid w:val="00057E1E"/>
    <w:rsid w:val="00057FE9"/>
    <w:rsid w:val="000604E3"/>
    <w:rsid w:val="000605D4"/>
    <w:rsid w:val="00060CD2"/>
    <w:rsid w:val="00060EDC"/>
    <w:rsid w:val="000610B6"/>
    <w:rsid w:val="00061498"/>
    <w:rsid w:val="00061C9E"/>
    <w:rsid w:val="0006251A"/>
    <w:rsid w:val="00062D8E"/>
    <w:rsid w:val="00062DE0"/>
    <w:rsid w:val="00062E86"/>
    <w:rsid w:val="00063015"/>
    <w:rsid w:val="000638B6"/>
    <w:rsid w:val="00063A2A"/>
    <w:rsid w:val="00063F16"/>
    <w:rsid w:val="00064142"/>
    <w:rsid w:val="0006421A"/>
    <w:rsid w:val="00064605"/>
    <w:rsid w:val="00064B2F"/>
    <w:rsid w:val="00064B7C"/>
    <w:rsid w:val="00064D5B"/>
    <w:rsid w:val="000651FD"/>
    <w:rsid w:val="000655F6"/>
    <w:rsid w:val="0006571C"/>
    <w:rsid w:val="00065B97"/>
    <w:rsid w:val="00065C74"/>
    <w:rsid w:val="0006634B"/>
    <w:rsid w:val="00066748"/>
    <w:rsid w:val="00066952"/>
    <w:rsid w:val="000673F1"/>
    <w:rsid w:val="00067849"/>
    <w:rsid w:val="0006790B"/>
    <w:rsid w:val="00067AEA"/>
    <w:rsid w:val="00067D2C"/>
    <w:rsid w:val="00070D4A"/>
    <w:rsid w:val="00070F75"/>
    <w:rsid w:val="0007248F"/>
    <w:rsid w:val="00072982"/>
    <w:rsid w:val="00072B15"/>
    <w:rsid w:val="00072DAB"/>
    <w:rsid w:val="00072F4D"/>
    <w:rsid w:val="00073257"/>
    <w:rsid w:val="000734EA"/>
    <w:rsid w:val="00073939"/>
    <w:rsid w:val="00073FA1"/>
    <w:rsid w:val="00074199"/>
    <w:rsid w:val="000741CA"/>
    <w:rsid w:val="00074779"/>
    <w:rsid w:val="000747D4"/>
    <w:rsid w:val="00074884"/>
    <w:rsid w:val="00074B4A"/>
    <w:rsid w:val="0007570E"/>
    <w:rsid w:val="000757B6"/>
    <w:rsid w:val="00075887"/>
    <w:rsid w:val="00075F65"/>
    <w:rsid w:val="00076243"/>
    <w:rsid w:val="00076251"/>
    <w:rsid w:val="000762B2"/>
    <w:rsid w:val="000762D3"/>
    <w:rsid w:val="000763B7"/>
    <w:rsid w:val="0007644B"/>
    <w:rsid w:val="00076BF0"/>
    <w:rsid w:val="00077039"/>
    <w:rsid w:val="00077C66"/>
    <w:rsid w:val="00080122"/>
    <w:rsid w:val="00080723"/>
    <w:rsid w:val="0008097D"/>
    <w:rsid w:val="000809AA"/>
    <w:rsid w:val="00081202"/>
    <w:rsid w:val="0008161A"/>
    <w:rsid w:val="00081E2B"/>
    <w:rsid w:val="00082358"/>
    <w:rsid w:val="000826D3"/>
    <w:rsid w:val="0008295B"/>
    <w:rsid w:val="00084053"/>
    <w:rsid w:val="00084218"/>
    <w:rsid w:val="00084404"/>
    <w:rsid w:val="00084CC6"/>
    <w:rsid w:val="00084D09"/>
    <w:rsid w:val="00084D7B"/>
    <w:rsid w:val="00084E4E"/>
    <w:rsid w:val="000851E6"/>
    <w:rsid w:val="0008529F"/>
    <w:rsid w:val="0008534A"/>
    <w:rsid w:val="000853EE"/>
    <w:rsid w:val="00085409"/>
    <w:rsid w:val="0008570C"/>
    <w:rsid w:val="00085A53"/>
    <w:rsid w:val="00085F46"/>
    <w:rsid w:val="000862BE"/>
    <w:rsid w:val="0008674E"/>
    <w:rsid w:val="000867D4"/>
    <w:rsid w:val="00086ADB"/>
    <w:rsid w:val="00086FCF"/>
    <w:rsid w:val="0008723D"/>
    <w:rsid w:val="000873A5"/>
    <w:rsid w:val="00087621"/>
    <w:rsid w:val="0008763C"/>
    <w:rsid w:val="0008768B"/>
    <w:rsid w:val="000879ED"/>
    <w:rsid w:val="00090035"/>
    <w:rsid w:val="0009021C"/>
    <w:rsid w:val="0009044B"/>
    <w:rsid w:val="00090BCC"/>
    <w:rsid w:val="00090C49"/>
    <w:rsid w:val="00090CED"/>
    <w:rsid w:val="00090EBF"/>
    <w:rsid w:val="0009230D"/>
    <w:rsid w:val="00092506"/>
    <w:rsid w:val="00092855"/>
    <w:rsid w:val="00092B02"/>
    <w:rsid w:val="0009342E"/>
    <w:rsid w:val="0009370D"/>
    <w:rsid w:val="00093DDE"/>
    <w:rsid w:val="00093E9A"/>
    <w:rsid w:val="00094507"/>
    <w:rsid w:val="000946BF"/>
    <w:rsid w:val="00094EF6"/>
    <w:rsid w:val="000950A0"/>
    <w:rsid w:val="00095479"/>
    <w:rsid w:val="000954E2"/>
    <w:rsid w:val="0009616B"/>
    <w:rsid w:val="000963B0"/>
    <w:rsid w:val="00096694"/>
    <w:rsid w:val="00096767"/>
    <w:rsid w:val="000969E2"/>
    <w:rsid w:val="00096B3B"/>
    <w:rsid w:val="00096B73"/>
    <w:rsid w:val="00096BB7"/>
    <w:rsid w:val="00096BF8"/>
    <w:rsid w:val="00096D9A"/>
    <w:rsid w:val="0009720B"/>
    <w:rsid w:val="00097540"/>
    <w:rsid w:val="000979D5"/>
    <w:rsid w:val="00097F55"/>
    <w:rsid w:val="000A021D"/>
    <w:rsid w:val="000A0362"/>
    <w:rsid w:val="000A050C"/>
    <w:rsid w:val="000A07D2"/>
    <w:rsid w:val="000A0830"/>
    <w:rsid w:val="000A0CE6"/>
    <w:rsid w:val="000A1483"/>
    <w:rsid w:val="000A19C4"/>
    <w:rsid w:val="000A1D7A"/>
    <w:rsid w:val="000A1FD5"/>
    <w:rsid w:val="000A1FF6"/>
    <w:rsid w:val="000A2218"/>
    <w:rsid w:val="000A241F"/>
    <w:rsid w:val="000A2C55"/>
    <w:rsid w:val="000A2D55"/>
    <w:rsid w:val="000A33E8"/>
    <w:rsid w:val="000A356D"/>
    <w:rsid w:val="000A38DE"/>
    <w:rsid w:val="000A3DCB"/>
    <w:rsid w:val="000A42E7"/>
    <w:rsid w:val="000A431A"/>
    <w:rsid w:val="000A4402"/>
    <w:rsid w:val="000A4507"/>
    <w:rsid w:val="000A4629"/>
    <w:rsid w:val="000A48DF"/>
    <w:rsid w:val="000A497B"/>
    <w:rsid w:val="000A5211"/>
    <w:rsid w:val="000A595D"/>
    <w:rsid w:val="000A5EAC"/>
    <w:rsid w:val="000A5F56"/>
    <w:rsid w:val="000A64D1"/>
    <w:rsid w:val="000A652F"/>
    <w:rsid w:val="000A6660"/>
    <w:rsid w:val="000A682A"/>
    <w:rsid w:val="000A6E5C"/>
    <w:rsid w:val="000A6F9A"/>
    <w:rsid w:val="000A7571"/>
    <w:rsid w:val="000B00A4"/>
    <w:rsid w:val="000B0410"/>
    <w:rsid w:val="000B04BA"/>
    <w:rsid w:val="000B052D"/>
    <w:rsid w:val="000B0E44"/>
    <w:rsid w:val="000B0FA3"/>
    <w:rsid w:val="000B0FAD"/>
    <w:rsid w:val="000B1196"/>
    <w:rsid w:val="000B1341"/>
    <w:rsid w:val="000B157C"/>
    <w:rsid w:val="000B196D"/>
    <w:rsid w:val="000B2948"/>
    <w:rsid w:val="000B2D93"/>
    <w:rsid w:val="000B2FC5"/>
    <w:rsid w:val="000B32D5"/>
    <w:rsid w:val="000B3825"/>
    <w:rsid w:val="000B3897"/>
    <w:rsid w:val="000B3BDF"/>
    <w:rsid w:val="000B42CD"/>
    <w:rsid w:val="000B456B"/>
    <w:rsid w:val="000B47C4"/>
    <w:rsid w:val="000B5CDC"/>
    <w:rsid w:val="000B65BD"/>
    <w:rsid w:val="000B66C0"/>
    <w:rsid w:val="000B6E21"/>
    <w:rsid w:val="000B75FF"/>
    <w:rsid w:val="000B793A"/>
    <w:rsid w:val="000B7C45"/>
    <w:rsid w:val="000C099F"/>
    <w:rsid w:val="000C09A3"/>
    <w:rsid w:val="000C17DE"/>
    <w:rsid w:val="000C1EF8"/>
    <w:rsid w:val="000C20B0"/>
    <w:rsid w:val="000C2206"/>
    <w:rsid w:val="000C31DB"/>
    <w:rsid w:val="000C3D37"/>
    <w:rsid w:val="000C4057"/>
    <w:rsid w:val="000C437A"/>
    <w:rsid w:val="000C57A9"/>
    <w:rsid w:val="000C5B50"/>
    <w:rsid w:val="000C5CDE"/>
    <w:rsid w:val="000C6376"/>
    <w:rsid w:val="000C6750"/>
    <w:rsid w:val="000C6FB1"/>
    <w:rsid w:val="000C6FCB"/>
    <w:rsid w:val="000C7063"/>
    <w:rsid w:val="000C72B9"/>
    <w:rsid w:val="000C7988"/>
    <w:rsid w:val="000C79ED"/>
    <w:rsid w:val="000C7C98"/>
    <w:rsid w:val="000C7E1E"/>
    <w:rsid w:val="000D07AE"/>
    <w:rsid w:val="000D0B08"/>
    <w:rsid w:val="000D0B65"/>
    <w:rsid w:val="000D0DFC"/>
    <w:rsid w:val="000D0EC2"/>
    <w:rsid w:val="000D11C3"/>
    <w:rsid w:val="000D1395"/>
    <w:rsid w:val="000D1451"/>
    <w:rsid w:val="000D17DA"/>
    <w:rsid w:val="000D1D92"/>
    <w:rsid w:val="000D1ECA"/>
    <w:rsid w:val="000D2282"/>
    <w:rsid w:val="000D268E"/>
    <w:rsid w:val="000D2A87"/>
    <w:rsid w:val="000D2DB2"/>
    <w:rsid w:val="000D4171"/>
    <w:rsid w:val="000D4A0C"/>
    <w:rsid w:val="000D4D2B"/>
    <w:rsid w:val="000D4D59"/>
    <w:rsid w:val="000D55E7"/>
    <w:rsid w:val="000D5B52"/>
    <w:rsid w:val="000D5D89"/>
    <w:rsid w:val="000D6583"/>
    <w:rsid w:val="000D69E1"/>
    <w:rsid w:val="000D77BA"/>
    <w:rsid w:val="000D7AA0"/>
    <w:rsid w:val="000D7B04"/>
    <w:rsid w:val="000D7CC4"/>
    <w:rsid w:val="000E066F"/>
    <w:rsid w:val="000E0791"/>
    <w:rsid w:val="000E09B7"/>
    <w:rsid w:val="000E0B22"/>
    <w:rsid w:val="000E0B89"/>
    <w:rsid w:val="000E0F3A"/>
    <w:rsid w:val="000E124F"/>
    <w:rsid w:val="000E128F"/>
    <w:rsid w:val="000E16C9"/>
    <w:rsid w:val="000E173D"/>
    <w:rsid w:val="000E1B62"/>
    <w:rsid w:val="000E1C68"/>
    <w:rsid w:val="000E1E17"/>
    <w:rsid w:val="000E1E75"/>
    <w:rsid w:val="000E2680"/>
    <w:rsid w:val="000E2FC4"/>
    <w:rsid w:val="000E33AD"/>
    <w:rsid w:val="000E34D1"/>
    <w:rsid w:val="000E3AD1"/>
    <w:rsid w:val="000E3D5A"/>
    <w:rsid w:val="000E3FFC"/>
    <w:rsid w:val="000E4124"/>
    <w:rsid w:val="000E41D0"/>
    <w:rsid w:val="000E470B"/>
    <w:rsid w:val="000E4770"/>
    <w:rsid w:val="000E4968"/>
    <w:rsid w:val="000E4B7F"/>
    <w:rsid w:val="000E5123"/>
    <w:rsid w:val="000E5369"/>
    <w:rsid w:val="000E5535"/>
    <w:rsid w:val="000E62DD"/>
    <w:rsid w:val="000E661D"/>
    <w:rsid w:val="000E691C"/>
    <w:rsid w:val="000E692A"/>
    <w:rsid w:val="000E69D7"/>
    <w:rsid w:val="000E6D5F"/>
    <w:rsid w:val="000E6D75"/>
    <w:rsid w:val="000E6D8C"/>
    <w:rsid w:val="000F017A"/>
    <w:rsid w:val="000F03DD"/>
    <w:rsid w:val="000F058F"/>
    <w:rsid w:val="000F0641"/>
    <w:rsid w:val="000F07F3"/>
    <w:rsid w:val="000F134D"/>
    <w:rsid w:val="000F1C47"/>
    <w:rsid w:val="000F1F2F"/>
    <w:rsid w:val="000F2096"/>
    <w:rsid w:val="000F2244"/>
    <w:rsid w:val="000F241F"/>
    <w:rsid w:val="000F261B"/>
    <w:rsid w:val="000F2D5C"/>
    <w:rsid w:val="000F32D1"/>
    <w:rsid w:val="000F3337"/>
    <w:rsid w:val="000F355C"/>
    <w:rsid w:val="000F363E"/>
    <w:rsid w:val="000F37A2"/>
    <w:rsid w:val="000F3B60"/>
    <w:rsid w:val="000F3BFA"/>
    <w:rsid w:val="000F3F1E"/>
    <w:rsid w:val="000F41CB"/>
    <w:rsid w:val="000F4228"/>
    <w:rsid w:val="000F5009"/>
    <w:rsid w:val="000F5326"/>
    <w:rsid w:val="000F561F"/>
    <w:rsid w:val="000F5C24"/>
    <w:rsid w:val="000F6073"/>
    <w:rsid w:val="000F61C7"/>
    <w:rsid w:val="000F672F"/>
    <w:rsid w:val="000F6937"/>
    <w:rsid w:val="000F6A99"/>
    <w:rsid w:val="000F6B48"/>
    <w:rsid w:val="000F6FC5"/>
    <w:rsid w:val="000F7168"/>
    <w:rsid w:val="000F7248"/>
    <w:rsid w:val="000F7494"/>
    <w:rsid w:val="000F776B"/>
    <w:rsid w:val="000F777A"/>
    <w:rsid w:val="000F7B13"/>
    <w:rsid w:val="000F7B52"/>
    <w:rsid w:val="000F7C44"/>
    <w:rsid w:val="001002B8"/>
    <w:rsid w:val="00100DB2"/>
    <w:rsid w:val="00100FA0"/>
    <w:rsid w:val="001019F4"/>
    <w:rsid w:val="00101C55"/>
    <w:rsid w:val="00101DEF"/>
    <w:rsid w:val="00102080"/>
    <w:rsid w:val="001020B5"/>
    <w:rsid w:val="001023C1"/>
    <w:rsid w:val="001023F7"/>
    <w:rsid w:val="001031CB"/>
    <w:rsid w:val="0010380E"/>
    <w:rsid w:val="001038D9"/>
    <w:rsid w:val="00103923"/>
    <w:rsid w:val="00103C68"/>
    <w:rsid w:val="00104348"/>
    <w:rsid w:val="0010434C"/>
    <w:rsid w:val="001044CF"/>
    <w:rsid w:val="001047B3"/>
    <w:rsid w:val="00104A65"/>
    <w:rsid w:val="00104CE6"/>
    <w:rsid w:val="00105284"/>
    <w:rsid w:val="00105809"/>
    <w:rsid w:val="00106022"/>
    <w:rsid w:val="0010681C"/>
    <w:rsid w:val="0010715D"/>
    <w:rsid w:val="001071A4"/>
    <w:rsid w:val="00107FE6"/>
    <w:rsid w:val="0011079D"/>
    <w:rsid w:val="00110BD1"/>
    <w:rsid w:val="001111CB"/>
    <w:rsid w:val="001112F1"/>
    <w:rsid w:val="0011137D"/>
    <w:rsid w:val="00111535"/>
    <w:rsid w:val="00111602"/>
    <w:rsid w:val="0011247C"/>
    <w:rsid w:val="00112B4C"/>
    <w:rsid w:val="00112B73"/>
    <w:rsid w:val="00112B94"/>
    <w:rsid w:val="00112F6D"/>
    <w:rsid w:val="00113263"/>
    <w:rsid w:val="001134DF"/>
    <w:rsid w:val="00113954"/>
    <w:rsid w:val="001141B2"/>
    <w:rsid w:val="001144D1"/>
    <w:rsid w:val="00114623"/>
    <w:rsid w:val="00114B53"/>
    <w:rsid w:val="0011527C"/>
    <w:rsid w:val="001152D0"/>
    <w:rsid w:val="001155D8"/>
    <w:rsid w:val="001155D9"/>
    <w:rsid w:val="00115CE0"/>
    <w:rsid w:val="001160CD"/>
    <w:rsid w:val="00116470"/>
    <w:rsid w:val="001164A6"/>
    <w:rsid w:val="001165B9"/>
    <w:rsid w:val="00116DAC"/>
    <w:rsid w:val="00116F15"/>
    <w:rsid w:val="00116F80"/>
    <w:rsid w:val="001171B0"/>
    <w:rsid w:val="00117212"/>
    <w:rsid w:val="0011785C"/>
    <w:rsid w:val="001179EE"/>
    <w:rsid w:val="00117D53"/>
    <w:rsid w:val="00117E37"/>
    <w:rsid w:val="00120380"/>
    <w:rsid w:val="00120876"/>
    <w:rsid w:val="00120984"/>
    <w:rsid w:val="001211F6"/>
    <w:rsid w:val="00121B7E"/>
    <w:rsid w:val="00121FC3"/>
    <w:rsid w:val="00122118"/>
    <w:rsid w:val="001225BF"/>
    <w:rsid w:val="001225D7"/>
    <w:rsid w:val="00122FA3"/>
    <w:rsid w:val="00123054"/>
    <w:rsid w:val="001232A0"/>
    <w:rsid w:val="0012336D"/>
    <w:rsid w:val="00123AD7"/>
    <w:rsid w:val="00123C5A"/>
    <w:rsid w:val="00123F1D"/>
    <w:rsid w:val="001241F5"/>
    <w:rsid w:val="00124525"/>
    <w:rsid w:val="001249B7"/>
    <w:rsid w:val="00124C21"/>
    <w:rsid w:val="00124C8F"/>
    <w:rsid w:val="00124D88"/>
    <w:rsid w:val="00124EC1"/>
    <w:rsid w:val="0012519A"/>
    <w:rsid w:val="001251BD"/>
    <w:rsid w:val="001252BF"/>
    <w:rsid w:val="0012580B"/>
    <w:rsid w:val="00126161"/>
    <w:rsid w:val="00126823"/>
    <w:rsid w:val="00126FFC"/>
    <w:rsid w:val="00127227"/>
    <w:rsid w:val="001272F2"/>
    <w:rsid w:val="001278DC"/>
    <w:rsid w:val="00130251"/>
    <w:rsid w:val="0013040A"/>
    <w:rsid w:val="00130640"/>
    <w:rsid w:val="00130AC2"/>
    <w:rsid w:val="001311FF"/>
    <w:rsid w:val="001313B7"/>
    <w:rsid w:val="00131A00"/>
    <w:rsid w:val="00131A86"/>
    <w:rsid w:val="00131E09"/>
    <w:rsid w:val="001322DD"/>
    <w:rsid w:val="0013252E"/>
    <w:rsid w:val="00132AA9"/>
    <w:rsid w:val="00132B90"/>
    <w:rsid w:val="00133617"/>
    <w:rsid w:val="00133736"/>
    <w:rsid w:val="0013394F"/>
    <w:rsid w:val="00133B9D"/>
    <w:rsid w:val="00133BF6"/>
    <w:rsid w:val="00133E35"/>
    <w:rsid w:val="00134655"/>
    <w:rsid w:val="00134A71"/>
    <w:rsid w:val="00134C47"/>
    <w:rsid w:val="00134D9F"/>
    <w:rsid w:val="00134DDC"/>
    <w:rsid w:val="00134E17"/>
    <w:rsid w:val="00135744"/>
    <w:rsid w:val="0013580E"/>
    <w:rsid w:val="00135C71"/>
    <w:rsid w:val="0013649C"/>
    <w:rsid w:val="00136638"/>
    <w:rsid w:val="00136CB9"/>
    <w:rsid w:val="00137234"/>
    <w:rsid w:val="00137756"/>
    <w:rsid w:val="00137DEE"/>
    <w:rsid w:val="00140033"/>
    <w:rsid w:val="00140958"/>
    <w:rsid w:val="0014162E"/>
    <w:rsid w:val="00142208"/>
    <w:rsid w:val="00142802"/>
    <w:rsid w:val="001429CF"/>
    <w:rsid w:val="00142B66"/>
    <w:rsid w:val="00142CDF"/>
    <w:rsid w:val="00142EA6"/>
    <w:rsid w:val="00142F7C"/>
    <w:rsid w:val="001430F9"/>
    <w:rsid w:val="00143CD3"/>
    <w:rsid w:val="00143EC4"/>
    <w:rsid w:val="00143FA8"/>
    <w:rsid w:val="00144530"/>
    <w:rsid w:val="00144AA0"/>
    <w:rsid w:val="00144BBB"/>
    <w:rsid w:val="00144E62"/>
    <w:rsid w:val="001453CC"/>
    <w:rsid w:val="00146539"/>
    <w:rsid w:val="00146C63"/>
    <w:rsid w:val="001479FA"/>
    <w:rsid w:val="00147F12"/>
    <w:rsid w:val="001501A5"/>
    <w:rsid w:val="00150351"/>
    <w:rsid w:val="00150989"/>
    <w:rsid w:val="00150A59"/>
    <w:rsid w:val="00150A79"/>
    <w:rsid w:val="00150AFF"/>
    <w:rsid w:val="00150C67"/>
    <w:rsid w:val="00150E10"/>
    <w:rsid w:val="0015101E"/>
    <w:rsid w:val="001510F0"/>
    <w:rsid w:val="001511F1"/>
    <w:rsid w:val="00151C00"/>
    <w:rsid w:val="00151C89"/>
    <w:rsid w:val="00151C8A"/>
    <w:rsid w:val="00151EEA"/>
    <w:rsid w:val="001526F8"/>
    <w:rsid w:val="001530AF"/>
    <w:rsid w:val="00153351"/>
    <w:rsid w:val="00153828"/>
    <w:rsid w:val="001539D6"/>
    <w:rsid w:val="00153FBA"/>
    <w:rsid w:val="0015403F"/>
    <w:rsid w:val="001541A6"/>
    <w:rsid w:val="001541DE"/>
    <w:rsid w:val="001544CF"/>
    <w:rsid w:val="001546B8"/>
    <w:rsid w:val="00154747"/>
    <w:rsid w:val="001549F5"/>
    <w:rsid w:val="00154C05"/>
    <w:rsid w:val="001553E8"/>
    <w:rsid w:val="00155745"/>
    <w:rsid w:val="00155925"/>
    <w:rsid w:val="00155A37"/>
    <w:rsid w:val="00155AE2"/>
    <w:rsid w:val="00155D71"/>
    <w:rsid w:val="001563B3"/>
    <w:rsid w:val="0015687B"/>
    <w:rsid w:val="00156924"/>
    <w:rsid w:val="00156D38"/>
    <w:rsid w:val="00157067"/>
    <w:rsid w:val="0015761A"/>
    <w:rsid w:val="001577A7"/>
    <w:rsid w:val="00157C55"/>
    <w:rsid w:val="00157D66"/>
    <w:rsid w:val="00157F55"/>
    <w:rsid w:val="00160410"/>
    <w:rsid w:val="00160455"/>
    <w:rsid w:val="001606C0"/>
    <w:rsid w:val="001608D0"/>
    <w:rsid w:val="00160AD5"/>
    <w:rsid w:val="00160F01"/>
    <w:rsid w:val="00162326"/>
    <w:rsid w:val="00162495"/>
    <w:rsid w:val="00162AE6"/>
    <w:rsid w:val="00162B7F"/>
    <w:rsid w:val="00162B92"/>
    <w:rsid w:val="00163084"/>
    <w:rsid w:val="001631DA"/>
    <w:rsid w:val="001632D5"/>
    <w:rsid w:val="00163417"/>
    <w:rsid w:val="00163500"/>
    <w:rsid w:val="00163853"/>
    <w:rsid w:val="00163D4E"/>
    <w:rsid w:val="00163E51"/>
    <w:rsid w:val="00163EA9"/>
    <w:rsid w:val="00164822"/>
    <w:rsid w:val="0016484C"/>
    <w:rsid w:val="001648C9"/>
    <w:rsid w:val="00164F3F"/>
    <w:rsid w:val="00165331"/>
    <w:rsid w:val="00165AAD"/>
    <w:rsid w:val="00165CC5"/>
    <w:rsid w:val="001661BB"/>
    <w:rsid w:val="001662CE"/>
    <w:rsid w:val="00166387"/>
    <w:rsid w:val="001663B1"/>
    <w:rsid w:val="00166DDC"/>
    <w:rsid w:val="00166E20"/>
    <w:rsid w:val="001671C1"/>
    <w:rsid w:val="0016743B"/>
    <w:rsid w:val="00167837"/>
    <w:rsid w:val="00167852"/>
    <w:rsid w:val="00167A1A"/>
    <w:rsid w:val="001700D7"/>
    <w:rsid w:val="0017016E"/>
    <w:rsid w:val="001702F2"/>
    <w:rsid w:val="0017084C"/>
    <w:rsid w:val="00170968"/>
    <w:rsid w:val="001709A5"/>
    <w:rsid w:val="00170A3E"/>
    <w:rsid w:val="001711A1"/>
    <w:rsid w:val="00171B57"/>
    <w:rsid w:val="00171BC5"/>
    <w:rsid w:val="00171E29"/>
    <w:rsid w:val="00172591"/>
    <w:rsid w:val="001728CC"/>
    <w:rsid w:val="001729EF"/>
    <w:rsid w:val="00172B18"/>
    <w:rsid w:val="00172B6C"/>
    <w:rsid w:val="00172C37"/>
    <w:rsid w:val="0017374E"/>
    <w:rsid w:val="001738F0"/>
    <w:rsid w:val="001739D3"/>
    <w:rsid w:val="00173B48"/>
    <w:rsid w:val="00173C63"/>
    <w:rsid w:val="00173E5B"/>
    <w:rsid w:val="00173FF6"/>
    <w:rsid w:val="0017405A"/>
    <w:rsid w:val="00174BD4"/>
    <w:rsid w:val="00175009"/>
    <w:rsid w:val="00175409"/>
    <w:rsid w:val="00175B7F"/>
    <w:rsid w:val="001762C7"/>
    <w:rsid w:val="00176472"/>
    <w:rsid w:val="00176C5F"/>
    <w:rsid w:val="0017729E"/>
    <w:rsid w:val="00177344"/>
    <w:rsid w:val="001774E1"/>
    <w:rsid w:val="001777C3"/>
    <w:rsid w:val="001778B8"/>
    <w:rsid w:val="00177EA2"/>
    <w:rsid w:val="00180396"/>
    <w:rsid w:val="00180836"/>
    <w:rsid w:val="00180958"/>
    <w:rsid w:val="00180999"/>
    <w:rsid w:val="00180AE2"/>
    <w:rsid w:val="00180FB4"/>
    <w:rsid w:val="00181182"/>
    <w:rsid w:val="00181273"/>
    <w:rsid w:val="001815E7"/>
    <w:rsid w:val="00181868"/>
    <w:rsid w:val="00181E84"/>
    <w:rsid w:val="00181EE6"/>
    <w:rsid w:val="00181F56"/>
    <w:rsid w:val="0018215B"/>
    <w:rsid w:val="001821BD"/>
    <w:rsid w:val="001827FA"/>
    <w:rsid w:val="00182A1B"/>
    <w:rsid w:val="00182A64"/>
    <w:rsid w:val="00182C47"/>
    <w:rsid w:val="001835F2"/>
    <w:rsid w:val="00183BB7"/>
    <w:rsid w:val="00183BD4"/>
    <w:rsid w:val="00183D90"/>
    <w:rsid w:val="00184011"/>
    <w:rsid w:val="001841EB"/>
    <w:rsid w:val="00184278"/>
    <w:rsid w:val="0018456E"/>
    <w:rsid w:val="0018476A"/>
    <w:rsid w:val="00184B8E"/>
    <w:rsid w:val="00184C63"/>
    <w:rsid w:val="00184CDC"/>
    <w:rsid w:val="001861CC"/>
    <w:rsid w:val="00186731"/>
    <w:rsid w:val="00186E9B"/>
    <w:rsid w:val="00186F37"/>
    <w:rsid w:val="0018708E"/>
    <w:rsid w:val="00187552"/>
    <w:rsid w:val="00187739"/>
    <w:rsid w:val="00187BA6"/>
    <w:rsid w:val="00187D4B"/>
    <w:rsid w:val="00190502"/>
    <w:rsid w:val="00190BCA"/>
    <w:rsid w:val="00190FCF"/>
    <w:rsid w:val="00190FE6"/>
    <w:rsid w:val="00190FFF"/>
    <w:rsid w:val="0019116F"/>
    <w:rsid w:val="00191D8C"/>
    <w:rsid w:val="00191E0C"/>
    <w:rsid w:val="00192499"/>
    <w:rsid w:val="001926A7"/>
    <w:rsid w:val="00192840"/>
    <w:rsid w:val="00192EB6"/>
    <w:rsid w:val="00193068"/>
    <w:rsid w:val="00193182"/>
    <w:rsid w:val="00193398"/>
    <w:rsid w:val="00193600"/>
    <w:rsid w:val="0019376D"/>
    <w:rsid w:val="0019388F"/>
    <w:rsid w:val="00193958"/>
    <w:rsid w:val="00193981"/>
    <w:rsid w:val="001942C4"/>
    <w:rsid w:val="00194C6C"/>
    <w:rsid w:val="0019502C"/>
    <w:rsid w:val="0019561C"/>
    <w:rsid w:val="00195708"/>
    <w:rsid w:val="001959E3"/>
    <w:rsid w:val="00195EE8"/>
    <w:rsid w:val="00196948"/>
    <w:rsid w:val="00196A92"/>
    <w:rsid w:val="001974D4"/>
    <w:rsid w:val="00197906"/>
    <w:rsid w:val="00197CB7"/>
    <w:rsid w:val="00197CBC"/>
    <w:rsid w:val="00197EF9"/>
    <w:rsid w:val="001A0493"/>
    <w:rsid w:val="001A0721"/>
    <w:rsid w:val="001A07B5"/>
    <w:rsid w:val="001A08C0"/>
    <w:rsid w:val="001A092E"/>
    <w:rsid w:val="001A09D8"/>
    <w:rsid w:val="001A10C0"/>
    <w:rsid w:val="001A1147"/>
    <w:rsid w:val="001A1988"/>
    <w:rsid w:val="001A2570"/>
    <w:rsid w:val="001A2E25"/>
    <w:rsid w:val="001A2E55"/>
    <w:rsid w:val="001A2E8C"/>
    <w:rsid w:val="001A3279"/>
    <w:rsid w:val="001A32AB"/>
    <w:rsid w:val="001A3301"/>
    <w:rsid w:val="001A345D"/>
    <w:rsid w:val="001A3582"/>
    <w:rsid w:val="001A397E"/>
    <w:rsid w:val="001A39DC"/>
    <w:rsid w:val="001A3EB7"/>
    <w:rsid w:val="001A4258"/>
    <w:rsid w:val="001A4753"/>
    <w:rsid w:val="001A4830"/>
    <w:rsid w:val="001A4AC0"/>
    <w:rsid w:val="001A4CDE"/>
    <w:rsid w:val="001A4DA7"/>
    <w:rsid w:val="001A4FBA"/>
    <w:rsid w:val="001A4FE1"/>
    <w:rsid w:val="001A5732"/>
    <w:rsid w:val="001A5F06"/>
    <w:rsid w:val="001A626F"/>
    <w:rsid w:val="001A645A"/>
    <w:rsid w:val="001A6665"/>
    <w:rsid w:val="001A69CA"/>
    <w:rsid w:val="001A6D4F"/>
    <w:rsid w:val="001A7002"/>
    <w:rsid w:val="001A715F"/>
    <w:rsid w:val="001A72DC"/>
    <w:rsid w:val="001A78CB"/>
    <w:rsid w:val="001A78FA"/>
    <w:rsid w:val="001A7BCD"/>
    <w:rsid w:val="001B02AE"/>
    <w:rsid w:val="001B0A5A"/>
    <w:rsid w:val="001B1317"/>
    <w:rsid w:val="001B132D"/>
    <w:rsid w:val="001B1855"/>
    <w:rsid w:val="001B189A"/>
    <w:rsid w:val="001B273C"/>
    <w:rsid w:val="001B2932"/>
    <w:rsid w:val="001B2AE1"/>
    <w:rsid w:val="001B31B1"/>
    <w:rsid w:val="001B39DB"/>
    <w:rsid w:val="001B4129"/>
    <w:rsid w:val="001B4308"/>
    <w:rsid w:val="001B46E7"/>
    <w:rsid w:val="001B4A0F"/>
    <w:rsid w:val="001B4B28"/>
    <w:rsid w:val="001B4DEA"/>
    <w:rsid w:val="001B4F6D"/>
    <w:rsid w:val="001B5343"/>
    <w:rsid w:val="001B54F0"/>
    <w:rsid w:val="001B5635"/>
    <w:rsid w:val="001B59A4"/>
    <w:rsid w:val="001B5AFA"/>
    <w:rsid w:val="001B5DFE"/>
    <w:rsid w:val="001B5FC9"/>
    <w:rsid w:val="001B6228"/>
    <w:rsid w:val="001B6302"/>
    <w:rsid w:val="001B6CB4"/>
    <w:rsid w:val="001B7523"/>
    <w:rsid w:val="001B76D4"/>
    <w:rsid w:val="001B7AED"/>
    <w:rsid w:val="001B7CB3"/>
    <w:rsid w:val="001C0762"/>
    <w:rsid w:val="001C07FC"/>
    <w:rsid w:val="001C088E"/>
    <w:rsid w:val="001C0943"/>
    <w:rsid w:val="001C0DC6"/>
    <w:rsid w:val="001C15C7"/>
    <w:rsid w:val="001C1686"/>
    <w:rsid w:val="001C1AEB"/>
    <w:rsid w:val="001C2000"/>
    <w:rsid w:val="001C205E"/>
    <w:rsid w:val="001C20B3"/>
    <w:rsid w:val="001C2394"/>
    <w:rsid w:val="001C2512"/>
    <w:rsid w:val="001C253E"/>
    <w:rsid w:val="001C267C"/>
    <w:rsid w:val="001C277C"/>
    <w:rsid w:val="001C28D6"/>
    <w:rsid w:val="001C2B66"/>
    <w:rsid w:val="001C32E7"/>
    <w:rsid w:val="001C3510"/>
    <w:rsid w:val="001C36F4"/>
    <w:rsid w:val="001C3EFB"/>
    <w:rsid w:val="001C3FA7"/>
    <w:rsid w:val="001C40D0"/>
    <w:rsid w:val="001C433F"/>
    <w:rsid w:val="001C4622"/>
    <w:rsid w:val="001C4AA0"/>
    <w:rsid w:val="001C4BED"/>
    <w:rsid w:val="001C4FAC"/>
    <w:rsid w:val="001C5B8A"/>
    <w:rsid w:val="001C6070"/>
    <w:rsid w:val="001C6416"/>
    <w:rsid w:val="001C6CD4"/>
    <w:rsid w:val="001C6DE0"/>
    <w:rsid w:val="001C72F3"/>
    <w:rsid w:val="001C7356"/>
    <w:rsid w:val="001C755C"/>
    <w:rsid w:val="001C76B2"/>
    <w:rsid w:val="001C7792"/>
    <w:rsid w:val="001D03FB"/>
    <w:rsid w:val="001D047C"/>
    <w:rsid w:val="001D091A"/>
    <w:rsid w:val="001D0A6F"/>
    <w:rsid w:val="001D0D57"/>
    <w:rsid w:val="001D1009"/>
    <w:rsid w:val="001D1541"/>
    <w:rsid w:val="001D18DB"/>
    <w:rsid w:val="001D1CD5"/>
    <w:rsid w:val="001D209A"/>
    <w:rsid w:val="001D23F9"/>
    <w:rsid w:val="001D2AF0"/>
    <w:rsid w:val="001D36A9"/>
    <w:rsid w:val="001D36BC"/>
    <w:rsid w:val="001D39D9"/>
    <w:rsid w:val="001D3B25"/>
    <w:rsid w:val="001D4313"/>
    <w:rsid w:val="001D4716"/>
    <w:rsid w:val="001D482F"/>
    <w:rsid w:val="001D4ACE"/>
    <w:rsid w:val="001D4EC5"/>
    <w:rsid w:val="001D54B5"/>
    <w:rsid w:val="001D5846"/>
    <w:rsid w:val="001D5D34"/>
    <w:rsid w:val="001D5F77"/>
    <w:rsid w:val="001D64D3"/>
    <w:rsid w:val="001D6723"/>
    <w:rsid w:val="001D6D7F"/>
    <w:rsid w:val="001D770C"/>
    <w:rsid w:val="001D7938"/>
    <w:rsid w:val="001D7ACB"/>
    <w:rsid w:val="001D7DD8"/>
    <w:rsid w:val="001E031F"/>
    <w:rsid w:val="001E039D"/>
    <w:rsid w:val="001E0619"/>
    <w:rsid w:val="001E0646"/>
    <w:rsid w:val="001E1AAC"/>
    <w:rsid w:val="001E1D44"/>
    <w:rsid w:val="001E1E73"/>
    <w:rsid w:val="001E25C1"/>
    <w:rsid w:val="001E2A2F"/>
    <w:rsid w:val="001E2D93"/>
    <w:rsid w:val="001E2EE2"/>
    <w:rsid w:val="001E30B7"/>
    <w:rsid w:val="001E32AA"/>
    <w:rsid w:val="001E3350"/>
    <w:rsid w:val="001E3F20"/>
    <w:rsid w:val="001E4358"/>
    <w:rsid w:val="001E4621"/>
    <w:rsid w:val="001E472C"/>
    <w:rsid w:val="001E47C7"/>
    <w:rsid w:val="001E4EB1"/>
    <w:rsid w:val="001E533F"/>
    <w:rsid w:val="001E61D9"/>
    <w:rsid w:val="001E632F"/>
    <w:rsid w:val="001E684A"/>
    <w:rsid w:val="001E7129"/>
    <w:rsid w:val="001E7154"/>
    <w:rsid w:val="001E7922"/>
    <w:rsid w:val="001E7C23"/>
    <w:rsid w:val="001E7D2D"/>
    <w:rsid w:val="001F058D"/>
    <w:rsid w:val="001F0A26"/>
    <w:rsid w:val="001F1617"/>
    <w:rsid w:val="001F1642"/>
    <w:rsid w:val="001F172A"/>
    <w:rsid w:val="001F1D4C"/>
    <w:rsid w:val="001F21C6"/>
    <w:rsid w:val="001F23E2"/>
    <w:rsid w:val="001F2F84"/>
    <w:rsid w:val="001F3ADC"/>
    <w:rsid w:val="001F3D58"/>
    <w:rsid w:val="001F3DD4"/>
    <w:rsid w:val="001F4256"/>
    <w:rsid w:val="001F45D1"/>
    <w:rsid w:val="001F48F2"/>
    <w:rsid w:val="001F56E2"/>
    <w:rsid w:val="001F5780"/>
    <w:rsid w:val="001F5878"/>
    <w:rsid w:val="001F598C"/>
    <w:rsid w:val="001F5FBD"/>
    <w:rsid w:val="001F6444"/>
    <w:rsid w:val="001F6532"/>
    <w:rsid w:val="001F66EA"/>
    <w:rsid w:val="001F6D41"/>
    <w:rsid w:val="001F6F06"/>
    <w:rsid w:val="001F6FBC"/>
    <w:rsid w:val="001F701F"/>
    <w:rsid w:val="001F7525"/>
    <w:rsid w:val="001F75A1"/>
    <w:rsid w:val="001F7613"/>
    <w:rsid w:val="001F7741"/>
    <w:rsid w:val="001F7B45"/>
    <w:rsid w:val="001F7C2C"/>
    <w:rsid w:val="00200574"/>
    <w:rsid w:val="00201596"/>
    <w:rsid w:val="00201D55"/>
    <w:rsid w:val="0020213F"/>
    <w:rsid w:val="002021A5"/>
    <w:rsid w:val="0020249C"/>
    <w:rsid w:val="00202C32"/>
    <w:rsid w:val="00202CBF"/>
    <w:rsid w:val="002030AF"/>
    <w:rsid w:val="002032CF"/>
    <w:rsid w:val="00203879"/>
    <w:rsid w:val="00203FC8"/>
    <w:rsid w:val="00203FFA"/>
    <w:rsid w:val="002040C2"/>
    <w:rsid w:val="0020413E"/>
    <w:rsid w:val="002041C9"/>
    <w:rsid w:val="002042F6"/>
    <w:rsid w:val="00205119"/>
    <w:rsid w:val="00205182"/>
    <w:rsid w:val="002055D9"/>
    <w:rsid w:val="00205CDC"/>
    <w:rsid w:val="0020648E"/>
    <w:rsid w:val="00206757"/>
    <w:rsid w:val="0020730C"/>
    <w:rsid w:val="002077CD"/>
    <w:rsid w:val="00207828"/>
    <w:rsid w:val="00207855"/>
    <w:rsid w:val="00207F95"/>
    <w:rsid w:val="0021028C"/>
    <w:rsid w:val="00210496"/>
    <w:rsid w:val="0021071D"/>
    <w:rsid w:val="00210728"/>
    <w:rsid w:val="00210983"/>
    <w:rsid w:val="00210C17"/>
    <w:rsid w:val="00210D7B"/>
    <w:rsid w:val="002110EF"/>
    <w:rsid w:val="00211358"/>
    <w:rsid w:val="00211B40"/>
    <w:rsid w:val="00212214"/>
    <w:rsid w:val="00212276"/>
    <w:rsid w:val="00212781"/>
    <w:rsid w:val="00212830"/>
    <w:rsid w:val="00212A59"/>
    <w:rsid w:val="00212BD7"/>
    <w:rsid w:val="00212C0B"/>
    <w:rsid w:val="00212C1D"/>
    <w:rsid w:val="002135B7"/>
    <w:rsid w:val="00213C4D"/>
    <w:rsid w:val="00214164"/>
    <w:rsid w:val="00214D62"/>
    <w:rsid w:val="00215186"/>
    <w:rsid w:val="002152C8"/>
    <w:rsid w:val="00215456"/>
    <w:rsid w:val="00215665"/>
    <w:rsid w:val="00215CA9"/>
    <w:rsid w:val="00215D4A"/>
    <w:rsid w:val="00215D70"/>
    <w:rsid w:val="002168E2"/>
    <w:rsid w:val="00216DB8"/>
    <w:rsid w:val="00216E77"/>
    <w:rsid w:val="00217133"/>
    <w:rsid w:val="0021784A"/>
    <w:rsid w:val="00217C0A"/>
    <w:rsid w:val="00217D8E"/>
    <w:rsid w:val="00220143"/>
    <w:rsid w:val="00220401"/>
    <w:rsid w:val="0022105A"/>
    <w:rsid w:val="00221752"/>
    <w:rsid w:val="00222E24"/>
    <w:rsid w:val="00222E98"/>
    <w:rsid w:val="0022341F"/>
    <w:rsid w:val="002241BC"/>
    <w:rsid w:val="002243AC"/>
    <w:rsid w:val="0022477D"/>
    <w:rsid w:val="00225209"/>
    <w:rsid w:val="0022526D"/>
    <w:rsid w:val="002252B6"/>
    <w:rsid w:val="00225AA2"/>
    <w:rsid w:val="00225BE9"/>
    <w:rsid w:val="0022631B"/>
    <w:rsid w:val="00226AE9"/>
    <w:rsid w:val="00226BCC"/>
    <w:rsid w:val="00226E3C"/>
    <w:rsid w:val="00227158"/>
    <w:rsid w:val="002275AD"/>
    <w:rsid w:val="002300C7"/>
    <w:rsid w:val="00230111"/>
    <w:rsid w:val="0023091E"/>
    <w:rsid w:val="00230FDD"/>
    <w:rsid w:val="002314F5"/>
    <w:rsid w:val="00231675"/>
    <w:rsid w:val="00231BB8"/>
    <w:rsid w:val="00231C3E"/>
    <w:rsid w:val="00231E22"/>
    <w:rsid w:val="00231F9C"/>
    <w:rsid w:val="00231FBE"/>
    <w:rsid w:val="00232312"/>
    <w:rsid w:val="00232635"/>
    <w:rsid w:val="0023296B"/>
    <w:rsid w:val="0023340E"/>
    <w:rsid w:val="002334E5"/>
    <w:rsid w:val="00233BE2"/>
    <w:rsid w:val="00234638"/>
    <w:rsid w:val="00234763"/>
    <w:rsid w:val="002347C6"/>
    <w:rsid w:val="002348D5"/>
    <w:rsid w:val="00234C49"/>
    <w:rsid w:val="00234F71"/>
    <w:rsid w:val="00235072"/>
    <w:rsid w:val="00235417"/>
    <w:rsid w:val="002358BA"/>
    <w:rsid w:val="00235B93"/>
    <w:rsid w:val="00236629"/>
    <w:rsid w:val="0023671D"/>
    <w:rsid w:val="00236880"/>
    <w:rsid w:val="00236C14"/>
    <w:rsid w:val="002370FA"/>
    <w:rsid w:val="00237E82"/>
    <w:rsid w:val="00240263"/>
    <w:rsid w:val="00240442"/>
    <w:rsid w:val="00240759"/>
    <w:rsid w:val="0024084A"/>
    <w:rsid w:val="0024088C"/>
    <w:rsid w:val="00241003"/>
    <w:rsid w:val="00241492"/>
    <w:rsid w:val="00241E2E"/>
    <w:rsid w:val="002421CB"/>
    <w:rsid w:val="002422A8"/>
    <w:rsid w:val="002422E9"/>
    <w:rsid w:val="00242328"/>
    <w:rsid w:val="00242707"/>
    <w:rsid w:val="002428BD"/>
    <w:rsid w:val="00243929"/>
    <w:rsid w:val="00243E3D"/>
    <w:rsid w:val="00243FE1"/>
    <w:rsid w:val="00244281"/>
    <w:rsid w:val="002445C4"/>
    <w:rsid w:val="00244E7E"/>
    <w:rsid w:val="00244FAE"/>
    <w:rsid w:val="002455D5"/>
    <w:rsid w:val="002457D2"/>
    <w:rsid w:val="002458FB"/>
    <w:rsid w:val="00245FB4"/>
    <w:rsid w:val="0024621D"/>
    <w:rsid w:val="0024684D"/>
    <w:rsid w:val="00246DD9"/>
    <w:rsid w:val="002471EE"/>
    <w:rsid w:val="00247AFF"/>
    <w:rsid w:val="00247EB1"/>
    <w:rsid w:val="00247FC8"/>
    <w:rsid w:val="002502DB"/>
    <w:rsid w:val="002504B2"/>
    <w:rsid w:val="00250711"/>
    <w:rsid w:val="00250ACA"/>
    <w:rsid w:val="00250DAD"/>
    <w:rsid w:val="00250DB4"/>
    <w:rsid w:val="00250DC9"/>
    <w:rsid w:val="00250F6B"/>
    <w:rsid w:val="00250FFF"/>
    <w:rsid w:val="0025100A"/>
    <w:rsid w:val="002510D8"/>
    <w:rsid w:val="002516D9"/>
    <w:rsid w:val="002519E5"/>
    <w:rsid w:val="00251E3C"/>
    <w:rsid w:val="0025258B"/>
    <w:rsid w:val="00252717"/>
    <w:rsid w:val="002528C6"/>
    <w:rsid w:val="0025292C"/>
    <w:rsid w:val="00252B08"/>
    <w:rsid w:val="00253045"/>
    <w:rsid w:val="002533C1"/>
    <w:rsid w:val="00253791"/>
    <w:rsid w:val="00253D7C"/>
    <w:rsid w:val="0025408E"/>
    <w:rsid w:val="00254101"/>
    <w:rsid w:val="0025415C"/>
    <w:rsid w:val="00254286"/>
    <w:rsid w:val="00254493"/>
    <w:rsid w:val="0025450E"/>
    <w:rsid w:val="00254629"/>
    <w:rsid w:val="002548B5"/>
    <w:rsid w:val="00254A36"/>
    <w:rsid w:val="00254DB0"/>
    <w:rsid w:val="00254F6B"/>
    <w:rsid w:val="002553FD"/>
    <w:rsid w:val="00255B7A"/>
    <w:rsid w:val="00256699"/>
    <w:rsid w:val="00256AC1"/>
    <w:rsid w:val="002571F0"/>
    <w:rsid w:val="0025720F"/>
    <w:rsid w:val="0025734D"/>
    <w:rsid w:val="00257661"/>
    <w:rsid w:val="00257B8E"/>
    <w:rsid w:val="0026052F"/>
    <w:rsid w:val="00260BBC"/>
    <w:rsid w:val="00260EFC"/>
    <w:rsid w:val="00260FA4"/>
    <w:rsid w:val="00261475"/>
    <w:rsid w:val="00261843"/>
    <w:rsid w:val="00261B23"/>
    <w:rsid w:val="00261B86"/>
    <w:rsid w:val="0026213B"/>
    <w:rsid w:val="00262391"/>
    <w:rsid w:val="0026247B"/>
    <w:rsid w:val="0026272B"/>
    <w:rsid w:val="00262B30"/>
    <w:rsid w:val="00263151"/>
    <w:rsid w:val="00263428"/>
    <w:rsid w:val="00263902"/>
    <w:rsid w:val="00263C5C"/>
    <w:rsid w:val="00263D48"/>
    <w:rsid w:val="00264023"/>
    <w:rsid w:val="0026439F"/>
    <w:rsid w:val="0026447E"/>
    <w:rsid w:val="00264512"/>
    <w:rsid w:val="0026453F"/>
    <w:rsid w:val="0026470B"/>
    <w:rsid w:val="00264D47"/>
    <w:rsid w:val="00264E2D"/>
    <w:rsid w:val="00265250"/>
    <w:rsid w:val="002652E9"/>
    <w:rsid w:val="00265671"/>
    <w:rsid w:val="00265EF9"/>
    <w:rsid w:val="00266465"/>
    <w:rsid w:val="002666D5"/>
    <w:rsid w:val="00266A7F"/>
    <w:rsid w:val="002677A6"/>
    <w:rsid w:val="00267A1D"/>
    <w:rsid w:val="00267FB5"/>
    <w:rsid w:val="00270738"/>
    <w:rsid w:val="0027076C"/>
    <w:rsid w:val="00270B1A"/>
    <w:rsid w:val="00270C51"/>
    <w:rsid w:val="002712E4"/>
    <w:rsid w:val="002723C7"/>
    <w:rsid w:val="0027255E"/>
    <w:rsid w:val="00272F57"/>
    <w:rsid w:val="00273117"/>
    <w:rsid w:val="0027486F"/>
    <w:rsid w:val="00274BB1"/>
    <w:rsid w:val="00274FC6"/>
    <w:rsid w:val="002751CB"/>
    <w:rsid w:val="00275487"/>
    <w:rsid w:val="00275596"/>
    <w:rsid w:val="00275894"/>
    <w:rsid w:val="002759AA"/>
    <w:rsid w:val="00275CAB"/>
    <w:rsid w:val="00275E3B"/>
    <w:rsid w:val="00275FC0"/>
    <w:rsid w:val="002763D3"/>
    <w:rsid w:val="00276ACB"/>
    <w:rsid w:val="00276D8B"/>
    <w:rsid w:val="0027709A"/>
    <w:rsid w:val="00277271"/>
    <w:rsid w:val="00277C4C"/>
    <w:rsid w:val="00277CE5"/>
    <w:rsid w:val="00277E6C"/>
    <w:rsid w:val="0028011D"/>
    <w:rsid w:val="002805A1"/>
    <w:rsid w:val="00280E4B"/>
    <w:rsid w:val="00280E72"/>
    <w:rsid w:val="00280EBD"/>
    <w:rsid w:val="0028116F"/>
    <w:rsid w:val="002813AC"/>
    <w:rsid w:val="002819ED"/>
    <w:rsid w:val="00281B53"/>
    <w:rsid w:val="00281F0A"/>
    <w:rsid w:val="00282129"/>
    <w:rsid w:val="00282260"/>
    <w:rsid w:val="00282BB0"/>
    <w:rsid w:val="00282C21"/>
    <w:rsid w:val="00282DC5"/>
    <w:rsid w:val="00282EA2"/>
    <w:rsid w:val="002834D0"/>
    <w:rsid w:val="002837AE"/>
    <w:rsid w:val="00283815"/>
    <w:rsid w:val="002841E6"/>
    <w:rsid w:val="00284495"/>
    <w:rsid w:val="00284F17"/>
    <w:rsid w:val="002851D7"/>
    <w:rsid w:val="0028562E"/>
    <w:rsid w:val="00285BBA"/>
    <w:rsid w:val="0028695E"/>
    <w:rsid w:val="00286D44"/>
    <w:rsid w:val="002871EF"/>
    <w:rsid w:val="002877C4"/>
    <w:rsid w:val="00287967"/>
    <w:rsid w:val="00287B54"/>
    <w:rsid w:val="00287C4C"/>
    <w:rsid w:val="00287CA8"/>
    <w:rsid w:val="00287ED9"/>
    <w:rsid w:val="00290338"/>
    <w:rsid w:val="00290954"/>
    <w:rsid w:val="00290B32"/>
    <w:rsid w:val="00290E57"/>
    <w:rsid w:val="00291473"/>
    <w:rsid w:val="002914F9"/>
    <w:rsid w:val="00291606"/>
    <w:rsid w:val="0029207B"/>
    <w:rsid w:val="00292495"/>
    <w:rsid w:val="002928A4"/>
    <w:rsid w:val="002929B5"/>
    <w:rsid w:val="00292C4E"/>
    <w:rsid w:val="00292FAD"/>
    <w:rsid w:val="00293087"/>
    <w:rsid w:val="002931B2"/>
    <w:rsid w:val="00293775"/>
    <w:rsid w:val="0029405E"/>
    <w:rsid w:val="00294283"/>
    <w:rsid w:val="00294440"/>
    <w:rsid w:val="00294E49"/>
    <w:rsid w:val="0029545B"/>
    <w:rsid w:val="002956C7"/>
    <w:rsid w:val="0029591A"/>
    <w:rsid w:val="00295989"/>
    <w:rsid w:val="00295F29"/>
    <w:rsid w:val="00296011"/>
    <w:rsid w:val="00296080"/>
    <w:rsid w:val="002966F1"/>
    <w:rsid w:val="00296AE4"/>
    <w:rsid w:val="00296B79"/>
    <w:rsid w:val="0029758A"/>
    <w:rsid w:val="002A0078"/>
    <w:rsid w:val="002A01BB"/>
    <w:rsid w:val="002A0241"/>
    <w:rsid w:val="002A0417"/>
    <w:rsid w:val="002A109D"/>
    <w:rsid w:val="002A1212"/>
    <w:rsid w:val="002A15AC"/>
    <w:rsid w:val="002A1781"/>
    <w:rsid w:val="002A1878"/>
    <w:rsid w:val="002A18D8"/>
    <w:rsid w:val="002A2075"/>
    <w:rsid w:val="002A23AC"/>
    <w:rsid w:val="002A2420"/>
    <w:rsid w:val="002A28EE"/>
    <w:rsid w:val="002A2B80"/>
    <w:rsid w:val="002A2C71"/>
    <w:rsid w:val="002A2D0C"/>
    <w:rsid w:val="002A3067"/>
    <w:rsid w:val="002A32AE"/>
    <w:rsid w:val="002A32B5"/>
    <w:rsid w:val="002A38EF"/>
    <w:rsid w:val="002A3AF8"/>
    <w:rsid w:val="002A3B0E"/>
    <w:rsid w:val="002A3DAD"/>
    <w:rsid w:val="002A4001"/>
    <w:rsid w:val="002A4240"/>
    <w:rsid w:val="002A455B"/>
    <w:rsid w:val="002A5159"/>
    <w:rsid w:val="002A5249"/>
    <w:rsid w:val="002A52CA"/>
    <w:rsid w:val="002A57AF"/>
    <w:rsid w:val="002A6653"/>
    <w:rsid w:val="002A6792"/>
    <w:rsid w:val="002A68BA"/>
    <w:rsid w:val="002A6D6E"/>
    <w:rsid w:val="002A728C"/>
    <w:rsid w:val="002A763B"/>
    <w:rsid w:val="002A79C7"/>
    <w:rsid w:val="002A7C72"/>
    <w:rsid w:val="002A7E19"/>
    <w:rsid w:val="002A7E4F"/>
    <w:rsid w:val="002B057C"/>
    <w:rsid w:val="002B0E00"/>
    <w:rsid w:val="002B15E9"/>
    <w:rsid w:val="002B15FA"/>
    <w:rsid w:val="002B194A"/>
    <w:rsid w:val="002B1A57"/>
    <w:rsid w:val="002B1DCB"/>
    <w:rsid w:val="002B27C9"/>
    <w:rsid w:val="002B2FF2"/>
    <w:rsid w:val="002B3D8A"/>
    <w:rsid w:val="002B3DD7"/>
    <w:rsid w:val="002B3F84"/>
    <w:rsid w:val="002B4086"/>
    <w:rsid w:val="002B40C9"/>
    <w:rsid w:val="002B425D"/>
    <w:rsid w:val="002B46AB"/>
    <w:rsid w:val="002B47A5"/>
    <w:rsid w:val="002B4C84"/>
    <w:rsid w:val="002B527D"/>
    <w:rsid w:val="002B5296"/>
    <w:rsid w:val="002B56E9"/>
    <w:rsid w:val="002B577B"/>
    <w:rsid w:val="002B59EE"/>
    <w:rsid w:val="002B5FFB"/>
    <w:rsid w:val="002B669E"/>
    <w:rsid w:val="002B6C9D"/>
    <w:rsid w:val="002B6DF5"/>
    <w:rsid w:val="002B7FC6"/>
    <w:rsid w:val="002C0751"/>
    <w:rsid w:val="002C098C"/>
    <w:rsid w:val="002C0A66"/>
    <w:rsid w:val="002C0B70"/>
    <w:rsid w:val="002C0F9B"/>
    <w:rsid w:val="002C1224"/>
    <w:rsid w:val="002C12FE"/>
    <w:rsid w:val="002C13F4"/>
    <w:rsid w:val="002C1732"/>
    <w:rsid w:val="002C1786"/>
    <w:rsid w:val="002C1C09"/>
    <w:rsid w:val="002C1D9C"/>
    <w:rsid w:val="002C206B"/>
    <w:rsid w:val="002C27E4"/>
    <w:rsid w:val="002C2F1B"/>
    <w:rsid w:val="002C318B"/>
    <w:rsid w:val="002C34C2"/>
    <w:rsid w:val="002C3510"/>
    <w:rsid w:val="002C4122"/>
    <w:rsid w:val="002C428F"/>
    <w:rsid w:val="002C4AB1"/>
    <w:rsid w:val="002C4CF2"/>
    <w:rsid w:val="002C4F59"/>
    <w:rsid w:val="002C53DC"/>
    <w:rsid w:val="002C5422"/>
    <w:rsid w:val="002C56B6"/>
    <w:rsid w:val="002C5A1E"/>
    <w:rsid w:val="002C5D29"/>
    <w:rsid w:val="002C5D7E"/>
    <w:rsid w:val="002C5ECA"/>
    <w:rsid w:val="002C60A3"/>
    <w:rsid w:val="002C67BE"/>
    <w:rsid w:val="002C6B00"/>
    <w:rsid w:val="002C6C3C"/>
    <w:rsid w:val="002C7191"/>
    <w:rsid w:val="002C791D"/>
    <w:rsid w:val="002C7DAF"/>
    <w:rsid w:val="002C7E44"/>
    <w:rsid w:val="002C7F9B"/>
    <w:rsid w:val="002C7FDA"/>
    <w:rsid w:val="002D00F8"/>
    <w:rsid w:val="002D01F3"/>
    <w:rsid w:val="002D09A9"/>
    <w:rsid w:val="002D0E89"/>
    <w:rsid w:val="002D1203"/>
    <w:rsid w:val="002D12E3"/>
    <w:rsid w:val="002D152B"/>
    <w:rsid w:val="002D1D34"/>
    <w:rsid w:val="002D1DA9"/>
    <w:rsid w:val="002D2BAA"/>
    <w:rsid w:val="002D2D1B"/>
    <w:rsid w:val="002D33E6"/>
    <w:rsid w:val="002D3E32"/>
    <w:rsid w:val="002D3FA3"/>
    <w:rsid w:val="002D43E4"/>
    <w:rsid w:val="002D4B05"/>
    <w:rsid w:val="002D4DC7"/>
    <w:rsid w:val="002D5892"/>
    <w:rsid w:val="002D5986"/>
    <w:rsid w:val="002D59B2"/>
    <w:rsid w:val="002D5B99"/>
    <w:rsid w:val="002D5BAC"/>
    <w:rsid w:val="002D6E82"/>
    <w:rsid w:val="002D6EBC"/>
    <w:rsid w:val="002D7012"/>
    <w:rsid w:val="002D7331"/>
    <w:rsid w:val="002D755D"/>
    <w:rsid w:val="002D7726"/>
    <w:rsid w:val="002D7E2A"/>
    <w:rsid w:val="002E03DF"/>
    <w:rsid w:val="002E06FF"/>
    <w:rsid w:val="002E1308"/>
    <w:rsid w:val="002E1E4C"/>
    <w:rsid w:val="002E1F9E"/>
    <w:rsid w:val="002E20D5"/>
    <w:rsid w:val="002E2108"/>
    <w:rsid w:val="002E214E"/>
    <w:rsid w:val="002E2314"/>
    <w:rsid w:val="002E37C6"/>
    <w:rsid w:val="002E3C15"/>
    <w:rsid w:val="002E42E5"/>
    <w:rsid w:val="002E4509"/>
    <w:rsid w:val="002E4789"/>
    <w:rsid w:val="002E4DD3"/>
    <w:rsid w:val="002E4FCA"/>
    <w:rsid w:val="002E52BE"/>
    <w:rsid w:val="002E57F0"/>
    <w:rsid w:val="002E5895"/>
    <w:rsid w:val="002E58A8"/>
    <w:rsid w:val="002E5D57"/>
    <w:rsid w:val="002E5E7C"/>
    <w:rsid w:val="002E5E8F"/>
    <w:rsid w:val="002E6A21"/>
    <w:rsid w:val="002E6BAF"/>
    <w:rsid w:val="002E6BBF"/>
    <w:rsid w:val="002E72B3"/>
    <w:rsid w:val="002E7A62"/>
    <w:rsid w:val="002E7B96"/>
    <w:rsid w:val="002E7CAF"/>
    <w:rsid w:val="002F0060"/>
    <w:rsid w:val="002F04DE"/>
    <w:rsid w:val="002F0B79"/>
    <w:rsid w:val="002F0DEB"/>
    <w:rsid w:val="002F0E1D"/>
    <w:rsid w:val="002F0EA3"/>
    <w:rsid w:val="002F110A"/>
    <w:rsid w:val="002F1231"/>
    <w:rsid w:val="002F15D9"/>
    <w:rsid w:val="002F16A2"/>
    <w:rsid w:val="002F18AC"/>
    <w:rsid w:val="002F190D"/>
    <w:rsid w:val="002F1DAF"/>
    <w:rsid w:val="002F2476"/>
    <w:rsid w:val="002F24B6"/>
    <w:rsid w:val="002F25E6"/>
    <w:rsid w:val="002F26F3"/>
    <w:rsid w:val="002F2759"/>
    <w:rsid w:val="002F27A8"/>
    <w:rsid w:val="002F28C0"/>
    <w:rsid w:val="002F29E3"/>
    <w:rsid w:val="002F2DA5"/>
    <w:rsid w:val="002F2E9F"/>
    <w:rsid w:val="002F2FCC"/>
    <w:rsid w:val="002F33D9"/>
    <w:rsid w:val="002F42E1"/>
    <w:rsid w:val="002F4336"/>
    <w:rsid w:val="002F49B2"/>
    <w:rsid w:val="002F4A52"/>
    <w:rsid w:val="002F4BA7"/>
    <w:rsid w:val="002F5721"/>
    <w:rsid w:val="002F57F6"/>
    <w:rsid w:val="002F5933"/>
    <w:rsid w:val="002F5B74"/>
    <w:rsid w:val="002F5E5A"/>
    <w:rsid w:val="002F6172"/>
    <w:rsid w:val="002F6178"/>
    <w:rsid w:val="002F6E5A"/>
    <w:rsid w:val="002F70E6"/>
    <w:rsid w:val="002F72AC"/>
    <w:rsid w:val="002F7632"/>
    <w:rsid w:val="002F7656"/>
    <w:rsid w:val="00300210"/>
    <w:rsid w:val="0030049B"/>
    <w:rsid w:val="00300D97"/>
    <w:rsid w:val="003011B3"/>
    <w:rsid w:val="003011C5"/>
    <w:rsid w:val="0030139D"/>
    <w:rsid w:val="00301475"/>
    <w:rsid w:val="00301695"/>
    <w:rsid w:val="003023CE"/>
    <w:rsid w:val="00302817"/>
    <w:rsid w:val="00302966"/>
    <w:rsid w:val="00302BEC"/>
    <w:rsid w:val="00302C37"/>
    <w:rsid w:val="00303138"/>
    <w:rsid w:val="0030324D"/>
    <w:rsid w:val="003032B3"/>
    <w:rsid w:val="0030380A"/>
    <w:rsid w:val="00303C3B"/>
    <w:rsid w:val="00303CCA"/>
    <w:rsid w:val="00303EF1"/>
    <w:rsid w:val="0030441B"/>
    <w:rsid w:val="003045D3"/>
    <w:rsid w:val="0030466B"/>
    <w:rsid w:val="0030493B"/>
    <w:rsid w:val="00304BBF"/>
    <w:rsid w:val="003051A6"/>
    <w:rsid w:val="0030520F"/>
    <w:rsid w:val="003053B5"/>
    <w:rsid w:val="003053D1"/>
    <w:rsid w:val="003055B9"/>
    <w:rsid w:val="0030568C"/>
    <w:rsid w:val="0030592C"/>
    <w:rsid w:val="00305B98"/>
    <w:rsid w:val="00305EC7"/>
    <w:rsid w:val="003066B1"/>
    <w:rsid w:val="00306AE1"/>
    <w:rsid w:val="00306C4B"/>
    <w:rsid w:val="00306D04"/>
    <w:rsid w:val="00306FC4"/>
    <w:rsid w:val="00306FFA"/>
    <w:rsid w:val="0030743B"/>
    <w:rsid w:val="00307A5B"/>
    <w:rsid w:val="00307B96"/>
    <w:rsid w:val="00307E36"/>
    <w:rsid w:val="00307EA4"/>
    <w:rsid w:val="003104A6"/>
    <w:rsid w:val="00310753"/>
    <w:rsid w:val="00310B52"/>
    <w:rsid w:val="00310CD0"/>
    <w:rsid w:val="0031139F"/>
    <w:rsid w:val="0031196C"/>
    <w:rsid w:val="00311E2D"/>
    <w:rsid w:val="00311F67"/>
    <w:rsid w:val="00311F88"/>
    <w:rsid w:val="0031201B"/>
    <w:rsid w:val="00312553"/>
    <w:rsid w:val="0031282F"/>
    <w:rsid w:val="00312F61"/>
    <w:rsid w:val="00313248"/>
    <w:rsid w:val="003134F1"/>
    <w:rsid w:val="003139EA"/>
    <w:rsid w:val="0031401F"/>
    <w:rsid w:val="0031416F"/>
    <w:rsid w:val="00314466"/>
    <w:rsid w:val="00314896"/>
    <w:rsid w:val="00314B4E"/>
    <w:rsid w:val="00314FD5"/>
    <w:rsid w:val="00315285"/>
    <w:rsid w:val="0031596A"/>
    <w:rsid w:val="00315A1E"/>
    <w:rsid w:val="00315B22"/>
    <w:rsid w:val="0031680C"/>
    <w:rsid w:val="00316A83"/>
    <w:rsid w:val="00316B11"/>
    <w:rsid w:val="00317C06"/>
    <w:rsid w:val="0032060C"/>
    <w:rsid w:val="00320981"/>
    <w:rsid w:val="00320986"/>
    <w:rsid w:val="00320FC2"/>
    <w:rsid w:val="00321506"/>
    <w:rsid w:val="003219B0"/>
    <w:rsid w:val="00321ED9"/>
    <w:rsid w:val="0032242F"/>
    <w:rsid w:val="00322B05"/>
    <w:rsid w:val="00322E52"/>
    <w:rsid w:val="003230DA"/>
    <w:rsid w:val="00323A24"/>
    <w:rsid w:val="00323B32"/>
    <w:rsid w:val="00323CC6"/>
    <w:rsid w:val="00324052"/>
    <w:rsid w:val="0032413E"/>
    <w:rsid w:val="003245EC"/>
    <w:rsid w:val="00324663"/>
    <w:rsid w:val="00324AF7"/>
    <w:rsid w:val="00324B82"/>
    <w:rsid w:val="00324C75"/>
    <w:rsid w:val="00324FB6"/>
    <w:rsid w:val="00325360"/>
    <w:rsid w:val="00325C67"/>
    <w:rsid w:val="00325CCC"/>
    <w:rsid w:val="00325F4F"/>
    <w:rsid w:val="003261B6"/>
    <w:rsid w:val="003263BC"/>
    <w:rsid w:val="0032644F"/>
    <w:rsid w:val="00326591"/>
    <w:rsid w:val="00326805"/>
    <w:rsid w:val="00326D9A"/>
    <w:rsid w:val="00326F15"/>
    <w:rsid w:val="00326FB9"/>
    <w:rsid w:val="00327077"/>
    <w:rsid w:val="00327193"/>
    <w:rsid w:val="003273C9"/>
    <w:rsid w:val="00327673"/>
    <w:rsid w:val="00327954"/>
    <w:rsid w:val="00327E0F"/>
    <w:rsid w:val="0033078B"/>
    <w:rsid w:val="00330C7D"/>
    <w:rsid w:val="00330CBD"/>
    <w:rsid w:val="00331965"/>
    <w:rsid w:val="00331A1B"/>
    <w:rsid w:val="0033217F"/>
    <w:rsid w:val="003322B2"/>
    <w:rsid w:val="00332360"/>
    <w:rsid w:val="0033239F"/>
    <w:rsid w:val="0033244F"/>
    <w:rsid w:val="00332558"/>
    <w:rsid w:val="00332956"/>
    <w:rsid w:val="00332B32"/>
    <w:rsid w:val="00332D43"/>
    <w:rsid w:val="0033301C"/>
    <w:rsid w:val="00333136"/>
    <w:rsid w:val="003334D3"/>
    <w:rsid w:val="00333C78"/>
    <w:rsid w:val="00334128"/>
    <w:rsid w:val="00334133"/>
    <w:rsid w:val="00334254"/>
    <w:rsid w:val="003344CB"/>
    <w:rsid w:val="00334C06"/>
    <w:rsid w:val="00334E35"/>
    <w:rsid w:val="003355EE"/>
    <w:rsid w:val="00335ADC"/>
    <w:rsid w:val="00335CBC"/>
    <w:rsid w:val="00335DB9"/>
    <w:rsid w:val="0033623A"/>
    <w:rsid w:val="00336583"/>
    <w:rsid w:val="00336857"/>
    <w:rsid w:val="00336AE3"/>
    <w:rsid w:val="00336CED"/>
    <w:rsid w:val="003370FE"/>
    <w:rsid w:val="00337176"/>
    <w:rsid w:val="00337473"/>
    <w:rsid w:val="00337CE6"/>
    <w:rsid w:val="00340003"/>
    <w:rsid w:val="003406B5"/>
    <w:rsid w:val="00340B4B"/>
    <w:rsid w:val="00340CAB"/>
    <w:rsid w:val="00340F78"/>
    <w:rsid w:val="00342701"/>
    <w:rsid w:val="0034291D"/>
    <w:rsid w:val="00342EB9"/>
    <w:rsid w:val="00342FC3"/>
    <w:rsid w:val="00342FF7"/>
    <w:rsid w:val="00343059"/>
    <w:rsid w:val="0034320B"/>
    <w:rsid w:val="00343A37"/>
    <w:rsid w:val="00343C81"/>
    <w:rsid w:val="00344115"/>
    <w:rsid w:val="003448D5"/>
    <w:rsid w:val="00345164"/>
    <w:rsid w:val="00345189"/>
    <w:rsid w:val="0034545E"/>
    <w:rsid w:val="00345E6C"/>
    <w:rsid w:val="00345F54"/>
    <w:rsid w:val="00345FC7"/>
    <w:rsid w:val="00345FFA"/>
    <w:rsid w:val="00346612"/>
    <w:rsid w:val="00346A83"/>
    <w:rsid w:val="00346A8D"/>
    <w:rsid w:val="00346B37"/>
    <w:rsid w:val="00346C73"/>
    <w:rsid w:val="00346CBA"/>
    <w:rsid w:val="00346F8F"/>
    <w:rsid w:val="0034778C"/>
    <w:rsid w:val="00347BDE"/>
    <w:rsid w:val="003500C6"/>
    <w:rsid w:val="00350739"/>
    <w:rsid w:val="00350AC3"/>
    <w:rsid w:val="00350DE4"/>
    <w:rsid w:val="00351691"/>
    <w:rsid w:val="0035216F"/>
    <w:rsid w:val="003522BF"/>
    <w:rsid w:val="003523DD"/>
    <w:rsid w:val="003525AF"/>
    <w:rsid w:val="00352B5B"/>
    <w:rsid w:val="00352BDF"/>
    <w:rsid w:val="00352CC4"/>
    <w:rsid w:val="00352E94"/>
    <w:rsid w:val="00353606"/>
    <w:rsid w:val="00353AA5"/>
    <w:rsid w:val="00353C0D"/>
    <w:rsid w:val="003544F2"/>
    <w:rsid w:val="0035476A"/>
    <w:rsid w:val="00355016"/>
    <w:rsid w:val="003554E5"/>
    <w:rsid w:val="00355A26"/>
    <w:rsid w:val="00355C18"/>
    <w:rsid w:val="00355DCE"/>
    <w:rsid w:val="00356B7A"/>
    <w:rsid w:val="003570B3"/>
    <w:rsid w:val="00357980"/>
    <w:rsid w:val="00357BF2"/>
    <w:rsid w:val="00357FC4"/>
    <w:rsid w:val="00360026"/>
    <w:rsid w:val="00360302"/>
    <w:rsid w:val="00360438"/>
    <w:rsid w:val="00360B16"/>
    <w:rsid w:val="00361331"/>
    <w:rsid w:val="003619B4"/>
    <w:rsid w:val="00361F2A"/>
    <w:rsid w:val="003621E5"/>
    <w:rsid w:val="003622F3"/>
    <w:rsid w:val="0036265A"/>
    <w:rsid w:val="00362754"/>
    <w:rsid w:val="00363022"/>
    <w:rsid w:val="00363396"/>
    <w:rsid w:val="003633DF"/>
    <w:rsid w:val="00363465"/>
    <w:rsid w:val="00363622"/>
    <w:rsid w:val="00363D1D"/>
    <w:rsid w:val="00363F0C"/>
    <w:rsid w:val="0036429F"/>
    <w:rsid w:val="003647D1"/>
    <w:rsid w:val="00364F74"/>
    <w:rsid w:val="003651A0"/>
    <w:rsid w:val="003652F8"/>
    <w:rsid w:val="003657F5"/>
    <w:rsid w:val="003658FE"/>
    <w:rsid w:val="00365E95"/>
    <w:rsid w:val="0036630E"/>
    <w:rsid w:val="003668B7"/>
    <w:rsid w:val="003668DB"/>
    <w:rsid w:val="003669C7"/>
    <w:rsid w:val="00366AFA"/>
    <w:rsid w:val="00366E2A"/>
    <w:rsid w:val="00367693"/>
    <w:rsid w:val="00367AB9"/>
    <w:rsid w:val="00370772"/>
    <w:rsid w:val="003708B0"/>
    <w:rsid w:val="00370C6E"/>
    <w:rsid w:val="00370EA2"/>
    <w:rsid w:val="00370EEF"/>
    <w:rsid w:val="003712FA"/>
    <w:rsid w:val="00371541"/>
    <w:rsid w:val="003719CA"/>
    <w:rsid w:val="00372109"/>
    <w:rsid w:val="0037262B"/>
    <w:rsid w:val="003727A6"/>
    <w:rsid w:val="00372A68"/>
    <w:rsid w:val="00372A92"/>
    <w:rsid w:val="00372F57"/>
    <w:rsid w:val="00373445"/>
    <w:rsid w:val="003735D5"/>
    <w:rsid w:val="0037390A"/>
    <w:rsid w:val="00373928"/>
    <w:rsid w:val="003740AA"/>
    <w:rsid w:val="0037493F"/>
    <w:rsid w:val="00374EFB"/>
    <w:rsid w:val="003751DE"/>
    <w:rsid w:val="003759A4"/>
    <w:rsid w:val="00376132"/>
    <w:rsid w:val="00376522"/>
    <w:rsid w:val="00376B8C"/>
    <w:rsid w:val="00377210"/>
    <w:rsid w:val="00377445"/>
    <w:rsid w:val="003778F8"/>
    <w:rsid w:val="00377D38"/>
    <w:rsid w:val="00377F51"/>
    <w:rsid w:val="003808F5"/>
    <w:rsid w:val="00380F70"/>
    <w:rsid w:val="00381508"/>
    <w:rsid w:val="00381647"/>
    <w:rsid w:val="003816D3"/>
    <w:rsid w:val="00381F62"/>
    <w:rsid w:val="00382A2B"/>
    <w:rsid w:val="00382F63"/>
    <w:rsid w:val="00383A24"/>
    <w:rsid w:val="00383A97"/>
    <w:rsid w:val="00383ED2"/>
    <w:rsid w:val="003841CD"/>
    <w:rsid w:val="003841EA"/>
    <w:rsid w:val="003841F8"/>
    <w:rsid w:val="00384222"/>
    <w:rsid w:val="0038439B"/>
    <w:rsid w:val="00384E89"/>
    <w:rsid w:val="0038659A"/>
    <w:rsid w:val="00386D94"/>
    <w:rsid w:val="003870C2"/>
    <w:rsid w:val="0038745A"/>
    <w:rsid w:val="00387680"/>
    <w:rsid w:val="00387D14"/>
    <w:rsid w:val="003901DF"/>
    <w:rsid w:val="00390E4B"/>
    <w:rsid w:val="0039114A"/>
    <w:rsid w:val="0039132A"/>
    <w:rsid w:val="00391B25"/>
    <w:rsid w:val="00391F5B"/>
    <w:rsid w:val="0039205B"/>
    <w:rsid w:val="003920EC"/>
    <w:rsid w:val="00392304"/>
    <w:rsid w:val="0039303A"/>
    <w:rsid w:val="00393289"/>
    <w:rsid w:val="00393380"/>
    <w:rsid w:val="00393410"/>
    <w:rsid w:val="00393420"/>
    <w:rsid w:val="0039351B"/>
    <w:rsid w:val="00393669"/>
    <w:rsid w:val="0039367D"/>
    <w:rsid w:val="00394EAF"/>
    <w:rsid w:val="003956FD"/>
    <w:rsid w:val="00396206"/>
    <w:rsid w:val="00396293"/>
    <w:rsid w:val="00396304"/>
    <w:rsid w:val="003963E6"/>
    <w:rsid w:val="0039651B"/>
    <w:rsid w:val="00396544"/>
    <w:rsid w:val="0039660C"/>
    <w:rsid w:val="00396815"/>
    <w:rsid w:val="00396D05"/>
    <w:rsid w:val="0039782D"/>
    <w:rsid w:val="00397A02"/>
    <w:rsid w:val="00397C8C"/>
    <w:rsid w:val="00397E94"/>
    <w:rsid w:val="00397FCA"/>
    <w:rsid w:val="003A0509"/>
    <w:rsid w:val="003A064F"/>
    <w:rsid w:val="003A08D8"/>
    <w:rsid w:val="003A0941"/>
    <w:rsid w:val="003A0E41"/>
    <w:rsid w:val="003A11D6"/>
    <w:rsid w:val="003A1283"/>
    <w:rsid w:val="003A130E"/>
    <w:rsid w:val="003A1377"/>
    <w:rsid w:val="003A1573"/>
    <w:rsid w:val="003A198F"/>
    <w:rsid w:val="003A1EFE"/>
    <w:rsid w:val="003A26B3"/>
    <w:rsid w:val="003A28EB"/>
    <w:rsid w:val="003A2942"/>
    <w:rsid w:val="003A2C86"/>
    <w:rsid w:val="003A2E80"/>
    <w:rsid w:val="003A32EF"/>
    <w:rsid w:val="003A3C1D"/>
    <w:rsid w:val="003A3D7F"/>
    <w:rsid w:val="003A3F0A"/>
    <w:rsid w:val="003A4236"/>
    <w:rsid w:val="003A4C0F"/>
    <w:rsid w:val="003A4D40"/>
    <w:rsid w:val="003A529E"/>
    <w:rsid w:val="003A5415"/>
    <w:rsid w:val="003A54A4"/>
    <w:rsid w:val="003A5ADD"/>
    <w:rsid w:val="003A60FF"/>
    <w:rsid w:val="003A61C5"/>
    <w:rsid w:val="003A68E2"/>
    <w:rsid w:val="003A6A05"/>
    <w:rsid w:val="003A6A30"/>
    <w:rsid w:val="003A6ED7"/>
    <w:rsid w:val="003A6F73"/>
    <w:rsid w:val="003A7017"/>
    <w:rsid w:val="003A7174"/>
    <w:rsid w:val="003A7460"/>
    <w:rsid w:val="003A7B0F"/>
    <w:rsid w:val="003B10BE"/>
    <w:rsid w:val="003B292D"/>
    <w:rsid w:val="003B2AE3"/>
    <w:rsid w:val="003B3206"/>
    <w:rsid w:val="003B3438"/>
    <w:rsid w:val="003B3573"/>
    <w:rsid w:val="003B3AC2"/>
    <w:rsid w:val="003B3B74"/>
    <w:rsid w:val="003B3B81"/>
    <w:rsid w:val="003B440A"/>
    <w:rsid w:val="003B4903"/>
    <w:rsid w:val="003B4914"/>
    <w:rsid w:val="003B4A19"/>
    <w:rsid w:val="003B5981"/>
    <w:rsid w:val="003B59F1"/>
    <w:rsid w:val="003B5B93"/>
    <w:rsid w:val="003B5C55"/>
    <w:rsid w:val="003B5D71"/>
    <w:rsid w:val="003B5E09"/>
    <w:rsid w:val="003B5E32"/>
    <w:rsid w:val="003B5FA9"/>
    <w:rsid w:val="003B65CC"/>
    <w:rsid w:val="003B6808"/>
    <w:rsid w:val="003B6F1A"/>
    <w:rsid w:val="003B7EE9"/>
    <w:rsid w:val="003C0374"/>
    <w:rsid w:val="003C0562"/>
    <w:rsid w:val="003C0785"/>
    <w:rsid w:val="003C0AC1"/>
    <w:rsid w:val="003C0DBA"/>
    <w:rsid w:val="003C0F6F"/>
    <w:rsid w:val="003C1479"/>
    <w:rsid w:val="003C2138"/>
    <w:rsid w:val="003C23AA"/>
    <w:rsid w:val="003C24BD"/>
    <w:rsid w:val="003C24E2"/>
    <w:rsid w:val="003C312E"/>
    <w:rsid w:val="003C3198"/>
    <w:rsid w:val="003C39F2"/>
    <w:rsid w:val="003C3A1E"/>
    <w:rsid w:val="003C3AAB"/>
    <w:rsid w:val="003C3EBA"/>
    <w:rsid w:val="003C403E"/>
    <w:rsid w:val="003C453F"/>
    <w:rsid w:val="003C4F18"/>
    <w:rsid w:val="003C4FEA"/>
    <w:rsid w:val="003C5153"/>
    <w:rsid w:val="003C5858"/>
    <w:rsid w:val="003C59BF"/>
    <w:rsid w:val="003C60AE"/>
    <w:rsid w:val="003C64B9"/>
    <w:rsid w:val="003C66AD"/>
    <w:rsid w:val="003C75ED"/>
    <w:rsid w:val="003C7912"/>
    <w:rsid w:val="003C7B60"/>
    <w:rsid w:val="003C7EA7"/>
    <w:rsid w:val="003D00EA"/>
    <w:rsid w:val="003D0730"/>
    <w:rsid w:val="003D073D"/>
    <w:rsid w:val="003D08E2"/>
    <w:rsid w:val="003D0F72"/>
    <w:rsid w:val="003D130A"/>
    <w:rsid w:val="003D1577"/>
    <w:rsid w:val="003D15F5"/>
    <w:rsid w:val="003D18EB"/>
    <w:rsid w:val="003D1A53"/>
    <w:rsid w:val="003D1B54"/>
    <w:rsid w:val="003D21EA"/>
    <w:rsid w:val="003D22D1"/>
    <w:rsid w:val="003D2DBA"/>
    <w:rsid w:val="003D3103"/>
    <w:rsid w:val="003D32A2"/>
    <w:rsid w:val="003D356A"/>
    <w:rsid w:val="003D3732"/>
    <w:rsid w:val="003D3C1E"/>
    <w:rsid w:val="003D3CC8"/>
    <w:rsid w:val="003D42FC"/>
    <w:rsid w:val="003D445A"/>
    <w:rsid w:val="003D49AB"/>
    <w:rsid w:val="003D4A0D"/>
    <w:rsid w:val="003D4C57"/>
    <w:rsid w:val="003D4F59"/>
    <w:rsid w:val="003D55AA"/>
    <w:rsid w:val="003D5602"/>
    <w:rsid w:val="003D5A49"/>
    <w:rsid w:val="003D5E44"/>
    <w:rsid w:val="003D6188"/>
    <w:rsid w:val="003D66C3"/>
    <w:rsid w:val="003D6C46"/>
    <w:rsid w:val="003D6D87"/>
    <w:rsid w:val="003D6E9F"/>
    <w:rsid w:val="003D7291"/>
    <w:rsid w:val="003D7569"/>
    <w:rsid w:val="003E0227"/>
    <w:rsid w:val="003E02BD"/>
    <w:rsid w:val="003E0B58"/>
    <w:rsid w:val="003E0BF2"/>
    <w:rsid w:val="003E0EB0"/>
    <w:rsid w:val="003E10F9"/>
    <w:rsid w:val="003E122C"/>
    <w:rsid w:val="003E155E"/>
    <w:rsid w:val="003E15B2"/>
    <w:rsid w:val="003E1937"/>
    <w:rsid w:val="003E1AF7"/>
    <w:rsid w:val="003E1E2F"/>
    <w:rsid w:val="003E216D"/>
    <w:rsid w:val="003E2E14"/>
    <w:rsid w:val="003E2ED1"/>
    <w:rsid w:val="003E2FDE"/>
    <w:rsid w:val="003E306B"/>
    <w:rsid w:val="003E344F"/>
    <w:rsid w:val="003E3FCB"/>
    <w:rsid w:val="003E40E3"/>
    <w:rsid w:val="003E427D"/>
    <w:rsid w:val="003E43B0"/>
    <w:rsid w:val="003E4B14"/>
    <w:rsid w:val="003E507C"/>
    <w:rsid w:val="003E5549"/>
    <w:rsid w:val="003E5702"/>
    <w:rsid w:val="003E5B8F"/>
    <w:rsid w:val="003E5DBC"/>
    <w:rsid w:val="003E5EB7"/>
    <w:rsid w:val="003E6206"/>
    <w:rsid w:val="003E6A57"/>
    <w:rsid w:val="003E6CD8"/>
    <w:rsid w:val="003E78FD"/>
    <w:rsid w:val="003E79D5"/>
    <w:rsid w:val="003E7AA9"/>
    <w:rsid w:val="003E7D7C"/>
    <w:rsid w:val="003E7E03"/>
    <w:rsid w:val="003F0674"/>
    <w:rsid w:val="003F0873"/>
    <w:rsid w:val="003F0B6D"/>
    <w:rsid w:val="003F0E7B"/>
    <w:rsid w:val="003F1196"/>
    <w:rsid w:val="003F179E"/>
    <w:rsid w:val="003F1990"/>
    <w:rsid w:val="003F1C58"/>
    <w:rsid w:val="003F1E67"/>
    <w:rsid w:val="003F2108"/>
    <w:rsid w:val="003F2219"/>
    <w:rsid w:val="003F2C40"/>
    <w:rsid w:val="003F2D56"/>
    <w:rsid w:val="003F3DBB"/>
    <w:rsid w:val="003F41AD"/>
    <w:rsid w:val="003F4281"/>
    <w:rsid w:val="003F4334"/>
    <w:rsid w:val="003F4557"/>
    <w:rsid w:val="003F4671"/>
    <w:rsid w:val="003F48B1"/>
    <w:rsid w:val="003F4C6D"/>
    <w:rsid w:val="003F4D6B"/>
    <w:rsid w:val="003F4FD5"/>
    <w:rsid w:val="003F5393"/>
    <w:rsid w:val="003F5C80"/>
    <w:rsid w:val="003F5F83"/>
    <w:rsid w:val="003F670B"/>
    <w:rsid w:val="003F67FE"/>
    <w:rsid w:val="003F7628"/>
    <w:rsid w:val="003F7EB1"/>
    <w:rsid w:val="0040077D"/>
    <w:rsid w:val="00400A90"/>
    <w:rsid w:val="00400C25"/>
    <w:rsid w:val="00401F60"/>
    <w:rsid w:val="004025CC"/>
    <w:rsid w:val="004028BB"/>
    <w:rsid w:val="0040294D"/>
    <w:rsid w:val="00402A6B"/>
    <w:rsid w:val="00402E16"/>
    <w:rsid w:val="00402F7D"/>
    <w:rsid w:val="00403229"/>
    <w:rsid w:val="00403492"/>
    <w:rsid w:val="004034B1"/>
    <w:rsid w:val="004034B5"/>
    <w:rsid w:val="00403C04"/>
    <w:rsid w:val="004045FD"/>
    <w:rsid w:val="00404825"/>
    <w:rsid w:val="004049C6"/>
    <w:rsid w:val="00404F9E"/>
    <w:rsid w:val="004051E6"/>
    <w:rsid w:val="00405988"/>
    <w:rsid w:val="00406772"/>
    <w:rsid w:val="00406BD7"/>
    <w:rsid w:val="004072BE"/>
    <w:rsid w:val="0040769B"/>
    <w:rsid w:val="0040797F"/>
    <w:rsid w:val="00407D7A"/>
    <w:rsid w:val="004102A6"/>
    <w:rsid w:val="00410656"/>
    <w:rsid w:val="004108FC"/>
    <w:rsid w:val="00410EAC"/>
    <w:rsid w:val="00411484"/>
    <w:rsid w:val="004116E6"/>
    <w:rsid w:val="004118F6"/>
    <w:rsid w:val="0041191E"/>
    <w:rsid w:val="00411DFF"/>
    <w:rsid w:val="00412782"/>
    <w:rsid w:val="0041296E"/>
    <w:rsid w:val="00412B4E"/>
    <w:rsid w:val="00412ED6"/>
    <w:rsid w:val="00413104"/>
    <w:rsid w:val="00413904"/>
    <w:rsid w:val="00413CCB"/>
    <w:rsid w:val="0041415A"/>
    <w:rsid w:val="004141D9"/>
    <w:rsid w:val="0041472A"/>
    <w:rsid w:val="00414E72"/>
    <w:rsid w:val="0041533C"/>
    <w:rsid w:val="00415469"/>
    <w:rsid w:val="00415874"/>
    <w:rsid w:val="00415AA0"/>
    <w:rsid w:val="00415CF9"/>
    <w:rsid w:val="0041613C"/>
    <w:rsid w:val="004161FA"/>
    <w:rsid w:val="0041647E"/>
    <w:rsid w:val="00416D76"/>
    <w:rsid w:val="00416FA1"/>
    <w:rsid w:val="00417107"/>
    <w:rsid w:val="00417AEE"/>
    <w:rsid w:val="00417AF5"/>
    <w:rsid w:val="00420481"/>
    <w:rsid w:val="00420A6E"/>
    <w:rsid w:val="00420CAA"/>
    <w:rsid w:val="004211F5"/>
    <w:rsid w:val="004216B7"/>
    <w:rsid w:val="0042207D"/>
    <w:rsid w:val="00422600"/>
    <w:rsid w:val="00422A03"/>
    <w:rsid w:val="00422D97"/>
    <w:rsid w:val="00422EB7"/>
    <w:rsid w:val="00423595"/>
    <w:rsid w:val="0042380C"/>
    <w:rsid w:val="004239A3"/>
    <w:rsid w:val="00423CA8"/>
    <w:rsid w:val="00424155"/>
    <w:rsid w:val="00424239"/>
    <w:rsid w:val="004243B0"/>
    <w:rsid w:val="004248EA"/>
    <w:rsid w:val="00424E08"/>
    <w:rsid w:val="004252BF"/>
    <w:rsid w:val="004252D6"/>
    <w:rsid w:val="0042592B"/>
    <w:rsid w:val="004259CF"/>
    <w:rsid w:val="00425C08"/>
    <w:rsid w:val="00425D32"/>
    <w:rsid w:val="00425F25"/>
    <w:rsid w:val="00426065"/>
    <w:rsid w:val="004260CD"/>
    <w:rsid w:val="00426597"/>
    <w:rsid w:val="00426920"/>
    <w:rsid w:val="00426BAC"/>
    <w:rsid w:val="00426C01"/>
    <w:rsid w:val="00426C69"/>
    <w:rsid w:val="00426DD1"/>
    <w:rsid w:val="00427ACC"/>
    <w:rsid w:val="00427C45"/>
    <w:rsid w:val="00427E3C"/>
    <w:rsid w:val="00427EB9"/>
    <w:rsid w:val="004302E8"/>
    <w:rsid w:val="004304DE"/>
    <w:rsid w:val="00430552"/>
    <w:rsid w:val="00430A39"/>
    <w:rsid w:val="00430AA5"/>
    <w:rsid w:val="00430ACF"/>
    <w:rsid w:val="00431ED7"/>
    <w:rsid w:val="004320ED"/>
    <w:rsid w:val="0043217A"/>
    <w:rsid w:val="0043235C"/>
    <w:rsid w:val="00432E37"/>
    <w:rsid w:val="0043311B"/>
    <w:rsid w:val="0043312E"/>
    <w:rsid w:val="00433209"/>
    <w:rsid w:val="00433563"/>
    <w:rsid w:val="004337F8"/>
    <w:rsid w:val="004339BA"/>
    <w:rsid w:val="00433CC2"/>
    <w:rsid w:val="004341FE"/>
    <w:rsid w:val="004345F6"/>
    <w:rsid w:val="00434773"/>
    <w:rsid w:val="00434F44"/>
    <w:rsid w:val="0043561B"/>
    <w:rsid w:val="00435B75"/>
    <w:rsid w:val="00435BF5"/>
    <w:rsid w:val="0043643D"/>
    <w:rsid w:val="0043695F"/>
    <w:rsid w:val="00436C9A"/>
    <w:rsid w:val="00436CE1"/>
    <w:rsid w:val="004370C0"/>
    <w:rsid w:val="00437369"/>
    <w:rsid w:val="00437541"/>
    <w:rsid w:val="0043761A"/>
    <w:rsid w:val="00437B1B"/>
    <w:rsid w:val="00437C5A"/>
    <w:rsid w:val="00437D84"/>
    <w:rsid w:val="00440430"/>
    <w:rsid w:val="00440AB0"/>
    <w:rsid w:val="00440DD9"/>
    <w:rsid w:val="00441184"/>
    <w:rsid w:val="004414D9"/>
    <w:rsid w:val="00441A23"/>
    <w:rsid w:val="00441C03"/>
    <w:rsid w:val="00441D3F"/>
    <w:rsid w:val="00441EDA"/>
    <w:rsid w:val="0044231E"/>
    <w:rsid w:val="004426FA"/>
    <w:rsid w:val="004429DD"/>
    <w:rsid w:val="0044351C"/>
    <w:rsid w:val="00443895"/>
    <w:rsid w:val="00443944"/>
    <w:rsid w:val="00443A53"/>
    <w:rsid w:val="00443D0E"/>
    <w:rsid w:val="004442C9"/>
    <w:rsid w:val="004446BD"/>
    <w:rsid w:val="00444FCD"/>
    <w:rsid w:val="00444FDE"/>
    <w:rsid w:val="004450B0"/>
    <w:rsid w:val="00445364"/>
    <w:rsid w:val="0044558F"/>
    <w:rsid w:val="00445AF4"/>
    <w:rsid w:val="00446156"/>
    <w:rsid w:val="00446236"/>
    <w:rsid w:val="004462C7"/>
    <w:rsid w:val="00446320"/>
    <w:rsid w:val="004469BD"/>
    <w:rsid w:val="00447453"/>
    <w:rsid w:val="0045156C"/>
    <w:rsid w:val="00452069"/>
    <w:rsid w:val="00452BD9"/>
    <w:rsid w:val="00452F0A"/>
    <w:rsid w:val="0045309E"/>
    <w:rsid w:val="0045315F"/>
    <w:rsid w:val="0045335F"/>
    <w:rsid w:val="00453440"/>
    <w:rsid w:val="0045369F"/>
    <w:rsid w:val="004537CF"/>
    <w:rsid w:val="00453A6E"/>
    <w:rsid w:val="00453B95"/>
    <w:rsid w:val="00453DC8"/>
    <w:rsid w:val="00454137"/>
    <w:rsid w:val="004545CF"/>
    <w:rsid w:val="004546DD"/>
    <w:rsid w:val="00454F76"/>
    <w:rsid w:val="00456E0B"/>
    <w:rsid w:val="00456F85"/>
    <w:rsid w:val="00457B6E"/>
    <w:rsid w:val="00457BDC"/>
    <w:rsid w:val="00457EB1"/>
    <w:rsid w:val="00457F7A"/>
    <w:rsid w:val="0046088E"/>
    <w:rsid w:val="0046097E"/>
    <w:rsid w:val="004610FD"/>
    <w:rsid w:val="00461177"/>
    <w:rsid w:val="00461A2D"/>
    <w:rsid w:val="00461A32"/>
    <w:rsid w:val="00461BC3"/>
    <w:rsid w:val="00462051"/>
    <w:rsid w:val="004623B2"/>
    <w:rsid w:val="00462E6F"/>
    <w:rsid w:val="00462F39"/>
    <w:rsid w:val="004633BA"/>
    <w:rsid w:val="00463651"/>
    <w:rsid w:val="004638A4"/>
    <w:rsid w:val="00463A7E"/>
    <w:rsid w:val="00463C12"/>
    <w:rsid w:val="00463FB2"/>
    <w:rsid w:val="00464DC3"/>
    <w:rsid w:val="00464F2A"/>
    <w:rsid w:val="004650EA"/>
    <w:rsid w:val="004652D2"/>
    <w:rsid w:val="004659F3"/>
    <w:rsid w:val="00465DEE"/>
    <w:rsid w:val="00465EF5"/>
    <w:rsid w:val="0046635B"/>
    <w:rsid w:val="004670E1"/>
    <w:rsid w:val="00467821"/>
    <w:rsid w:val="0046792F"/>
    <w:rsid w:val="0047064C"/>
    <w:rsid w:val="00471504"/>
    <w:rsid w:val="0047156F"/>
    <w:rsid w:val="00471A12"/>
    <w:rsid w:val="00471D53"/>
    <w:rsid w:val="00471F5F"/>
    <w:rsid w:val="004720F4"/>
    <w:rsid w:val="00472256"/>
    <w:rsid w:val="0047252C"/>
    <w:rsid w:val="0047283F"/>
    <w:rsid w:val="00472E88"/>
    <w:rsid w:val="004731EC"/>
    <w:rsid w:val="004732B4"/>
    <w:rsid w:val="0047388D"/>
    <w:rsid w:val="004738AC"/>
    <w:rsid w:val="00473C88"/>
    <w:rsid w:val="004744F1"/>
    <w:rsid w:val="0047455F"/>
    <w:rsid w:val="00474677"/>
    <w:rsid w:val="004746EB"/>
    <w:rsid w:val="00474974"/>
    <w:rsid w:val="00475159"/>
    <w:rsid w:val="00475B7A"/>
    <w:rsid w:val="00475B93"/>
    <w:rsid w:val="00475D13"/>
    <w:rsid w:val="00476240"/>
    <w:rsid w:val="004762CF"/>
    <w:rsid w:val="0047679E"/>
    <w:rsid w:val="00476A98"/>
    <w:rsid w:val="00476DE9"/>
    <w:rsid w:val="0047710B"/>
    <w:rsid w:val="00477193"/>
    <w:rsid w:val="00477363"/>
    <w:rsid w:val="004774D3"/>
    <w:rsid w:val="004774DC"/>
    <w:rsid w:val="004777A3"/>
    <w:rsid w:val="004778D0"/>
    <w:rsid w:val="00477C9C"/>
    <w:rsid w:val="00477E7A"/>
    <w:rsid w:val="00477FC8"/>
    <w:rsid w:val="0048010F"/>
    <w:rsid w:val="00480A09"/>
    <w:rsid w:val="00481EAA"/>
    <w:rsid w:val="00482024"/>
    <w:rsid w:val="004824E1"/>
    <w:rsid w:val="0048298F"/>
    <w:rsid w:val="00482EEE"/>
    <w:rsid w:val="0048320A"/>
    <w:rsid w:val="0048357B"/>
    <w:rsid w:val="004836C9"/>
    <w:rsid w:val="004838B3"/>
    <w:rsid w:val="00483990"/>
    <w:rsid w:val="00483EE3"/>
    <w:rsid w:val="00484266"/>
    <w:rsid w:val="00484491"/>
    <w:rsid w:val="0048458B"/>
    <w:rsid w:val="004845C9"/>
    <w:rsid w:val="0048465E"/>
    <w:rsid w:val="004849B0"/>
    <w:rsid w:val="00484C60"/>
    <w:rsid w:val="00484CDA"/>
    <w:rsid w:val="00484CE6"/>
    <w:rsid w:val="0048602A"/>
    <w:rsid w:val="004863F2"/>
    <w:rsid w:val="00487582"/>
    <w:rsid w:val="00487CA0"/>
    <w:rsid w:val="0049022B"/>
    <w:rsid w:val="00490BF5"/>
    <w:rsid w:val="00490E17"/>
    <w:rsid w:val="00491607"/>
    <w:rsid w:val="00492116"/>
    <w:rsid w:val="0049220A"/>
    <w:rsid w:val="004922D2"/>
    <w:rsid w:val="00492323"/>
    <w:rsid w:val="004925EB"/>
    <w:rsid w:val="00492797"/>
    <w:rsid w:val="004935BB"/>
    <w:rsid w:val="004938C6"/>
    <w:rsid w:val="0049396D"/>
    <w:rsid w:val="00493A7D"/>
    <w:rsid w:val="00493E76"/>
    <w:rsid w:val="0049403A"/>
    <w:rsid w:val="00494358"/>
    <w:rsid w:val="0049447A"/>
    <w:rsid w:val="004949CE"/>
    <w:rsid w:val="00494EBF"/>
    <w:rsid w:val="0049589A"/>
    <w:rsid w:val="0049629B"/>
    <w:rsid w:val="00497E9D"/>
    <w:rsid w:val="004A077A"/>
    <w:rsid w:val="004A091F"/>
    <w:rsid w:val="004A096B"/>
    <w:rsid w:val="004A0F8F"/>
    <w:rsid w:val="004A0FD4"/>
    <w:rsid w:val="004A1168"/>
    <w:rsid w:val="004A14BF"/>
    <w:rsid w:val="004A1601"/>
    <w:rsid w:val="004A1797"/>
    <w:rsid w:val="004A1923"/>
    <w:rsid w:val="004A1E57"/>
    <w:rsid w:val="004A27F2"/>
    <w:rsid w:val="004A293C"/>
    <w:rsid w:val="004A2B88"/>
    <w:rsid w:val="004A2C09"/>
    <w:rsid w:val="004A2C55"/>
    <w:rsid w:val="004A2E1E"/>
    <w:rsid w:val="004A326B"/>
    <w:rsid w:val="004A3881"/>
    <w:rsid w:val="004A3F5F"/>
    <w:rsid w:val="004A4064"/>
    <w:rsid w:val="004A4093"/>
    <w:rsid w:val="004A44E6"/>
    <w:rsid w:val="004A44E9"/>
    <w:rsid w:val="004A4618"/>
    <w:rsid w:val="004A47D3"/>
    <w:rsid w:val="004A47E8"/>
    <w:rsid w:val="004A4A34"/>
    <w:rsid w:val="004A4AD2"/>
    <w:rsid w:val="004A4B2E"/>
    <w:rsid w:val="004A4C61"/>
    <w:rsid w:val="004A4D3C"/>
    <w:rsid w:val="004A54C7"/>
    <w:rsid w:val="004A5C52"/>
    <w:rsid w:val="004A62FF"/>
    <w:rsid w:val="004A65A6"/>
    <w:rsid w:val="004A6856"/>
    <w:rsid w:val="004A68DA"/>
    <w:rsid w:val="004A6ED3"/>
    <w:rsid w:val="004A71AC"/>
    <w:rsid w:val="004A759E"/>
    <w:rsid w:val="004A75A3"/>
    <w:rsid w:val="004A7607"/>
    <w:rsid w:val="004B0952"/>
    <w:rsid w:val="004B0B5E"/>
    <w:rsid w:val="004B0C77"/>
    <w:rsid w:val="004B0DCD"/>
    <w:rsid w:val="004B1147"/>
    <w:rsid w:val="004B1913"/>
    <w:rsid w:val="004B2398"/>
    <w:rsid w:val="004B2525"/>
    <w:rsid w:val="004B26E4"/>
    <w:rsid w:val="004B2C02"/>
    <w:rsid w:val="004B30DC"/>
    <w:rsid w:val="004B3C08"/>
    <w:rsid w:val="004B3CDA"/>
    <w:rsid w:val="004B40CF"/>
    <w:rsid w:val="004B4320"/>
    <w:rsid w:val="004B4520"/>
    <w:rsid w:val="004B4FDC"/>
    <w:rsid w:val="004B4FF9"/>
    <w:rsid w:val="004B565B"/>
    <w:rsid w:val="004B5EED"/>
    <w:rsid w:val="004B60AB"/>
    <w:rsid w:val="004B6152"/>
    <w:rsid w:val="004B62DE"/>
    <w:rsid w:val="004B673D"/>
    <w:rsid w:val="004B6F73"/>
    <w:rsid w:val="004B78AB"/>
    <w:rsid w:val="004B7EBC"/>
    <w:rsid w:val="004C0333"/>
    <w:rsid w:val="004C047D"/>
    <w:rsid w:val="004C1779"/>
    <w:rsid w:val="004C20BB"/>
    <w:rsid w:val="004C2579"/>
    <w:rsid w:val="004C26C1"/>
    <w:rsid w:val="004C2CDF"/>
    <w:rsid w:val="004C3F8F"/>
    <w:rsid w:val="004C4B45"/>
    <w:rsid w:val="004C4D0E"/>
    <w:rsid w:val="004C52B0"/>
    <w:rsid w:val="004C5C0D"/>
    <w:rsid w:val="004C5D62"/>
    <w:rsid w:val="004C6105"/>
    <w:rsid w:val="004C6289"/>
    <w:rsid w:val="004C65C3"/>
    <w:rsid w:val="004C6837"/>
    <w:rsid w:val="004C6ED5"/>
    <w:rsid w:val="004C7867"/>
    <w:rsid w:val="004C788E"/>
    <w:rsid w:val="004C7D77"/>
    <w:rsid w:val="004C7FB8"/>
    <w:rsid w:val="004D0453"/>
    <w:rsid w:val="004D0692"/>
    <w:rsid w:val="004D26E1"/>
    <w:rsid w:val="004D2745"/>
    <w:rsid w:val="004D2B29"/>
    <w:rsid w:val="004D2D24"/>
    <w:rsid w:val="004D2E5F"/>
    <w:rsid w:val="004D2E84"/>
    <w:rsid w:val="004D347E"/>
    <w:rsid w:val="004D34B3"/>
    <w:rsid w:val="004D3625"/>
    <w:rsid w:val="004D3DAD"/>
    <w:rsid w:val="004D4EA7"/>
    <w:rsid w:val="004D50C3"/>
    <w:rsid w:val="004D55A1"/>
    <w:rsid w:val="004D5D7D"/>
    <w:rsid w:val="004D60E5"/>
    <w:rsid w:val="004D67E9"/>
    <w:rsid w:val="004D6C93"/>
    <w:rsid w:val="004D6D04"/>
    <w:rsid w:val="004D6E78"/>
    <w:rsid w:val="004D7197"/>
    <w:rsid w:val="004D76BE"/>
    <w:rsid w:val="004D7927"/>
    <w:rsid w:val="004E07C0"/>
    <w:rsid w:val="004E0902"/>
    <w:rsid w:val="004E0BEC"/>
    <w:rsid w:val="004E0C50"/>
    <w:rsid w:val="004E1553"/>
    <w:rsid w:val="004E19C9"/>
    <w:rsid w:val="004E19D4"/>
    <w:rsid w:val="004E2371"/>
    <w:rsid w:val="004E348B"/>
    <w:rsid w:val="004E3556"/>
    <w:rsid w:val="004E35D0"/>
    <w:rsid w:val="004E3B6A"/>
    <w:rsid w:val="004E420E"/>
    <w:rsid w:val="004E47C1"/>
    <w:rsid w:val="004E4818"/>
    <w:rsid w:val="004E49A0"/>
    <w:rsid w:val="004E4B71"/>
    <w:rsid w:val="004E5311"/>
    <w:rsid w:val="004E54B6"/>
    <w:rsid w:val="004E56C5"/>
    <w:rsid w:val="004E5EB5"/>
    <w:rsid w:val="004E639E"/>
    <w:rsid w:val="004E6A15"/>
    <w:rsid w:val="004E6C36"/>
    <w:rsid w:val="004E73B7"/>
    <w:rsid w:val="004E7E58"/>
    <w:rsid w:val="004F0242"/>
    <w:rsid w:val="004F0E49"/>
    <w:rsid w:val="004F160D"/>
    <w:rsid w:val="004F16D3"/>
    <w:rsid w:val="004F191D"/>
    <w:rsid w:val="004F1AD0"/>
    <w:rsid w:val="004F20AB"/>
    <w:rsid w:val="004F273E"/>
    <w:rsid w:val="004F2A34"/>
    <w:rsid w:val="004F2A70"/>
    <w:rsid w:val="004F2C1A"/>
    <w:rsid w:val="004F36E9"/>
    <w:rsid w:val="004F3736"/>
    <w:rsid w:val="004F3901"/>
    <w:rsid w:val="004F3C97"/>
    <w:rsid w:val="004F3D40"/>
    <w:rsid w:val="004F3E55"/>
    <w:rsid w:val="004F3EE7"/>
    <w:rsid w:val="004F4AD3"/>
    <w:rsid w:val="004F4CA3"/>
    <w:rsid w:val="004F4DB2"/>
    <w:rsid w:val="004F531C"/>
    <w:rsid w:val="004F5781"/>
    <w:rsid w:val="004F6379"/>
    <w:rsid w:val="004F63DE"/>
    <w:rsid w:val="004F6B78"/>
    <w:rsid w:val="004F6C9D"/>
    <w:rsid w:val="004F70A5"/>
    <w:rsid w:val="004F7119"/>
    <w:rsid w:val="004F73A6"/>
    <w:rsid w:val="004F7C71"/>
    <w:rsid w:val="004F7DDA"/>
    <w:rsid w:val="004F7E8A"/>
    <w:rsid w:val="00500034"/>
    <w:rsid w:val="005005D5"/>
    <w:rsid w:val="005006C3"/>
    <w:rsid w:val="00500B4F"/>
    <w:rsid w:val="00500D10"/>
    <w:rsid w:val="00500F89"/>
    <w:rsid w:val="005010CA"/>
    <w:rsid w:val="00501258"/>
    <w:rsid w:val="00501813"/>
    <w:rsid w:val="0050183B"/>
    <w:rsid w:val="00501938"/>
    <w:rsid w:val="005019EA"/>
    <w:rsid w:val="00502A11"/>
    <w:rsid w:val="00502AD0"/>
    <w:rsid w:val="0050332B"/>
    <w:rsid w:val="005034E0"/>
    <w:rsid w:val="0050357A"/>
    <w:rsid w:val="0050360A"/>
    <w:rsid w:val="00503677"/>
    <w:rsid w:val="005038AD"/>
    <w:rsid w:val="005039DB"/>
    <w:rsid w:val="00503B63"/>
    <w:rsid w:val="0050471A"/>
    <w:rsid w:val="00504BF6"/>
    <w:rsid w:val="00504F09"/>
    <w:rsid w:val="0050631C"/>
    <w:rsid w:val="00506503"/>
    <w:rsid w:val="00506B0F"/>
    <w:rsid w:val="00506C77"/>
    <w:rsid w:val="005070C5"/>
    <w:rsid w:val="005076D6"/>
    <w:rsid w:val="00507AAE"/>
    <w:rsid w:val="00507EB5"/>
    <w:rsid w:val="00510979"/>
    <w:rsid w:val="00510C35"/>
    <w:rsid w:val="00510CA4"/>
    <w:rsid w:val="00510E31"/>
    <w:rsid w:val="00511129"/>
    <w:rsid w:val="0051191A"/>
    <w:rsid w:val="00511B42"/>
    <w:rsid w:val="00512671"/>
    <w:rsid w:val="005129AE"/>
    <w:rsid w:val="00512A14"/>
    <w:rsid w:val="00512F5A"/>
    <w:rsid w:val="005130DC"/>
    <w:rsid w:val="00513413"/>
    <w:rsid w:val="005136C6"/>
    <w:rsid w:val="00513820"/>
    <w:rsid w:val="00513C22"/>
    <w:rsid w:val="00513F91"/>
    <w:rsid w:val="00513FE7"/>
    <w:rsid w:val="0051408C"/>
    <w:rsid w:val="005142A1"/>
    <w:rsid w:val="00514AE1"/>
    <w:rsid w:val="00514BBC"/>
    <w:rsid w:val="00514C03"/>
    <w:rsid w:val="00514DCA"/>
    <w:rsid w:val="00514E00"/>
    <w:rsid w:val="0051530E"/>
    <w:rsid w:val="005159A9"/>
    <w:rsid w:val="00515D38"/>
    <w:rsid w:val="005167C9"/>
    <w:rsid w:val="00516C63"/>
    <w:rsid w:val="00516F40"/>
    <w:rsid w:val="005178A5"/>
    <w:rsid w:val="00517B3C"/>
    <w:rsid w:val="00517DF7"/>
    <w:rsid w:val="00517FB1"/>
    <w:rsid w:val="00520077"/>
    <w:rsid w:val="00520759"/>
    <w:rsid w:val="005209AC"/>
    <w:rsid w:val="00520C58"/>
    <w:rsid w:val="00521251"/>
    <w:rsid w:val="005212A1"/>
    <w:rsid w:val="00521E9E"/>
    <w:rsid w:val="0052217F"/>
    <w:rsid w:val="00522404"/>
    <w:rsid w:val="00522964"/>
    <w:rsid w:val="00522A51"/>
    <w:rsid w:val="00522B7A"/>
    <w:rsid w:val="00522D23"/>
    <w:rsid w:val="005233EB"/>
    <w:rsid w:val="00523D3E"/>
    <w:rsid w:val="00523D87"/>
    <w:rsid w:val="00523DE1"/>
    <w:rsid w:val="005241E5"/>
    <w:rsid w:val="005247C4"/>
    <w:rsid w:val="00524881"/>
    <w:rsid w:val="00525065"/>
    <w:rsid w:val="005253A1"/>
    <w:rsid w:val="0052668E"/>
    <w:rsid w:val="005267CB"/>
    <w:rsid w:val="00526DC8"/>
    <w:rsid w:val="00526FD3"/>
    <w:rsid w:val="0052750A"/>
    <w:rsid w:val="0052787C"/>
    <w:rsid w:val="005278E6"/>
    <w:rsid w:val="00527966"/>
    <w:rsid w:val="00527CAF"/>
    <w:rsid w:val="00527E48"/>
    <w:rsid w:val="005300A4"/>
    <w:rsid w:val="00530874"/>
    <w:rsid w:val="00530890"/>
    <w:rsid w:val="00530E70"/>
    <w:rsid w:val="005311BD"/>
    <w:rsid w:val="005312A6"/>
    <w:rsid w:val="0053182D"/>
    <w:rsid w:val="00532117"/>
    <w:rsid w:val="005322CD"/>
    <w:rsid w:val="00532A93"/>
    <w:rsid w:val="00532D47"/>
    <w:rsid w:val="005330A3"/>
    <w:rsid w:val="005338EE"/>
    <w:rsid w:val="005345E1"/>
    <w:rsid w:val="00534692"/>
    <w:rsid w:val="0053522D"/>
    <w:rsid w:val="00535DE6"/>
    <w:rsid w:val="00535E32"/>
    <w:rsid w:val="00535EC9"/>
    <w:rsid w:val="0053606F"/>
    <w:rsid w:val="005362C0"/>
    <w:rsid w:val="005362F3"/>
    <w:rsid w:val="00536454"/>
    <w:rsid w:val="00536615"/>
    <w:rsid w:val="00536E4D"/>
    <w:rsid w:val="00536E61"/>
    <w:rsid w:val="00536EB3"/>
    <w:rsid w:val="00537AEA"/>
    <w:rsid w:val="00537B32"/>
    <w:rsid w:val="00537C1C"/>
    <w:rsid w:val="005405B2"/>
    <w:rsid w:val="005408D5"/>
    <w:rsid w:val="00540DE4"/>
    <w:rsid w:val="00540EA4"/>
    <w:rsid w:val="0054101D"/>
    <w:rsid w:val="00541535"/>
    <w:rsid w:val="00541958"/>
    <w:rsid w:val="005421B2"/>
    <w:rsid w:val="00543B58"/>
    <w:rsid w:val="00543F1C"/>
    <w:rsid w:val="0054511D"/>
    <w:rsid w:val="0054516A"/>
    <w:rsid w:val="005455E7"/>
    <w:rsid w:val="005455FF"/>
    <w:rsid w:val="00545C6F"/>
    <w:rsid w:val="0054684B"/>
    <w:rsid w:val="00546BC2"/>
    <w:rsid w:val="00546EB8"/>
    <w:rsid w:val="00547392"/>
    <w:rsid w:val="00547944"/>
    <w:rsid w:val="00547ABF"/>
    <w:rsid w:val="00547B46"/>
    <w:rsid w:val="00547CFE"/>
    <w:rsid w:val="00550034"/>
    <w:rsid w:val="0055016E"/>
    <w:rsid w:val="005502B1"/>
    <w:rsid w:val="005511AD"/>
    <w:rsid w:val="00551642"/>
    <w:rsid w:val="005517BB"/>
    <w:rsid w:val="00551874"/>
    <w:rsid w:val="005518AF"/>
    <w:rsid w:val="00551F1E"/>
    <w:rsid w:val="005521E5"/>
    <w:rsid w:val="00552447"/>
    <w:rsid w:val="00552693"/>
    <w:rsid w:val="005528FA"/>
    <w:rsid w:val="005529EE"/>
    <w:rsid w:val="00552E18"/>
    <w:rsid w:val="00553248"/>
    <w:rsid w:val="00553772"/>
    <w:rsid w:val="00553D76"/>
    <w:rsid w:val="00554172"/>
    <w:rsid w:val="00554F4C"/>
    <w:rsid w:val="00555396"/>
    <w:rsid w:val="005553A2"/>
    <w:rsid w:val="00555801"/>
    <w:rsid w:val="0055593B"/>
    <w:rsid w:val="00555A7C"/>
    <w:rsid w:val="00555B1C"/>
    <w:rsid w:val="00555BFC"/>
    <w:rsid w:val="00555EC1"/>
    <w:rsid w:val="0055609F"/>
    <w:rsid w:val="005561BB"/>
    <w:rsid w:val="00556619"/>
    <w:rsid w:val="005569E2"/>
    <w:rsid w:val="00556DD5"/>
    <w:rsid w:val="00556E49"/>
    <w:rsid w:val="00556F68"/>
    <w:rsid w:val="00557225"/>
    <w:rsid w:val="00557B01"/>
    <w:rsid w:val="00560373"/>
    <w:rsid w:val="00560E68"/>
    <w:rsid w:val="00560FEA"/>
    <w:rsid w:val="005626A1"/>
    <w:rsid w:val="00562946"/>
    <w:rsid w:val="0056325D"/>
    <w:rsid w:val="005634A3"/>
    <w:rsid w:val="005637D6"/>
    <w:rsid w:val="00563863"/>
    <w:rsid w:val="00563922"/>
    <w:rsid w:val="00563999"/>
    <w:rsid w:val="00563E68"/>
    <w:rsid w:val="00563E8C"/>
    <w:rsid w:val="00563EAD"/>
    <w:rsid w:val="00564694"/>
    <w:rsid w:val="00564741"/>
    <w:rsid w:val="00564B6B"/>
    <w:rsid w:val="00564E53"/>
    <w:rsid w:val="005654D7"/>
    <w:rsid w:val="005658DB"/>
    <w:rsid w:val="0056599D"/>
    <w:rsid w:val="00566367"/>
    <w:rsid w:val="00566498"/>
    <w:rsid w:val="005664A7"/>
    <w:rsid w:val="005669D2"/>
    <w:rsid w:val="00566AEA"/>
    <w:rsid w:val="00567382"/>
    <w:rsid w:val="005675CB"/>
    <w:rsid w:val="005677DA"/>
    <w:rsid w:val="00570181"/>
    <w:rsid w:val="00570631"/>
    <w:rsid w:val="005709DF"/>
    <w:rsid w:val="00570B67"/>
    <w:rsid w:val="00570C58"/>
    <w:rsid w:val="0057143E"/>
    <w:rsid w:val="0057169A"/>
    <w:rsid w:val="005716C0"/>
    <w:rsid w:val="00571A81"/>
    <w:rsid w:val="00571D42"/>
    <w:rsid w:val="00572246"/>
    <w:rsid w:val="005723B1"/>
    <w:rsid w:val="0057245A"/>
    <w:rsid w:val="00572685"/>
    <w:rsid w:val="005729CB"/>
    <w:rsid w:val="00572A2C"/>
    <w:rsid w:val="00573DBE"/>
    <w:rsid w:val="00573FD8"/>
    <w:rsid w:val="005742DD"/>
    <w:rsid w:val="0057452E"/>
    <w:rsid w:val="00574569"/>
    <w:rsid w:val="00574863"/>
    <w:rsid w:val="005757BA"/>
    <w:rsid w:val="00575B10"/>
    <w:rsid w:val="00575C05"/>
    <w:rsid w:val="00575CE4"/>
    <w:rsid w:val="0057666C"/>
    <w:rsid w:val="005771F2"/>
    <w:rsid w:val="0057726F"/>
    <w:rsid w:val="00577377"/>
    <w:rsid w:val="005773D5"/>
    <w:rsid w:val="005773F1"/>
    <w:rsid w:val="00580089"/>
    <w:rsid w:val="005807AA"/>
    <w:rsid w:val="00580869"/>
    <w:rsid w:val="00580B60"/>
    <w:rsid w:val="00580DCA"/>
    <w:rsid w:val="00580FC6"/>
    <w:rsid w:val="0058150C"/>
    <w:rsid w:val="00581589"/>
    <w:rsid w:val="00581CB9"/>
    <w:rsid w:val="00581E7C"/>
    <w:rsid w:val="005825BB"/>
    <w:rsid w:val="005827DD"/>
    <w:rsid w:val="00582A36"/>
    <w:rsid w:val="00582B9B"/>
    <w:rsid w:val="00582C78"/>
    <w:rsid w:val="0058306D"/>
    <w:rsid w:val="00583793"/>
    <w:rsid w:val="005838BB"/>
    <w:rsid w:val="00583B0E"/>
    <w:rsid w:val="00583B90"/>
    <w:rsid w:val="00583F3E"/>
    <w:rsid w:val="005843DE"/>
    <w:rsid w:val="005845B8"/>
    <w:rsid w:val="005853B6"/>
    <w:rsid w:val="005855DE"/>
    <w:rsid w:val="00585886"/>
    <w:rsid w:val="005859DE"/>
    <w:rsid w:val="00585ACA"/>
    <w:rsid w:val="0058689D"/>
    <w:rsid w:val="00586C3F"/>
    <w:rsid w:val="00586C44"/>
    <w:rsid w:val="005876AE"/>
    <w:rsid w:val="00587764"/>
    <w:rsid w:val="00587DDA"/>
    <w:rsid w:val="00590285"/>
    <w:rsid w:val="00590C38"/>
    <w:rsid w:val="0059137E"/>
    <w:rsid w:val="00591AF3"/>
    <w:rsid w:val="0059228B"/>
    <w:rsid w:val="00592406"/>
    <w:rsid w:val="005924AA"/>
    <w:rsid w:val="00592792"/>
    <w:rsid w:val="005927C6"/>
    <w:rsid w:val="00592B32"/>
    <w:rsid w:val="00592D47"/>
    <w:rsid w:val="0059331C"/>
    <w:rsid w:val="00593401"/>
    <w:rsid w:val="0059365F"/>
    <w:rsid w:val="0059378E"/>
    <w:rsid w:val="0059387C"/>
    <w:rsid w:val="00593AEA"/>
    <w:rsid w:val="005952AD"/>
    <w:rsid w:val="005952BD"/>
    <w:rsid w:val="00595385"/>
    <w:rsid w:val="0059554D"/>
    <w:rsid w:val="00595A3F"/>
    <w:rsid w:val="00595BB5"/>
    <w:rsid w:val="00595EBD"/>
    <w:rsid w:val="0059643F"/>
    <w:rsid w:val="00596571"/>
    <w:rsid w:val="005968E8"/>
    <w:rsid w:val="00596C75"/>
    <w:rsid w:val="00597281"/>
    <w:rsid w:val="005975C8"/>
    <w:rsid w:val="005977EE"/>
    <w:rsid w:val="005978B9"/>
    <w:rsid w:val="005A010D"/>
    <w:rsid w:val="005A040E"/>
    <w:rsid w:val="005A0581"/>
    <w:rsid w:val="005A065B"/>
    <w:rsid w:val="005A0708"/>
    <w:rsid w:val="005A0A7D"/>
    <w:rsid w:val="005A0D19"/>
    <w:rsid w:val="005A0E43"/>
    <w:rsid w:val="005A0F74"/>
    <w:rsid w:val="005A0F84"/>
    <w:rsid w:val="005A0FA1"/>
    <w:rsid w:val="005A11A3"/>
    <w:rsid w:val="005A1B97"/>
    <w:rsid w:val="005A2513"/>
    <w:rsid w:val="005A2848"/>
    <w:rsid w:val="005A28A5"/>
    <w:rsid w:val="005A29DB"/>
    <w:rsid w:val="005A2A1B"/>
    <w:rsid w:val="005A2F58"/>
    <w:rsid w:val="005A3A53"/>
    <w:rsid w:val="005A4144"/>
    <w:rsid w:val="005A4245"/>
    <w:rsid w:val="005A4282"/>
    <w:rsid w:val="005A4454"/>
    <w:rsid w:val="005A50DC"/>
    <w:rsid w:val="005A54A7"/>
    <w:rsid w:val="005A54C7"/>
    <w:rsid w:val="005A56E8"/>
    <w:rsid w:val="005A5F72"/>
    <w:rsid w:val="005A642F"/>
    <w:rsid w:val="005A650E"/>
    <w:rsid w:val="005A6626"/>
    <w:rsid w:val="005A676E"/>
    <w:rsid w:val="005A6F34"/>
    <w:rsid w:val="005A7081"/>
    <w:rsid w:val="005A7419"/>
    <w:rsid w:val="005A7C84"/>
    <w:rsid w:val="005A7E9F"/>
    <w:rsid w:val="005B037C"/>
    <w:rsid w:val="005B042C"/>
    <w:rsid w:val="005B066D"/>
    <w:rsid w:val="005B0694"/>
    <w:rsid w:val="005B086B"/>
    <w:rsid w:val="005B08DA"/>
    <w:rsid w:val="005B09D6"/>
    <w:rsid w:val="005B0BFF"/>
    <w:rsid w:val="005B15BD"/>
    <w:rsid w:val="005B15EC"/>
    <w:rsid w:val="005B1744"/>
    <w:rsid w:val="005B19FC"/>
    <w:rsid w:val="005B1A4F"/>
    <w:rsid w:val="005B1C2A"/>
    <w:rsid w:val="005B1F65"/>
    <w:rsid w:val="005B23AD"/>
    <w:rsid w:val="005B2BEB"/>
    <w:rsid w:val="005B2CA4"/>
    <w:rsid w:val="005B2E4D"/>
    <w:rsid w:val="005B2EA4"/>
    <w:rsid w:val="005B3BB6"/>
    <w:rsid w:val="005B4318"/>
    <w:rsid w:val="005B433B"/>
    <w:rsid w:val="005B47EE"/>
    <w:rsid w:val="005B4A39"/>
    <w:rsid w:val="005B4EBA"/>
    <w:rsid w:val="005B52B1"/>
    <w:rsid w:val="005B58D9"/>
    <w:rsid w:val="005B5DEA"/>
    <w:rsid w:val="005B5DF8"/>
    <w:rsid w:val="005B61BB"/>
    <w:rsid w:val="005B6A1C"/>
    <w:rsid w:val="005B6DEB"/>
    <w:rsid w:val="005B6EC7"/>
    <w:rsid w:val="005B70D5"/>
    <w:rsid w:val="005B7717"/>
    <w:rsid w:val="005C0552"/>
    <w:rsid w:val="005C05FD"/>
    <w:rsid w:val="005C09C3"/>
    <w:rsid w:val="005C0C31"/>
    <w:rsid w:val="005C0CA1"/>
    <w:rsid w:val="005C16C1"/>
    <w:rsid w:val="005C16D7"/>
    <w:rsid w:val="005C1709"/>
    <w:rsid w:val="005C1725"/>
    <w:rsid w:val="005C1726"/>
    <w:rsid w:val="005C1C90"/>
    <w:rsid w:val="005C200B"/>
    <w:rsid w:val="005C20F2"/>
    <w:rsid w:val="005C21BE"/>
    <w:rsid w:val="005C258D"/>
    <w:rsid w:val="005C28C3"/>
    <w:rsid w:val="005C2C53"/>
    <w:rsid w:val="005C2F7F"/>
    <w:rsid w:val="005C3A71"/>
    <w:rsid w:val="005C439D"/>
    <w:rsid w:val="005C44C9"/>
    <w:rsid w:val="005C45E0"/>
    <w:rsid w:val="005C469B"/>
    <w:rsid w:val="005C4E5F"/>
    <w:rsid w:val="005C5749"/>
    <w:rsid w:val="005C590E"/>
    <w:rsid w:val="005C5C6E"/>
    <w:rsid w:val="005C6286"/>
    <w:rsid w:val="005C65CD"/>
    <w:rsid w:val="005C6813"/>
    <w:rsid w:val="005C68BB"/>
    <w:rsid w:val="005C6D7F"/>
    <w:rsid w:val="005C7316"/>
    <w:rsid w:val="005C768E"/>
    <w:rsid w:val="005C79A3"/>
    <w:rsid w:val="005C79C0"/>
    <w:rsid w:val="005D0211"/>
    <w:rsid w:val="005D0668"/>
    <w:rsid w:val="005D0A45"/>
    <w:rsid w:val="005D0AF9"/>
    <w:rsid w:val="005D0DFD"/>
    <w:rsid w:val="005D0EC8"/>
    <w:rsid w:val="005D16B1"/>
    <w:rsid w:val="005D1885"/>
    <w:rsid w:val="005D1943"/>
    <w:rsid w:val="005D19F8"/>
    <w:rsid w:val="005D1AC9"/>
    <w:rsid w:val="005D1C9A"/>
    <w:rsid w:val="005D1CC1"/>
    <w:rsid w:val="005D22D4"/>
    <w:rsid w:val="005D234F"/>
    <w:rsid w:val="005D259E"/>
    <w:rsid w:val="005D2B3B"/>
    <w:rsid w:val="005D2BA4"/>
    <w:rsid w:val="005D2D0E"/>
    <w:rsid w:val="005D2ED2"/>
    <w:rsid w:val="005D2F0E"/>
    <w:rsid w:val="005D2F9F"/>
    <w:rsid w:val="005D2FEE"/>
    <w:rsid w:val="005D3516"/>
    <w:rsid w:val="005D3598"/>
    <w:rsid w:val="005D3940"/>
    <w:rsid w:val="005D4004"/>
    <w:rsid w:val="005D407B"/>
    <w:rsid w:val="005D4115"/>
    <w:rsid w:val="005D4560"/>
    <w:rsid w:val="005D48AD"/>
    <w:rsid w:val="005D4F2F"/>
    <w:rsid w:val="005D5088"/>
    <w:rsid w:val="005D592B"/>
    <w:rsid w:val="005D5A92"/>
    <w:rsid w:val="005D6848"/>
    <w:rsid w:val="005D706C"/>
    <w:rsid w:val="005D71E6"/>
    <w:rsid w:val="005D7479"/>
    <w:rsid w:val="005D75C7"/>
    <w:rsid w:val="005D761B"/>
    <w:rsid w:val="005D7681"/>
    <w:rsid w:val="005D78F2"/>
    <w:rsid w:val="005D7AC6"/>
    <w:rsid w:val="005E0113"/>
    <w:rsid w:val="005E056C"/>
    <w:rsid w:val="005E08C5"/>
    <w:rsid w:val="005E08E7"/>
    <w:rsid w:val="005E0BA2"/>
    <w:rsid w:val="005E1010"/>
    <w:rsid w:val="005E1C5E"/>
    <w:rsid w:val="005E2269"/>
    <w:rsid w:val="005E2B2A"/>
    <w:rsid w:val="005E2DFB"/>
    <w:rsid w:val="005E32C1"/>
    <w:rsid w:val="005E338A"/>
    <w:rsid w:val="005E3475"/>
    <w:rsid w:val="005E3632"/>
    <w:rsid w:val="005E4359"/>
    <w:rsid w:val="005E43BA"/>
    <w:rsid w:val="005E4638"/>
    <w:rsid w:val="005E4C69"/>
    <w:rsid w:val="005E4DC4"/>
    <w:rsid w:val="005E51AC"/>
    <w:rsid w:val="005E5AC2"/>
    <w:rsid w:val="005E5B0A"/>
    <w:rsid w:val="005E5E4B"/>
    <w:rsid w:val="005E608C"/>
    <w:rsid w:val="005E616B"/>
    <w:rsid w:val="005E6910"/>
    <w:rsid w:val="005E6D96"/>
    <w:rsid w:val="005E705C"/>
    <w:rsid w:val="005E76B8"/>
    <w:rsid w:val="005E7765"/>
    <w:rsid w:val="005E7C86"/>
    <w:rsid w:val="005E7E1B"/>
    <w:rsid w:val="005E7FC8"/>
    <w:rsid w:val="005F1A43"/>
    <w:rsid w:val="005F1FA1"/>
    <w:rsid w:val="005F2279"/>
    <w:rsid w:val="005F22DA"/>
    <w:rsid w:val="005F2B5B"/>
    <w:rsid w:val="005F2D59"/>
    <w:rsid w:val="005F2FB5"/>
    <w:rsid w:val="005F30AA"/>
    <w:rsid w:val="005F31E5"/>
    <w:rsid w:val="005F361A"/>
    <w:rsid w:val="005F4247"/>
    <w:rsid w:val="005F4E9B"/>
    <w:rsid w:val="005F5139"/>
    <w:rsid w:val="005F51F9"/>
    <w:rsid w:val="005F549A"/>
    <w:rsid w:val="005F565B"/>
    <w:rsid w:val="005F5F2B"/>
    <w:rsid w:val="005F61D7"/>
    <w:rsid w:val="005F63E4"/>
    <w:rsid w:val="005F65D5"/>
    <w:rsid w:val="005F6633"/>
    <w:rsid w:val="005F66DD"/>
    <w:rsid w:val="005F71E0"/>
    <w:rsid w:val="005F7BBA"/>
    <w:rsid w:val="00600724"/>
    <w:rsid w:val="00600D2C"/>
    <w:rsid w:val="0060145D"/>
    <w:rsid w:val="006016E6"/>
    <w:rsid w:val="00601776"/>
    <w:rsid w:val="006017A7"/>
    <w:rsid w:val="00601979"/>
    <w:rsid w:val="00601BDC"/>
    <w:rsid w:val="00601D87"/>
    <w:rsid w:val="00601FCB"/>
    <w:rsid w:val="00602742"/>
    <w:rsid w:val="00603972"/>
    <w:rsid w:val="00603CE8"/>
    <w:rsid w:val="00604259"/>
    <w:rsid w:val="00604802"/>
    <w:rsid w:val="00606628"/>
    <w:rsid w:val="00606803"/>
    <w:rsid w:val="00606A50"/>
    <w:rsid w:val="00606A9B"/>
    <w:rsid w:val="00606AB2"/>
    <w:rsid w:val="00606B90"/>
    <w:rsid w:val="00607930"/>
    <w:rsid w:val="00607BCA"/>
    <w:rsid w:val="00607DBF"/>
    <w:rsid w:val="006106DB"/>
    <w:rsid w:val="0061078D"/>
    <w:rsid w:val="00610E04"/>
    <w:rsid w:val="00610E50"/>
    <w:rsid w:val="00611052"/>
    <w:rsid w:val="006115F3"/>
    <w:rsid w:val="00611847"/>
    <w:rsid w:val="00611D00"/>
    <w:rsid w:val="00611D46"/>
    <w:rsid w:val="00611DAA"/>
    <w:rsid w:val="00611DC1"/>
    <w:rsid w:val="006125B4"/>
    <w:rsid w:val="006127E2"/>
    <w:rsid w:val="00613C15"/>
    <w:rsid w:val="00613E30"/>
    <w:rsid w:val="00613E31"/>
    <w:rsid w:val="00613FCC"/>
    <w:rsid w:val="006146C6"/>
    <w:rsid w:val="00614768"/>
    <w:rsid w:val="00614876"/>
    <w:rsid w:val="00614B36"/>
    <w:rsid w:val="00614CA9"/>
    <w:rsid w:val="00615290"/>
    <w:rsid w:val="00615730"/>
    <w:rsid w:val="00615BA2"/>
    <w:rsid w:val="00615CD6"/>
    <w:rsid w:val="00615CF8"/>
    <w:rsid w:val="00615FE4"/>
    <w:rsid w:val="006168D8"/>
    <w:rsid w:val="00616F2D"/>
    <w:rsid w:val="006170FD"/>
    <w:rsid w:val="006171C0"/>
    <w:rsid w:val="006177B6"/>
    <w:rsid w:val="00617F2E"/>
    <w:rsid w:val="00620430"/>
    <w:rsid w:val="0062051A"/>
    <w:rsid w:val="00620B59"/>
    <w:rsid w:val="00620DF8"/>
    <w:rsid w:val="006211F8"/>
    <w:rsid w:val="006215ED"/>
    <w:rsid w:val="0062196C"/>
    <w:rsid w:val="00621A64"/>
    <w:rsid w:val="00621E77"/>
    <w:rsid w:val="00622441"/>
    <w:rsid w:val="00622A14"/>
    <w:rsid w:val="006231FC"/>
    <w:rsid w:val="00623292"/>
    <w:rsid w:val="00623D39"/>
    <w:rsid w:val="006240A4"/>
    <w:rsid w:val="0062442A"/>
    <w:rsid w:val="00624892"/>
    <w:rsid w:val="0062492D"/>
    <w:rsid w:val="00624998"/>
    <w:rsid w:val="00624FDE"/>
    <w:rsid w:val="0062500B"/>
    <w:rsid w:val="00625157"/>
    <w:rsid w:val="006252FD"/>
    <w:rsid w:val="006253C8"/>
    <w:rsid w:val="00625FFB"/>
    <w:rsid w:val="00626244"/>
    <w:rsid w:val="00626B96"/>
    <w:rsid w:val="00626D6B"/>
    <w:rsid w:val="00626EA4"/>
    <w:rsid w:val="00627046"/>
    <w:rsid w:val="0062788A"/>
    <w:rsid w:val="0062794C"/>
    <w:rsid w:val="0063011A"/>
    <w:rsid w:val="006305E9"/>
    <w:rsid w:val="00630B68"/>
    <w:rsid w:val="00630C78"/>
    <w:rsid w:val="00631CC1"/>
    <w:rsid w:val="00631EFD"/>
    <w:rsid w:val="0063201C"/>
    <w:rsid w:val="0063256D"/>
    <w:rsid w:val="006326EB"/>
    <w:rsid w:val="006326F6"/>
    <w:rsid w:val="006327C5"/>
    <w:rsid w:val="006328AC"/>
    <w:rsid w:val="0063312C"/>
    <w:rsid w:val="00633138"/>
    <w:rsid w:val="00633264"/>
    <w:rsid w:val="0063331E"/>
    <w:rsid w:val="006336DF"/>
    <w:rsid w:val="0063376B"/>
    <w:rsid w:val="00633877"/>
    <w:rsid w:val="00633C48"/>
    <w:rsid w:val="00633C68"/>
    <w:rsid w:val="00633C8A"/>
    <w:rsid w:val="00633D7B"/>
    <w:rsid w:val="00633EF8"/>
    <w:rsid w:val="00635053"/>
    <w:rsid w:val="006357F4"/>
    <w:rsid w:val="00635877"/>
    <w:rsid w:val="0063597F"/>
    <w:rsid w:val="00635D18"/>
    <w:rsid w:val="00635DC5"/>
    <w:rsid w:val="00636167"/>
    <w:rsid w:val="00636378"/>
    <w:rsid w:val="00636AE7"/>
    <w:rsid w:val="00636FD9"/>
    <w:rsid w:val="00637BBC"/>
    <w:rsid w:val="00640444"/>
    <w:rsid w:val="00640DB0"/>
    <w:rsid w:val="00640E49"/>
    <w:rsid w:val="006414AD"/>
    <w:rsid w:val="0064150E"/>
    <w:rsid w:val="006415CA"/>
    <w:rsid w:val="006419CB"/>
    <w:rsid w:val="00641C80"/>
    <w:rsid w:val="006428D8"/>
    <w:rsid w:val="0064298D"/>
    <w:rsid w:val="00642A4D"/>
    <w:rsid w:val="00642D13"/>
    <w:rsid w:val="00642E62"/>
    <w:rsid w:val="00642EBA"/>
    <w:rsid w:val="00643005"/>
    <w:rsid w:val="006430DC"/>
    <w:rsid w:val="00643689"/>
    <w:rsid w:val="00643BDD"/>
    <w:rsid w:val="00643D46"/>
    <w:rsid w:val="00643D53"/>
    <w:rsid w:val="00643D85"/>
    <w:rsid w:val="00643E5A"/>
    <w:rsid w:val="00644179"/>
    <w:rsid w:val="006442EA"/>
    <w:rsid w:val="006443C9"/>
    <w:rsid w:val="00644EE1"/>
    <w:rsid w:val="00645265"/>
    <w:rsid w:val="0064617C"/>
    <w:rsid w:val="0064674D"/>
    <w:rsid w:val="00646A42"/>
    <w:rsid w:val="00646C53"/>
    <w:rsid w:val="00646DCA"/>
    <w:rsid w:val="00646E5A"/>
    <w:rsid w:val="006472D7"/>
    <w:rsid w:val="00647950"/>
    <w:rsid w:val="00647A6A"/>
    <w:rsid w:val="006503ED"/>
    <w:rsid w:val="00650FFE"/>
    <w:rsid w:val="00651033"/>
    <w:rsid w:val="006510BA"/>
    <w:rsid w:val="0065160C"/>
    <w:rsid w:val="00651949"/>
    <w:rsid w:val="00651AE0"/>
    <w:rsid w:val="00651C57"/>
    <w:rsid w:val="006520FC"/>
    <w:rsid w:val="006533EB"/>
    <w:rsid w:val="0065397E"/>
    <w:rsid w:val="00653B1B"/>
    <w:rsid w:val="00653FAC"/>
    <w:rsid w:val="0065409C"/>
    <w:rsid w:val="0065412C"/>
    <w:rsid w:val="006542BD"/>
    <w:rsid w:val="006543D7"/>
    <w:rsid w:val="006545C2"/>
    <w:rsid w:val="00655160"/>
    <w:rsid w:val="00655433"/>
    <w:rsid w:val="00655477"/>
    <w:rsid w:val="006554A0"/>
    <w:rsid w:val="00655500"/>
    <w:rsid w:val="00655886"/>
    <w:rsid w:val="006558D9"/>
    <w:rsid w:val="00655979"/>
    <w:rsid w:val="00655BE6"/>
    <w:rsid w:val="00655F1D"/>
    <w:rsid w:val="006561AA"/>
    <w:rsid w:val="006563F7"/>
    <w:rsid w:val="00656610"/>
    <w:rsid w:val="00656900"/>
    <w:rsid w:val="00656B0C"/>
    <w:rsid w:val="00657554"/>
    <w:rsid w:val="006575F8"/>
    <w:rsid w:val="00657634"/>
    <w:rsid w:val="00657AD4"/>
    <w:rsid w:val="00657B6F"/>
    <w:rsid w:val="0066004A"/>
    <w:rsid w:val="006600FB"/>
    <w:rsid w:val="0066038E"/>
    <w:rsid w:val="006608FC"/>
    <w:rsid w:val="00660A5E"/>
    <w:rsid w:val="00660E06"/>
    <w:rsid w:val="00660EA3"/>
    <w:rsid w:val="006617A7"/>
    <w:rsid w:val="00661AF9"/>
    <w:rsid w:val="00661E25"/>
    <w:rsid w:val="00662094"/>
    <w:rsid w:val="00662313"/>
    <w:rsid w:val="00662511"/>
    <w:rsid w:val="00662609"/>
    <w:rsid w:val="00662A3E"/>
    <w:rsid w:val="00663453"/>
    <w:rsid w:val="00663580"/>
    <w:rsid w:val="0066387A"/>
    <w:rsid w:val="00663AC3"/>
    <w:rsid w:val="00663F7B"/>
    <w:rsid w:val="006640AA"/>
    <w:rsid w:val="00664676"/>
    <w:rsid w:val="00664D17"/>
    <w:rsid w:val="006651E8"/>
    <w:rsid w:val="00665285"/>
    <w:rsid w:val="0066547B"/>
    <w:rsid w:val="00665714"/>
    <w:rsid w:val="006666D6"/>
    <w:rsid w:val="0066689E"/>
    <w:rsid w:val="00666A47"/>
    <w:rsid w:val="00666C8A"/>
    <w:rsid w:val="00666E87"/>
    <w:rsid w:val="00666FE6"/>
    <w:rsid w:val="006672DE"/>
    <w:rsid w:val="00667AB6"/>
    <w:rsid w:val="00667FB9"/>
    <w:rsid w:val="0067057A"/>
    <w:rsid w:val="006706BB"/>
    <w:rsid w:val="006708E2"/>
    <w:rsid w:val="00670B9C"/>
    <w:rsid w:val="00670BC8"/>
    <w:rsid w:val="00671339"/>
    <w:rsid w:val="006714A8"/>
    <w:rsid w:val="006716AD"/>
    <w:rsid w:val="00671753"/>
    <w:rsid w:val="00671DC7"/>
    <w:rsid w:val="00671ECD"/>
    <w:rsid w:val="0067214C"/>
    <w:rsid w:val="00672856"/>
    <w:rsid w:val="00672C4F"/>
    <w:rsid w:val="00672CC9"/>
    <w:rsid w:val="00672CFA"/>
    <w:rsid w:val="0067315C"/>
    <w:rsid w:val="00673D1A"/>
    <w:rsid w:val="00673EBE"/>
    <w:rsid w:val="0067412E"/>
    <w:rsid w:val="006744F9"/>
    <w:rsid w:val="0067474F"/>
    <w:rsid w:val="00674F18"/>
    <w:rsid w:val="0067511C"/>
    <w:rsid w:val="00675619"/>
    <w:rsid w:val="00675975"/>
    <w:rsid w:val="00675CB8"/>
    <w:rsid w:val="00676010"/>
    <w:rsid w:val="00676B56"/>
    <w:rsid w:val="00676B93"/>
    <w:rsid w:val="0067739C"/>
    <w:rsid w:val="0067777E"/>
    <w:rsid w:val="00677BC8"/>
    <w:rsid w:val="00677BF0"/>
    <w:rsid w:val="006802CE"/>
    <w:rsid w:val="0068078A"/>
    <w:rsid w:val="00680A69"/>
    <w:rsid w:val="00680AAB"/>
    <w:rsid w:val="00680B9C"/>
    <w:rsid w:val="00680FBC"/>
    <w:rsid w:val="006813E0"/>
    <w:rsid w:val="00681A58"/>
    <w:rsid w:val="00681C29"/>
    <w:rsid w:val="00682B6C"/>
    <w:rsid w:val="00683134"/>
    <w:rsid w:val="00684483"/>
    <w:rsid w:val="006855DE"/>
    <w:rsid w:val="00685B01"/>
    <w:rsid w:val="00685F2B"/>
    <w:rsid w:val="00686163"/>
    <w:rsid w:val="00686CEF"/>
    <w:rsid w:val="00687377"/>
    <w:rsid w:val="0068780E"/>
    <w:rsid w:val="0069018B"/>
    <w:rsid w:val="006901D5"/>
    <w:rsid w:val="006902D1"/>
    <w:rsid w:val="00690593"/>
    <w:rsid w:val="00690B91"/>
    <w:rsid w:val="0069124E"/>
    <w:rsid w:val="006914F9"/>
    <w:rsid w:val="006916AD"/>
    <w:rsid w:val="00691734"/>
    <w:rsid w:val="00691AB7"/>
    <w:rsid w:val="00691C98"/>
    <w:rsid w:val="00692281"/>
    <w:rsid w:val="00693155"/>
    <w:rsid w:val="006931A2"/>
    <w:rsid w:val="006931BE"/>
    <w:rsid w:val="0069322E"/>
    <w:rsid w:val="0069324B"/>
    <w:rsid w:val="00693733"/>
    <w:rsid w:val="006939B9"/>
    <w:rsid w:val="006939E1"/>
    <w:rsid w:val="00693B71"/>
    <w:rsid w:val="00694434"/>
    <w:rsid w:val="0069459B"/>
    <w:rsid w:val="006946AC"/>
    <w:rsid w:val="00694C23"/>
    <w:rsid w:val="00694F6E"/>
    <w:rsid w:val="006950A8"/>
    <w:rsid w:val="00695759"/>
    <w:rsid w:val="006959FD"/>
    <w:rsid w:val="00695B6C"/>
    <w:rsid w:val="00695CE3"/>
    <w:rsid w:val="00696B68"/>
    <w:rsid w:val="00696C08"/>
    <w:rsid w:val="0069726A"/>
    <w:rsid w:val="006972F7"/>
    <w:rsid w:val="006A03F9"/>
    <w:rsid w:val="006A0D8D"/>
    <w:rsid w:val="006A123F"/>
    <w:rsid w:val="006A125F"/>
    <w:rsid w:val="006A1355"/>
    <w:rsid w:val="006A1413"/>
    <w:rsid w:val="006A176F"/>
    <w:rsid w:val="006A1B4E"/>
    <w:rsid w:val="006A1BB0"/>
    <w:rsid w:val="006A1C77"/>
    <w:rsid w:val="006A1DEF"/>
    <w:rsid w:val="006A2047"/>
    <w:rsid w:val="006A2154"/>
    <w:rsid w:val="006A286B"/>
    <w:rsid w:val="006A2899"/>
    <w:rsid w:val="006A2F8E"/>
    <w:rsid w:val="006A2FD5"/>
    <w:rsid w:val="006A3002"/>
    <w:rsid w:val="006A31B8"/>
    <w:rsid w:val="006A4022"/>
    <w:rsid w:val="006A404A"/>
    <w:rsid w:val="006A41A1"/>
    <w:rsid w:val="006A4995"/>
    <w:rsid w:val="006A4A99"/>
    <w:rsid w:val="006A4C26"/>
    <w:rsid w:val="006A4E98"/>
    <w:rsid w:val="006A53C6"/>
    <w:rsid w:val="006A54DF"/>
    <w:rsid w:val="006A55F4"/>
    <w:rsid w:val="006A5931"/>
    <w:rsid w:val="006A5B17"/>
    <w:rsid w:val="006A5C2F"/>
    <w:rsid w:val="006A5CFF"/>
    <w:rsid w:val="006A60A4"/>
    <w:rsid w:val="006A6423"/>
    <w:rsid w:val="006A68C4"/>
    <w:rsid w:val="006A6972"/>
    <w:rsid w:val="006A71BB"/>
    <w:rsid w:val="006A7515"/>
    <w:rsid w:val="006A79E8"/>
    <w:rsid w:val="006A7EA1"/>
    <w:rsid w:val="006B0144"/>
    <w:rsid w:val="006B0264"/>
    <w:rsid w:val="006B0864"/>
    <w:rsid w:val="006B08D7"/>
    <w:rsid w:val="006B1003"/>
    <w:rsid w:val="006B10AA"/>
    <w:rsid w:val="006B1BD4"/>
    <w:rsid w:val="006B1EFC"/>
    <w:rsid w:val="006B28CE"/>
    <w:rsid w:val="006B2ADA"/>
    <w:rsid w:val="006B305A"/>
    <w:rsid w:val="006B358F"/>
    <w:rsid w:val="006B3B22"/>
    <w:rsid w:val="006B3F81"/>
    <w:rsid w:val="006B4B65"/>
    <w:rsid w:val="006B4E2B"/>
    <w:rsid w:val="006B52C3"/>
    <w:rsid w:val="006B52FE"/>
    <w:rsid w:val="006B544C"/>
    <w:rsid w:val="006B5C58"/>
    <w:rsid w:val="006B5ED1"/>
    <w:rsid w:val="006B5F2F"/>
    <w:rsid w:val="006B60A8"/>
    <w:rsid w:val="006B637E"/>
    <w:rsid w:val="006B6631"/>
    <w:rsid w:val="006B6879"/>
    <w:rsid w:val="006B691C"/>
    <w:rsid w:val="006B6979"/>
    <w:rsid w:val="006B6AF5"/>
    <w:rsid w:val="006B6D8C"/>
    <w:rsid w:val="006B6DA8"/>
    <w:rsid w:val="006B7563"/>
    <w:rsid w:val="006B7F60"/>
    <w:rsid w:val="006B7FA8"/>
    <w:rsid w:val="006C02AF"/>
    <w:rsid w:val="006C03CB"/>
    <w:rsid w:val="006C03FC"/>
    <w:rsid w:val="006C048F"/>
    <w:rsid w:val="006C06EA"/>
    <w:rsid w:val="006C0B48"/>
    <w:rsid w:val="006C1688"/>
    <w:rsid w:val="006C16E2"/>
    <w:rsid w:val="006C18B9"/>
    <w:rsid w:val="006C20D6"/>
    <w:rsid w:val="006C2175"/>
    <w:rsid w:val="006C2592"/>
    <w:rsid w:val="006C2633"/>
    <w:rsid w:val="006C26C1"/>
    <w:rsid w:val="006C2AFE"/>
    <w:rsid w:val="006C2C33"/>
    <w:rsid w:val="006C3004"/>
    <w:rsid w:val="006C302E"/>
    <w:rsid w:val="006C3067"/>
    <w:rsid w:val="006C31C8"/>
    <w:rsid w:val="006C3296"/>
    <w:rsid w:val="006C4059"/>
    <w:rsid w:val="006C4689"/>
    <w:rsid w:val="006C5434"/>
    <w:rsid w:val="006C593C"/>
    <w:rsid w:val="006C6631"/>
    <w:rsid w:val="006C76A8"/>
    <w:rsid w:val="006C78A3"/>
    <w:rsid w:val="006C78A9"/>
    <w:rsid w:val="006C7B39"/>
    <w:rsid w:val="006C7C39"/>
    <w:rsid w:val="006C7EF0"/>
    <w:rsid w:val="006D0064"/>
    <w:rsid w:val="006D070D"/>
    <w:rsid w:val="006D0755"/>
    <w:rsid w:val="006D0A76"/>
    <w:rsid w:val="006D1A71"/>
    <w:rsid w:val="006D1ED4"/>
    <w:rsid w:val="006D1F1F"/>
    <w:rsid w:val="006D21A5"/>
    <w:rsid w:val="006D2358"/>
    <w:rsid w:val="006D24E1"/>
    <w:rsid w:val="006D2B24"/>
    <w:rsid w:val="006D2C61"/>
    <w:rsid w:val="006D2DDF"/>
    <w:rsid w:val="006D2E25"/>
    <w:rsid w:val="006D3890"/>
    <w:rsid w:val="006D3BC7"/>
    <w:rsid w:val="006D4826"/>
    <w:rsid w:val="006D4BEA"/>
    <w:rsid w:val="006D4C86"/>
    <w:rsid w:val="006D4D1B"/>
    <w:rsid w:val="006D5116"/>
    <w:rsid w:val="006D521E"/>
    <w:rsid w:val="006D561F"/>
    <w:rsid w:val="006D5A75"/>
    <w:rsid w:val="006D5AC5"/>
    <w:rsid w:val="006D5D0D"/>
    <w:rsid w:val="006D63EA"/>
    <w:rsid w:val="006D64B5"/>
    <w:rsid w:val="006D6765"/>
    <w:rsid w:val="006D6DEF"/>
    <w:rsid w:val="006D709F"/>
    <w:rsid w:val="006D769A"/>
    <w:rsid w:val="006D777D"/>
    <w:rsid w:val="006D7826"/>
    <w:rsid w:val="006D7AD4"/>
    <w:rsid w:val="006D7C98"/>
    <w:rsid w:val="006E0527"/>
    <w:rsid w:val="006E102C"/>
    <w:rsid w:val="006E1195"/>
    <w:rsid w:val="006E15E7"/>
    <w:rsid w:val="006E1AA0"/>
    <w:rsid w:val="006E1EFB"/>
    <w:rsid w:val="006E235F"/>
    <w:rsid w:val="006E2393"/>
    <w:rsid w:val="006E23EE"/>
    <w:rsid w:val="006E2674"/>
    <w:rsid w:val="006E2B37"/>
    <w:rsid w:val="006E2B8D"/>
    <w:rsid w:val="006E2CC0"/>
    <w:rsid w:val="006E2F84"/>
    <w:rsid w:val="006E3264"/>
    <w:rsid w:val="006E3443"/>
    <w:rsid w:val="006E3C16"/>
    <w:rsid w:val="006E4762"/>
    <w:rsid w:val="006E4DBB"/>
    <w:rsid w:val="006E5110"/>
    <w:rsid w:val="006E5592"/>
    <w:rsid w:val="006E5B4B"/>
    <w:rsid w:val="006E5B54"/>
    <w:rsid w:val="006E5C1E"/>
    <w:rsid w:val="006E5CD3"/>
    <w:rsid w:val="006E634C"/>
    <w:rsid w:val="006E64DB"/>
    <w:rsid w:val="006E6550"/>
    <w:rsid w:val="006E6553"/>
    <w:rsid w:val="006E6719"/>
    <w:rsid w:val="006E67BC"/>
    <w:rsid w:val="006E6BCE"/>
    <w:rsid w:val="006E6CD6"/>
    <w:rsid w:val="006E6D7A"/>
    <w:rsid w:val="006E7286"/>
    <w:rsid w:val="006E76A2"/>
    <w:rsid w:val="006E76FF"/>
    <w:rsid w:val="006E78FC"/>
    <w:rsid w:val="006E7A16"/>
    <w:rsid w:val="006E7DD9"/>
    <w:rsid w:val="006E7EBE"/>
    <w:rsid w:val="006F0445"/>
    <w:rsid w:val="006F0B46"/>
    <w:rsid w:val="006F0F0B"/>
    <w:rsid w:val="006F0F55"/>
    <w:rsid w:val="006F1464"/>
    <w:rsid w:val="006F1ACE"/>
    <w:rsid w:val="006F1D4F"/>
    <w:rsid w:val="006F20F7"/>
    <w:rsid w:val="006F21FE"/>
    <w:rsid w:val="006F2457"/>
    <w:rsid w:val="006F2518"/>
    <w:rsid w:val="006F2BDB"/>
    <w:rsid w:val="006F2F71"/>
    <w:rsid w:val="006F4353"/>
    <w:rsid w:val="006F46D2"/>
    <w:rsid w:val="006F4930"/>
    <w:rsid w:val="006F4C2F"/>
    <w:rsid w:val="006F4D0A"/>
    <w:rsid w:val="006F4FDE"/>
    <w:rsid w:val="006F504A"/>
    <w:rsid w:val="006F516F"/>
    <w:rsid w:val="006F59D3"/>
    <w:rsid w:val="006F5BF8"/>
    <w:rsid w:val="006F5C80"/>
    <w:rsid w:val="006F600C"/>
    <w:rsid w:val="006F62D6"/>
    <w:rsid w:val="006F6A46"/>
    <w:rsid w:val="006F74DF"/>
    <w:rsid w:val="006F7BC3"/>
    <w:rsid w:val="006F7E7B"/>
    <w:rsid w:val="006F7FF2"/>
    <w:rsid w:val="0070017D"/>
    <w:rsid w:val="007005DC"/>
    <w:rsid w:val="00700BAF"/>
    <w:rsid w:val="00701342"/>
    <w:rsid w:val="00701AE7"/>
    <w:rsid w:val="00702EB1"/>
    <w:rsid w:val="00703011"/>
    <w:rsid w:val="007030FA"/>
    <w:rsid w:val="0070354A"/>
    <w:rsid w:val="00704217"/>
    <w:rsid w:val="00704B25"/>
    <w:rsid w:val="00705502"/>
    <w:rsid w:val="0070569B"/>
    <w:rsid w:val="00705CB6"/>
    <w:rsid w:val="00705D74"/>
    <w:rsid w:val="007062EE"/>
    <w:rsid w:val="007063F3"/>
    <w:rsid w:val="00706451"/>
    <w:rsid w:val="00706CF6"/>
    <w:rsid w:val="007071E6"/>
    <w:rsid w:val="007072DA"/>
    <w:rsid w:val="00707446"/>
    <w:rsid w:val="00707C25"/>
    <w:rsid w:val="00707D1C"/>
    <w:rsid w:val="00707F12"/>
    <w:rsid w:val="00707FD1"/>
    <w:rsid w:val="007100BE"/>
    <w:rsid w:val="00710201"/>
    <w:rsid w:val="00710358"/>
    <w:rsid w:val="007103DA"/>
    <w:rsid w:val="00710E0A"/>
    <w:rsid w:val="0071112C"/>
    <w:rsid w:val="007113FF"/>
    <w:rsid w:val="007115C9"/>
    <w:rsid w:val="00711BFC"/>
    <w:rsid w:val="0071229E"/>
    <w:rsid w:val="007128E9"/>
    <w:rsid w:val="00712E5E"/>
    <w:rsid w:val="0071332C"/>
    <w:rsid w:val="0071348F"/>
    <w:rsid w:val="00713A8A"/>
    <w:rsid w:val="00713F82"/>
    <w:rsid w:val="00714423"/>
    <w:rsid w:val="007144DB"/>
    <w:rsid w:val="00714570"/>
    <w:rsid w:val="007147E4"/>
    <w:rsid w:val="00714EF4"/>
    <w:rsid w:val="0071547C"/>
    <w:rsid w:val="00715958"/>
    <w:rsid w:val="00715D5C"/>
    <w:rsid w:val="00716442"/>
    <w:rsid w:val="00716DBB"/>
    <w:rsid w:val="0071714E"/>
    <w:rsid w:val="00717B98"/>
    <w:rsid w:val="00717EE5"/>
    <w:rsid w:val="007200E8"/>
    <w:rsid w:val="00720400"/>
    <w:rsid w:val="00720430"/>
    <w:rsid w:val="00720849"/>
    <w:rsid w:val="00720C7E"/>
    <w:rsid w:val="00720FD8"/>
    <w:rsid w:val="00721080"/>
    <w:rsid w:val="0072111D"/>
    <w:rsid w:val="00721178"/>
    <w:rsid w:val="007214CD"/>
    <w:rsid w:val="00721969"/>
    <w:rsid w:val="007219F0"/>
    <w:rsid w:val="00721B25"/>
    <w:rsid w:val="00721C1A"/>
    <w:rsid w:val="00722580"/>
    <w:rsid w:val="007226C5"/>
    <w:rsid w:val="00722A1E"/>
    <w:rsid w:val="00722ADD"/>
    <w:rsid w:val="00722AEA"/>
    <w:rsid w:val="00722D91"/>
    <w:rsid w:val="0072311F"/>
    <w:rsid w:val="007232CE"/>
    <w:rsid w:val="00723A49"/>
    <w:rsid w:val="00723AFA"/>
    <w:rsid w:val="00723B05"/>
    <w:rsid w:val="00723C2F"/>
    <w:rsid w:val="00723E7C"/>
    <w:rsid w:val="00724057"/>
    <w:rsid w:val="00724514"/>
    <w:rsid w:val="007245E8"/>
    <w:rsid w:val="00724EEC"/>
    <w:rsid w:val="007253A9"/>
    <w:rsid w:val="007255C7"/>
    <w:rsid w:val="00725B20"/>
    <w:rsid w:val="00726218"/>
    <w:rsid w:val="007263B6"/>
    <w:rsid w:val="00726F87"/>
    <w:rsid w:val="007270EE"/>
    <w:rsid w:val="007271AA"/>
    <w:rsid w:val="007273EA"/>
    <w:rsid w:val="00727D87"/>
    <w:rsid w:val="007304CF"/>
    <w:rsid w:val="00730CDC"/>
    <w:rsid w:val="00730E16"/>
    <w:rsid w:val="00731767"/>
    <w:rsid w:val="00731B24"/>
    <w:rsid w:val="00731C5E"/>
    <w:rsid w:val="00732AFA"/>
    <w:rsid w:val="00732CD8"/>
    <w:rsid w:val="007333C4"/>
    <w:rsid w:val="007334BD"/>
    <w:rsid w:val="007339C9"/>
    <w:rsid w:val="00734586"/>
    <w:rsid w:val="00734888"/>
    <w:rsid w:val="00734E0A"/>
    <w:rsid w:val="0073525E"/>
    <w:rsid w:val="007357E4"/>
    <w:rsid w:val="00735BF7"/>
    <w:rsid w:val="00735D97"/>
    <w:rsid w:val="00735F82"/>
    <w:rsid w:val="00736330"/>
    <w:rsid w:val="00736373"/>
    <w:rsid w:val="00736B37"/>
    <w:rsid w:val="00736C68"/>
    <w:rsid w:val="00736C6B"/>
    <w:rsid w:val="00736E90"/>
    <w:rsid w:val="00736F3F"/>
    <w:rsid w:val="0073703B"/>
    <w:rsid w:val="007371EF"/>
    <w:rsid w:val="007372D2"/>
    <w:rsid w:val="007375FF"/>
    <w:rsid w:val="00737850"/>
    <w:rsid w:val="007378E8"/>
    <w:rsid w:val="00737CF2"/>
    <w:rsid w:val="007403CF"/>
    <w:rsid w:val="007406CE"/>
    <w:rsid w:val="00740BBD"/>
    <w:rsid w:val="00740F2D"/>
    <w:rsid w:val="00740FF3"/>
    <w:rsid w:val="007412CD"/>
    <w:rsid w:val="00741EF2"/>
    <w:rsid w:val="00741F53"/>
    <w:rsid w:val="00741F83"/>
    <w:rsid w:val="00742056"/>
    <w:rsid w:val="00742193"/>
    <w:rsid w:val="00742E1F"/>
    <w:rsid w:val="0074369F"/>
    <w:rsid w:val="00743795"/>
    <w:rsid w:val="0074388A"/>
    <w:rsid w:val="00743AF3"/>
    <w:rsid w:val="00743FEA"/>
    <w:rsid w:val="0074434A"/>
    <w:rsid w:val="0074462D"/>
    <w:rsid w:val="007447BB"/>
    <w:rsid w:val="00744B94"/>
    <w:rsid w:val="00744D22"/>
    <w:rsid w:val="0074519F"/>
    <w:rsid w:val="00745A21"/>
    <w:rsid w:val="00745FCC"/>
    <w:rsid w:val="00746157"/>
    <w:rsid w:val="0074684C"/>
    <w:rsid w:val="0074698B"/>
    <w:rsid w:val="007470CA"/>
    <w:rsid w:val="007473C5"/>
    <w:rsid w:val="007473CE"/>
    <w:rsid w:val="00747B93"/>
    <w:rsid w:val="00750575"/>
    <w:rsid w:val="007505DF"/>
    <w:rsid w:val="00750B60"/>
    <w:rsid w:val="00750F0F"/>
    <w:rsid w:val="0075117D"/>
    <w:rsid w:val="00751974"/>
    <w:rsid w:val="00751CE1"/>
    <w:rsid w:val="007522AA"/>
    <w:rsid w:val="007527BF"/>
    <w:rsid w:val="00752EB1"/>
    <w:rsid w:val="00753074"/>
    <w:rsid w:val="00753695"/>
    <w:rsid w:val="007537A2"/>
    <w:rsid w:val="007538A1"/>
    <w:rsid w:val="007538CA"/>
    <w:rsid w:val="00753E05"/>
    <w:rsid w:val="00753F02"/>
    <w:rsid w:val="007540CE"/>
    <w:rsid w:val="0075414A"/>
    <w:rsid w:val="00754C99"/>
    <w:rsid w:val="00754F65"/>
    <w:rsid w:val="00755447"/>
    <w:rsid w:val="0075554F"/>
    <w:rsid w:val="007555A8"/>
    <w:rsid w:val="0075565E"/>
    <w:rsid w:val="0075575F"/>
    <w:rsid w:val="00755D63"/>
    <w:rsid w:val="00755F97"/>
    <w:rsid w:val="00756353"/>
    <w:rsid w:val="00756400"/>
    <w:rsid w:val="00756EA9"/>
    <w:rsid w:val="00756FB4"/>
    <w:rsid w:val="0075701E"/>
    <w:rsid w:val="0075710D"/>
    <w:rsid w:val="00757397"/>
    <w:rsid w:val="00757C4C"/>
    <w:rsid w:val="007601C0"/>
    <w:rsid w:val="0076050B"/>
    <w:rsid w:val="00760885"/>
    <w:rsid w:val="0076126B"/>
    <w:rsid w:val="00761270"/>
    <w:rsid w:val="007612E6"/>
    <w:rsid w:val="007618A2"/>
    <w:rsid w:val="0076199B"/>
    <w:rsid w:val="00761CBB"/>
    <w:rsid w:val="007620A6"/>
    <w:rsid w:val="00762FF2"/>
    <w:rsid w:val="00763655"/>
    <w:rsid w:val="007636B9"/>
    <w:rsid w:val="00763920"/>
    <w:rsid w:val="00763C4A"/>
    <w:rsid w:val="00763DB0"/>
    <w:rsid w:val="00763ED2"/>
    <w:rsid w:val="007641FB"/>
    <w:rsid w:val="00764851"/>
    <w:rsid w:val="00764A5D"/>
    <w:rsid w:val="00764B44"/>
    <w:rsid w:val="00764C85"/>
    <w:rsid w:val="00764F1E"/>
    <w:rsid w:val="00764F2F"/>
    <w:rsid w:val="00765192"/>
    <w:rsid w:val="00765C0F"/>
    <w:rsid w:val="0076629E"/>
    <w:rsid w:val="0076654A"/>
    <w:rsid w:val="007668BC"/>
    <w:rsid w:val="007668F4"/>
    <w:rsid w:val="0076699E"/>
    <w:rsid w:val="00766A3E"/>
    <w:rsid w:val="00766D9D"/>
    <w:rsid w:val="007677A6"/>
    <w:rsid w:val="00767ABD"/>
    <w:rsid w:val="00767C10"/>
    <w:rsid w:val="007704A9"/>
    <w:rsid w:val="007705D7"/>
    <w:rsid w:val="007706C0"/>
    <w:rsid w:val="00771198"/>
    <w:rsid w:val="00771651"/>
    <w:rsid w:val="00772202"/>
    <w:rsid w:val="007724CC"/>
    <w:rsid w:val="007724D0"/>
    <w:rsid w:val="00772538"/>
    <w:rsid w:val="007729E1"/>
    <w:rsid w:val="00772B87"/>
    <w:rsid w:val="00772E08"/>
    <w:rsid w:val="00773071"/>
    <w:rsid w:val="00773146"/>
    <w:rsid w:val="007733C5"/>
    <w:rsid w:val="007737E3"/>
    <w:rsid w:val="00773945"/>
    <w:rsid w:val="00773EA2"/>
    <w:rsid w:val="00773FDE"/>
    <w:rsid w:val="00774138"/>
    <w:rsid w:val="00774359"/>
    <w:rsid w:val="00775E30"/>
    <w:rsid w:val="007760AD"/>
    <w:rsid w:val="0077617F"/>
    <w:rsid w:val="0077636E"/>
    <w:rsid w:val="007766A1"/>
    <w:rsid w:val="007767CE"/>
    <w:rsid w:val="007767F4"/>
    <w:rsid w:val="00776B3D"/>
    <w:rsid w:val="00776C13"/>
    <w:rsid w:val="00776E6E"/>
    <w:rsid w:val="00777041"/>
    <w:rsid w:val="00777077"/>
    <w:rsid w:val="007772EB"/>
    <w:rsid w:val="007773D5"/>
    <w:rsid w:val="00777433"/>
    <w:rsid w:val="007774EF"/>
    <w:rsid w:val="0077760A"/>
    <w:rsid w:val="0077775A"/>
    <w:rsid w:val="00777800"/>
    <w:rsid w:val="00777889"/>
    <w:rsid w:val="00777E52"/>
    <w:rsid w:val="007804F2"/>
    <w:rsid w:val="00780E9D"/>
    <w:rsid w:val="00780F62"/>
    <w:rsid w:val="00781096"/>
    <w:rsid w:val="0078113B"/>
    <w:rsid w:val="0078166E"/>
    <w:rsid w:val="00781867"/>
    <w:rsid w:val="0078195E"/>
    <w:rsid w:val="00781B97"/>
    <w:rsid w:val="00781BD6"/>
    <w:rsid w:val="007822EA"/>
    <w:rsid w:val="00782312"/>
    <w:rsid w:val="007823F7"/>
    <w:rsid w:val="00782894"/>
    <w:rsid w:val="0078298F"/>
    <w:rsid w:val="00782A01"/>
    <w:rsid w:val="00782E3F"/>
    <w:rsid w:val="00782ECB"/>
    <w:rsid w:val="007831AA"/>
    <w:rsid w:val="00783654"/>
    <w:rsid w:val="0078378C"/>
    <w:rsid w:val="00783FBE"/>
    <w:rsid w:val="007845D6"/>
    <w:rsid w:val="00784B00"/>
    <w:rsid w:val="00784CA8"/>
    <w:rsid w:val="00784DAE"/>
    <w:rsid w:val="00785032"/>
    <w:rsid w:val="007851E5"/>
    <w:rsid w:val="007852DE"/>
    <w:rsid w:val="0078561E"/>
    <w:rsid w:val="00785698"/>
    <w:rsid w:val="007860B3"/>
    <w:rsid w:val="00786C5B"/>
    <w:rsid w:val="00786FA8"/>
    <w:rsid w:val="00787500"/>
    <w:rsid w:val="0079044F"/>
    <w:rsid w:val="007904CB"/>
    <w:rsid w:val="00790746"/>
    <w:rsid w:val="007907E6"/>
    <w:rsid w:val="00790DAA"/>
    <w:rsid w:val="0079119B"/>
    <w:rsid w:val="0079127B"/>
    <w:rsid w:val="007918DA"/>
    <w:rsid w:val="007919AE"/>
    <w:rsid w:val="00791A5F"/>
    <w:rsid w:val="00792651"/>
    <w:rsid w:val="00792CED"/>
    <w:rsid w:val="00792D3F"/>
    <w:rsid w:val="00792EDF"/>
    <w:rsid w:val="00793C48"/>
    <w:rsid w:val="00793C74"/>
    <w:rsid w:val="00793D71"/>
    <w:rsid w:val="00793D8A"/>
    <w:rsid w:val="007944A4"/>
    <w:rsid w:val="007946C8"/>
    <w:rsid w:val="00794E62"/>
    <w:rsid w:val="00794F32"/>
    <w:rsid w:val="00794FCD"/>
    <w:rsid w:val="00795124"/>
    <w:rsid w:val="0079542C"/>
    <w:rsid w:val="007955BD"/>
    <w:rsid w:val="00795792"/>
    <w:rsid w:val="00795802"/>
    <w:rsid w:val="00795BCF"/>
    <w:rsid w:val="00795CC0"/>
    <w:rsid w:val="00795F0E"/>
    <w:rsid w:val="0079617B"/>
    <w:rsid w:val="007962B5"/>
    <w:rsid w:val="00796664"/>
    <w:rsid w:val="0079698A"/>
    <w:rsid w:val="00797091"/>
    <w:rsid w:val="00797F29"/>
    <w:rsid w:val="007A0542"/>
    <w:rsid w:val="007A0695"/>
    <w:rsid w:val="007A072C"/>
    <w:rsid w:val="007A078D"/>
    <w:rsid w:val="007A07F5"/>
    <w:rsid w:val="007A0FBD"/>
    <w:rsid w:val="007A1660"/>
    <w:rsid w:val="007A17BB"/>
    <w:rsid w:val="007A185C"/>
    <w:rsid w:val="007A19C9"/>
    <w:rsid w:val="007A225C"/>
    <w:rsid w:val="007A27BD"/>
    <w:rsid w:val="007A2D94"/>
    <w:rsid w:val="007A309F"/>
    <w:rsid w:val="007A3BA8"/>
    <w:rsid w:val="007A3D01"/>
    <w:rsid w:val="007A3FD7"/>
    <w:rsid w:val="007A3FDC"/>
    <w:rsid w:val="007A4404"/>
    <w:rsid w:val="007A4738"/>
    <w:rsid w:val="007A4E3B"/>
    <w:rsid w:val="007A50AB"/>
    <w:rsid w:val="007A50D4"/>
    <w:rsid w:val="007A549E"/>
    <w:rsid w:val="007A54D3"/>
    <w:rsid w:val="007A5DAF"/>
    <w:rsid w:val="007A6007"/>
    <w:rsid w:val="007A6761"/>
    <w:rsid w:val="007A688E"/>
    <w:rsid w:val="007A7235"/>
    <w:rsid w:val="007A7535"/>
    <w:rsid w:val="007A7605"/>
    <w:rsid w:val="007A7D58"/>
    <w:rsid w:val="007B0264"/>
    <w:rsid w:val="007B0516"/>
    <w:rsid w:val="007B091C"/>
    <w:rsid w:val="007B0B6C"/>
    <w:rsid w:val="007B0DE0"/>
    <w:rsid w:val="007B170F"/>
    <w:rsid w:val="007B192E"/>
    <w:rsid w:val="007B1C0E"/>
    <w:rsid w:val="007B1D90"/>
    <w:rsid w:val="007B229E"/>
    <w:rsid w:val="007B241E"/>
    <w:rsid w:val="007B2B2A"/>
    <w:rsid w:val="007B2BF9"/>
    <w:rsid w:val="007B36CA"/>
    <w:rsid w:val="007B3A5B"/>
    <w:rsid w:val="007B40AA"/>
    <w:rsid w:val="007B4339"/>
    <w:rsid w:val="007B445A"/>
    <w:rsid w:val="007B44E8"/>
    <w:rsid w:val="007B45AA"/>
    <w:rsid w:val="007B4831"/>
    <w:rsid w:val="007B48ED"/>
    <w:rsid w:val="007B4A55"/>
    <w:rsid w:val="007B4E41"/>
    <w:rsid w:val="007B5844"/>
    <w:rsid w:val="007B627A"/>
    <w:rsid w:val="007B6991"/>
    <w:rsid w:val="007B704D"/>
    <w:rsid w:val="007B74C5"/>
    <w:rsid w:val="007B753F"/>
    <w:rsid w:val="007B79D8"/>
    <w:rsid w:val="007B7D66"/>
    <w:rsid w:val="007C0158"/>
    <w:rsid w:val="007C02E4"/>
    <w:rsid w:val="007C0345"/>
    <w:rsid w:val="007C0478"/>
    <w:rsid w:val="007C063D"/>
    <w:rsid w:val="007C08AD"/>
    <w:rsid w:val="007C0932"/>
    <w:rsid w:val="007C0D09"/>
    <w:rsid w:val="007C11C0"/>
    <w:rsid w:val="007C143F"/>
    <w:rsid w:val="007C1B8A"/>
    <w:rsid w:val="007C1B9B"/>
    <w:rsid w:val="007C1BCB"/>
    <w:rsid w:val="007C1E12"/>
    <w:rsid w:val="007C26BC"/>
    <w:rsid w:val="007C273A"/>
    <w:rsid w:val="007C2979"/>
    <w:rsid w:val="007C29FC"/>
    <w:rsid w:val="007C2A1D"/>
    <w:rsid w:val="007C2AA0"/>
    <w:rsid w:val="007C2C60"/>
    <w:rsid w:val="007C2D09"/>
    <w:rsid w:val="007C2D20"/>
    <w:rsid w:val="007C2E42"/>
    <w:rsid w:val="007C3095"/>
    <w:rsid w:val="007C3317"/>
    <w:rsid w:val="007C392B"/>
    <w:rsid w:val="007C48E5"/>
    <w:rsid w:val="007C4F3B"/>
    <w:rsid w:val="007C55EA"/>
    <w:rsid w:val="007C584E"/>
    <w:rsid w:val="007C63F0"/>
    <w:rsid w:val="007C6C5D"/>
    <w:rsid w:val="007C6D75"/>
    <w:rsid w:val="007C6D92"/>
    <w:rsid w:val="007C71D8"/>
    <w:rsid w:val="007C72AF"/>
    <w:rsid w:val="007C74E5"/>
    <w:rsid w:val="007C7838"/>
    <w:rsid w:val="007C78D1"/>
    <w:rsid w:val="007C7CCD"/>
    <w:rsid w:val="007C7D37"/>
    <w:rsid w:val="007C7D8F"/>
    <w:rsid w:val="007D0017"/>
    <w:rsid w:val="007D0124"/>
    <w:rsid w:val="007D075F"/>
    <w:rsid w:val="007D0792"/>
    <w:rsid w:val="007D089A"/>
    <w:rsid w:val="007D0ABB"/>
    <w:rsid w:val="007D0C34"/>
    <w:rsid w:val="007D12BE"/>
    <w:rsid w:val="007D13A5"/>
    <w:rsid w:val="007D16F5"/>
    <w:rsid w:val="007D23B7"/>
    <w:rsid w:val="007D30BC"/>
    <w:rsid w:val="007D3289"/>
    <w:rsid w:val="007D357B"/>
    <w:rsid w:val="007D4097"/>
    <w:rsid w:val="007D4B16"/>
    <w:rsid w:val="007D4C4E"/>
    <w:rsid w:val="007D54BA"/>
    <w:rsid w:val="007D6546"/>
    <w:rsid w:val="007D6600"/>
    <w:rsid w:val="007D66A5"/>
    <w:rsid w:val="007D678B"/>
    <w:rsid w:val="007D6AD0"/>
    <w:rsid w:val="007D6C42"/>
    <w:rsid w:val="007D7457"/>
    <w:rsid w:val="007D754F"/>
    <w:rsid w:val="007D7C82"/>
    <w:rsid w:val="007D7F34"/>
    <w:rsid w:val="007E028C"/>
    <w:rsid w:val="007E02E3"/>
    <w:rsid w:val="007E0446"/>
    <w:rsid w:val="007E049A"/>
    <w:rsid w:val="007E0691"/>
    <w:rsid w:val="007E0917"/>
    <w:rsid w:val="007E0989"/>
    <w:rsid w:val="007E151E"/>
    <w:rsid w:val="007E1D32"/>
    <w:rsid w:val="007E2868"/>
    <w:rsid w:val="007E287E"/>
    <w:rsid w:val="007E2BC4"/>
    <w:rsid w:val="007E3B28"/>
    <w:rsid w:val="007E41D5"/>
    <w:rsid w:val="007E42C2"/>
    <w:rsid w:val="007E564C"/>
    <w:rsid w:val="007E581B"/>
    <w:rsid w:val="007E5B6D"/>
    <w:rsid w:val="007E5F87"/>
    <w:rsid w:val="007E64C7"/>
    <w:rsid w:val="007E666A"/>
    <w:rsid w:val="007E6B8A"/>
    <w:rsid w:val="007E6BAF"/>
    <w:rsid w:val="007E6E39"/>
    <w:rsid w:val="007E6E4F"/>
    <w:rsid w:val="007E7510"/>
    <w:rsid w:val="007E76EB"/>
    <w:rsid w:val="007F028C"/>
    <w:rsid w:val="007F18E5"/>
    <w:rsid w:val="007F200F"/>
    <w:rsid w:val="007F269C"/>
    <w:rsid w:val="007F2887"/>
    <w:rsid w:val="007F310F"/>
    <w:rsid w:val="007F3209"/>
    <w:rsid w:val="007F377D"/>
    <w:rsid w:val="007F39D3"/>
    <w:rsid w:val="007F3C04"/>
    <w:rsid w:val="007F420E"/>
    <w:rsid w:val="007F4225"/>
    <w:rsid w:val="007F449B"/>
    <w:rsid w:val="007F49EF"/>
    <w:rsid w:val="007F4AAF"/>
    <w:rsid w:val="007F555B"/>
    <w:rsid w:val="007F5857"/>
    <w:rsid w:val="007F59AA"/>
    <w:rsid w:val="007F5A8D"/>
    <w:rsid w:val="007F5B3F"/>
    <w:rsid w:val="007F5D9D"/>
    <w:rsid w:val="007F5EA6"/>
    <w:rsid w:val="007F5EC1"/>
    <w:rsid w:val="007F5F12"/>
    <w:rsid w:val="007F61EE"/>
    <w:rsid w:val="007F6D5A"/>
    <w:rsid w:val="007F72C5"/>
    <w:rsid w:val="007F732E"/>
    <w:rsid w:val="007F7841"/>
    <w:rsid w:val="007F7C5D"/>
    <w:rsid w:val="0080082F"/>
    <w:rsid w:val="00800A4B"/>
    <w:rsid w:val="00800D7C"/>
    <w:rsid w:val="00801326"/>
    <w:rsid w:val="00801421"/>
    <w:rsid w:val="008016B6"/>
    <w:rsid w:val="00801735"/>
    <w:rsid w:val="00801B46"/>
    <w:rsid w:val="00801D0C"/>
    <w:rsid w:val="008023D3"/>
    <w:rsid w:val="008024AE"/>
    <w:rsid w:val="00802CBE"/>
    <w:rsid w:val="008031B5"/>
    <w:rsid w:val="00803332"/>
    <w:rsid w:val="00803E3A"/>
    <w:rsid w:val="00804742"/>
    <w:rsid w:val="008047C3"/>
    <w:rsid w:val="00804ECE"/>
    <w:rsid w:val="00804EEB"/>
    <w:rsid w:val="00805A6E"/>
    <w:rsid w:val="00805D86"/>
    <w:rsid w:val="00805DD1"/>
    <w:rsid w:val="00805E1C"/>
    <w:rsid w:val="00806069"/>
    <w:rsid w:val="008065A6"/>
    <w:rsid w:val="00806618"/>
    <w:rsid w:val="008066D5"/>
    <w:rsid w:val="008066F9"/>
    <w:rsid w:val="008077FA"/>
    <w:rsid w:val="00807802"/>
    <w:rsid w:val="00807B54"/>
    <w:rsid w:val="00810131"/>
    <w:rsid w:val="008102C1"/>
    <w:rsid w:val="00810C58"/>
    <w:rsid w:val="00811572"/>
    <w:rsid w:val="008119E2"/>
    <w:rsid w:val="00812644"/>
    <w:rsid w:val="00813009"/>
    <w:rsid w:val="008139F2"/>
    <w:rsid w:val="00813F0C"/>
    <w:rsid w:val="0081440D"/>
    <w:rsid w:val="00814636"/>
    <w:rsid w:val="0081499A"/>
    <w:rsid w:val="00814D65"/>
    <w:rsid w:val="0081533C"/>
    <w:rsid w:val="00815378"/>
    <w:rsid w:val="00815D1D"/>
    <w:rsid w:val="00815F84"/>
    <w:rsid w:val="00816B92"/>
    <w:rsid w:val="00816CC4"/>
    <w:rsid w:val="00817465"/>
    <w:rsid w:val="008174A7"/>
    <w:rsid w:val="0081765A"/>
    <w:rsid w:val="00817833"/>
    <w:rsid w:val="00817CE7"/>
    <w:rsid w:val="00817F05"/>
    <w:rsid w:val="00820027"/>
    <w:rsid w:val="008200AB"/>
    <w:rsid w:val="00820308"/>
    <w:rsid w:val="00821443"/>
    <w:rsid w:val="008214BF"/>
    <w:rsid w:val="00821872"/>
    <w:rsid w:val="008218B9"/>
    <w:rsid w:val="008219CD"/>
    <w:rsid w:val="00822426"/>
    <w:rsid w:val="008224E2"/>
    <w:rsid w:val="00822688"/>
    <w:rsid w:val="00822BC2"/>
    <w:rsid w:val="00823331"/>
    <w:rsid w:val="0082344A"/>
    <w:rsid w:val="00823470"/>
    <w:rsid w:val="008236AB"/>
    <w:rsid w:val="00823BAC"/>
    <w:rsid w:val="00823EA8"/>
    <w:rsid w:val="00824318"/>
    <w:rsid w:val="0082470F"/>
    <w:rsid w:val="00824A42"/>
    <w:rsid w:val="0082509A"/>
    <w:rsid w:val="00825129"/>
    <w:rsid w:val="00825840"/>
    <w:rsid w:val="0082593E"/>
    <w:rsid w:val="00825CF0"/>
    <w:rsid w:val="00825F24"/>
    <w:rsid w:val="0082643D"/>
    <w:rsid w:val="00826E00"/>
    <w:rsid w:val="00826EE1"/>
    <w:rsid w:val="00827297"/>
    <w:rsid w:val="00827D79"/>
    <w:rsid w:val="00827E09"/>
    <w:rsid w:val="00830B6D"/>
    <w:rsid w:val="00830BFB"/>
    <w:rsid w:val="00830E32"/>
    <w:rsid w:val="00831848"/>
    <w:rsid w:val="0083201C"/>
    <w:rsid w:val="008324A6"/>
    <w:rsid w:val="0083267D"/>
    <w:rsid w:val="00832A22"/>
    <w:rsid w:val="00832E94"/>
    <w:rsid w:val="0083330E"/>
    <w:rsid w:val="00833B1F"/>
    <w:rsid w:val="00833F3D"/>
    <w:rsid w:val="00833F93"/>
    <w:rsid w:val="0083458F"/>
    <w:rsid w:val="00834AA8"/>
    <w:rsid w:val="00835454"/>
    <w:rsid w:val="008358AF"/>
    <w:rsid w:val="00836282"/>
    <w:rsid w:val="008364BC"/>
    <w:rsid w:val="008365B5"/>
    <w:rsid w:val="00836CD2"/>
    <w:rsid w:val="00836D92"/>
    <w:rsid w:val="008376A2"/>
    <w:rsid w:val="00837BE3"/>
    <w:rsid w:val="00837F3B"/>
    <w:rsid w:val="00840136"/>
    <w:rsid w:val="008408D3"/>
    <w:rsid w:val="00840A13"/>
    <w:rsid w:val="00840D3B"/>
    <w:rsid w:val="00840FAB"/>
    <w:rsid w:val="00841929"/>
    <w:rsid w:val="00841A85"/>
    <w:rsid w:val="00841C18"/>
    <w:rsid w:val="00841F96"/>
    <w:rsid w:val="00842155"/>
    <w:rsid w:val="00842429"/>
    <w:rsid w:val="0084268F"/>
    <w:rsid w:val="0084273A"/>
    <w:rsid w:val="00843642"/>
    <w:rsid w:val="00843918"/>
    <w:rsid w:val="00843B97"/>
    <w:rsid w:val="008442F1"/>
    <w:rsid w:val="00844812"/>
    <w:rsid w:val="00844816"/>
    <w:rsid w:val="00844C91"/>
    <w:rsid w:val="00845084"/>
    <w:rsid w:val="008456E8"/>
    <w:rsid w:val="00845847"/>
    <w:rsid w:val="00845B85"/>
    <w:rsid w:val="00846271"/>
    <w:rsid w:val="00846436"/>
    <w:rsid w:val="00846AEF"/>
    <w:rsid w:val="00846C4F"/>
    <w:rsid w:val="00846EA9"/>
    <w:rsid w:val="00846F96"/>
    <w:rsid w:val="008470C6"/>
    <w:rsid w:val="00850212"/>
    <w:rsid w:val="008505B7"/>
    <w:rsid w:val="00850782"/>
    <w:rsid w:val="0085091C"/>
    <w:rsid w:val="00850FCB"/>
    <w:rsid w:val="00851754"/>
    <w:rsid w:val="00851C91"/>
    <w:rsid w:val="00851E4A"/>
    <w:rsid w:val="00852006"/>
    <w:rsid w:val="008520D2"/>
    <w:rsid w:val="00852500"/>
    <w:rsid w:val="008525A0"/>
    <w:rsid w:val="008526CA"/>
    <w:rsid w:val="00852CAF"/>
    <w:rsid w:val="00853333"/>
    <w:rsid w:val="008534A5"/>
    <w:rsid w:val="008537B3"/>
    <w:rsid w:val="00854539"/>
    <w:rsid w:val="00854B07"/>
    <w:rsid w:val="00854FBE"/>
    <w:rsid w:val="008550DE"/>
    <w:rsid w:val="008551DE"/>
    <w:rsid w:val="00855619"/>
    <w:rsid w:val="00855728"/>
    <w:rsid w:val="008558C7"/>
    <w:rsid w:val="00856177"/>
    <w:rsid w:val="0085619C"/>
    <w:rsid w:val="0085648E"/>
    <w:rsid w:val="00856498"/>
    <w:rsid w:val="00856AF8"/>
    <w:rsid w:val="00856B3E"/>
    <w:rsid w:val="00857168"/>
    <w:rsid w:val="0085729F"/>
    <w:rsid w:val="008574C8"/>
    <w:rsid w:val="008575E2"/>
    <w:rsid w:val="00857F41"/>
    <w:rsid w:val="00857FE5"/>
    <w:rsid w:val="00860127"/>
    <w:rsid w:val="0086066F"/>
    <w:rsid w:val="008607B4"/>
    <w:rsid w:val="00860BB2"/>
    <w:rsid w:val="00860E07"/>
    <w:rsid w:val="00860F3E"/>
    <w:rsid w:val="00861BC2"/>
    <w:rsid w:val="008622D5"/>
    <w:rsid w:val="008623AE"/>
    <w:rsid w:val="008624F3"/>
    <w:rsid w:val="00862D69"/>
    <w:rsid w:val="00862EA0"/>
    <w:rsid w:val="00863184"/>
    <w:rsid w:val="00863DD7"/>
    <w:rsid w:val="0086405D"/>
    <w:rsid w:val="00864A42"/>
    <w:rsid w:val="00864ACA"/>
    <w:rsid w:val="00864DB9"/>
    <w:rsid w:val="0086527A"/>
    <w:rsid w:val="008659C5"/>
    <w:rsid w:val="00865F9F"/>
    <w:rsid w:val="0086604D"/>
    <w:rsid w:val="008661F8"/>
    <w:rsid w:val="008663A3"/>
    <w:rsid w:val="008665AB"/>
    <w:rsid w:val="0086677B"/>
    <w:rsid w:val="008667F8"/>
    <w:rsid w:val="0086694E"/>
    <w:rsid w:val="00866C2A"/>
    <w:rsid w:val="008670F5"/>
    <w:rsid w:val="00867484"/>
    <w:rsid w:val="00867710"/>
    <w:rsid w:val="008678E7"/>
    <w:rsid w:val="00867CE0"/>
    <w:rsid w:val="00867E14"/>
    <w:rsid w:val="00867E23"/>
    <w:rsid w:val="00867F37"/>
    <w:rsid w:val="00870AD4"/>
    <w:rsid w:val="00870F3B"/>
    <w:rsid w:val="0087114A"/>
    <w:rsid w:val="00871311"/>
    <w:rsid w:val="00871347"/>
    <w:rsid w:val="00871444"/>
    <w:rsid w:val="008718A4"/>
    <w:rsid w:val="0087200B"/>
    <w:rsid w:val="0087267B"/>
    <w:rsid w:val="00872986"/>
    <w:rsid w:val="00872CBA"/>
    <w:rsid w:val="00872D7A"/>
    <w:rsid w:val="0087329D"/>
    <w:rsid w:val="00873D0C"/>
    <w:rsid w:val="00873DC8"/>
    <w:rsid w:val="008740DC"/>
    <w:rsid w:val="008750FA"/>
    <w:rsid w:val="0087527D"/>
    <w:rsid w:val="00875395"/>
    <w:rsid w:val="00875680"/>
    <w:rsid w:val="008768EA"/>
    <w:rsid w:val="0087744C"/>
    <w:rsid w:val="008774A5"/>
    <w:rsid w:val="008777FF"/>
    <w:rsid w:val="00877FA4"/>
    <w:rsid w:val="008800AE"/>
    <w:rsid w:val="008802E9"/>
    <w:rsid w:val="00881579"/>
    <w:rsid w:val="00881823"/>
    <w:rsid w:val="008820AC"/>
    <w:rsid w:val="0088288C"/>
    <w:rsid w:val="00882DD8"/>
    <w:rsid w:val="008839F7"/>
    <w:rsid w:val="00883B4F"/>
    <w:rsid w:val="00883BC5"/>
    <w:rsid w:val="008845AF"/>
    <w:rsid w:val="00884EFB"/>
    <w:rsid w:val="0088572E"/>
    <w:rsid w:val="00885853"/>
    <w:rsid w:val="00885A94"/>
    <w:rsid w:val="00885CBB"/>
    <w:rsid w:val="00885FD6"/>
    <w:rsid w:val="008860DE"/>
    <w:rsid w:val="00886358"/>
    <w:rsid w:val="0088643D"/>
    <w:rsid w:val="008864D1"/>
    <w:rsid w:val="008865B3"/>
    <w:rsid w:val="00886F71"/>
    <w:rsid w:val="0088707A"/>
    <w:rsid w:val="00887501"/>
    <w:rsid w:val="00887B2C"/>
    <w:rsid w:val="00887BC6"/>
    <w:rsid w:val="00887EB7"/>
    <w:rsid w:val="00887F29"/>
    <w:rsid w:val="008903CF"/>
    <w:rsid w:val="008905C8"/>
    <w:rsid w:val="00890762"/>
    <w:rsid w:val="00890B18"/>
    <w:rsid w:val="00891308"/>
    <w:rsid w:val="00892484"/>
    <w:rsid w:val="00892500"/>
    <w:rsid w:val="00892E75"/>
    <w:rsid w:val="00892F5C"/>
    <w:rsid w:val="008936E5"/>
    <w:rsid w:val="00893A04"/>
    <w:rsid w:val="00893B6E"/>
    <w:rsid w:val="0089500C"/>
    <w:rsid w:val="00895051"/>
    <w:rsid w:val="008954A3"/>
    <w:rsid w:val="00895869"/>
    <w:rsid w:val="008959D0"/>
    <w:rsid w:val="00895B23"/>
    <w:rsid w:val="00896143"/>
    <w:rsid w:val="00896FED"/>
    <w:rsid w:val="008972BF"/>
    <w:rsid w:val="008974EB"/>
    <w:rsid w:val="00897BEE"/>
    <w:rsid w:val="00897EAF"/>
    <w:rsid w:val="008A01BF"/>
    <w:rsid w:val="008A0809"/>
    <w:rsid w:val="008A0828"/>
    <w:rsid w:val="008A0932"/>
    <w:rsid w:val="008A0C2A"/>
    <w:rsid w:val="008A0DD8"/>
    <w:rsid w:val="008A1079"/>
    <w:rsid w:val="008A1502"/>
    <w:rsid w:val="008A1A24"/>
    <w:rsid w:val="008A1AF8"/>
    <w:rsid w:val="008A1C10"/>
    <w:rsid w:val="008A2779"/>
    <w:rsid w:val="008A37BF"/>
    <w:rsid w:val="008A3928"/>
    <w:rsid w:val="008A3EF8"/>
    <w:rsid w:val="008A441C"/>
    <w:rsid w:val="008A486A"/>
    <w:rsid w:val="008A4EB5"/>
    <w:rsid w:val="008A5054"/>
    <w:rsid w:val="008A5721"/>
    <w:rsid w:val="008A69FD"/>
    <w:rsid w:val="008A6E50"/>
    <w:rsid w:val="008A7A02"/>
    <w:rsid w:val="008A7CF2"/>
    <w:rsid w:val="008A7F55"/>
    <w:rsid w:val="008B079D"/>
    <w:rsid w:val="008B1269"/>
    <w:rsid w:val="008B1593"/>
    <w:rsid w:val="008B17EC"/>
    <w:rsid w:val="008B1BBE"/>
    <w:rsid w:val="008B1C39"/>
    <w:rsid w:val="008B1F79"/>
    <w:rsid w:val="008B21D7"/>
    <w:rsid w:val="008B21DA"/>
    <w:rsid w:val="008B2C03"/>
    <w:rsid w:val="008B358E"/>
    <w:rsid w:val="008B424F"/>
    <w:rsid w:val="008B4745"/>
    <w:rsid w:val="008B485E"/>
    <w:rsid w:val="008B53A6"/>
    <w:rsid w:val="008B5BB4"/>
    <w:rsid w:val="008B5D40"/>
    <w:rsid w:val="008B5DA0"/>
    <w:rsid w:val="008B62B3"/>
    <w:rsid w:val="008B7170"/>
    <w:rsid w:val="008B733B"/>
    <w:rsid w:val="008B749C"/>
    <w:rsid w:val="008B7702"/>
    <w:rsid w:val="008B7987"/>
    <w:rsid w:val="008B7D45"/>
    <w:rsid w:val="008B7D50"/>
    <w:rsid w:val="008C005A"/>
    <w:rsid w:val="008C0235"/>
    <w:rsid w:val="008C0567"/>
    <w:rsid w:val="008C0BCA"/>
    <w:rsid w:val="008C0C7F"/>
    <w:rsid w:val="008C0EB4"/>
    <w:rsid w:val="008C0ED2"/>
    <w:rsid w:val="008C1539"/>
    <w:rsid w:val="008C24F2"/>
    <w:rsid w:val="008C2607"/>
    <w:rsid w:val="008C280F"/>
    <w:rsid w:val="008C2B87"/>
    <w:rsid w:val="008C2ED4"/>
    <w:rsid w:val="008C2EF8"/>
    <w:rsid w:val="008C328F"/>
    <w:rsid w:val="008C4663"/>
    <w:rsid w:val="008C5017"/>
    <w:rsid w:val="008C5054"/>
    <w:rsid w:val="008C51AF"/>
    <w:rsid w:val="008C51FF"/>
    <w:rsid w:val="008C5292"/>
    <w:rsid w:val="008C580E"/>
    <w:rsid w:val="008C5A33"/>
    <w:rsid w:val="008C5C87"/>
    <w:rsid w:val="008C62A2"/>
    <w:rsid w:val="008C6817"/>
    <w:rsid w:val="008C6C20"/>
    <w:rsid w:val="008C71E7"/>
    <w:rsid w:val="008C76AE"/>
    <w:rsid w:val="008C76ED"/>
    <w:rsid w:val="008C781B"/>
    <w:rsid w:val="008C7ACA"/>
    <w:rsid w:val="008C7BB5"/>
    <w:rsid w:val="008D01EC"/>
    <w:rsid w:val="008D0B44"/>
    <w:rsid w:val="008D0DFE"/>
    <w:rsid w:val="008D16BA"/>
    <w:rsid w:val="008D19E0"/>
    <w:rsid w:val="008D1C5E"/>
    <w:rsid w:val="008D1EA7"/>
    <w:rsid w:val="008D1F5A"/>
    <w:rsid w:val="008D222B"/>
    <w:rsid w:val="008D296C"/>
    <w:rsid w:val="008D2A85"/>
    <w:rsid w:val="008D2CA5"/>
    <w:rsid w:val="008D2E4A"/>
    <w:rsid w:val="008D2F27"/>
    <w:rsid w:val="008D3054"/>
    <w:rsid w:val="008D30AE"/>
    <w:rsid w:val="008D3312"/>
    <w:rsid w:val="008D3372"/>
    <w:rsid w:val="008D3606"/>
    <w:rsid w:val="008D3920"/>
    <w:rsid w:val="008D3C5B"/>
    <w:rsid w:val="008D4365"/>
    <w:rsid w:val="008D44FC"/>
    <w:rsid w:val="008D4564"/>
    <w:rsid w:val="008D482D"/>
    <w:rsid w:val="008D49AB"/>
    <w:rsid w:val="008D4CD0"/>
    <w:rsid w:val="008D4E42"/>
    <w:rsid w:val="008D4E6E"/>
    <w:rsid w:val="008D5830"/>
    <w:rsid w:val="008D5FE6"/>
    <w:rsid w:val="008D6C51"/>
    <w:rsid w:val="008D6EF8"/>
    <w:rsid w:val="008D7429"/>
    <w:rsid w:val="008D7810"/>
    <w:rsid w:val="008E032E"/>
    <w:rsid w:val="008E0741"/>
    <w:rsid w:val="008E07E0"/>
    <w:rsid w:val="008E0B4F"/>
    <w:rsid w:val="008E0F09"/>
    <w:rsid w:val="008E11A1"/>
    <w:rsid w:val="008E17A4"/>
    <w:rsid w:val="008E18F6"/>
    <w:rsid w:val="008E1A90"/>
    <w:rsid w:val="008E1C0E"/>
    <w:rsid w:val="008E2554"/>
    <w:rsid w:val="008E26C5"/>
    <w:rsid w:val="008E2CAB"/>
    <w:rsid w:val="008E3341"/>
    <w:rsid w:val="008E3371"/>
    <w:rsid w:val="008E3627"/>
    <w:rsid w:val="008E37D2"/>
    <w:rsid w:val="008E41B2"/>
    <w:rsid w:val="008E5250"/>
    <w:rsid w:val="008E61D9"/>
    <w:rsid w:val="008E6308"/>
    <w:rsid w:val="008E6611"/>
    <w:rsid w:val="008E6619"/>
    <w:rsid w:val="008E67F4"/>
    <w:rsid w:val="008E6F11"/>
    <w:rsid w:val="008E703E"/>
    <w:rsid w:val="008E70E8"/>
    <w:rsid w:val="008E78BD"/>
    <w:rsid w:val="008E7AEE"/>
    <w:rsid w:val="008E7B5F"/>
    <w:rsid w:val="008E7CE1"/>
    <w:rsid w:val="008E7D6A"/>
    <w:rsid w:val="008E7F83"/>
    <w:rsid w:val="008F05E9"/>
    <w:rsid w:val="008F06A2"/>
    <w:rsid w:val="008F11CC"/>
    <w:rsid w:val="008F1D58"/>
    <w:rsid w:val="008F2C02"/>
    <w:rsid w:val="008F3331"/>
    <w:rsid w:val="008F3F5E"/>
    <w:rsid w:val="008F4681"/>
    <w:rsid w:val="008F4DF5"/>
    <w:rsid w:val="008F5075"/>
    <w:rsid w:val="008F5352"/>
    <w:rsid w:val="008F5415"/>
    <w:rsid w:val="008F5634"/>
    <w:rsid w:val="008F566E"/>
    <w:rsid w:val="008F5AE9"/>
    <w:rsid w:val="008F5CD5"/>
    <w:rsid w:val="008F6652"/>
    <w:rsid w:val="008F6D65"/>
    <w:rsid w:val="008F6F1C"/>
    <w:rsid w:val="008F7240"/>
    <w:rsid w:val="008F7679"/>
    <w:rsid w:val="009000E7"/>
    <w:rsid w:val="009006B7"/>
    <w:rsid w:val="00900F08"/>
    <w:rsid w:val="00901361"/>
    <w:rsid w:val="0090154E"/>
    <w:rsid w:val="0090167C"/>
    <w:rsid w:val="00901749"/>
    <w:rsid w:val="00901F32"/>
    <w:rsid w:val="009026C1"/>
    <w:rsid w:val="009026DA"/>
    <w:rsid w:val="009027F5"/>
    <w:rsid w:val="00903299"/>
    <w:rsid w:val="00903C26"/>
    <w:rsid w:val="00903C3F"/>
    <w:rsid w:val="00903FE5"/>
    <w:rsid w:val="00904330"/>
    <w:rsid w:val="009043A5"/>
    <w:rsid w:val="00904498"/>
    <w:rsid w:val="009049DF"/>
    <w:rsid w:val="009049ED"/>
    <w:rsid w:val="00904B8C"/>
    <w:rsid w:val="00904CDA"/>
    <w:rsid w:val="00904E37"/>
    <w:rsid w:val="0090502C"/>
    <w:rsid w:val="00905194"/>
    <w:rsid w:val="00905629"/>
    <w:rsid w:val="0090577A"/>
    <w:rsid w:val="00905D4F"/>
    <w:rsid w:val="00905E0C"/>
    <w:rsid w:val="00905EE5"/>
    <w:rsid w:val="00906A94"/>
    <w:rsid w:val="00906BD1"/>
    <w:rsid w:val="00907AE3"/>
    <w:rsid w:val="00907B43"/>
    <w:rsid w:val="00907D77"/>
    <w:rsid w:val="009102AB"/>
    <w:rsid w:val="0091051E"/>
    <w:rsid w:val="0091067B"/>
    <w:rsid w:val="009109BA"/>
    <w:rsid w:val="00910ABB"/>
    <w:rsid w:val="00910D8C"/>
    <w:rsid w:val="0091132F"/>
    <w:rsid w:val="009113C9"/>
    <w:rsid w:val="009113D9"/>
    <w:rsid w:val="0091146E"/>
    <w:rsid w:val="009117BC"/>
    <w:rsid w:val="00911870"/>
    <w:rsid w:val="009118B4"/>
    <w:rsid w:val="0091196B"/>
    <w:rsid w:val="00911DE1"/>
    <w:rsid w:val="0091249F"/>
    <w:rsid w:val="00912596"/>
    <w:rsid w:val="00912647"/>
    <w:rsid w:val="00912870"/>
    <w:rsid w:val="00912D07"/>
    <w:rsid w:val="00912D42"/>
    <w:rsid w:val="00913591"/>
    <w:rsid w:val="009139A2"/>
    <w:rsid w:val="00913C49"/>
    <w:rsid w:val="00913EDF"/>
    <w:rsid w:val="00913FAD"/>
    <w:rsid w:val="009142F0"/>
    <w:rsid w:val="009142F4"/>
    <w:rsid w:val="009149BF"/>
    <w:rsid w:val="00914FF0"/>
    <w:rsid w:val="0091537D"/>
    <w:rsid w:val="0091538C"/>
    <w:rsid w:val="009153EC"/>
    <w:rsid w:val="009155F8"/>
    <w:rsid w:val="0091564F"/>
    <w:rsid w:val="00915F02"/>
    <w:rsid w:val="00915FFC"/>
    <w:rsid w:val="009165C2"/>
    <w:rsid w:val="00916B93"/>
    <w:rsid w:val="00916FA1"/>
    <w:rsid w:val="0091704C"/>
    <w:rsid w:val="00917835"/>
    <w:rsid w:val="0091799B"/>
    <w:rsid w:val="00917EF9"/>
    <w:rsid w:val="00917FB2"/>
    <w:rsid w:val="009201DC"/>
    <w:rsid w:val="009203B3"/>
    <w:rsid w:val="00920495"/>
    <w:rsid w:val="00920515"/>
    <w:rsid w:val="009210D4"/>
    <w:rsid w:val="009214FB"/>
    <w:rsid w:val="0092154B"/>
    <w:rsid w:val="009229B7"/>
    <w:rsid w:val="00923338"/>
    <w:rsid w:val="009238BD"/>
    <w:rsid w:val="00923948"/>
    <w:rsid w:val="00923996"/>
    <w:rsid w:val="009239D8"/>
    <w:rsid w:val="00923A0D"/>
    <w:rsid w:val="00923B9D"/>
    <w:rsid w:val="009243AD"/>
    <w:rsid w:val="009244F2"/>
    <w:rsid w:val="009245AE"/>
    <w:rsid w:val="00924B7D"/>
    <w:rsid w:val="00925050"/>
    <w:rsid w:val="00925313"/>
    <w:rsid w:val="0092605C"/>
    <w:rsid w:val="00926299"/>
    <w:rsid w:val="00926577"/>
    <w:rsid w:val="009266C7"/>
    <w:rsid w:val="0092694F"/>
    <w:rsid w:val="00926A15"/>
    <w:rsid w:val="00926D25"/>
    <w:rsid w:val="00926F4A"/>
    <w:rsid w:val="0092708E"/>
    <w:rsid w:val="009270A2"/>
    <w:rsid w:val="009273A1"/>
    <w:rsid w:val="009273EC"/>
    <w:rsid w:val="0092746C"/>
    <w:rsid w:val="009276CC"/>
    <w:rsid w:val="0092783D"/>
    <w:rsid w:val="00927850"/>
    <w:rsid w:val="009279D8"/>
    <w:rsid w:val="00927B31"/>
    <w:rsid w:val="00927F83"/>
    <w:rsid w:val="0093095C"/>
    <w:rsid w:val="00930FB3"/>
    <w:rsid w:val="00930FC6"/>
    <w:rsid w:val="0093143C"/>
    <w:rsid w:val="009314FD"/>
    <w:rsid w:val="009316C5"/>
    <w:rsid w:val="009316EC"/>
    <w:rsid w:val="009320ED"/>
    <w:rsid w:val="009329A7"/>
    <w:rsid w:val="009329B6"/>
    <w:rsid w:val="00933B60"/>
    <w:rsid w:val="00933E3E"/>
    <w:rsid w:val="00934A33"/>
    <w:rsid w:val="00934B9A"/>
    <w:rsid w:val="00934C3A"/>
    <w:rsid w:val="00934ED6"/>
    <w:rsid w:val="0093507C"/>
    <w:rsid w:val="00935A55"/>
    <w:rsid w:val="00935ABC"/>
    <w:rsid w:val="00935F11"/>
    <w:rsid w:val="009362FC"/>
    <w:rsid w:val="00936552"/>
    <w:rsid w:val="00936BFA"/>
    <w:rsid w:val="00936C02"/>
    <w:rsid w:val="00936C50"/>
    <w:rsid w:val="00936DAD"/>
    <w:rsid w:val="00936EDF"/>
    <w:rsid w:val="009374B1"/>
    <w:rsid w:val="0093759C"/>
    <w:rsid w:val="0093784E"/>
    <w:rsid w:val="00937A65"/>
    <w:rsid w:val="00937BA6"/>
    <w:rsid w:val="00937C17"/>
    <w:rsid w:val="00937D15"/>
    <w:rsid w:val="00940407"/>
    <w:rsid w:val="009407F5"/>
    <w:rsid w:val="0094096A"/>
    <w:rsid w:val="00940B7E"/>
    <w:rsid w:val="00940CC9"/>
    <w:rsid w:val="00941199"/>
    <w:rsid w:val="0094135D"/>
    <w:rsid w:val="0094154C"/>
    <w:rsid w:val="00941F9A"/>
    <w:rsid w:val="009426CD"/>
    <w:rsid w:val="00942B0C"/>
    <w:rsid w:val="00942CF2"/>
    <w:rsid w:val="00942F9A"/>
    <w:rsid w:val="00943E28"/>
    <w:rsid w:val="00944204"/>
    <w:rsid w:val="009444F2"/>
    <w:rsid w:val="009445A6"/>
    <w:rsid w:val="009447C5"/>
    <w:rsid w:val="00944F31"/>
    <w:rsid w:val="009451ED"/>
    <w:rsid w:val="00945883"/>
    <w:rsid w:val="0094601C"/>
    <w:rsid w:val="0094679D"/>
    <w:rsid w:val="00946BF5"/>
    <w:rsid w:val="00946F99"/>
    <w:rsid w:val="009472E2"/>
    <w:rsid w:val="0094743B"/>
    <w:rsid w:val="00947CBA"/>
    <w:rsid w:val="0095110B"/>
    <w:rsid w:val="009514B5"/>
    <w:rsid w:val="00952043"/>
    <w:rsid w:val="0095206A"/>
    <w:rsid w:val="009520BE"/>
    <w:rsid w:val="009521A8"/>
    <w:rsid w:val="00952494"/>
    <w:rsid w:val="00952C21"/>
    <w:rsid w:val="00953078"/>
    <w:rsid w:val="009531ED"/>
    <w:rsid w:val="009533FE"/>
    <w:rsid w:val="009536A1"/>
    <w:rsid w:val="009537AD"/>
    <w:rsid w:val="00953975"/>
    <w:rsid w:val="00953FAA"/>
    <w:rsid w:val="009544CC"/>
    <w:rsid w:val="009548EA"/>
    <w:rsid w:val="009549AC"/>
    <w:rsid w:val="00954B71"/>
    <w:rsid w:val="00955018"/>
    <w:rsid w:val="00955109"/>
    <w:rsid w:val="00955204"/>
    <w:rsid w:val="009555CD"/>
    <w:rsid w:val="00955667"/>
    <w:rsid w:val="00955FF2"/>
    <w:rsid w:val="009562BB"/>
    <w:rsid w:val="00956827"/>
    <w:rsid w:val="00957ED6"/>
    <w:rsid w:val="0096003B"/>
    <w:rsid w:val="00960BE9"/>
    <w:rsid w:val="00961C34"/>
    <w:rsid w:val="00962E8C"/>
    <w:rsid w:val="00963586"/>
    <w:rsid w:val="00963B73"/>
    <w:rsid w:val="00963F2D"/>
    <w:rsid w:val="00963F46"/>
    <w:rsid w:val="009646AA"/>
    <w:rsid w:val="0096490D"/>
    <w:rsid w:val="0096504D"/>
    <w:rsid w:val="009654E5"/>
    <w:rsid w:val="00965806"/>
    <w:rsid w:val="00965A9D"/>
    <w:rsid w:val="00965B51"/>
    <w:rsid w:val="00965E31"/>
    <w:rsid w:val="009663BF"/>
    <w:rsid w:val="009665C3"/>
    <w:rsid w:val="00966C86"/>
    <w:rsid w:val="009671C9"/>
    <w:rsid w:val="00967881"/>
    <w:rsid w:val="00967D4C"/>
    <w:rsid w:val="009704D5"/>
    <w:rsid w:val="0097050D"/>
    <w:rsid w:val="00970FE1"/>
    <w:rsid w:val="0097196D"/>
    <w:rsid w:val="00971DA8"/>
    <w:rsid w:val="00971DD6"/>
    <w:rsid w:val="009721C3"/>
    <w:rsid w:val="00972730"/>
    <w:rsid w:val="009729EF"/>
    <w:rsid w:val="00972D85"/>
    <w:rsid w:val="00972DE8"/>
    <w:rsid w:val="00973074"/>
    <w:rsid w:val="00973364"/>
    <w:rsid w:val="00973735"/>
    <w:rsid w:val="00973CA1"/>
    <w:rsid w:val="00973E32"/>
    <w:rsid w:val="00974540"/>
    <w:rsid w:val="00974DEB"/>
    <w:rsid w:val="00975039"/>
    <w:rsid w:val="00975551"/>
    <w:rsid w:val="0097607B"/>
    <w:rsid w:val="00976100"/>
    <w:rsid w:val="009764F6"/>
    <w:rsid w:val="009765E9"/>
    <w:rsid w:val="009766A6"/>
    <w:rsid w:val="00976A75"/>
    <w:rsid w:val="00976B3B"/>
    <w:rsid w:val="00976BD6"/>
    <w:rsid w:val="0097709C"/>
    <w:rsid w:val="009774E5"/>
    <w:rsid w:val="0097761C"/>
    <w:rsid w:val="00977A16"/>
    <w:rsid w:val="00977A4E"/>
    <w:rsid w:val="0098012F"/>
    <w:rsid w:val="009801A8"/>
    <w:rsid w:val="00980302"/>
    <w:rsid w:val="009808B7"/>
    <w:rsid w:val="00980D8E"/>
    <w:rsid w:val="00981381"/>
    <w:rsid w:val="00981713"/>
    <w:rsid w:val="009819D7"/>
    <w:rsid w:val="00981CA6"/>
    <w:rsid w:val="00981F12"/>
    <w:rsid w:val="00982946"/>
    <w:rsid w:val="00982B60"/>
    <w:rsid w:val="00982C06"/>
    <w:rsid w:val="00982D6F"/>
    <w:rsid w:val="00982EFB"/>
    <w:rsid w:val="009830AD"/>
    <w:rsid w:val="0098330C"/>
    <w:rsid w:val="00983756"/>
    <w:rsid w:val="00983D8D"/>
    <w:rsid w:val="00984691"/>
    <w:rsid w:val="00984888"/>
    <w:rsid w:val="00984A82"/>
    <w:rsid w:val="00984ED3"/>
    <w:rsid w:val="0098506C"/>
    <w:rsid w:val="0098520E"/>
    <w:rsid w:val="00985A37"/>
    <w:rsid w:val="00985ACC"/>
    <w:rsid w:val="00985BBE"/>
    <w:rsid w:val="00985D10"/>
    <w:rsid w:val="00985D56"/>
    <w:rsid w:val="00985D7E"/>
    <w:rsid w:val="009860AB"/>
    <w:rsid w:val="009864FB"/>
    <w:rsid w:val="00986B3F"/>
    <w:rsid w:val="009870E0"/>
    <w:rsid w:val="009872F6"/>
    <w:rsid w:val="009876DF"/>
    <w:rsid w:val="00987967"/>
    <w:rsid w:val="00987DB4"/>
    <w:rsid w:val="00987FA4"/>
    <w:rsid w:val="00987FF6"/>
    <w:rsid w:val="0099001D"/>
    <w:rsid w:val="009903BD"/>
    <w:rsid w:val="0099049C"/>
    <w:rsid w:val="009908FB"/>
    <w:rsid w:val="00990B2C"/>
    <w:rsid w:val="00990CA0"/>
    <w:rsid w:val="0099179C"/>
    <w:rsid w:val="00992878"/>
    <w:rsid w:val="00992DAA"/>
    <w:rsid w:val="00993257"/>
    <w:rsid w:val="0099329C"/>
    <w:rsid w:val="00993D21"/>
    <w:rsid w:val="009949A2"/>
    <w:rsid w:val="00994E8E"/>
    <w:rsid w:val="0099502B"/>
    <w:rsid w:val="00995134"/>
    <w:rsid w:val="00995C4E"/>
    <w:rsid w:val="00996103"/>
    <w:rsid w:val="00996150"/>
    <w:rsid w:val="009961A2"/>
    <w:rsid w:val="00997278"/>
    <w:rsid w:val="009977EA"/>
    <w:rsid w:val="00997D17"/>
    <w:rsid w:val="009A0043"/>
    <w:rsid w:val="009A02D9"/>
    <w:rsid w:val="009A11A0"/>
    <w:rsid w:val="009A11EC"/>
    <w:rsid w:val="009A16C8"/>
    <w:rsid w:val="009A195B"/>
    <w:rsid w:val="009A2FA6"/>
    <w:rsid w:val="009A319C"/>
    <w:rsid w:val="009A343E"/>
    <w:rsid w:val="009A350B"/>
    <w:rsid w:val="009A3C7E"/>
    <w:rsid w:val="009A4603"/>
    <w:rsid w:val="009A484D"/>
    <w:rsid w:val="009A4B6F"/>
    <w:rsid w:val="009A4C2A"/>
    <w:rsid w:val="009A51D8"/>
    <w:rsid w:val="009A5B29"/>
    <w:rsid w:val="009A5C45"/>
    <w:rsid w:val="009A5F51"/>
    <w:rsid w:val="009A6008"/>
    <w:rsid w:val="009A616F"/>
    <w:rsid w:val="009A622B"/>
    <w:rsid w:val="009A63A3"/>
    <w:rsid w:val="009A6629"/>
    <w:rsid w:val="009A6A99"/>
    <w:rsid w:val="009A6E45"/>
    <w:rsid w:val="009A6EBC"/>
    <w:rsid w:val="009A7236"/>
    <w:rsid w:val="009A7570"/>
    <w:rsid w:val="009A76A5"/>
    <w:rsid w:val="009A7DD6"/>
    <w:rsid w:val="009B06E9"/>
    <w:rsid w:val="009B08E0"/>
    <w:rsid w:val="009B0C82"/>
    <w:rsid w:val="009B1105"/>
    <w:rsid w:val="009B13C7"/>
    <w:rsid w:val="009B1522"/>
    <w:rsid w:val="009B19C2"/>
    <w:rsid w:val="009B2202"/>
    <w:rsid w:val="009B292B"/>
    <w:rsid w:val="009B317F"/>
    <w:rsid w:val="009B342F"/>
    <w:rsid w:val="009B3C21"/>
    <w:rsid w:val="009B41D3"/>
    <w:rsid w:val="009B4EDA"/>
    <w:rsid w:val="009B4FBA"/>
    <w:rsid w:val="009B538E"/>
    <w:rsid w:val="009B565E"/>
    <w:rsid w:val="009B5D61"/>
    <w:rsid w:val="009B6584"/>
    <w:rsid w:val="009B686E"/>
    <w:rsid w:val="009B69EE"/>
    <w:rsid w:val="009B6C07"/>
    <w:rsid w:val="009B6C20"/>
    <w:rsid w:val="009B6F8B"/>
    <w:rsid w:val="009B731B"/>
    <w:rsid w:val="009B7521"/>
    <w:rsid w:val="009B7670"/>
    <w:rsid w:val="009B7737"/>
    <w:rsid w:val="009B773D"/>
    <w:rsid w:val="009B7B32"/>
    <w:rsid w:val="009B7BBF"/>
    <w:rsid w:val="009B7F88"/>
    <w:rsid w:val="009C0112"/>
    <w:rsid w:val="009C028F"/>
    <w:rsid w:val="009C055F"/>
    <w:rsid w:val="009C05B0"/>
    <w:rsid w:val="009C143E"/>
    <w:rsid w:val="009C1531"/>
    <w:rsid w:val="009C1561"/>
    <w:rsid w:val="009C184B"/>
    <w:rsid w:val="009C1EA9"/>
    <w:rsid w:val="009C21BD"/>
    <w:rsid w:val="009C2F74"/>
    <w:rsid w:val="009C31B1"/>
    <w:rsid w:val="009C330D"/>
    <w:rsid w:val="009C4378"/>
    <w:rsid w:val="009C48EE"/>
    <w:rsid w:val="009C4BE9"/>
    <w:rsid w:val="009C500F"/>
    <w:rsid w:val="009C5071"/>
    <w:rsid w:val="009C57F9"/>
    <w:rsid w:val="009C5AE1"/>
    <w:rsid w:val="009C5C44"/>
    <w:rsid w:val="009C5D8B"/>
    <w:rsid w:val="009C5DFA"/>
    <w:rsid w:val="009C5EF3"/>
    <w:rsid w:val="009C6B08"/>
    <w:rsid w:val="009C75EE"/>
    <w:rsid w:val="009C7B87"/>
    <w:rsid w:val="009D0231"/>
    <w:rsid w:val="009D02B0"/>
    <w:rsid w:val="009D0489"/>
    <w:rsid w:val="009D0717"/>
    <w:rsid w:val="009D0958"/>
    <w:rsid w:val="009D0D44"/>
    <w:rsid w:val="009D0DF2"/>
    <w:rsid w:val="009D13C1"/>
    <w:rsid w:val="009D13E1"/>
    <w:rsid w:val="009D190A"/>
    <w:rsid w:val="009D1B92"/>
    <w:rsid w:val="009D1EC1"/>
    <w:rsid w:val="009D25F8"/>
    <w:rsid w:val="009D299C"/>
    <w:rsid w:val="009D29D2"/>
    <w:rsid w:val="009D2F51"/>
    <w:rsid w:val="009D3268"/>
    <w:rsid w:val="009D3707"/>
    <w:rsid w:val="009D3B8F"/>
    <w:rsid w:val="009D3DF7"/>
    <w:rsid w:val="009D45B4"/>
    <w:rsid w:val="009D4638"/>
    <w:rsid w:val="009D49ED"/>
    <w:rsid w:val="009D4FC2"/>
    <w:rsid w:val="009D509C"/>
    <w:rsid w:val="009D50B3"/>
    <w:rsid w:val="009D53DA"/>
    <w:rsid w:val="009D540B"/>
    <w:rsid w:val="009D55BC"/>
    <w:rsid w:val="009D5634"/>
    <w:rsid w:val="009D5C22"/>
    <w:rsid w:val="009D5DBB"/>
    <w:rsid w:val="009D6F43"/>
    <w:rsid w:val="009D73E5"/>
    <w:rsid w:val="009D7437"/>
    <w:rsid w:val="009D7882"/>
    <w:rsid w:val="009E00F5"/>
    <w:rsid w:val="009E0288"/>
    <w:rsid w:val="009E06E4"/>
    <w:rsid w:val="009E0732"/>
    <w:rsid w:val="009E0735"/>
    <w:rsid w:val="009E1251"/>
    <w:rsid w:val="009E226F"/>
    <w:rsid w:val="009E234D"/>
    <w:rsid w:val="009E2972"/>
    <w:rsid w:val="009E3170"/>
    <w:rsid w:val="009E31D7"/>
    <w:rsid w:val="009E3280"/>
    <w:rsid w:val="009E37D4"/>
    <w:rsid w:val="009E3D46"/>
    <w:rsid w:val="009E3F08"/>
    <w:rsid w:val="009E548A"/>
    <w:rsid w:val="009E59F0"/>
    <w:rsid w:val="009E5A55"/>
    <w:rsid w:val="009E638B"/>
    <w:rsid w:val="009E643A"/>
    <w:rsid w:val="009E66C3"/>
    <w:rsid w:val="009E6E09"/>
    <w:rsid w:val="009E6F1F"/>
    <w:rsid w:val="009E700A"/>
    <w:rsid w:val="009E746E"/>
    <w:rsid w:val="009E7A78"/>
    <w:rsid w:val="009E7AD0"/>
    <w:rsid w:val="009E7BE9"/>
    <w:rsid w:val="009E7F30"/>
    <w:rsid w:val="009F0068"/>
    <w:rsid w:val="009F04A6"/>
    <w:rsid w:val="009F052E"/>
    <w:rsid w:val="009F0A80"/>
    <w:rsid w:val="009F0F0C"/>
    <w:rsid w:val="009F1057"/>
    <w:rsid w:val="009F11FD"/>
    <w:rsid w:val="009F1287"/>
    <w:rsid w:val="009F13FE"/>
    <w:rsid w:val="009F14F1"/>
    <w:rsid w:val="009F16A8"/>
    <w:rsid w:val="009F33A7"/>
    <w:rsid w:val="009F353A"/>
    <w:rsid w:val="009F3E46"/>
    <w:rsid w:val="009F400E"/>
    <w:rsid w:val="009F483F"/>
    <w:rsid w:val="009F5030"/>
    <w:rsid w:val="009F5199"/>
    <w:rsid w:val="009F5517"/>
    <w:rsid w:val="009F56C2"/>
    <w:rsid w:val="009F5BFE"/>
    <w:rsid w:val="009F61B3"/>
    <w:rsid w:val="009F6644"/>
    <w:rsid w:val="009F6BAE"/>
    <w:rsid w:val="009F6D99"/>
    <w:rsid w:val="009F7450"/>
    <w:rsid w:val="009F7667"/>
    <w:rsid w:val="009F76F4"/>
    <w:rsid w:val="009F780B"/>
    <w:rsid w:val="009F780C"/>
    <w:rsid w:val="009F793E"/>
    <w:rsid w:val="009F7C80"/>
    <w:rsid w:val="009F7DD8"/>
    <w:rsid w:val="00A0013E"/>
    <w:rsid w:val="00A003D0"/>
    <w:rsid w:val="00A0064F"/>
    <w:rsid w:val="00A01595"/>
    <w:rsid w:val="00A01797"/>
    <w:rsid w:val="00A01A84"/>
    <w:rsid w:val="00A01BEC"/>
    <w:rsid w:val="00A01E20"/>
    <w:rsid w:val="00A02048"/>
    <w:rsid w:val="00A024A1"/>
    <w:rsid w:val="00A029ED"/>
    <w:rsid w:val="00A02B1B"/>
    <w:rsid w:val="00A03018"/>
    <w:rsid w:val="00A032ED"/>
    <w:rsid w:val="00A033F0"/>
    <w:rsid w:val="00A03850"/>
    <w:rsid w:val="00A0396E"/>
    <w:rsid w:val="00A03C85"/>
    <w:rsid w:val="00A03F8E"/>
    <w:rsid w:val="00A04174"/>
    <w:rsid w:val="00A04ACF"/>
    <w:rsid w:val="00A05A73"/>
    <w:rsid w:val="00A05E68"/>
    <w:rsid w:val="00A063F8"/>
    <w:rsid w:val="00A06572"/>
    <w:rsid w:val="00A06A64"/>
    <w:rsid w:val="00A06C12"/>
    <w:rsid w:val="00A073D4"/>
    <w:rsid w:val="00A109CB"/>
    <w:rsid w:val="00A10ADF"/>
    <w:rsid w:val="00A10DB1"/>
    <w:rsid w:val="00A12081"/>
    <w:rsid w:val="00A1245E"/>
    <w:rsid w:val="00A124B3"/>
    <w:rsid w:val="00A13623"/>
    <w:rsid w:val="00A13629"/>
    <w:rsid w:val="00A137A4"/>
    <w:rsid w:val="00A13BCE"/>
    <w:rsid w:val="00A141C0"/>
    <w:rsid w:val="00A142C0"/>
    <w:rsid w:val="00A142C9"/>
    <w:rsid w:val="00A14468"/>
    <w:rsid w:val="00A14EBB"/>
    <w:rsid w:val="00A153FB"/>
    <w:rsid w:val="00A15852"/>
    <w:rsid w:val="00A162C6"/>
    <w:rsid w:val="00A16BA3"/>
    <w:rsid w:val="00A172CF"/>
    <w:rsid w:val="00A1750F"/>
    <w:rsid w:val="00A175A4"/>
    <w:rsid w:val="00A20085"/>
    <w:rsid w:val="00A20327"/>
    <w:rsid w:val="00A20D47"/>
    <w:rsid w:val="00A21333"/>
    <w:rsid w:val="00A21720"/>
    <w:rsid w:val="00A21985"/>
    <w:rsid w:val="00A2222E"/>
    <w:rsid w:val="00A2232D"/>
    <w:rsid w:val="00A228FB"/>
    <w:rsid w:val="00A22DB1"/>
    <w:rsid w:val="00A22F68"/>
    <w:rsid w:val="00A23060"/>
    <w:rsid w:val="00A23397"/>
    <w:rsid w:val="00A23D0D"/>
    <w:rsid w:val="00A23F30"/>
    <w:rsid w:val="00A24446"/>
    <w:rsid w:val="00A24D20"/>
    <w:rsid w:val="00A24EFD"/>
    <w:rsid w:val="00A25175"/>
    <w:rsid w:val="00A253EC"/>
    <w:rsid w:val="00A2572F"/>
    <w:rsid w:val="00A25A19"/>
    <w:rsid w:val="00A25C8F"/>
    <w:rsid w:val="00A25E0B"/>
    <w:rsid w:val="00A2684A"/>
    <w:rsid w:val="00A26E14"/>
    <w:rsid w:val="00A2717D"/>
    <w:rsid w:val="00A273EF"/>
    <w:rsid w:val="00A27A0E"/>
    <w:rsid w:val="00A27BD4"/>
    <w:rsid w:val="00A27BF7"/>
    <w:rsid w:val="00A27DBE"/>
    <w:rsid w:val="00A27F93"/>
    <w:rsid w:val="00A303A9"/>
    <w:rsid w:val="00A30A1A"/>
    <w:rsid w:val="00A30DB4"/>
    <w:rsid w:val="00A31D3A"/>
    <w:rsid w:val="00A329F4"/>
    <w:rsid w:val="00A32D95"/>
    <w:rsid w:val="00A32EF0"/>
    <w:rsid w:val="00A33471"/>
    <w:rsid w:val="00A334F2"/>
    <w:rsid w:val="00A3399D"/>
    <w:rsid w:val="00A33FAA"/>
    <w:rsid w:val="00A340F5"/>
    <w:rsid w:val="00A342A3"/>
    <w:rsid w:val="00A3478F"/>
    <w:rsid w:val="00A349DF"/>
    <w:rsid w:val="00A34EE9"/>
    <w:rsid w:val="00A352B2"/>
    <w:rsid w:val="00A35947"/>
    <w:rsid w:val="00A35B44"/>
    <w:rsid w:val="00A35CD5"/>
    <w:rsid w:val="00A35E9B"/>
    <w:rsid w:val="00A362B7"/>
    <w:rsid w:val="00A365E2"/>
    <w:rsid w:val="00A3681E"/>
    <w:rsid w:val="00A368E6"/>
    <w:rsid w:val="00A36EBC"/>
    <w:rsid w:val="00A371D3"/>
    <w:rsid w:val="00A37278"/>
    <w:rsid w:val="00A375DD"/>
    <w:rsid w:val="00A3782E"/>
    <w:rsid w:val="00A37AE8"/>
    <w:rsid w:val="00A404CD"/>
    <w:rsid w:val="00A406A3"/>
    <w:rsid w:val="00A40CA5"/>
    <w:rsid w:val="00A40CAA"/>
    <w:rsid w:val="00A41058"/>
    <w:rsid w:val="00A416E6"/>
    <w:rsid w:val="00A41783"/>
    <w:rsid w:val="00A41AE5"/>
    <w:rsid w:val="00A41FCD"/>
    <w:rsid w:val="00A421E1"/>
    <w:rsid w:val="00A42376"/>
    <w:rsid w:val="00A4251F"/>
    <w:rsid w:val="00A42CD5"/>
    <w:rsid w:val="00A4319B"/>
    <w:rsid w:val="00A43A2C"/>
    <w:rsid w:val="00A43B34"/>
    <w:rsid w:val="00A43D70"/>
    <w:rsid w:val="00A43E28"/>
    <w:rsid w:val="00A43F29"/>
    <w:rsid w:val="00A448BD"/>
    <w:rsid w:val="00A44EF5"/>
    <w:rsid w:val="00A454C3"/>
    <w:rsid w:val="00A455C8"/>
    <w:rsid w:val="00A45DFE"/>
    <w:rsid w:val="00A462A9"/>
    <w:rsid w:val="00A4686C"/>
    <w:rsid w:val="00A4781F"/>
    <w:rsid w:val="00A4795C"/>
    <w:rsid w:val="00A501A7"/>
    <w:rsid w:val="00A50344"/>
    <w:rsid w:val="00A503BE"/>
    <w:rsid w:val="00A5040D"/>
    <w:rsid w:val="00A505EA"/>
    <w:rsid w:val="00A50F16"/>
    <w:rsid w:val="00A51F11"/>
    <w:rsid w:val="00A52028"/>
    <w:rsid w:val="00A52123"/>
    <w:rsid w:val="00A5229E"/>
    <w:rsid w:val="00A52522"/>
    <w:rsid w:val="00A525C1"/>
    <w:rsid w:val="00A52687"/>
    <w:rsid w:val="00A527B5"/>
    <w:rsid w:val="00A540BB"/>
    <w:rsid w:val="00A541A4"/>
    <w:rsid w:val="00A54361"/>
    <w:rsid w:val="00A54A23"/>
    <w:rsid w:val="00A55004"/>
    <w:rsid w:val="00A55112"/>
    <w:rsid w:val="00A55299"/>
    <w:rsid w:val="00A5534C"/>
    <w:rsid w:val="00A55674"/>
    <w:rsid w:val="00A5578A"/>
    <w:rsid w:val="00A55CCD"/>
    <w:rsid w:val="00A560F5"/>
    <w:rsid w:val="00A564CC"/>
    <w:rsid w:val="00A564FB"/>
    <w:rsid w:val="00A56723"/>
    <w:rsid w:val="00A568DD"/>
    <w:rsid w:val="00A56E99"/>
    <w:rsid w:val="00A56F3E"/>
    <w:rsid w:val="00A571B6"/>
    <w:rsid w:val="00A571DD"/>
    <w:rsid w:val="00A57ADA"/>
    <w:rsid w:val="00A60849"/>
    <w:rsid w:val="00A60C56"/>
    <w:rsid w:val="00A60C75"/>
    <w:rsid w:val="00A60CBF"/>
    <w:rsid w:val="00A61372"/>
    <w:rsid w:val="00A61709"/>
    <w:rsid w:val="00A617D9"/>
    <w:rsid w:val="00A61BEB"/>
    <w:rsid w:val="00A62B6A"/>
    <w:rsid w:val="00A62C5A"/>
    <w:rsid w:val="00A62CC0"/>
    <w:rsid w:val="00A62DCC"/>
    <w:rsid w:val="00A62DDA"/>
    <w:rsid w:val="00A630B5"/>
    <w:rsid w:val="00A63314"/>
    <w:rsid w:val="00A6369A"/>
    <w:rsid w:val="00A639B2"/>
    <w:rsid w:val="00A63E90"/>
    <w:rsid w:val="00A64B81"/>
    <w:rsid w:val="00A65163"/>
    <w:rsid w:val="00A65700"/>
    <w:rsid w:val="00A65AF2"/>
    <w:rsid w:val="00A65B4C"/>
    <w:rsid w:val="00A65BE1"/>
    <w:rsid w:val="00A65C97"/>
    <w:rsid w:val="00A66250"/>
    <w:rsid w:val="00A668C3"/>
    <w:rsid w:val="00A66915"/>
    <w:rsid w:val="00A66AAB"/>
    <w:rsid w:val="00A66B0F"/>
    <w:rsid w:val="00A66BEB"/>
    <w:rsid w:val="00A66C58"/>
    <w:rsid w:val="00A678FB"/>
    <w:rsid w:val="00A67C87"/>
    <w:rsid w:val="00A70AD3"/>
    <w:rsid w:val="00A70C23"/>
    <w:rsid w:val="00A7100B"/>
    <w:rsid w:val="00A71193"/>
    <w:rsid w:val="00A714BE"/>
    <w:rsid w:val="00A71A3B"/>
    <w:rsid w:val="00A72021"/>
    <w:rsid w:val="00A722E6"/>
    <w:rsid w:val="00A723D2"/>
    <w:rsid w:val="00A7249D"/>
    <w:rsid w:val="00A72BA9"/>
    <w:rsid w:val="00A73259"/>
    <w:rsid w:val="00A73633"/>
    <w:rsid w:val="00A73A75"/>
    <w:rsid w:val="00A73C13"/>
    <w:rsid w:val="00A73FB8"/>
    <w:rsid w:val="00A74ACF"/>
    <w:rsid w:val="00A74DAF"/>
    <w:rsid w:val="00A74E94"/>
    <w:rsid w:val="00A75209"/>
    <w:rsid w:val="00A75A57"/>
    <w:rsid w:val="00A76024"/>
    <w:rsid w:val="00A76245"/>
    <w:rsid w:val="00A76350"/>
    <w:rsid w:val="00A76450"/>
    <w:rsid w:val="00A76AE9"/>
    <w:rsid w:val="00A76E4F"/>
    <w:rsid w:val="00A77019"/>
    <w:rsid w:val="00A776D9"/>
    <w:rsid w:val="00A777DA"/>
    <w:rsid w:val="00A77BB4"/>
    <w:rsid w:val="00A77C75"/>
    <w:rsid w:val="00A80208"/>
    <w:rsid w:val="00A80239"/>
    <w:rsid w:val="00A803D4"/>
    <w:rsid w:val="00A80CA5"/>
    <w:rsid w:val="00A80F4F"/>
    <w:rsid w:val="00A80FD0"/>
    <w:rsid w:val="00A812A7"/>
    <w:rsid w:val="00A814C4"/>
    <w:rsid w:val="00A820FE"/>
    <w:rsid w:val="00A82850"/>
    <w:rsid w:val="00A82A90"/>
    <w:rsid w:val="00A82BAF"/>
    <w:rsid w:val="00A82C67"/>
    <w:rsid w:val="00A82D8D"/>
    <w:rsid w:val="00A82F0B"/>
    <w:rsid w:val="00A8326A"/>
    <w:rsid w:val="00A83BC5"/>
    <w:rsid w:val="00A83CF2"/>
    <w:rsid w:val="00A8420D"/>
    <w:rsid w:val="00A84551"/>
    <w:rsid w:val="00A84742"/>
    <w:rsid w:val="00A84809"/>
    <w:rsid w:val="00A85060"/>
    <w:rsid w:val="00A85080"/>
    <w:rsid w:val="00A85204"/>
    <w:rsid w:val="00A8577F"/>
    <w:rsid w:val="00A85EDD"/>
    <w:rsid w:val="00A86290"/>
    <w:rsid w:val="00A86AB1"/>
    <w:rsid w:val="00A86DF3"/>
    <w:rsid w:val="00A87191"/>
    <w:rsid w:val="00A871DC"/>
    <w:rsid w:val="00A874E6"/>
    <w:rsid w:val="00A875A7"/>
    <w:rsid w:val="00A879F1"/>
    <w:rsid w:val="00A87E86"/>
    <w:rsid w:val="00A90214"/>
    <w:rsid w:val="00A90C9F"/>
    <w:rsid w:val="00A90DBB"/>
    <w:rsid w:val="00A90E86"/>
    <w:rsid w:val="00A9124A"/>
    <w:rsid w:val="00A91580"/>
    <w:rsid w:val="00A916E1"/>
    <w:rsid w:val="00A91757"/>
    <w:rsid w:val="00A91BF5"/>
    <w:rsid w:val="00A91F8D"/>
    <w:rsid w:val="00A92137"/>
    <w:rsid w:val="00A9237C"/>
    <w:rsid w:val="00A928FD"/>
    <w:rsid w:val="00A92E61"/>
    <w:rsid w:val="00A93153"/>
    <w:rsid w:val="00A937E5"/>
    <w:rsid w:val="00A938B9"/>
    <w:rsid w:val="00A93AD6"/>
    <w:rsid w:val="00A945B6"/>
    <w:rsid w:val="00A9470D"/>
    <w:rsid w:val="00A9477F"/>
    <w:rsid w:val="00A94E0C"/>
    <w:rsid w:val="00A9536E"/>
    <w:rsid w:val="00A959AA"/>
    <w:rsid w:val="00A95FA7"/>
    <w:rsid w:val="00A96402"/>
    <w:rsid w:val="00A96D20"/>
    <w:rsid w:val="00A97869"/>
    <w:rsid w:val="00A97E96"/>
    <w:rsid w:val="00AA003C"/>
    <w:rsid w:val="00AA0200"/>
    <w:rsid w:val="00AA035B"/>
    <w:rsid w:val="00AA0D7E"/>
    <w:rsid w:val="00AA1D72"/>
    <w:rsid w:val="00AA1E50"/>
    <w:rsid w:val="00AA2327"/>
    <w:rsid w:val="00AA24BD"/>
    <w:rsid w:val="00AA2A36"/>
    <w:rsid w:val="00AA2EB1"/>
    <w:rsid w:val="00AA2EC1"/>
    <w:rsid w:val="00AA2FBE"/>
    <w:rsid w:val="00AA39F6"/>
    <w:rsid w:val="00AA3C04"/>
    <w:rsid w:val="00AA3C8D"/>
    <w:rsid w:val="00AA43B2"/>
    <w:rsid w:val="00AA4CFE"/>
    <w:rsid w:val="00AA55D0"/>
    <w:rsid w:val="00AA5B2B"/>
    <w:rsid w:val="00AA6455"/>
    <w:rsid w:val="00AA65AC"/>
    <w:rsid w:val="00AA6ACE"/>
    <w:rsid w:val="00AA6B25"/>
    <w:rsid w:val="00AA6C24"/>
    <w:rsid w:val="00AA6CF4"/>
    <w:rsid w:val="00AA6FA8"/>
    <w:rsid w:val="00AA6FF4"/>
    <w:rsid w:val="00AA7267"/>
    <w:rsid w:val="00AA72A3"/>
    <w:rsid w:val="00AA734D"/>
    <w:rsid w:val="00AA7C07"/>
    <w:rsid w:val="00AB0120"/>
    <w:rsid w:val="00AB16D7"/>
    <w:rsid w:val="00AB1C03"/>
    <w:rsid w:val="00AB1D70"/>
    <w:rsid w:val="00AB2175"/>
    <w:rsid w:val="00AB21FA"/>
    <w:rsid w:val="00AB2511"/>
    <w:rsid w:val="00AB2530"/>
    <w:rsid w:val="00AB2949"/>
    <w:rsid w:val="00AB2AEA"/>
    <w:rsid w:val="00AB2D14"/>
    <w:rsid w:val="00AB2F5A"/>
    <w:rsid w:val="00AB323C"/>
    <w:rsid w:val="00AB3362"/>
    <w:rsid w:val="00AB34B6"/>
    <w:rsid w:val="00AB36D3"/>
    <w:rsid w:val="00AB372E"/>
    <w:rsid w:val="00AB3EF2"/>
    <w:rsid w:val="00AB3FAC"/>
    <w:rsid w:val="00AB4222"/>
    <w:rsid w:val="00AB46C5"/>
    <w:rsid w:val="00AB48A0"/>
    <w:rsid w:val="00AB5284"/>
    <w:rsid w:val="00AB52CF"/>
    <w:rsid w:val="00AB58E9"/>
    <w:rsid w:val="00AB59C5"/>
    <w:rsid w:val="00AB61BD"/>
    <w:rsid w:val="00AB651D"/>
    <w:rsid w:val="00AB65D9"/>
    <w:rsid w:val="00AB6C32"/>
    <w:rsid w:val="00AB7110"/>
    <w:rsid w:val="00AB73EB"/>
    <w:rsid w:val="00AB7822"/>
    <w:rsid w:val="00AB7A3C"/>
    <w:rsid w:val="00AB7B4A"/>
    <w:rsid w:val="00AC04A2"/>
    <w:rsid w:val="00AC086D"/>
    <w:rsid w:val="00AC0EBC"/>
    <w:rsid w:val="00AC0F99"/>
    <w:rsid w:val="00AC1526"/>
    <w:rsid w:val="00AC172E"/>
    <w:rsid w:val="00AC183A"/>
    <w:rsid w:val="00AC1A59"/>
    <w:rsid w:val="00AC2275"/>
    <w:rsid w:val="00AC248D"/>
    <w:rsid w:val="00AC274C"/>
    <w:rsid w:val="00AC2AA8"/>
    <w:rsid w:val="00AC2DD3"/>
    <w:rsid w:val="00AC2E8D"/>
    <w:rsid w:val="00AC34C8"/>
    <w:rsid w:val="00AC39DF"/>
    <w:rsid w:val="00AC3DDD"/>
    <w:rsid w:val="00AC42FA"/>
    <w:rsid w:val="00AC444F"/>
    <w:rsid w:val="00AC44EB"/>
    <w:rsid w:val="00AC48CB"/>
    <w:rsid w:val="00AC4CC4"/>
    <w:rsid w:val="00AC4E9A"/>
    <w:rsid w:val="00AC501F"/>
    <w:rsid w:val="00AC5BE0"/>
    <w:rsid w:val="00AC6071"/>
    <w:rsid w:val="00AC6692"/>
    <w:rsid w:val="00AC66B7"/>
    <w:rsid w:val="00AC6B85"/>
    <w:rsid w:val="00AC6C35"/>
    <w:rsid w:val="00AC6C90"/>
    <w:rsid w:val="00AC6FD0"/>
    <w:rsid w:val="00AC7091"/>
    <w:rsid w:val="00AC78D5"/>
    <w:rsid w:val="00AD0043"/>
    <w:rsid w:val="00AD014A"/>
    <w:rsid w:val="00AD0F7C"/>
    <w:rsid w:val="00AD0FEE"/>
    <w:rsid w:val="00AD12D7"/>
    <w:rsid w:val="00AD14ED"/>
    <w:rsid w:val="00AD15EF"/>
    <w:rsid w:val="00AD1B2C"/>
    <w:rsid w:val="00AD1D8F"/>
    <w:rsid w:val="00AD21BF"/>
    <w:rsid w:val="00AD2A0B"/>
    <w:rsid w:val="00AD2B12"/>
    <w:rsid w:val="00AD3C04"/>
    <w:rsid w:val="00AD42E1"/>
    <w:rsid w:val="00AD45CE"/>
    <w:rsid w:val="00AD4698"/>
    <w:rsid w:val="00AD4771"/>
    <w:rsid w:val="00AD4E98"/>
    <w:rsid w:val="00AD507D"/>
    <w:rsid w:val="00AD5099"/>
    <w:rsid w:val="00AD528C"/>
    <w:rsid w:val="00AD5425"/>
    <w:rsid w:val="00AD5BA2"/>
    <w:rsid w:val="00AD60DA"/>
    <w:rsid w:val="00AD61CD"/>
    <w:rsid w:val="00AD6384"/>
    <w:rsid w:val="00AD63F6"/>
    <w:rsid w:val="00AD68CF"/>
    <w:rsid w:val="00AD6E10"/>
    <w:rsid w:val="00AD7503"/>
    <w:rsid w:val="00AD75C8"/>
    <w:rsid w:val="00AD7617"/>
    <w:rsid w:val="00AD7789"/>
    <w:rsid w:val="00AD78A5"/>
    <w:rsid w:val="00AD7AC6"/>
    <w:rsid w:val="00AD7DBA"/>
    <w:rsid w:val="00AD7EAE"/>
    <w:rsid w:val="00AE0047"/>
    <w:rsid w:val="00AE0BFC"/>
    <w:rsid w:val="00AE0D5E"/>
    <w:rsid w:val="00AE0F04"/>
    <w:rsid w:val="00AE0FB8"/>
    <w:rsid w:val="00AE157C"/>
    <w:rsid w:val="00AE1C4D"/>
    <w:rsid w:val="00AE1E92"/>
    <w:rsid w:val="00AE2232"/>
    <w:rsid w:val="00AE23D8"/>
    <w:rsid w:val="00AE2481"/>
    <w:rsid w:val="00AE26CF"/>
    <w:rsid w:val="00AE2855"/>
    <w:rsid w:val="00AE316B"/>
    <w:rsid w:val="00AE3B23"/>
    <w:rsid w:val="00AE3D46"/>
    <w:rsid w:val="00AE3D4E"/>
    <w:rsid w:val="00AE3FF4"/>
    <w:rsid w:val="00AE4291"/>
    <w:rsid w:val="00AE4401"/>
    <w:rsid w:val="00AE4877"/>
    <w:rsid w:val="00AE4C37"/>
    <w:rsid w:val="00AE4E6D"/>
    <w:rsid w:val="00AE5201"/>
    <w:rsid w:val="00AE592B"/>
    <w:rsid w:val="00AE599F"/>
    <w:rsid w:val="00AE5CA3"/>
    <w:rsid w:val="00AE60B1"/>
    <w:rsid w:val="00AE6750"/>
    <w:rsid w:val="00AE68D2"/>
    <w:rsid w:val="00AE6F4E"/>
    <w:rsid w:val="00AE71E4"/>
    <w:rsid w:val="00AE72EB"/>
    <w:rsid w:val="00AF031D"/>
    <w:rsid w:val="00AF043A"/>
    <w:rsid w:val="00AF06B0"/>
    <w:rsid w:val="00AF0B82"/>
    <w:rsid w:val="00AF0E1F"/>
    <w:rsid w:val="00AF0E6C"/>
    <w:rsid w:val="00AF1EDF"/>
    <w:rsid w:val="00AF2237"/>
    <w:rsid w:val="00AF23D6"/>
    <w:rsid w:val="00AF2408"/>
    <w:rsid w:val="00AF2687"/>
    <w:rsid w:val="00AF2760"/>
    <w:rsid w:val="00AF27FC"/>
    <w:rsid w:val="00AF2AA1"/>
    <w:rsid w:val="00AF30F4"/>
    <w:rsid w:val="00AF32DC"/>
    <w:rsid w:val="00AF3538"/>
    <w:rsid w:val="00AF3BB1"/>
    <w:rsid w:val="00AF4B90"/>
    <w:rsid w:val="00AF4D04"/>
    <w:rsid w:val="00AF4E36"/>
    <w:rsid w:val="00AF5171"/>
    <w:rsid w:val="00AF51CF"/>
    <w:rsid w:val="00AF51E0"/>
    <w:rsid w:val="00AF5466"/>
    <w:rsid w:val="00AF55F5"/>
    <w:rsid w:val="00AF6321"/>
    <w:rsid w:val="00AF6661"/>
    <w:rsid w:val="00AF696A"/>
    <w:rsid w:val="00AF6A09"/>
    <w:rsid w:val="00AF6F04"/>
    <w:rsid w:val="00AF762B"/>
    <w:rsid w:val="00AF7726"/>
    <w:rsid w:val="00AF7A2E"/>
    <w:rsid w:val="00AF7DFC"/>
    <w:rsid w:val="00B00A53"/>
    <w:rsid w:val="00B01BCE"/>
    <w:rsid w:val="00B01CC8"/>
    <w:rsid w:val="00B01E3C"/>
    <w:rsid w:val="00B0200A"/>
    <w:rsid w:val="00B021C2"/>
    <w:rsid w:val="00B02498"/>
    <w:rsid w:val="00B026FC"/>
    <w:rsid w:val="00B0287B"/>
    <w:rsid w:val="00B029CB"/>
    <w:rsid w:val="00B02E37"/>
    <w:rsid w:val="00B03050"/>
    <w:rsid w:val="00B03061"/>
    <w:rsid w:val="00B03615"/>
    <w:rsid w:val="00B03EE6"/>
    <w:rsid w:val="00B0406E"/>
    <w:rsid w:val="00B0431B"/>
    <w:rsid w:val="00B0447B"/>
    <w:rsid w:val="00B051DB"/>
    <w:rsid w:val="00B05469"/>
    <w:rsid w:val="00B0571A"/>
    <w:rsid w:val="00B05739"/>
    <w:rsid w:val="00B059F4"/>
    <w:rsid w:val="00B05EA7"/>
    <w:rsid w:val="00B05F33"/>
    <w:rsid w:val="00B060B6"/>
    <w:rsid w:val="00B06466"/>
    <w:rsid w:val="00B0675A"/>
    <w:rsid w:val="00B06A02"/>
    <w:rsid w:val="00B06C1B"/>
    <w:rsid w:val="00B0726E"/>
    <w:rsid w:val="00B07453"/>
    <w:rsid w:val="00B0764F"/>
    <w:rsid w:val="00B07A3E"/>
    <w:rsid w:val="00B07BC7"/>
    <w:rsid w:val="00B07CF7"/>
    <w:rsid w:val="00B102BD"/>
    <w:rsid w:val="00B10454"/>
    <w:rsid w:val="00B104B7"/>
    <w:rsid w:val="00B10FCC"/>
    <w:rsid w:val="00B11FDB"/>
    <w:rsid w:val="00B121C9"/>
    <w:rsid w:val="00B128B2"/>
    <w:rsid w:val="00B131F6"/>
    <w:rsid w:val="00B1341C"/>
    <w:rsid w:val="00B137BE"/>
    <w:rsid w:val="00B13DEA"/>
    <w:rsid w:val="00B13E37"/>
    <w:rsid w:val="00B14746"/>
    <w:rsid w:val="00B14949"/>
    <w:rsid w:val="00B149AD"/>
    <w:rsid w:val="00B14D94"/>
    <w:rsid w:val="00B14EAC"/>
    <w:rsid w:val="00B15113"/>
    <w:rsid w:val="00B1573E"/>
    <w:rsid w:val="00B15BCC"/>
    <w:rsid w:val="00B16883"/>
    <w:rsid w:val="00B16B56"/>
    <w:rsid w:val="00B1705A"/>
    <w:rsid w:val="00B177BB"/>
    <w:rsid w:val="00B17849"/>
    <w:rsid w:val="00B201CC"/>
    <w:rsid w:val="00B202AC"/>
    <w:rsid w:val="00B20F12"/>
    <w:rsid w:val="00B212FC"/>
    <w:rsid w:val="00B2138A"/>
    <w:rsid w:val="00B21C81"/>
    <w:rsid w:val="00B21CE1"/>
    <w:rsid w:val="00B21EAD"/>
    <w:rsid w:val="00B2233A"/>
    <w:rsid w:val="00B22379"/>
    <w:rsid w:val="00B2248C"/>
    <w:rsid w:val="00B22637"/>
    <w:rsid w:val="00B2265A"/>
    <w:rsid w:val="00B22996"/>
    <w:rsid w:val="00B22C7B"/>
    <w:rsid w:val="00B22F64"/>
    <w:rsid w:val="00B22F84"/>
    <w:rsid w:val="00B2348B"/>
    <w:rsid w:val="00B23E31"/>
    <w:rsid w:val="00B24417"/>
    <w:rsid w:val="00B2466C"/>
    <w:rsid w:val="00B24C68"/>
    <w:rsid w:val="00B24D7D"/>
    <w:rsid w:val="00B24D9A"/>
    <w:rsid w:val="00B24EC2"/>
    <w:rsid w:val="00B25266"/>
    <w:rsid w:val="00B254E7"/>
    <w:rsid w:val="00B25737"/>
    <w:rsid w:val="00B2645A"/>
    <w:rsid w:val="00B264D3"/>
    <w:rsid w:val="00B2733B"/>
    <w:rsid w:val="00B27760"/>
    <w:rsid w:val="00B279E4"/>
    <w:rsid w:val="00B27F24"/>
    <w:rsid w:val="00B301AE"/>
    <w:rsid w:val="00B3026B"/>
    <w:rsid w:val="00B3029B"/>
    <w:rsid w:val="00B30979"/>
    <w:rsid w:val="00B309ED"/>
    <w:rsid w:val="00B30D6C"/>
    <w:rsid w:val="00B30F44"/>
    <w:rsid w:val="00B31204"/>
    <w:rsid w:val="00B315F2"/>
    <w:rsid w:val="00B31B13"/>
    <w:rsid w:val="00B31F10"/>
    <w:rsid w:val="00B31FBE"/>
    <w:rsid w:val="00B32166"/>
    <w:rsid w:val="00B32619"/>
    <w:rsid w:val="00B32647"/>
    <w:rsid w:val="00B32B2E"/>
    <w:rsid w:val="00B32D09"/>
    <w:rsid w:val="00B32D73"/>
    <w:rsid w:val="00B32DEB"/>
    <w:rsid w:val="00B33437"/>
    <w:rsid w:val="00B33910"/>
    <w:rsid w:val="00B33B2D"/>
    <w:rsid w:val="00B33D21"/>
    <w:rsid w:val="00B33EEE"/>
    <w:rsid w:val="00B34047"/>
    <w:rsid w:val="00B340E2"/>
    <w:rsid w:val="00B34751"/>
    <w:rsid w:val="00B34E79"/>
    <w:rsid w:val="00B35416"/>
    <w:rsid w:val="00B361E4"/>
    <w:rsid w:val="00B36384"/>
    <w:rsid w:val="00B36605"/>
    <w:rsid w:val="00B3696E"/>
    <w:rsid w:val="00B370C9"/>
    <w:rsid w:val="00B3738D"/>
    <w:rsid w:val="00B375E6"/>
    <w:rsid w:val="00B40235"/>
    <w:rsid w:val="00B40396"/>
    <w:rsid w:val="00B405A6"/>
    <w:rsid w:val="00B4084C"/>
    <w:rsid w:val="00B40A6F"/>
    <w:rsid w:val="00B40C5A"/>
    <w:rsid w:val="00B40DA9"/>
    <w:rsid w:val="00B41857"/>
    <w:rsid w:val="00B418B1"/>
    <w:rsid w:val="00B41A72"/>
    <w:rsid w:val="00B41EFE"/>
    <w:rsid w:val="00B41F4E"/>
    <w:rsid w:val="00B42989"/>
    <w:rsid w:val="00B42DA2"/>
    <w:rsid w:val="00B43032"/>
    <w:rsid w:val="00B43034"/>
    <w:rsid w:val="00B431B7"/>
    <w:rsid w:val="00B432A4"/>
    <w:rsid w:val="00B4351B"/>
    <w:rsid w:val="00B43668"/>
    <w:rsid w:val="00B43DA3"/>
    <w:rsid w:val="00B44324"/>
    <w:rsid w:val="00B44834"/>
    <w:rsid w:val="00B45957"/>
    <w:rsid w:val="00B46195"/>
    <w:rsid w:val="00B46BF8"/>
    <w:rsid w:val="00B4771B"/>
    <w:rsid w:val="00B47799"/>
    <w:rsid w:val="00B47870"/>
    <w:rsid w:val="00B479F8"/>
    <w:rsid w:val="00B47FA3"/>
    <w:rsid w:val="00B50962"/>
    <w:rsid w:val="00B509C2"/>
    <w:rsid w:val="00B50D1E"/>
    <w:rsid w:val="00B51292"/>
    <w:rsid w:val="00B51295"/>
    <w:rsid w:val="00B514E9"/>
    <w:rsid w:val="00B51563"/>
    <w:rsid w:val="00B5157B"/>
    <w:rsid w:val="00B52BB7"/>
    <w:rsid w:val="00B52DEF"/>
    <w:rsid w:val="00B52ED5"/>
    <w:rsid w:val="00B53089"/>
    <w:rsid w:val="00B53241"/>
    <w:rsid w:val="00B535F2"/>
    <w:rsid w:val="00B536F0"/>
    <w:rsid w:val="00B53707"/>
    <w:rsid w:val="00B538BE"/>
    <w:rsid w:val="00B538F5"/>
    <w:rsid w:val="00B53B8C"/>
    <w:rsid w:val="00B53C4B"/>
    <w:rsid w:val="00B53EF5"/>
    <w:rsid w:val="00B543FA"/>
    <w:rsid w:val="00B5440F"/>
    <w:rsid w:val="00B54B98"/>
    <w:rsid w:val="00B54CC2"/>
    <w:rsid w:val="00B55122"/>
    <w:rsid w:val="00B55726"/>
    <w:rsid w:val="00B55A1B"/>
    <w:rsid w:val="00B56418"/>
    <w:rsid w:val="00B56789"/>
    <w:rsid w:val="00B56E91"/>
    <w:rsid w:val="00B56EE3"/>
    <w:rsid w:val="00B56F92"/>
    <w:rsid w:val="00B56F9A"/>
    <w:rsid w:val="00B5720A"/>
    <w:rsid w:val="00B5754F"/>
    <w:rsid w:val="00B575A9"/>
    <w:rsid w:val="00B578BD"/>
    <w:rsid w:val="00B57B0C"/>
    <w:rsid w:val="00B60B24"/>
    <w:rsid w:val="00B60D37"/>
    <w:rsid w:val="00B61D69"/>
    <w:rsid w:val="00B627C2"/>
    <w:rsid w:val="00B62B3C"/>
    <w:rsid w:val="00B62B3E"/>
    <w:rsid w:val="00B62E28"/>
    <w:rsid w:val="00B62E9A"/>
    <w:rsid w:val="00B6336B"/>
    <w:rsid w:val="00B6387E"/>
    <w:rsid w:val="00B6395D"/>
    <w:rsid w:val="00B63E50"/>
    <w:rsid w:val="00B63F02"/>
    <w:rsid w:val="00B64AEB"/>
    <w:rsid w:val="00B6582D"/>
    <w:rsid w:val="00B66240"/>
    <w:rsid w:val="00B66372"/>
    <w:rsid w:val="00B666C6"/>
    <w:rsid w:val="00B667C8"/>
    <w:rsid w:val="00B66B52"/>
    <w:rsid w:val="00B66D05"/>
    <w:rsid w:val="00B6702C"/>
    <w:rsid w:val="00B672CB"/>
    <w:rsid w:val="00B67D7A"/>
    <w:rsid w:val="00B702DE"/>
    <w:rsid w:val="00B706B1"/>
    <w:rsid w:val="00B70A5D"/>
    <w:rsid w:val="00B70A95"/>
    <w:rsid w:val="00B71017"/>
    <w:rsid w:val="00B71110"/>
    <w:rsid w:val="00B71279"/>
    <w:rsid w:val="00B713FA"/>
    <w:rsid w:val="00B714AE"/>
    <w:rsid w:val="00B71E5C"/>
    <w:rsid w:val="00B722EE"/>
    <w:rsid w:val="00B72345"/>
    <w:rsid w:val="00B7237E"/>
    <w:rsid w:val="00B739BB"/>
    <w:rsid w:val="00B73DB1"/>
    <w:rsid w:val="00B74875"/>
    <w:rsid w:val="00B74A75"/>
    <w:rsid w:val="00B74A9C"/>
    <w:rsid w:val="00B74C6E"/>
    <w:rsid w:val="00B74C76"/>
    <w:rsid w:val="00B750AE"/>
    <w:rsid w:val="00B758C1"/>
    <w:rsid w:val="00B760EF"/>
    <w:rsid w:val="00B76303"/>
    <w:rsid w:val="00B763AD"/>
    <w:rsid w:val="00B764F0"/>
    <w:rsid w:val="00B766D2"/>
    <w:rsid w:val="00B76A73"/>
    <w:rsid w:val="00B76BBA"/>
    <w:rsid w:val="00B77278"/>
    <w:rsid w:val="00B773C3"/>
    <w:rsid w:val="00B77427"/>
    <w:rsid w:val="00B776C0"/>
    <w:rsid w:val="00B77897"/>
    <w:rsid w:val="00B779B1"/>
    <w:rsid w:val="00B80024"/>
    <w:rsid w:val="00B808AE"/>
    <w:rsid w:val="00B8145F"/>
    <w:rsid w:val="00B815F5"/>
    <w:rsid w:val="00B81892"/>
    <w:rsid w:val="00B829E6"/>
    <w:rsid w:val="00B82D63"/>
    <w:rsid w:val="00B82DDD"/>
    <w:rsid w:val="00B844BF"/>
    <w:rsid w:val="00B847E2"/>
    <w:rsid w:val="00B8520A"/>
    <w:rsid w:val="00B8593C"/>
    <w:rsid w:val="00B87057"/>
    <w:rsid w:val="00B87235"/>
    <w:rsid w:val="00B8782F"/>
    <w:rsid w:val="00B87A9C"/>
    <w:rsid w:val="00B87AC2"/>
    <w:rsid w:val="00B87D03"/>
    <w:rsid w:val="00B90D0D"/>
    <w:rsid w:val="00B90FE8"/>
    <w:rsid w:val="00B911F7"/>
    <w:rsid w:val="00B921B1"/>
    <w:rsid w:val="00B92212"/>
    <w:rsid w:val="00B9233A"/>
    <w:rsid w:val="00B92792"/>
    <w:rsid w:val="00B92A6D"/>
    <w:rsid w:val="00B92D3B"/>
    <w:rsid w:val="00B92D67"/>
    <w:rsid w:val="00B93203"/>
    <w:rsid w:val="00B93465"/>
    <w:rsid w:val="00B9429D"/>
    <w:rsid w:val="00B94717"/>
    <w:rsid w:val="00B9478F"/>
    <w:rsid w:val="00B9528B"/>
    <w:rsid w:val="00B95356"/>
    <w:rsid w:val="00B959EA"/>
    <w:rsid w:val="00B95BD6"/>
    <w:rsid w:val="00B96A42"/>
    <w:rsid w:val="00B96A8B"/>
    <w:rsid w:val="00B96BDA"/>
    <w:rsid w:val="00B96CE6"/>
    <w:rsid w:val="00B978BB"/>
    <w:rsid w:val="00B979E0"/>
    <w:rsid w:val="00B979E2"/>
    <w:rsid w:val="00B97B5D"/>
    <w:rsid w:val="00B97B9D"/>
    <w:rsid w:val="00BA0218"/>
    <w:rsid w:val="00BA04CF"/>
    <w:rsid w:val="00BA1284"/>
    <w:rsid w:val="00BA12AD"/>
    <w:rsid w:val="00BA1561"/>
    <w:rsid w:val="00BA1880"/>
    <w:rsid w:val="00BA1A60"/>
    <w:rsid w:val="00BA32D6"/>
    <w:rsid w:val="00BA365B"/>
    <w:rsid w:val="00BA397D"/>
    <w:rsid w:val="00BA3B6F"/>
    <w:rsid w:val="00BA3C71"/>
    <w:rsid w:val="00BA3C73"/>
    <w:rsid w:val="00BA3CC4"/>
    <w:rsid w:val="00BA3EB0"/>
    <w:rsid w:val="00BA3F0C"/>
    <w:rsid w:val="00BA4109"/>
    <w:rsid w:val="00BA4949"/>
    <w:rsid w:val="00BA4FA9"/>
    <w:rsid w:val="00BA5389"/>
    <w:rsid w:val="00BA58C1"/>
    <w:rsid w:val="00BA5AEB"/>
    <w:rsid w:val="00BA5D6A"/>
    <w:rsid w:val="00BA6278"/>
    <w:rsid w:val="00BA63BC"/>
    <w:rsid w:val="00BA6AB5"/>
    <w:rsid w:val="00BA6F12"/>
    <w:rsid w:val="00BA6F58"/>
    <w:rsid w:val="00BA6FC9"/>
    <w:rsid w:val="00BA6FFE"/>
    <w:rsid w:val="00BA794F"/>
    <w:rsid w:val="00BA7D32"/>
    <w:rsid w:val="00BA7F28"/>
    <w:rsid w:val="00BB029C"/>
    <w:rsid w:val="00BB05D4"/>
    <w:rsid w:val="00BB098E"/>
    <w:rsid w:val="00BB0A2C"/>
    <w:rsid w:val="00BB0B38"/>
    <w:rsid w:val="00BB0C5F"/>
    <w:rsid w:val="00BB0D5B"/>
    <w:rsid w:val="00BB0FB2"/>
    <w:rsid w:val="00BB1063"/>
    <w:rsid w:val="00BB133D"/>
    <w:rsid w:val="00BB13E0"/>
    <w:rsid w:val="00BB1873"/>
    <w:rsid w:val="00BB208D"/>
    <w:rsid w:val="00BB2592"/>
    <w:rsid w:val="00BB27D3"/>
    <w:rsid w:val="00BB3280"/>
    <w:rsid w:val="00BB36B2"/>
    <w:rsid w:val="00BB3908"/>
    <w:rsid w:val="00BB3AE5"/>
    <w:rsid w:val="00BB3B93"/>
    <w:rsid w:val="00BB3BFE"/>
    <w:rsid w:val="00BB3EE8"/>
    <w:rsid w:val="00BB4199"/>
    <w:rsid w:val="00BB42BE"/>
    <w:rsid w:val="00BB45CC"/>
    <w:rsid w:val="00BB4DC6"/>
    <w:rsid w:val="00BB4F5B"/>
    <w:rsid w:val="00BB539F"/>
    <w:rsid w:val="00BB5D86"/>
    <w:rsid w:val="00BB603D"/>
    <w:rsid w:val="00BB618B"/>
    <w:rsid w:val="00BB61F7"/>
    <w:rsid w:val="00BB691D"/>
    <w:rsid w:val="00BB6D1F"/>
    <w:rsid w:val="00BB6E44"/>
    <w:rsid w:val="00BB70D0"/>
    <w:rsid w:val="00BB7690"/>
    <w:rsid w:val="00BB7890"/>
    <w:rsid w:val="00BB7AF7"/>
    <w:rsid w:val="00BB7D06"/>
    <w:rsid w:val="00BB7DBF"/>
    <w:rsid w:val="00BC02CD"/>
    <w:rsid w:val="00BC0426"/>
    <w:rsid w:val="00BC083B"/>
    <w:rsid w:val="00BC0D79"/>
    <w:rsid w:val="00BC12FE"/>
    <w:rsid w:val="00BC17DF"/>
    <w:rsid w:val="00BC1BD6"/>
    <w:rsid w:val="00BC1C64"/>
    <w:rsid w:val="00BC2254"/>
    <w:rsid w:val="00BC2391"/>
    <w:rsid w:val="00BC2587"/>
    <w:rsid w:val="00BC274E"/>
    <w:rsid w:val="00BC2A26"/>
    <w:rsid w:val="00BC2BA8"/>
    <w:rsid w:val="00BC2BC4"/>
    <w:rsid w:val="00BC2D2B"/>
    <w:rsid w:val="00BC371D"/>
    <w:rsid w:val="00BC39AE"/>
    <w:rsid w:val="00BC4209"/>
    <w:rsid w:val="00BC4C89"/>
    <w:rsid w:val="00BC4F81"/>
    <w:rsid w:val="00BC521F"/>
    <w:rsid w:val="00BC54A4"/>
    <w:rsid w:val="00BC5656"/>
    <w:rsid w:val="00BC569F"/>
    <w:rsid w:val="00BC5800"/>
    <w:rsid w:val="00BC5B60"/>
    <w:rsid w:val="00BC5B7E"/>
    <w:rsid w:val="00BC67C4"/>
    <w:rsid w:val="00BC67FD"/>
    <w:rsid w:val="00BC6B0B"/>
    <w:rsid w:val="00BC6E04"/>
    <w:rsid w:val="00BC6ED0"/>
    <w:rsid w:val="00BC71AA"/>
    <w:rsid w:val="00BC723F"/>
    <w:rsid w:val="00BC73E8"/>
    <w:rsid w:val="00BC7E3E"/>
    <w:rsid w:val="00BD03D0"/>
    <w:rsid w:val="00BD0964"/>
    <w:rsid w:val="00BD0B17"/>
    <w:rsid w:val="00BD0CAB"/>
    <w:rsid w:val="00BD10F4"/>
    <w:rsid w:val="00BD1D53"/>
    <w:rsid w:val="00BD1DFD"/>
    <w:rsid w:val="00BD1F97"/>
    <w:rsid w:val="00BD253A"/>
    <w:rsid w:val="00BD25FD"/>
    <w:rsid w:val="00BD29B3"/>
    <w:rsid w:val="00BD3BDF"/>
    <w:rsid w:val="00BD4402"/>
    <w:rsid w:val="00BD46A3"/>
    <w:rsid w:val="00BD4959"/>
    <w:rsid w:val="00BD496B"/>
    <w:rsid w:val="00BD49B5"/>
    <w:rsid w:val="00BD4C5B"/>
    <w:rsid w:val="00BD5271"/>
    <w:rsid w:val="00BD5379"/>
    <w:rsid w:val="00BD5570"/>
    <w:rsid w:val="00BD5711"/>
    <w:rsid w:val="00BD5D94"/>
    <w:rsid w:val="00BD5F33"/>
    <w:rsid w:val="00BD6038"/>
    <w:rsid w:val="00BD68BF"/>
    <w:rsid w:val="00BD733C"/>
    <w:rsid w:val="00BD784F"/>
    <w:rsid w:val="00BD7D51"/>
    <w:rsid w:val="00BD7FBA"/>
    <w:rsid w:val="00BE01CD"/>
    <w:rsid w:val="00BE0578"/>
    <w:rsid w:val="00BE06B6"/>
    <w:rsid w:val="00BE0898"/>
    <w:rsid w:val="00BE0A11"/>
    <w:rsid w:val="00BE0DD1"/>
    <w:rsid w:val="00BE0DD7"/>
    <w:rsid w:val="00BE0E88"/>
    <w:rsid w:val="00BE1113"/>
    <w:rsid w:val="00BE119C"/>
    <w:rsid w:val="00BE148D"/>
    <w:rsid w:val="00BE1FAE"/>
    <w:rsid w:val="00BE20D6"/>
    <w:rsid w:val="00BE26EE"/>
    <w:rsid w:val="00BE287B"/>
    <w:rsid w:val="00BE2D62"/>
    <w:rsid w:val="00BE2D93"/>
    <w:rsid w:val="00BE327B"/>
    <w:rsid w:val="00BE371F"/>
    <w:rsid w:val="00BE3F7F"/>
    <w:rsid w:val="00BE4138"/>
    <w:rsid w:val="00BE4964"/>
    <w:rsid w:val="00BE4B1A"/>
    <w:rsid w:val="00BE4EF1"/>
    <w:rsid w:val="00BE5867"/>
    <w:rsid w:val="00BE6021"/>
    <w:rsid w:val="00BE636A"/>
    <w:rsid w:val="00BE6402"/>
    <w:rsid w:val="00BE68DE"/>
    <w:rsid w:val="00BE69C2"/>
    <w:rsid w:val="00BE71AF"/>
    <w:rsid w:val="00BE7281"/>
    <w:rsid w:val="00BE75C3"/>
    <w:rsid w:val="00BE785A"/>
    <w:rsid w:val="00BE7A43"/>
    <w:rsid w:val="00BE7FAF"/>
    <w:rsid w:val="00BF0002"/>
    <w:rsid w:val="00BF033E"/>
    <w:rsid w:val="00BF0696"/>
    <w:rsid w:val="00BF074D"/>
    <w:rsid w:val="00BF0B1B"/>
    <w:rsid w:val="00BF0E33"/>
    <w:rsid w:val="00BF0F00"/>
    <w:rsid w:val="00BF11C6"/>
    <w:rsid w:val="00BF126E"/>
    <w:rsid w:val="00BF1906"/>
    <w:rsid w:val="00BF1919"/>
    <w:rsid w:val="00BF1A5D"/>
    <w:rsid w:val="00BF2056"/>
    <w:rsid w:val="00BF21C9"/>
    <w:rsid w:val="00BF273D"/>
    <w:rsid w:val="00BF2884"/>
    <w:rsid w:val="00BF293A"/>
    <w:rsid w:val="00BF3327"/>
    <w:rsid w:val="00BF385B"/>
    <w:rsid w:val="00BF38D4"/>
    <w:rsid w:val="00BF3F3F"/>
    <w:rsid w:val="00BF3F4D"/>
    <w:rsid w:val="00BF3FC5"/>
    <w:rsid w:val="00BF429B"/>
    <w:rsid w:val="00BF49F0"/>
    <w:rsid w:val="00BF4A79"/>
    <w:rsid w:val="00BF4F6D"/>
    <w:rsid w:val="00BF50F8"/>
    <w:rsid w:val="00BF5727"/>
    <w:rsid w:val="00BF577F"/>
    <w:rsid w:val="00BF5A09"/>
    <w:rsid w:val="00BF5A15"/>
    <w:rsid w:val="00BF657C"/>
    <w:rsid w:val="00BF685E"/>
    <w:rsid w:val="00BF6CDF"/>
    <w:rsid w:val="00BF6F45"/>
    <w:rsid w:val="00BF6F56"/>
    <w:rsid w:val="00BF78FE"/>
    <w:rsid w:val="00C00421"/>
    <w:rsid w:val="00C0069A"/>
    <w:rsid w:val="00C00772"/>
    <w:rsid w:val="00C01364"/>
    <w:rsid w:val="00C0183C"/>
    <w:rsid w:val="00C01C84"/>
    <w:rsid w:val="00C01CA0"/>
    <w:rsid w:val="00C01FC5"/>
    <w:rsid w:val="00C0218D"/>
    <w:rsid w:val="00C02559"/>
    <w:rsid w:val="00C02B12"/>
    <w:rsid w:val="00C02C94"/>
    <w:rsid w:val="00C02FA1"/>
    <w:rsid w:val="00C036CC"/>
    <w:rsid w:val="00C03DA4"/>
    <w:rsid w:val="00C04305"/>
    <w:rsid w:val="00C0452E"/>
    <w:rsid w:val="00C049BB"/>
    <w:rsid w:val="00C04B6E"/>
    <w:rsid w:val="00C053EF"/>
    <w:rsid w:val="00C05456"/>
    <w:rsid w:val="00C0556F"/>
    <w:rsid w:val="00C057DD"/>
    <w:rsid w:val="00C0580F"/>
    <w:rsid w:val="00C05AE4"/>
    <w:rsid w:val="00C05CF7"/>
    <w:rsid w:val="00C05D80"/>
    <w:rsid w:val="00C06234"/>
    <w:rsid w:val="00C06842"/>
    <w:rsid w:val="00C06EA5"/>
    <w:rsid w:val="00C06F0C"/>
    <w:rsid w:val="00C071F4"/>
    <w:rsid w:val="00C07591"/>
    <w:rsid w:val="00C07634"/>
    <w:rsid w:val="00C10387"/>
    <w:rsid w:val="00C1042D"/>
    <w:rsid w:val="00C10AB2"/>
    <w:rsid w:val="00C10D02"/>
    <w:rsid w:val="00C11074"/>
    <w:rsid w:val="00C11839"/>
    <w:rsid w:val="00C1193F"/>
    <w:rsid w:val="00C11A07"/>
    <w:rsid w:val="00C11DA5"/>
    <w:rsid w:val="00C11FD9"/>
    <w:rsid w:val="00C1210C"/>
    <w:rsid w:val="00C121F4"/>
    <w:rsid w:val="00C1237F"/>
    <w:rsid w:val="00C12AAF"/>
    <w:rsid w:val="00C130F1"/>
    <w:rsid w:val="00C13AAF"/>
    <w:rsid w:val="00C13C38"/>
    <w:rsid w:val="00C13C49"/>
    <w:rsid w:val="00C13E4F"/>
    <w:rsid w:val="00C13E78"/>
    <w:rsid w:val="00C142F4"/>
    <w:rsid w:val="00C146D0"/>
    <w:rsid w:val="00C14A62"/>
    <w:rsid w:val="00C15070"/>
    <w:rsid w:val="00C15536"/>
    <w:rsid w:val="00C15968"/>
    <w:rsid w:val="00C159EB"/>
    <w:rsid w:val="00C16094"/>
    <w:rsid w:val="00C165BA"/>
    <w:rsid w:val="00C1667D"/>
    <w:rsid w:val="00C1676C"/>
    <w:rsid w:val="00C173AA"/>
    <w:rsid w:val="00C176BD"/>
    <w:rsid w:val="00C17ABE"/>
    <w:rsid w:val="00C17BA1"/>
    <w:rsid w:val="00C204B6"/>
    <w:rsid w:val="00C205AA"/>
    <w:rsid w:val="00C20DC6"/>
    <w:rsid w:val="00C21A33"/>
    <w:rsid w:val="00C21A97"/>
    <w:rsid w:val="00C22343"/>
    <w:rsid w:val="00C22385"/>
    <w:rsid w:val="00C22707"/>
    <w:rsid w:val="00C229C1"/>
    <w:rsid w:val="00C239CA"/>
    <w:rsid w:val="00C23D49"/>
    <w:rsid w:val="00C23FBC"/>
    <w:rsid w:val="00C24337"/>
    <w:rsid w:val="00C245AC"/>
    <w:rsid w:val="00C247C6"/>
    <w:rsid w:val="00C247F0"/>
    <w:rsid w:val="00C2526C"/>
    <w:rsid w:val="00C253AD"/>
    <w:rsid w:val="00C2541B"/>
    <w:rsid w:val="00C25670"/>
    <w:rsid w:val="00C256D4"/>
    <w:rsid w:val="00C25C4A"/>
    <w:rsid w:val="00C25CC3"/>
    <w:rsid w:val="00C25D04"/>
    <w:rsid w:val="00C25FB8"/>
    <w:rsid w:val="00C26015"/>
    <w:rsid w:val="00C262ED"/>
    <w:rsid w:val="00C26585"/>
    <w:rsid w:val="00C266B9"/>
    <w:rsid w:val="00C26709"/>
    <w:rsid w:val="00C26DC3"/>
    <w:rsid w:val="00C26FF1"/>
    <w:rsid w:val="00C27439"/>
    <w:rsid w:val="00C274F3"/>
    <w:rsid w:val="00C27A40"/>
    <w:rsid w:val="00C27C67"/>
    <w:rsid w:val="00C27D9A"/>
    <w:rsid w:val="00C27DA5"/>
    <w:rsid w:val="00C27DE3"/>
    <w:rsid w:val="00C30194"/>
    <w:rsid w:val="00C31328"/>
    <w:rsid w:val="00C3134D"/>
    <w:rsid w:val="00C314A1"/>
    <w:rsid w:val="00C3185A"/>
    <w:rsid w:val="00C32326"/>
    <w:rsid w:val="00C32638"/>
    <w:rsid w:val="00C3273C"/>
    <w:rsid w:val="00C328A0"/>
    <w:rsid w:val="00C33377"/>
    <w:rsid w:val="00C33544"/>
    <w:rsid w:val="00C3395A"/>
    <w:rsid w:val="00C33ABF"/>
    <w:rsid w:val="00C33F20"/>
    <w:rsid w:val="00C34500"/>
    <w:rsid w:val="00C348DB"/>
    <w:rsid w:val="00C34F05"/>
    <w:rsid w:val="00C351D7"/>
    <w:rsid w:val="00C352E1"/>
    <w:rsid w:val="00C35386"/>
    <w:rsid w:val="00C35562"/>
    <w:rsid w:val="00C356AC"/>
    <w:rsid w:val="00C356BC"/>
    <w:rsid w:val="00C357A9"/>
    <w:rsid w:val="00C35A3C"/>
    <w:rsid w:val="00C363BC"/>
    <w:rsid w:val="00C364FF"/>
    <w:rsid w:val="00C36EC0"/>
    <w:rsid w:val="00C37013"/>
    <w:rsid w:val="00C370C9"/>
    <w:rsid w:val="00C37146"/>
    <w:rsid w:val="00C37316"/>
    <w:rsid w:val="00C37794"/>
    <w:rsid w:val="00C37B7C"/>
    <w:rsid w:val="00C37DA8"/>
    <w:rsid w:val="00C37DCB"/>
    <w:rsid w:val="00C37F3C"/>
    <w:rsid w:val="00C4013E"/>
    <w:rsid w:val="00C40334"/>
    <w:rsid w:val="00C40387"/>
    <w:rsid w:val="00C40C0E"/>
    <w:rsid w:val="00C4187F"/>
    <w:rsid w:val="00C41CE7"/>
    <w:rsid w:val="00C4226D"/>
    <w:rsid w:val="00C42271"/>
    <w:rsid w:val="00C422C5"/>
    <w:rsid w:val="00C42BA2"/>
    <w:rsid w:val="00C4306C"/>
    <w:rsid w:val="00C431C0"/>
    <w:rsid w:val="00C43D2B"/>
    <w:rsid w:val="00C44A65"/>
    <w:rsid w:val="00C44D73"/>
    <w:rsid w:val="00C45103"/>
    <w:rsid w:val="00C4530B"/>
    <w:rsid w:val="00C457AA"/>
    <w:rsid w:val="00C45C4A"/>
    <w:rsid w:val="00C45E3E"/>
    <w:rsid w:val="00C45FC8"/>
    <w:rsid w:val="00C46689"/>
    <w:rsid w:val="00C4689A"/>
    <w:rsid w:val="00C4741B"/>
    <w:rsid w:val="00C47738"/>
    <w:rsid w:val="00C47767"/>
    <w:rsid w:val="00C50834"/>
    <w:rsid w:val="00C509EB"/>
    <w:rsid w:val="00C50BE9"/>
    <w:rsid w:val="00C50EB0"/>
    <w:rsid w:val="00C50F19"/>
    <w:rsid w:val="00C514AB"/>
    <w:rsid w:val="00C518CB"/>
    <w:rsid w:val="00C51B10"/>
    <w:rsid w:val="00C51DE9"/>
    <w:rsid w:val="00C51EEB"/>
    <w:rsid w:val="00C52448"/>
    <w:rsid w:val="00C539A5"/>
    <w:rsid w:val="00C53B7D"/>
    <w:rsid w:val="00C54419"/>
    <w:rsid w:val="00C54F33"/>
    <w:rsid w:val="00C55186"/>
    <w:rsid w:val="00C55244"/>
    <w:rsid w:val="00C55615"/>
    <w:rsid w:val="00C56729"/>
    <w:rsid w:val="00C56896"/>
    <w:rsid w:val="00C56919"/>
    <w:rsid w:val="00C5737D"/>
    <w:rsid w:val="00C57569"/>
    <w:rsid w:val="00C5766B"/>
    <w:rsid w:val="00C57F29"/>
    <w:rsid w:val="00C60606"/>
    <w:rsid w:val="00C618AA"/>
    <w:rsid w:val="00C62756"/>
    <w:rsid w:val="00C62849"/>
    <w:rsid w:val="00C62902"/>
    <w:rsid w:val="00C62907"/>
    <w:rsid w:val="00C62CD3"/>
    <w:rsid w:val="00C62D5A"/>
    <w:rsid w:val="00C63155"/>
    <w:rsid w:val="00C63354"/>
    <w:rsid w:val="00C63A58"/>
    <w:rsid w:val="00C63E9B"/>
    <w:rsid w:val="00C63EA0"/>
    <w:rsid w:val="00C63F3B"/>
    <w:rsid w:val="00C647F2"/>
    <w:rsid w:val="00C648EB"/>
    <w:rsid w:val="00C64A15"/>
    <w:rsid w:val="00C64B11"/>
    <w:rsid w:val="00C64B23"/>
    <w:rsid w:val="00C652D0"/>
    <w:rsid w:val="00C65476"/>
    <w:rsid w:val="00C6581C"/>
    <w:rsid w:val="00C6598C"/>
    <w:rsid w:val="00C65A06"/>
    <w:rsid w:val="00C65E63"/>
    <w:rsid w:val="00C661B8"/>
    <w:rsid w:val="00C66271"/>
    <w:rsid w:val="00C664B3"/>
    <w:rsid w:val="00C66811"/>
    <w:rsid w:val="00C668BE"/>
    <w:rsid w:val="00C66A32"/>
    <w:rsid w:val="00C6714E"/>
    <w:rsid w:val="00C677BE"/>
    <w:rsid w:val="00C70985"/>
    <w:rsid w:val="00C70C93"/>
    <w:rsid w:val="00C70CED"/>
    <w:rsid w:val="00C71FB1"/>
    <w:rsid w:val="00C722B9"/>
    <w:rsid w:val="00C722E1"/>
    <w:rsid w:val="00C726DD"/>
    <w:rsid w:val="00C72865"/>
    <w:rsid w:val="00C7303A"/>
    <w:rsid w:val="00C7309A"/>
    <w:rsid w:val="00C7316E"/>
    <w:rsid w:val="00C74114"/>
    <w:rsid w:val="00C7412C"/>
    <w:rsid w:val="00C74146"/>
    <w:rsid w:val="00C7415A"/>
    <w:rsid w:val="00C746DC"/>
    <w:rsid w:val="00C74A31"/>
    <w:rsid w:val="00C75207"/>
    <w:rsid w:val="00C75227"/>
    <w:rsid w:val="00C75680"/>
    <w:rsid w:val="00C75694"/>
    <w:rsid w:val="00C76327"/>
    <w:rsid w:val="00C7651E"/>
    <w:rsid w:val="00C7665D"/>
    <w:rsid w:val="00C76BEF"/>
    <w:rsid w:val="00C76CFA"/>
    <w:rsid w:val="00C7706B"/>
    <w:rsid w:val="00C7732C"/>
    <w:rsid w:val="00C77A69"/>
    <w:rsid w:val="00C77CEA"/>
    <w:rsid w:val="00C77FAB"/>
    <w:rsid w:val="00C800FD"/>
    <w:rsid w:val="00C8017F"/>
    <w:rsid w:val="00C8062B"/>
    <w:rsid w:val="00C80821"/>
    <w:rsid w:val="00C814DD"/>
    <w:rsid w:val="00C816E3"/>
    <w:rsid w:val="00C81BC3"/>
    <w:rsid w:val="00C82056"/>
    <w:rsid w:val="00C82294"/>
    <w:rsid w:val="00C82369"/>
    <w:rsid w:val="00C82ABC"/>
    <w:rsid w:val="00C82FD8"/>
    <w:rsid w:val="00C83247"/>
    <w:rsid w:val="00C83305"/>
    <w:rsid w:val="00C8364D"/>
    <w:rsid w:val="00C839F8"/>
    <w:rsid w:val="00C83D5E"/>
    <w:rsid w:val="00C840AB"/>
    <w:rsid w:val="00C84E43"/>
    <w:rsid w:val="00C85312"/>
    <w:rsid w:val="00C853A6"/>
    <w:rsid w:val="00C85A9A"/>
    <w:rsid w:val="00C860B5"/>
    <w:rsid w:val="00C861C6"/>
    <w:rsid w:val="00C861C7"/>
    <w:rsid w:val="00C863A5"/>
    <w:rsid w:val="00C8674B"/>
    <w:rsid w:val="00C8687E"/>
    <w:rsid w:val="00C86A70"/>
    <w:rsid w:val="00C87197"/>
    <w:rsid w:val="00C8724B"/>
    <w:rsid w:val="00C875D9"/>
    <w:rsid w:val="00C87706"/>
    <w:rsid w:val="00C87D69"/>
    <w:rsid w:val="00C90034"/>
    <w:rsid w:val="00C9030A"/>
    <w:rsid w:val="00C90B99"/>
    <w:rsid w:val="00C90C7D"/>
    <w:rsid w:val="00C916ED"/>
    <w:rsid w:val="00C91874"/>
    <w:rsid w:val="00C928E1"/>
    <w:rsid w:val="00C92BC6"/>
    <w:rsid w:val="00C93315"/>
    <w:rsid w:val="00C9339C"/>
    <w:rsid w:val="00C93702"/>
    <w:rsid w:val="00C93714"/>
    <w:rsid w:val="00C93992"/>
    <w:rsid w:val="00C93E38"/>
    <w:rsid w:val="00C93F95"/>
    <w:rsid w:val="00C9404A"/>
    <w:rsid w:val="00C94960"/>
    <w:rsid w:val="00C95EE1"/>
    <w:rsid w:val="00C96EC0"/>
    <w:rsid w:val="00C96FBD"/>
    <w:rsid w:val="00C96FCC"/>
    <w:rsid w:val="00C974A7"/>
    <w:rsid w:val="00C9776F"/>
    <w:rsid w:val="00C97948"/>
    <w:rsid w:val="00C97CAA"/>
    <w:rsid w:val="00CA0407"/>
    <w:rsid w:val="00CA052E"/>
    <w:rsid w:val="00CA0CC3"/>
    <w:rsid w:val="00CA103D"/>
    <w:rsid w:val="00CA115F"/>
    <w:rsid w:val="00CA1397"/>
    <w:rsid w:val="00CA1CAD"/>
    <w:rsid w:val="00CA1DB9"/>
    <w:rsid w:val="00CA23FD"/>
    <w:rsid w:val="00CA25EA"/>
    <w:rsid w:val="00CA2954"/>
    <w:rsid w:val="00CA29DC"/>
    <w:rsid w:val="00CA2A9D"/>
    <w:rsid w:val="00CA2B34"/>
    <w:rsid w:val="00CA2D84"/>
    <w:rsid w:val="00CA3A23"/>
    <w:rsid w:val="00CA443C"/>
    <w:rsid w:val="00CA4856"/>
    <w:rsid w:val="00CA4880"/>
    <w:rsid w:val="00CA4F36"/>
    <w:rsid w:val="00CA58F1"/>
    <w:rsid w:val="00CA60B2"/>
    <w:rsid w:val="00CA6667"/>
    <w:rsid w:val="00CA6677"/>
    <w:rsid w:val="00CA680D"/>
    <w:rsid w:val="00CA6877"/>
    <w:rsid w:val="00CA68E7"/>
    <w:rsid w:val="00CA6B7F"/>
    <w:rsid w:val="00CA70D7"/>
    <w:rsid w:val="00CA7631"/>
    <w:rsid w:val="00CB0152"/>
    <w:rsid w:val="00CB05A9"/>
    <w:rsid w:val="00CB0DC1"/>
    <w:rsid w:val="00CB1942"/>
    <w:rsid w:val="00CB1DDC"/>
    <w:rsid w:val="00CB2812"/>
    <w:rsid w:val="00CB2C50"/>
    <w:rsid w:val="00CB3162"/>
    <w:rsid w:val="00CB38F1"/>
    <w:rsid w:val="00CB3BE3"/>
    <w:rsid w:val="00CB3C74"/>
    <w:rsid w:val="00CB4174"/>
    <w:rsid w:val="00CB431B"/>
    <w:rsid w:val="00CB47F4"/>
    <w:rsid w:val="00CB4912"/>
    <w:rsid w:val="00CB4ED5"/>
    <w:rsid w:val="00CB4FB9"/>
    <w:rsid w:val="00CB5B8A"/>
    <w:rsid w:val="00CB61B9"/>
    <w:rsid w:val="00CB65F3"/>
    <w:rsid w:val="00CB6D5E"/>
    <w:rsid w:val="00CB7012"/>
    <w:rsid w:val="00CB709D"/>
    <w:rsid w:val="00CB70F4"/>
    <w:rsid w:val="00CB71F0"/>
    <w:rsid w:val="00CB725A"/>
    <w:rsid w:val="00CB7878"/>
    <w:rsid w:val="00CB7DCE"/>
    <w:rsid w:val="00CB7E6C"/>
    <w:rsid w:val="00CC0994"/>
    <w:rsid w:val="00CC0ED1"/>
    <w:rsid w:val="00CC1129"/>
    <w:rsid w:val="00CC1826"/>
    <w:rsid w:val="00CC2118"/>
    <w:rsid w:val="00CC263B"/>
    <w:rsid w:val="00CC357A"/>
    <w:rsid w:val="00CC406D"/>
    <w:rsid w:val="00CC410D"/>
    <w:rsid w:val="00CC4D3E"/>
    <w:rsid w:val="00CC4D51"/>
    <w:rsid w:val="00CC5655"/>
    <w:rsid w:val="00CC5E0F"/>
    <w:rsid w:val="00CC610D"/>
    <w:rsid w:val="00CC6D97"/>
    <w:rsid w:val="00CC700C"/>
    <w:rsid w:val="00CC785A"/>
    <w:rsid w:val="00CC7BE1"/>
    <w:rsid w:val="00CD02A0"/>
    <w:rsid w:val="00CD053E"/>
    <w:rsid w:val="00CD07DA"/>
    <w:rsid w:val="00CD0D47"/>
    <w:rsid w:val="00CD0DA9"/>
    <w:rsid w:val="00CD109F"/>
    <w:rsid w:val="00CD1314"/>
    <w:rsid w:val="00CD14AB"/>
    <w:rsid w:val="00CD157E"/>
    <w:rsid w:val="00CD1776"/>
    <w:rsid w:val="00CD2D07"/>
    <w:rsid w:val="00CD2E2F"/>
    <w:rsid w:val="00CD33BD"/>
    <w:rsid w:val="00CD36C2"/>
    <w:rsid w:val="00CD3AA0"/>
    <w:rsid w:val="00CD3F65"/>
    <w:rsid w:val="00CD4137"/>
    <w:rsid w:val="00CD41CB"/>
    <w:rsid w:val="00CD442E"/>
    <w:rsid w:val="00CD4DB1"/>
    <w:rsid w:val="00CD5614"/>
    <w:rsid w:val="00CD5738"/>
    <w:rsid w:val="00CD58B7"/>
    <w:rsid w:val="00CD593D"/>
    <w:rsid w:val="00CD5E16"/>
    <w:rsid w:val="00CD6B1B"/>
    <w:rsid w:val="00CD6D3D"/>
    <w:rsid w:val="00CD6E17"/>
    <w:rsid w:val="00CD72DF"/>
    <w:rsid w:val="00CD7630"/>
    <w:rsid w:val="00CD7A57"/>
    <w:rsid w:val="00CE0321"/>
    <w:rsid w:val="00CE067D"/>
    <w:rsid w:val="00CE0BC6"/>
    <w:rsid w:val="00CE0CBE"/>
    <w:rsid w:val="00CE0CEB"/>
    <w:rsid w:val="00CE125E"/>
    <w:rsid w:val="00CE1568"/>
    <w:rsid w:val="00CE1836"/>
    <w:rsid w:val="00CE1973"/>
    <w:rsid w:val="00CE1FFD"/>
    <w:rsid w:val="00CE2049"/>
    <w:rsid w:val="00CE20C4"/>
    <w:rsid w:val="00CE239F"/>
    <w:rsid w:val="00CE2AB7"/>
    <w:rsid w:val="00CE3159"/>
    <w:rsid w:val="00CE37C2"/>
    <w:rsid w:val="00CE3C79"/>
    <w:rsid w:val="00CE3D81"/>
    <w:rsid w:val="00CE3EAC"/>
    <w:rsid w:val="00CE4DF4"/>
    <w:rsid w:val="00CE4E0F"/>
    <w:rsid w:val="00CE509A"/>
    <w:rsid w:val="00CE55ED"/>
    <w:rsid w:val="00CE58A7"/>
    <w:rsid w:val="00CE6032"/>
    <w:rsid w:val="00CE63BB"/>
    <w:rsid w:val="00CE663B"/>
    <w:rsid w:val="00CE6729"/>
    <w:rsid w:val="00CE697C"/>
    <w:rsid w:val="00CE6DEA"/>
    <w:rsid w:val="00CE71AF"/>
    <w:rsid w:val="00CE7678"/>
    <w:rsid w:val="00CE77BE"/>
    <w:rsid w:val="00CF0148"/>
    <w:rsid w:val="00CF0691"/>
    <w:rsid w:val="00CF08AD"/>
    <w:rsid w:val="00CF090F"/>
    <w:rsid w:val="00CF11E0"/>
    <w:rsid w:val="00CF11EE"/>
    <w:rsid w:val="00CF13A2"/>
    <w:rsid w:val="00CF191A"/>
    <w:rsid w:val="00CF1A09"/>
    <w:rsid w:val="00CF1E7F"/>
    <w:rsid w:val="00CF2BD8"/>
    <w:rsid w:val="00CF2D0B"/>
    <w:rsid w:val="00CF3105"/>
    <w:rsid w:val="00CF3439"/>
    <w:rsid w:val="00CF343A"/>
    <w:rsid w:val="00CF3475"/>
    <w:rsid w:val="00CF3AF1"/>
    <w:rsid w:val="00CF402D"/>
    <w:rsid w:val="00CF447E"/>
    <w:rsid w:val="00CF4707"/>
    <w:rsid w:val="00CF4B3F"/>
    <w:rsid w:val="00CF4F59"/>
    <w:rsid w:val="00CF4F69"/>
    <w:rsid w:val="00CF538D"/>
    <w:rsid w:val="00CF5AE0"/>
    <w:rsid w:val="00CF5B74"/>
    <w:rsid w:val="00CF5C43"/>
    <w:rsid w:val="00CF5D4E"/>
    <w:rsid w:val="00CF627E"/>
    <w:rsid w:val="00CF68B4"/>
    <w:rsid w:val="00CF6ADA"/>
    <w:rsid w:val="00CF70EF"/>
    <w:rsid w:val="00CF7CD3"/>
    <w:rsid w:val="00CF7D78"/>
    <w:rsid w:val="00D00216"/>
    <w:rsid w:val="00D006C3"/>
    <w:rsid w:val="00D00782"/>
    <w:rsid w:val="00D0082A"/>
    <w:rsid w:val="00D00B77"/>
    <w:rsid w:val="00D00D3F"/>
    <w:rsid w:val="00D01311"/>
    <w:rsid w:val="00D014BD"/>
    <w:rsid w:val="00D0198D"/>
    <w:rsid w:val="00D01A85"/>
    <w:rsid w:val="00D02411"/>
    <w:rsid w:val="00D0241E"/>
    <w:rsid w:val="00D0270B"/>
    <w:rsid w:val="00D02BBC"/>
    <w:rsid w:val="00D02CF4"/>
    <w:rsid w:val="00D031AE"/>
    <w:rsid w:val="00D03249"/>
    <w:rsid w:val="00D032AE"/>
    <w:rsid w:val="00D034B5"/>
    <w:rsid w:val="00D039AA"/>
    <w:rsid w:val="00D03AEE"/>
    <w:rsid w:val="00D03D75"/>
    <w:rsid w:val="00D04063"/>
    <w:rsid w:val="00D040CA"/>
    <w:rsid w:val="00D04488"/>
    <w:rsid w:val="00D0462B"/>
    <w:rsid w:val="00D04BF9"/>
    <w:rsid w:val="00D05184"/>
    <w:rsid w:val="00D054D4"/>
    <w:rsid w:val="00D05896"/>
    <w:rsid w:val="00D05B0C"/>
    <w:rsid w:val="00D05B0E"/>
    <w:rsid w:val="00D05CBF"/>
    <w:rsid w:val="00D05F2F"/>
    <w:rsid w:val="00D060B1"/>
    <w:rsid w:val="00D0649B"/>
    <w:rsid w:val="00D06555"/>
    <w:rsid w:val="00D06A8D"/>
    <w:rsid w:val="00D06AA7"/>
    <w:rsid w:val="00D06CC0"/>
    <w:rsid w:val="00D07774"/>
    <w:rsid w:val="00D07B38"/>
    <w:rsid w:val="00D07CD0"/>
    <w:rsid w:val="00D10540"/>
    <w:rsid w:val="00D107FF"/>
    <w:rsid w:val="00D110FF"/>
    <w:rsid w:val="00D116AD"/>
    <w:rsid w:val="00D1176E"/>
    <w:rsid w:val="00D11DF7"/>
    <w:rsid w:val="00D127D6"/>
    <w:rsid w:val="00D12B1C"/>
    <w:rsid w:val="00D131CE"/>
    <w:rsid w:val="00D1324E"/>
    <w:rsid w:val="00D137AB"/>
    <w:rsid w:val="00D14080"/>
    <w:rsid w:val="00D143E4"/>
    <w:rsid w:val="00D14999"/>
    <w:rsid w:val="00D14A64"/>
    <w:rsid w:val="00D14F59"/>
    <w:rsid w:val="00D15CB9"/>
    <w:rsid w:val="00D15D6B"/>
    <w:rsid w:val="00D15EF9"/>
    <w:rsid w:val="00D16505"/>
    <w:rsid w:val="00D170D0"/>
    <w:rsid w:val="00D17316"/>
    <w:rsid w:val="00D173DA"/>
    <w:rsid w:val="00D176C3"/>
    <w:rsid w:val="00D1796A"/>
    <w:rsid w:val="00D17C6E"/>
    <w:rsid w:val="00D17CEC"/>
    <w:rsid w:val="00D2045F"/>
    <w:rsid w:val="00D204E0"/>
    <w:rsid w:val="00D20524"/>
    <w:rsid w:val="00D20CBD"/>
    <w:rsid w:val="00D20DF8"/>
    <w:rsid w:val="00D20E9E"/>
    <w:rsid w:val="00D213D0"/>
    <w:rsid w:val="00D217FF"/>
    <w:rsid w:val="00D21C3F"/>
    <w:rsid w:val="00D21FD2"/>
    <w:rsid w:val="00D21FEA"/>
    <w:rsid w:val="00D22157"/>
    <w:rsid w:val="00D2308C"/>
    <w:rsid w:val="00D230AA"/>
    <w:rsid w:val="00D235B6"/>
    <w:rsid w:val="00D237D1"/>
    <w:rsid w:val="00D2385F"/>
    <w:rsid w:val="00D24063"/>
    <w:rsid w:val="00D24104"/>
    <w:rsid w:val="00D2433B"/>
    <w:rsid w:val="00D24D20"/>
    <w:rsid w:val="00D25473"/>
    <w:rsid w:val="00D254B2"/>
    <w:rsid w:val="00D254B7"/>
    <w:rsid w:val="00D25C59"/>
    <w:rsid w:val="00D26010"/>
    <w:rsid w:val="00D264A4"/>
    <w:rsid w:val="00D268A2"/>
    <w:rsid w:val="00D26DC0"/>
    <w:rsid w:val="00D26ED3"/>
    <w:rsid w:val="00D273A4"/>
    <w:rsid w:val="00D27C97"/>
    <w:rsid w:val="00D27EBF"/>
    <w:rsid w:val="00D30158"/>
    <w:rsid w:val="00D3025B"/>
    <w:rsid w:val="00D304C6"/>
    <w:rsid w:val="00D30BC8"/>
    <w:rsid w:val="00D30C98"/>
    <w:rsid w:val="00D30FAC"/>
    <w:rsid w:val="00D30FDD"/>
    <w:rsid w:val="00D310C2"/>
    <w:rsid w:val="00D31123"/>
    <w:rsid w:val="00D312F9"/>
    <w:rsid w:val="00D3172B"/>
    <w:rsid w:val="00D318B6"/>
    <w:rsid w:val="00D31930"/>
    <w:rsid w:val="00D31A17"/>
    <w:rsid w:val="00D31C09"/>
    <w:rsid w:val="00D31F4A"/>
    <w:rsid w:val="00D31FCB"/>
    <w:rsid w:val="00D3251E"/>
    <w:rsid w:val="00D32571"/>
    <w:rsid w:val="00D333BD"/>
    <w:rsid w:val="00D333E3"/>
    <w:rsid w:val="00D3368F"/>
    <w:rsid w:val="00D340C9"/>
    <w:rsid w:val="00D34537"/>
    <w:rsid w:val="00D34F22"/>
    <w:rsid w:val="00D3575C"/>
    <w:rsid w:val="00D35E48"/>
    <w:rsid w:val="00D363C7"/>
    <w:rsid w:val="00D36497"/>
    <w:rsid w:val="00D368F0"/>
    <w:rsid w:val="00D36D58"/>
    <w:rsid w:val="00D36F6D"/>
    <w:rsid w:val="00D370DE"/>
    <w:rsid w:val="00D37154"/>
    <w:rsid w:val="00D3741B"/>
    <w:rsid w:val="00D40756"/>
    <w:rsid w:val="00D40A14"/>
    <w:rsid w:val="00D41CBD"/>
    <w:rsid w:val="00D41D10"/>
    <w:rsid w:val="00D422F0"/>
    <w:rsid w:val="00D42A42"/>
    <w:rsid w:val="00D42A65"/>
    <w:rsid w:val="00D4323D"/>
    <w:rsid w:val="00D4325F"/>
    <w:rsid w:val="00D433F0"/>
    <w:rsid w:val="00D43DA2"/>
    <w:rsid w:val="00D4405B"/>
    <w:rsid w:val="00D442D8"/>
    <w:rsid w:val="00D444A4"/>
    <w:rsid w:val="00D44733"/>
    <w:rsid w:val="00D44891"/>
    <w:rsid w:val="00D448A4"/>
    <w:rsid w:val="00D44A99"/>
    <w:rsid w:val="00D44AC9"/>
    <w:rsid w:val="00D44F19"/>
    <w:rsid w:val="00D452AC"/>
    <w:rsid w:val="00D459B0"/>
    <w:rsid w:val="00D45C3D"/>
    <w:rsid w:val="00D45D65"/>
    <w:rsid w:val="00D45E5C"/>
    <w:rsid w:val="00D46150"/>
    <w:rsid w:val="00D462C8"/>
    <w:rsid w:val="00D46B58"/>
    <w:rsid w:val="00D46C3F"/>
    <w:rsid w:val="00D46E08"/>
    <w:rsid w:val="00D474E9"/>
    <w:rsid w:val="00D4780D"/>
    <w:rsid w:val="00D4783D"/>
    <w:rsid w:val="00D504FD"/>
    <w:rsid w:val="00D50998"/>
    <w:rsid w:val="00D5122C"/>
    <w:rsid w:val="00D5164E"/>
    <w:rsid w:val="00D51B3C"/>
    <w:rsid w:val="00D51BAB"/>
    <w:rsid w:val="00D51F93"/>
    <w:rsid w:val="00D52544"/>
    <w:rsid w:val="00D52590"/>
    <w:rsid w:val="00D5270C"/>
    <w:rsid w:val="00D52A23"/>
    <w:rsid w:val="00D52BB7"/>
    <w:rsid w:val="00D52F2B"/>
    <w:rsid w:val="00D5332A"/>
    <w:rsid w:val="00D534C4"/>
    <w:rsid w:val="00D53B32"/>
    <w:rsid w:val="00D53FA1"/>
    <w:rsid w:val="00D5404E"/>
    <w:rsid w:val="00D54183"/>
    <w:rsid w:val="00D549C4"/>
    <w:rsid w:val="00D549CB"/>
    <w:rsid w:val="00D54B78"/>
    <w:rsid w:val="00D55483"/>
    <w:rsid w:val="00D55926"/>
    <w:rsid w:val="00D559A8"/>
    <w:rsid w:val="00D55AE2"/>
    <w:rsid w:val="00D55E07"/>
    <w:rsid w:val="00D55FAA"/>
    <w:rsid w:val="00D568E8"/>
    <w:rsid w:val="00D57752"/>
    <w:rsid w:val="00D57960"/>
    <w:rsid w:val="00D57BFB"/>
    <w:rsid w:val="00D605F7"/>
    <w:rsid w:val="00D606C4"/>
    <w:rsid w:val="00D60754"/>
    <w:rsid w:val="00D60864"/>
    <w:rsid w:val="00D60BB3"/>
    <w:rsid w:val="00D60FB4"/>
    <w:rsid w:val="00D6105F"/>
    <w:rsid w:val="00D6176D"/>
    <w:rsid w:val="00D618D3"/>
    <w:rsid w:val="00D61BA7"/>
    <w:rsid w:val="00D61C95"/>
    <w:rsid w:val="00D623F2"/>
    <w:rsid w:val="00D62444"/>
    <w:rsid w:val="00D624D1"/>
    <w:rsid w:val="00D627D5"/>
    <w:rsid w:val="00D629AE"/>
    <w:rsid w:val="00D633CB"/>
    <w:rsid w:val="00D636C3"/>
    <w:rsid w:val="00D646D6"/>
    <w:rsid w:val="00D64814"/>
    <w:rsid w:val="00D64909"/>
    <w:rsid w:val="00D6497E"/>
    <w:rsid w:val="00D64D94"/>
    <w:rsid w:val="00D64FB4"/>
    <w:rsid w:val="00D6558F"/>
    <w:rsid w:val="00D65A6C"/>
    <w:rsid w:val="00D65BEC"/>
    <w:rsid w:val="00D65C4A"/>
    <w:rsid w:val="00D65EB1"/>
    <w:rsid w:val="00D663BC"/>
    <w:rsid w:val="00D66545"/>
    <w:rsid w:val="00D6687A"/>
    <w:rsid w:val="00D66AF3"/>
    <w:rsid w:val="00D67976"/>
    <w:rsid w:val="00D679F9"/>
    <w:rsid w:val="00D67BB1"/>
    <w:rsid w:val="00D67F32"/>
    <w:rsid w:val="00D70430"/>
    <w:rsid w:val="00D7043B"/>
    <w:rsid w:val="00D70490"/>
    <w:rsid w:val="00D70994"/>
    <w:rsid w:val="00D70A23"/>
    <w:rsid w:val="00D70E77"/>
    <w:rsid w:val="00D71320"/>
    <w:rsid w:val="00D71F45"/>
    <w:rsid w:val="00D72663"/>
    <w:rsid w:val="00D728AE"/>
    <w:rsid w:val="00D729E6"/>
    <w:rsid w:val="00D72A37"/>
    <w:rsid w:val="00D72B67"/>
    <w:rsid w:val="00D72FEC"/>
    <w:rsid w:val="00D73026"/>
    <w:rsid w:val="00D737CF"/>
    <w:rsid w:val="00D73B28"/>
    <w:rsid w:val="00D73CBF"/>
    <w:rsid w:val="00D73D4E"/>
    <w:rsid w:val="00D746BE"/>
    <w:rsid w:val="00D74CBF"/>
    <w:rsid w:val="00D754E8"/>
    <w:rsid w:val="00D758C6"/>
    <w:rsid w:val="00D75A80"/>
    <w:rsid w:val="00D7679B"/>
    <w:rsid w:val="00D76E45"/>
    <w:rsid w:val="00D77D07"/>
    <w:rsid w:val="00D8005C"/>
    <w:rsid w:val="00D80241"/>
    <w:rsid w:val="00D80595"/>
    <w:rsid w:val="00D8109C"/>
    <w:rsid w:val="00D81280"/>
    <w:rsid w:val="00D82441"/>
    <w:rsid w:val="00D82F5B"/>
    <w:rsid w:val="00D84602"/>
    <w:rsid w:val="00D84990"/>
    <w:rsid w:val="00D84F99"/>
    <w:rsid w:val="00D85A3A"/>
    <w:rsid w:val="00D85B4B"/>
    <w:rsid w:val="00D85D4E"/>
    <w:rsid w:val="00D866E3"/>
    <w:rsid w:val="00D86B5E"/>
    <w:rsid w:val="00D86DDC"/>
    <w:rsid w:val="00D8707D"/>
    <w:rsid w:val="00D874B9"/>
    <w:rsid w:val="00D87DF1"/>
    <w:rsid w:val="00D901A5"/>
    <w:rsid w:val="00D909B9"/>
    <w:rsid w:val="00D91085"/>
    <w:rsid w:val="00D91681"/>
    <w:rsid w:val="00D9265F"/>
    <w:rsid w:val="00D9305A"/>
    <w:rsid w:val="00D934B1"/>
    <w:rsid w:val="00D93815"/>
    <w:rsid w:val="00D93C6F"/>
    <w:rsid w:val="00D93C85"/>
    <w:rsid w:val="00D93CCD"/>
    <w:rsid w:val="00D93E08"/>
    <w:rsid w:val="00D94503"/>
    <w:rsid w:val="00D9456C"/>
    <w:rsid w:val="00D947C0"/>
    <w:rsid w:val="00D95120"/>
    <w:rsid w:val="00D95174"/>
    <w:rsid w:val="00D95538"/>
    <w:rsid w:val="00D959FD"/>
    <w:rsid w:val="00D95AEA"/>
    <w:rsid w:val="00D95F51"/>
    <w:rsid w:val="00D9675D"/>
    <w:rsid w:val="00D96792"/>
    <w:rsid w:val="00DA1069"/>
    <w:rsid w:val="00DA174D"/>
    <w:rsid w:val="00DA1B4E"/>
    <w:rsid w:val="00DA1CB2"/>
    <w:rsid w:val="00DA1DD7"/>
    <w:rsid w:val="00DA1F09"/>
    <w:rsid w:val="00DA2628"/>
    <w:rsid w:val="00DA28CD"/>
    <w:rsid w:val="00DA2B60"/>
    <w:rsid w:val="00DA2BEE"/>
    <w:rsid w:val="00DA2FBB"/>
    <w:rsid w:val="00DA34C2"/>
    <w:rsid w:val="00DA3862"/>
    <w:rsid w:val="00DA3A00"/>
    <w:rsid w:val="00DA3B84"/>
    <w:rsid w:val="00DA3DAE"/>
    <w:rsid w:val="00DA48D3"/>
    <w:rsid w:val="00DA4936"/>
    <w:rsid w:val="00DA4AAF"/>
    <w:rsid w:val="00DA4B8E"/>
    <w:rsid w:val="00DA521F"/>
    <w:rsid w:val="00DA550A"/>
    <w:rsid w:val="00DA5B53"/>
    <w:rsid w:val="00DA5B95"/>
    <w:rsid w:val="00DA5F61"/>
    <w:rsid w:val="00DA60D3"/>
    <w:rsid w:val="00DA65CF"/>
    <w:rsid w:val="00DA6B90"/>
    <w:rsid w:val="00DA6B93"/>
    <w:rsid w:val="00DA735D"/>
    <w:rsid w:val="00DA7655"/>
    <w:rsid w:val="00DA7961"/>
    <w:rsid w:val="00DA7ADB"/>
    <w:rsid w:val="00DA7B6E"/>
    <w:rsid w:val="00DA7BD4"/>
    <w:rsid w:val="00DA7BF4"/>
    <w:rsid w:val="00DA7F1D"/>
    <w:rsid w:val="00DB0445"/>
    <w:rsid w:val="00DB066F"/>
    <w:rsid w:val="00DB0747"/>
    <w:rsid w:val="00DB0851"/>
    <w:rsid w:val="00DB0A55"/>
    <w:rsid w:val="00DB0D16"/>
    <w:rsid w:val="00DB0E3A"/>
    <w:rsid w:val="00DB19EB"/>
    <w:rsid w:val="00DB2001"/>
    <w:rsid w:val="00DB21D4"/>
    <w:rsid w:val="00DB269F"/>
    <w:rsid w:val="00DB26E4"/>
    <w:rsid w:val="00DB2912"/>
    <w:rsid w:val="00DB2A25"/>
    <w:rsid w:val="00DB306F"/>
    <w:rsid w:val="00DB3A70"/>
    <w:rsid w:val="00DB400B"/>
    <w:rsid w:val="00DB4162"/>
    <w:rsid w:val="00DB4312"/>
    <w:rsid w:val="00DB4462"/>
    <w:rsid w:val="00DB4A65"/>
    <w:rsid w:val="00DB64AD"/>
    <w:rsid w:val="00DB6841"/>
    <w:rsid w:val="00DB68DD"/>
    <w:rsid w:val="00DB6962"/>
    <w:rsid w:val="00DB7D45"/>
    <w:rsid w:val="00DB7D70"/>
    <w:rsid w:val="00DC00E0"/>
    <w:rsid w:val="00DC042C"/>
    <w:rsid w:val="00DC044D"/>
    <w:rsid w:val="00DC04D0"/>
    <w:rsid w:val="00DC063B"/>
    <w:rsid w:val="00DC0B12"/>
    <w:rsid w:val="00DC0B33"/>
    <w:rsid w:val="00DC1160"/>
    <w:rsid w:val="00DC1288"/>
    <w:rsid w:val="00DC1B03"/>
    <w:rsid w:val="00DC1B92"/>
    <w:rsid w:val="00DC1CE2"/>
    <w:rsid w:val="00DC1EF2"/>
    <w:rsid w:val="00DC2803"/>
    <w:rsid w:val="00DC2FB4"/>
    <w:rsid w:val="00DC3023"/>
    <w:rsid w:val="00DC3A6A"/>
    <w:rsid w:val="00DC408E"/>
    <w:rsid w:val="00DC4513"/>
    <w:rsid w:val="00DC4665"/>
    <w:rsid w:val="00DC4B4A"/>
    <w:rsid w:val="00DC4C57"/>
    <w:rsid w:val="00DC4E4B"/>
    <w:rsid w:val="00DC5DE0"/>
    <w:rsid w:val="00DC60D8"/>
    <w:rsid w:val="00DC624C"/>
    <w:rsid w:val="00DC6700"/>
    <w:rsid w:val="00DC6729"/>
    <w:rsid w:val="00DC6FE2"/>
    <w:rsid w:val="00DC79A0"/>
    <w:rsid w:val="00DC7CA9"/>
    <w:rsid w:val="00DD01AD"/>
    <w:rsid w:val="00DD0773"/>
    <w:rsid w:val="00DD07F1"/>
    <w:rsid w:val="00DD0AB0"/>
    <w:rsid w:val="00DD0BBB"/>
    <w:rsid w:val="00DD13D2"/>
    <w:rsid w:val="00DD1717"/>
    <w:rsid w:val="00DD1B94"/>
    <w:rsid w:val="00DD27DB"/>
    <w:rsid w:val="00DD27EB"/>
    <w:rsid w:val="00DD2A9A"/>
    <w:rsid w:val="00DD2AB1"/>
    <w:rsid w:val="00DD2C06"/>
    <w:rsid w:val="00DD2F36"/>
    <w:rsid w:val="00DD3523"/>
    <w:rsid w:val="00DD3822"/>
    <w:rsid w:val="00DD3B20"/>
    <w:rsid w:val="00DD3D7C"/>
    <w:rsid w:val="00DD4164"/>
    <w:rsid w:val="00DD45CD"/>
    <w:rsid w:val="00DD4954"/>
    <w:rsid w:val="00DD4B3E"/>
    <w:rsid w:val="00DD4B52"/>
    <w:rsid w:val="00DD5DBC"/>
    <w:rsid w:val="00DD5F81"/>
    <w:rsid w:val="00DD5F9A"/>
    <w:rsid w:val="00DD6165"/>
    <w:rsid w:val="00DD61D3"/>
    <w:rsid w:val="00DD63C0"/>
    <w:rsid w:val="00DD67B7"/>
    <w:rsid w:val="00DD6991"/>
    <w:rsid w:val="00DD6D82"/>
    <w:rsid w:val="00DD6E15"/>
    <w:rsid w:val="00DD759A"/>
    <w:rsid w:val="00DD7645"/>
    <w:rsid w:val="00DE01D5"/>
    <w:rsid w:val="00DE0789"/>
    <w:rsid w:val="00DE07AC"/>
    <w:rsid w:val="00DE080A"/>
    <w:rsid w:val="00DE0B45"/>
    <w:rsid w:val="00DE107E"/>
    <w:rsid w:val="00DE1347"/>
    <w:rsid w:val="00DE147A"/>
    <w:rsid w:val="00DE151A"/>
    <w:rsid w:val="00DE2118"/>
    <w:rsid w:val="00DE22BF"/>
    <w:rsid w:val="00DE2996"/>
    <w:rsid w:val="00DE30E3"/>
    <w:rsid w:val="00DE3392"/>
    <w:rsid w:val="00DE355F"/>
    <w:rsid w:val="00DE3905"/>
    <w:rsid w:val="00DE3FBB"/>
    <w:rsid w:val="00DE4109"/>
    <w:rsid w:val="00DE4615"/>
    <w:rsid w:val="00DE4E2B"/>
    <w:rsid w:val="00DE500F"/>
    <w:rsid w:val="00DE510B"/>
    <w:rsid w:val="00DE52FF"/>
    <w:rsid w:val="00DE558B"/>
    <w:rsid w:val="00DE5C37"/>
    <w:rsid w:val="00DE5C82"/>
    <w:rsid w:val="00DE5DFF"/>
    <w:rsid w:val="00DE5EF6"/>
    <w:rsid w:val="00DE650C"/>
    <w:rsid w:val="00DE65A9"/>
    <w:rsid w:val="00DE6E1A"/>
    <w:rsid w:val="00DE741C"/>
    <w:rsid w:val="00DE79AE"/>
    <w:rsid w:val="00DE7C92"/>
    <w:rsid w:val="00DF0273"/>
    <w:rsid w:val="00DF04CF"/>
    <w:rsid w:val="00DF08E4"/>
    <w:rsid w:val="00DF0EBB"/>
    <w:rsid w:val="00DF0EFD"/>
    <w:rsid w:val="00DF10C1"/>
    <w:rsid w:val="00DF1295"/>
    <w:rsid w:val="00DF1671"/>
    <w:rsid w:val="00DF1CFD"/>
    <w:rsid w:val="00DF1FBE"/>
    <w:rsid w:val="00DF21BB"/>
    <w:rsid w:val="00DF21C0"/>
    <w:rsid w:val="00DF2489"/>
    <w:rsid w:val="00DF24E9"/>
    <w:rsid w:val="00DF2C90"/>
    <w:rsid w:val="00DF2CE7"/>
    <w:rsid w:val="00DF2D4E"/>
    <w:rsid w:val="00DF305A"/>
    <w:rsid w:val="00DF36B9"/>
    <w:rsid w:val="00DF3841"/>
    <w:rsid w:val="00DF3C79"/>
    <w:rsid w:val="00DF4B70"/>
    <w:rsid w:val="00DF4F15"/>
    <w:rsid w:val="00DF50A5"/>
    <w:rsid w:val="00DF521C"/>
    <w:rsid w:val="00DF57C6"/>
    <w:rsid w:val="00DF5F34"/>
    <w:rsid w:val="00DF6285"/>
    <w:rsid w:val="00DF65CF"/>
    <w:rsid w:val="00DF6AB1"/>
    <w:rsid w:val="00DF6F02"/>
    <w:rsid w:val="00DF6FB1"/>
    <w:rsid w:val="00DF7447"/>
    <w:rsid w:val="00DF74CA"/>
    <w:rsid w:val="00E003C1"/>
    <w:rsid w:val="00E014E8"/>
    <w:rsid w:val="00E0160D"/>
    <w:rsid w:val="00E01647"/>
    <w:rsid w:val="00E0182E"/>
    <w:rsid w:val="00E01B82"/>
    <w:rsid w:val="00E02A25"/>
    <w:rsid w:val="00E02BA6"/>
    <w:rsid w:val="00E03BA8"/>
    <w:rsid w:val="00E04458"/>
    <w:rsid w:val="00E0461C"/>
    <w:rsid w:val="00E04952"/>
    <w:rsid w:val="00E04C11"/>
    <w:rsid w:val="00E04E53"/>
    <w:rsid w:val="00E05491"/>
    <w:rsid w:val="00E054DA"/>
    <w:rsid w:val="00E067B5"/>
    <w:rsid w:val="00E068C3"/>
    <w:rsid w:val="00E06C8B"/>
    <w:rsid w:val="00E06D4A"/>
    <w:rsid w:val="00E072DC"/>
    <w:rsid w:val="00E07661"/>
    <w:rsid w:val="00E078C6"/>
    <w:rsid w:val="00E07962"/>
    <w:rsid w:val="00E07AEA"/>
    <w:rsid w:val="00E100B1"/>
    <w:rsid w:val="00E10907"/>
    <w:rsid w:val="00E10AD2"/>
    <w:rsid w:val="00E10C85"/>
    <w:rsid w:val="00E10D51"/>
    <w:rsid w:val="00E10D66"/>
    <w:rsid w:val="00E10F7E"/>
    <w:rsid w:val="00E115E5"/>
    <w:rsid w:val="00E11816"/>
    <w:rsid w:val="00E11DF7"/>
    <w:rsid w:val="00E12326"/>
    <w:rsid w:val="00E12EE0"/>
    <w:rsid w:val="00E13053"/>
    <w:rsid w:val="00E13454"/>
    <w:rsid w:val="00E144F5"/>
    <w:rsid w:val="00E14D2D"/>
    <w:rsid w:val="00E14E16"/>
    <w:rsid w:val="00E15164"/>
    <w:rsid w:val="00E15BB9"/>
    <w:rsid w:val="00E15C32"/>
    <w:rsid w:val="00E15CCC"/>
    <w:rsid w:val="00E15CD6"/>
    <w:rsid w:val="00E16351"/>
    <w:rsid w:val="00E1637D"/>
    <w:rsid w:val="00E16BBA"/>
    <w:rsid w:val="00E176AD"/>
    <w:rsid w:val="00E20228"/>
    <w:rsid w:val="00E208E3"/>
    <w:rsid w:val="00E209C2"/>
    <w:rsid w:val="00E20B9B"/>
    <w:rsid w:val="00E20F3D"/>
    <w:rsid w:val="00E21030"/>
    <w:rsid w:val="00E210AB"/>
    <w:rsid w:val="00E210B7"/>
    <w:rsid w:val="00E213A8"/>
    <w:rsid w:val="00E223A5"/>
    <w:rsid w:val="00E225D3"/>
    <w:rsid w:val="00E2296B"/>
    <w:rsid w:val="00E229DD"/>
    <w:rsid w:val="00E22D3F"/>
    <w:rsid w:val="00E22E14"/>
    <w:rsid w:val="00E22E9E"/>
    <w:rsid w:val="00E23C48"/>
    <w:rsid w:val="00E24822"/>
    <w:rsid w:val="00E24DC2"/>
    <w:rsid w:val="00E24DE0"/>
    <w:rsid w:val="00E2501C"/>
    <w:rsid w:val="00E252CD"/>
    <w:rsid w:val="00E25557"/>
    <w:rsid w:val="00E26182"/>
    <w:rsid w:val="00E26725"/>
    <w:rsid w:val="00E26972"/>
    <w:rsid w:val="00E27963"/>
    <w:rsid w:val="00E27ABA"/>
    <w:rsid w:val="00E27CA9"/>
    <w:rsid w:val="00E303E6"/>
    <w:rsid w:val="00E3069F"/>
    <w:rsid w:val="00E30705"/>
    <w:rsid w:val="00E30AA8"/>
    <w:rsid w:val="00E30BDB"/>
    <w:rsid w:val="00E31231"/>
    <w:rsid w:val="00E313D8"/>
    <w:rsid w:val="00E314A7"/>
    <w:rsid w:val="00E3184E"/>
    <w:rsid w:val="00E31866"/>
    <w:rsid w:val="00E3199A"/>
    <w:rsid w:val="00E31C81"/>
    <w:rsid w:val="00E31E25"/>
    <w:rsid w:val="00E32DB9"/>
    <w:rsid w:val="00E33029"/>
    <w:rsid w:val="00E331B5"/>
    <w:rsid w:val="00E339B6"/>
    <w:rsid w:val="00E33CDA"/>
    <w:rsid w:val="00E33F0E"/>
    <w:rsid w:val="00E345B1"/>
    <w:rsid w:val="00E34675"/>
    <w:rsid w:val="00E34942"/>
    <w:rsid w:val="00E34AA4"/>
    <w:rsid w:val="00E34AC8"/>
    <w:rsid w:val="00E34CD5"/>
    <w:rsid w:val="00E34D1D"/>
    <w:rsid w:val="00E35112"/>
    <w:rsid w:val="00E3516B"/>
    <w:rsid w:val="00E354F6"/>
    <w:rsid w:val="00E35DE1"/>
    <w:rsid w:val="00E35DE2"/>
    <w:rsid w:val="00E35E2C"/>
    <w:rsid w:val="00E36441"/>
    <w:rsid w:val="00E3753C"/>
    <w:rsid w:val="00E37582"/>
    <w:rsid w:val="00E37659"/>
    <w:rsid w:val="00E3768E"/>
    <w:rsid w:val="00E37FEA"/>
    <w:rsid w:val="00E40307"/>
    <w:rsid w:val="00E40E18"/>
    <w:rsid w:val="00E4136F"/>
    <w:rsid w:val="00E414DF"/>
    <w:rsid w:val="00E41BC6"/>
    <w:rsid w:val="00E41DC1"/>
    <w:rsid w:val="00E420C4"/>
    <w:rsid w:val="00E42240"/>
    <w:rsid w:val="00E426B6"/>
    <w:rsid w:val="00E42B12"/>
    <w:rsid w:val="00E42B56"/>
    <w:rsid w:val="00E43880"/>
    <w:rsid w:val="00E43C1B"/>
    <w:rsid w:val="00E44805"/>
    <w:rsid w:val="00E44A09"/>
    <w:rsid w:val="00E44CE8"/>
    <w:rsid w:val="00E44DAF"/>
    <w:rsid w:val="00E44EFC"/>
    <w:rsid w:val="00E44FB9"/>
    <w:rsid w:val="00E450F7"/>
    <w:rsid w:val="00E456CE"/>
    <w:rsid w:val="00E45CE9"/>
    <w:rsid w:val="00E45E3C"/>
    <w:rsid w:val="00E460FC"/>
    <w:rsid w:val="00E46159"/>
    <w:rsid w:val="00E46333"/>
    <w:rsid w:val="00E46B16"/>
    <w:rsid w:val="00E46C68"/>
    <w:rsid w:val="00E47793"/>
    <w:rsid w:val="00E47BB3"/>
    <w:rsid w:val="00E47C5F"/>
    <w:rsid w:val="00E47C83"/>
    <w:rsid w:val="00E47FB6"/>
    <w:rsid w:val="00E502C5"/>
    <w:rsid w:val="00E5038A"/>
    <w:rsid w:val="00E506E5"/>
    <w:rsid w:val="00E50E5E"/>
    <w:rsid w:val="00E50FA1"/>
    <w:rsid w:val="00E51750"/>
    <w:rsid w:val="00E51766"/>
    <w:rsid w:val="00E51772"/>
    <w:rsid w:val="00E517FE"/>
    <w:rsid w:val="00E518F3"/>
    <w:rsid w:val="00E51EC1"/>
    <w:rsid w:val="00E52234"/>
    <w:rsid w:val="00E52CAC"/>
    <w:rsid w:val="00E53009"/>
    <w:rsid w:val="00E53441"/>
    <w:rsid w:val="00E5353D"/>
    <w:rsid w:val="00E53765"/>
    <w:rsid w:val="00E53832"/>
    <w:rsid w:val="00E54AF3"/>
    <w:rsid w:val="00E54D82"/>
    <w:rsid w:val="00E5548C"/>
    <w:rsid w:val="00E56520"/>
    <w:rsid w:val="00E56A7D"/>
    <w:rsid w:val="00E56CCA"/>
    <w:rsid w:val="00E56CF1"/>
    <w:rsid w:val="00E57644"/>
    <w:rsid w:val="00E57681"/>
    <w:rsid w:val="00E57C43"/>
    <w:rsid w:val="00E60B57"/>
    <w:rsid w:val="00E61037"/>
    <w:rsid w:val="00E6123B"/>
    <w:rsid w:val="00E6154F"/>
    <w:rsid w:val="00E616D7"/>
    <w:rsid w:val="00E6179A"/>
    <w:rsid w:val="00E617EE"/>
    <w:rsid w:val="00E61D83"/>
    <w:rsid w:val="00E627FC"/>
    <w:rsid w:val="00E62931"/>
    <w:rsid w:val="00E62E6B"/>
    <w:rsid w:val="00E635C7"/>
    <w:rsid w:val="00E6362B"/>
    <w:rsid w:val="00E63917"/>
    <w:rsid w:val="00E64F5B"/>
    <w:rsid w:val="00E650C5"/>
    <w:rsid w:val="00E6522F"/>
    <w:rsid w:val="00E65258"/>
    <w:rsid w:val="00E65524"/>
    <w:rsid w:val="00E65BE9"/>
    <w:rsid w:val="00E668C2"/>
    <w:rsid w:val="00E66A5A"/>
    <w:rsid w:val="00E670D1"/>
    <w:rsid w:val="00E677D3"/>
    <w:rsid w:val="00E67848"/>
    <w:rsid w:val="00E67EB8"/>
    <w:rsid w:val="00E70068"/>
    <w:rsid w:val="00E7028E"/>
    <w:rsid w:val="00E702F4"/>
    <w:rsid w:val="00E70413"/>
    <w:rsid w:val="00E70AD5"/>
    <w:rsid w:val="00E70AEB"/>
    <w:rsid w:val="00E70BC2"/>
    <w:rsid w:val="00E70E1D"/>
    <w:rsid w:val="00E716A0"/>
    <w:rsid w:val="00E71DC8"/>
    <w:rsid w:val="00E71E52"/>
    <w:rsid w:val="00E71E9C"/>
    <w:rsid w:val="00E72ABB"/>
    <w:rsid w:val="00E72E13"/>
    <w:rsid w:val="00E72ECF"/>
    <w:rsid w:val="00E7354E"/>
    <w:rsid w:val="00E73AD5"/>
    <w:rsid w:val="00E73B0C"/>
    <w:rsid w:val="00E73B65"/>
    <w:rsid w:val="00E740F4"/>
    <w:rsid w:val="00E74D85"/>
    <w:rsid w:val="00E75BC5"/>
    <w:rsid w:val="00E75F5C"/>
    <w:rsid w:val="00E763D2"/>
    <w:rsid w:val="00E76EFA"/>
    <w:rsid w:val="00E7755E"/>
    <w:rsid w:val="00E779DD"/>
    <w:rsid w:val="00E80775"/>
    <w:rsid w:val="00E80ED5"/>
    <w:rsid w:val="00E81A23"/>
    <w:rsid w:val="00E81ACF"/>
    <w:rsid w:val="00E823D7"/>
    <w:rsid w:val="00E8277D"/>
    <w:rsid w:val="00E82C62"/>
    <w:rsid w:val="00E82CFF"/>
    <w:rsid w:val="00E8312B"/>
    <w:rsid w:val="00E8369B"/>
    <w:rsid w:val="00E842E3"/>
    <w:rsid w:val="00E842FD"/>
    <w:rsid w:val="00E843F1"/>
    <w:rsid w:val="00E8440D"/>
    <w:rsid w:val="00E846E4"/>
    <w:rsid w:val="00E84FE0"/>
    <w:rsid w:val="00E84FFC"/>
    <w:rsid w:val="00E8508B"/>
    <w:rsid w:val="00E852CD"/>
    <w:rsid w:val="00E85896"/>
    <w:rsid w:val="00E85F70"/>
    <w:rsid w:val="00E8607C"/>
    <w:rsid w:val="00E864A5"/>
    <w:rsid w:val="00E868B5"/>
    <w:rsid w:val="00E86A48"/>
    <w:rsid w:val="00E86BD5"/>
    <w:rsid w:val="00E86CBB"/>
    <w:rsid w:val="00E8761D"/>
    <w:rsid w:val="00E8797E"/>
    <w:rsid w:val="00E90087"/>
    <w:rsid w:val="00E903AD"/>
    <w:rsid w:val="00E905BE"/>
    <w:rsid w:val="00E90702"/>
    <w:rsid w:val="00E9127A"/>
    <w:rsid w:val="00E91677"/>
    <w:rsid w:val="00E91EDB"/>
    <w:rsid w:val="00E920FD"/>
    <w:rsid w:val="00E9296C"/>
    <w:rsid w:val="00E93312"/>
    <w:rsid w:val="00E93609"/>
    <w:rsid w:val="00E936F5"/>
    <w:rsid w:val="00E93AE4"/>
    <w:rsid w:val="00E93F30"/>
    <w:rsid w:val="00E93F75"/>
    <w:rsid w:val="00E94646"/>
    <w:rsid w:val="00E94A89"/>
    <w:rsid w:val="00E94FD9"/>
    <w:rsid w:val="00E9515A"/>
    <w:rsid w:val="00E953D9"/>
    <w:rsid w:val="00E95C71"/>
    <w:rsid w:val="00E95FA0"/>
    <w:rsid w:val="00E96494"/>
    <w:rsid w:val="00E96973"/>
    <w:rsid w:val="00E9697B"/>
    <w:rsid w:val="00E9698F"/>
    <w:rsid w:val="00E96AAC"/>
    <w:rsid w:val="00E96C03"/>
    <w:rsid w:val="00E96C86"/>
    <w:rsid w:val="00E97372"/>
    <w:rsid w:val="00E979B9"/>
    <w:rsid w:val="00E97BB1"/>
    <w:rsid w:val="00E97CCC"/>
    <w:rsid w:val="00E97D06"/>
    <w:rsid w:val="00E97DC3"/>
    <w:rsid w:val="00EA120C"/>
    <w:rsid w:val="00EA13E9"/>
    <w:rsid w:val="00EA1457"/>
    <w:rsid w:val="00EA1DD4"/>
    <w:rsid w:val="00EA24C6"/>
    <w:rsid w:val="00EA25EB"/>
    <w:rsid w:val="00EA268F"/>
    <w:rsid w:val="00EA2A98"/>
    <w:rsid w:val="00EA2DC1"/>
    <w:rsid w:val="00EA307F"/>
    <w:rsid w:val="00EA390C"/>
    <w:rsid w:val="00EA3A98"/>
    <w:rsid w:val="00EA3EC0"/>
    <w:rsid w:val="00EA4182"/>
    <w:rsid w:val="00EA428B"/>
    <w:rsid w:val="00EA4539"/>
    <w:rsid w:val="00EA4756"/>
    <w:rsid w:val="00EA481B"/>
    <w:rsid w:val="00EA4A26"/>
    <w:rsid w:val="00EA4D7A"/>
    <w:rsid w:val="00EA568E"/>
    <w:rsid w:val="00EA5A62"/>
    <w:rsid w:val="00EA5E10"/>
    <w:rsid w:val="00EA6470"/>
    <w:rsid w:val="00EA6878"/>
    <w:rsid w:val="00EA6F45"/>
    <w:rsid w:val="00EA72A0"/>
    <w:rsid w:val="00EA7374"/>
    <w:rsid w:val="00EA753F"/>
    <w:rsid w:val="00EA7B8B"/>
    <w:rsid w:val="00EA7DB1"/>
    <w:rsid w:val="00EA7EC1"/>
    <w:rsid w:val="00EB002F"/>
    <w:rsid w:val="00EB0743"/>
    <w:rsid w:val="00EB0A14"/>
    <w:rsid w:val="00EB0EE7"/>
    <w:rsid w:val="00EB1204"/>
    <w:rsid w:val="00EB2206"/>
    <w:rsid w:val="00EB2425"/>
    <w:rsid w:val="00EB245E"/>
    <w:rsid w:val="00EB267E"/>
    <w:rsid w:val="00EB3447"/>
    <w:rsid w:val="00EB35C8"/>
    <w:rsid w:val="00EB384F"/>
    <w:rsid w:val="00EB40C1"/>
    <w:rsid w:val="00EB429F"/>
    <w:rsid w:val="00EB45A2"/>
    <w:rsid w:val="00EB477C"/>
    <w:rsid w:val="00EB4818"/>
    <w:rsid w:val="00EB49BC"/>
    <w:rsid w:val="00EB4C0D"/>
    <w:rsid w:val="00EB4F3E"/>
    <w:rsid w:val="00EB5372"/>
    <w:rsid w:val="00EB5AF7"/>
    <w:rsid w:val="00EB646D"/>
    <w:rsid w:val="00EB6821"/>
    <w:rsid w:val="00EB68DC"/>
    <w:rsid w:val="00EB6E2D"/>
    <w:rsid w:val="00EB6F37"/>
    <w:rsid w:val="00EB7149"/>
    <w:rsid w:val="00EB7C5B"/>
    <w:rsid w:val="00EB7E2B"/>
    <w:rsid w:val="00EC010E"/>
    <w:rsid w:val="00EC0885"/>
    <w:rsid w:val="00EC09F7"/>
    <w:rsid w:val="00EC0A30"/>
    <w:rsid w:val="00EC0B7A"/>
    <w:rsid w:val="00EC0DF0"/>
    <w:rsid w:val="00EC12A5"/>
    <w:rsid w:val="00EC1511"/>
    <w:rsid w:val="00EC15A2"/>
    <w:rsid w:val="00EC290C"/>
    <w:rsid w:val="00EC30EA"/>
    <w:rsid w:val="00EC323E"/>
    <w:rsid w:val="00EC3281"/>
    <w:rsid w:val="00EC33F4"/>
    <w:rsid w:val="00EC3B6E"/>
    <w:rsid w:val="00EC40E3"/>
    <w:rsid w:val="00EC411F"/>
    <w:rsid w:val="00EC475C"/>
    <w:rsid w:val="00EC49B5"/>
    <w:rsid w:val="00EC4F02"/>
    <w:rsid w:val="00EC4F26"/>
    <w:rsid w:val="00EC540D"/>
    <w:rsid w:val="00EC5414"/>
    <w:rsid w:val="00EC5715"/>
    <w:rsid w:val="00EC5764"/>
    <w:rsid w:val="00EC5C63"/>
    <w:rsid w:val="00EC6150"/>
    <w:rsid w:val="00EC6204"/>
    <w:rsid w:val="00EC6474"/>
    <w:rsid w:val="00EC7296"/>
    <w:rsid w:val="00EC7F49"/>
    <w:rsid w:val="00ED0A91"/>
    <w:rsid w:val="00ED0E2D"/>
    <w:rsid w:val="00ED1EB8"/>
    <w:rsid w:val="00ED2457"/>
    <w:rsid w:val="00ED2724"/>
    <w:rsid w:val="00ED2811"/>
    <w:rsid w:val="00ED2B0C"/>
    <w:rsid w:val="00ED2CA9"/>
    <w:rsid w:val="00ED2E4B"/>
    <w:rsid w:val="00ED2F30"/>
    <w:rsid w:val="00ED2FE9"/>
    <w:rsid w:val="00ED3190"/>
    <w:rsid w:val="00ED3D07"/>
    <w:rsid w:val="00ED41B6"/>
    <w:rsid w:val="00ED46CF"/>
    <w:rsid w:val="00ED4734"/>
    <w:rsid w:val="00ED48EE"/>
    <w:rsid w:val="00ED4C50"/>
    <w:rsid w:val="00ED4F46"/>
    <w:rsid w:val="00ED4F56"/>
    <w:rsid w:val="00ED501B"/>
    <w:rsid w:val="00ED5A52"/>
    <w:rsid w:val="00ED5B08"/>
    <w:rsid w:val="00ED6AE9"/>
    <w:rsid w:val="00ED6D34"/>
    <w:rsid w:val="00ED6DD0"/>
    <w:rsid w:val="00ED70EF"/>
    <w:rsid w:val="00ED72CA"/>
    <w:rsid w:val="00ED79F0"/>
    <w:rsid w:val="00ED7D7D"/>
    <w:rsid w:val="00EE0297"/>
    <w:rsid w:val="00EE0E92"/>
    <w:rsid w:val="00EE0FED"/>
    <w:rsid w:val="00EE21FD"/>
    <w:rsid w:val="00EE297A"/>
    <w:rsid w:val="00EE2B65"/>
    <w:rsid w:val="00EE2CC1"/>
    <w:rsid w:val="00EE2F88"/>
    <w:rsid w:val="00EE3374"/>
    <w:rsid w:val="00EE383D"/>
    <w:rsid w:val="00EE3D0A"/>
    <w:rsid w:val="00EE4188"/>
    <w:rsid w:val="00EE419E"/>
    <w:rsid w:val="00EE4743"/>
    <w:rsid w:val="00EE4BC1"/>
    <w:rsid w:val="00EE56DD"/>
    <w:rsid w:val="00EE5706"/>
    <w:rsid w:val="00EE5717"/>
    <w:rsid w:val="00EE5D42"/>
    <w:rsid w:val="00EE5DC8"/>
    <w:rsid w:val="00EE5FA7"/>
    <w:rsid w:val="00EE6401"/>
    <w:rsid w:val="00EE6852"/>
    <w:rsid w:val="00EE6F0F"/>
    <w:rsid w:val="00EE76B9"/>
    <w:rsid w:val="00EE772D"/>
    <w:rsid w:val="00EF007F"/>
    <w:rsid w:val="00EF0142"/>
    <w:rsid w:val="00EF015D"/>
    <w:rsid w:val="00EF030C"/>
    <w:rsid w:val="00EF0D5C"/>
    <w:rsid w:val="00EF127C"/>
    <w:rsid w:val="00EF14FB"/>
    <w:rsid w:val="00EF1BDD"/>
    <w:rsid w:val="00EF1D64"/>
    <w:rsid w:val="00EF20EF"/>
    <w:rsid w:val="00EF20F3"/>
    <w:rsid w:val="00EF2AA5"/>
    <w:rsid w:val="00EF2D91"/>
    <w:rsid w:val="00EF2F79"/>
    <w:rsid w:val="00EF333D"/>
    <w:rsid w:val="00EF4226"/>
    <w:rsid w:val="00EF42C2"/>
    <w:rsid w:val="00EF50BD"/>
    <w:rsid w:val="00EF533A"/>
    <w:rsid w:val="00EF5481"/>
    <w:rsid w:val="00EF5FAE"/>
    <w:rsid w:val="00EF6063"/>
    <w:rsid w:val="00EF6097"/>
    <w:rsid w:val="00EF6364"/>
    <w:rsid w:val="00EF656B"/>
    <w:rsid w:val="00EF67D9"/>
    <w:rsid w:val="00EF6A72"/>
    <w:rsid w:val="00EF6B92"/>
    <w:rsid w:val="00EF6E0E"/>
    <w:rsid w:val="00EF74BD"/>
    <w:rsid w:val="00EF7563"/>
    <w:rsid w:val="00EF7CB8"/>
    <w:rsid w:val="00EF7D66"/>
    <w:rsid w:val="00EF7F0E"/>
    <w:rsid w:val="00F00294"/>
    <w:rsid w:val="00F003E6"/>
    <w:rsid w:val="00F004AE"/>
    <w:rsid w:val="00F00719"/>
    <w:rsid w:val="00F008F1"/>
    <w:rsid w:val="00F00B44"/>
    <w:rsid w:val="00F00B59"/>
    <w:rsid w:val="00F00BB1"/>
    <w:rsid w:val="00F00C8B"/>
    <w:rsid w:val="00F00CFB"/>
    <w:rsid w:val="00F01230"/>
    <w:rsid w:val="00F01498"/>
    <w:rsid w:val="00F01639"/>
    <w:rsid w:val="00F017CC"/>
    <w:rsid w:val="00F01A15"/>
    <w:rsid w:val="00F01E19"/>
    <w:rsid w:val="00F02477"/>
    <w:rsid w:val="00F0270D"/>
    <w:rsid w:val="00F02AB7"/>
    <w:rsid w:val="00F02EA1"/>
    <w:rsid w:val="00F03A12"/>
    <w:rsid w:val="00F03C80"/>
    <w:rsid w:val="00F03CAB"/>
    <w:rsid w:val="00F03EB8"/>
    <w:rsid w:val="00F03F37"/>
    <w:rsid w:val="00F043A3"/>
    <w:rsid w:val="00F04715"/>
    <w:rsid w:val="00F04A27"/>
    <w:rsid w:val="00F04C74"/>
    <w:rsid w:val="00F04CE4"/>
    <w:rsid w:val="00F04E43"/>
    <w:rsid w:val="00F05850"/>
    <w:rsid w:val="00F05A68"/>
    <w:rsid w:val="00F05BA5"/>
    <w:rsid w:val="00F05C22"/>
    <w:rsid w:val="00F05F38"/>
    <w:rsid w:val="00F06999"/>
    <w:rsid w:val="00F06BC1"/>
    <w:rsid w:val="00F07062"/>
    <w:rsid w:val="00F07602"/>
    <w:rsid w:val="00F07616"/>
    <w:rsid w:val="00F0761B"/>
    <w:rsid w:val="00F0763E"/>
    <w:rsid w:val="00F0778E"/>
    <w:rsid w:val="00F07815"/>
    <w:rsid w:val="00F07CF5"/>
    <w:rsid w:val="00F100B1"/>
    <w:rsid w:val="00F1015C"/>
    <w:rsid w:val="00F101FC"/>
    <w:rsid w:val="00F106BE"/>
    <w:rsid w:val="00F107DE"/>
    <w:rsid w:val="00F10991"/>
    <w:rsid w:val="00F109C3"/>
    <w:rsid w:val="00F10BB0"/>
    <w:rsid w:val="00F10C90"/>
    <w:rsid w:val="00F10F6C"/>
    <w:rsid w:val="00F110C2"/>
    <w:rsid w:val="00F11175"/>
    <w:rsid w:val="00F112C2"/>
    <w:rsid w:val="00F1146E"/>
    <w:rsid w:val="00F115AB"/>
    <w:rsid w:val="00F116F4"/>
    <w:rsid w:val="00F1182B"/>
    <w:rsid w:val="00F11862"/>
    <w:rsid w:val="00F11AAD"/>
    <w:rsid w:val="00F11B0B"/>
    <w:rsid w:val="00F11E20"/>
    <w:rsid w:val="00F12421"/>
    <w:rsid w:val="00F1282F"/>
    <w:rsid w:val="00F12C56"/>
    <w:rsid w:val="00F1301E"/>
    <w:rsid w:val="00F137B4"/>
    <w:rsid w:val="00F13D51"/>
    <w:rsid w:val="00F14194"/>
    <w:rsid w:val="00F14268"/>
    <w:rsid w:val="00F145CF"/>
    <w:rsid w:val="00F1495A"/>
    <w:rsid w:val="00F149F5"/>
    <w:rsid w:val="00F14CBA"/>
    <w:rsid w:val="00F14E13"/>
    <w:rsid w:val="00F14F1F"/>
    <w:rsid w:val="00F15154"/>
    <w:rsid w:val="00F15364"/>
    <w:rsid w:val="00F16242"/>
    <w:rsid w:val="00F17496"/>
    <w:rsid w:val="00F175C6"/>
    <w:rsid w:val="00F17819"/>
    <w:rsid w:val="00F17AD6"/>
    <w:rsid w:val="00F17C37"/>
    <w:rsid w:val="00F17C55"/>
    <w:rsid w:val="00F2000D"/>
    <w:rsid w:val="00F209F3"/>
    <w:rsid w:val="00F20E7A"/>
    <w:rsid w:val="00F212CB"/>
    <w:rsid w:val="00F214FD"/>
    <w:rsid w:val="00F2172D"/>
    <w:rsid w:val="00F217AF"/>
    <w:rsid w:val="00F23274"/>
    <w:rsid w:val="00F234C6"/>
    <w:rsid w:val="00F238C2"/>
    <w:rsid w:val="00F23F74"/>
    <w:rsid w:val="00F24294"/>
    <w:rsid w:val="00F24642"/>
    <w:rsid w:val="00F24C14"/>
    <w:rsid w:val="00F25002"/>
    <w:rsid w:val="00F25645"/>
    <w:rsid w:val="00F256B1"/>
    <w:rsid w:val="00F25963"/>
    <w:rsid w:val="00F259F8"/>
    <w:rsid w:val="00F261A8"/>
    <w:rsid w:val="00F2665A"/>
    <w:rsid w:val="00F269D5"/>
    <w:rsid w:val="00F26B51"/>
    <w:rsid w:val="00F26BA6"/>
    <w:rsid w:val="00F27621"/>
    <w:rsid w:val="00F27A32"/>
    <w:rsid w:val="00F27C54"/>
    <w:rsid w:val="00F30055"/>
    <w:rsid w:val="00F301BD"/>
    <w:rsid w:val="00F305D1"/>
    <w:rsid w:val="00F30758"/>
    <w:rsid w:val="00F309F1"/>
    <w:rsid w:val="00F30A43"/>
    <w:rsid w:val="00F30CFB"/>
    <w:rsid w:val="00F314E0"/>
    <w:rsid w:val="00F3150D"/>
    <w:rsid w:val="00F31A01"/>
    <w:rsid w:val="00F31AE8"/>
    <w:rsid w:val="00F31C10"/>
    <w:rsid w:val="00F31CF4"/>
    <w:rsid w:val="00F325D9"/>
    <w:rsid w:val="00F32646"/>
    <w:rsid w:val="00F327BA"/>
    <w:rsid w:val="00F32D92"/>
    <w:rsid w:val="00F32E57"/>
    <w:rsid w:val="00F32EDF"/>
    <w:rsid w:val="00F33418"/>
    <w:rsid w:val="00F33DC3"/>
    <w:rsid w:val="00F34027"/>
    <w:rsid w:val="00F342DE"/>
    <w:rsid w:val="00F3438A"/>
    <w:rsid w:val="00F3457E"/>
    <w:rsid w:val="00F35219"/>
    <w:rsid w:val="00F352CD"/>
    <w:rsid w:val="00F352E1"/>
    <w:rsid w:val="00F3535C"/>
    <w:rsid w:val="00F3565B"/>
    <w:rsid w:val="00F3615D"/>
    <w:rsid w:val="00F365E9"/>
    <w:rsid w:val="00F3671C"/>
    <w:rsid w:val="00F36789"/>
    <w:rsid w:val="00F36CC0"/>
    <w:rsid w:val="00F36E0F"/>
    <w:rsid w:val="00F37246"/>
    <w:rsid w:val="00F37DBD"/>
    <w:rsid w:val="00F40258"/>
    <w:rsid w:val="00F40968"/>
    <w:rsid w:val="00F40D4D"/>
    <w:rsid w:val="00F411A0"/>
    <w:rsid w:val="00F411F0"/>
    <w:rsid w:val="00F41217"/>
    <w:rsid w:val="00F41349"/>
    <w:rsid w:val="00F41925"/>
    <w:rsid w:val="00F42AC5"/>
    <w:rsid w:val="00F42B05"/>
    <w:rsid w:val="00F42B6C"/>
    <w:rsid w:val="00F42DD3"/>
    <w:rsid w:val="00F42E7B"/>
    <w:rsid w:val="00F42F2D"/>
    <w:rsid w:val="00F433C7"/>
    <w:rsid w:val="00F43562"/>
    <w:rsid w:val="00F43640"/>
    <w:rsid w:val="00F4371F"/>
    <w:rsid w:val="00F439FB"/>
    <w:rsid w:val="00F43AE8"/>
    <w:rsid w:val="00F43B51"/>
    <w:rsid w:val="00F43E51"/>
    <w:rsid w:val="00F442F5"/>
    <w:rsid w:val="00F4437B"/>
    <w:rsid w:val="00F452D2"/>
    <w:rsid w:val="00F45AEE"/>
    <w:rsid w:val="00F46049"/>
    <w:rsid w:val="00F460AB"/>
    <w:rsid w:val="00F46611"/>
    <w:rsid w:val="00F467D2"/>
    <w:rsid w:val="00F4688B"/>
    <w:rsid w:val="00F46B7D"/>
    <w:rsid w:val="00F4791C"/>
    <w:rsid w:val="00F47A44"/>
    <w:rsid w:val="00F47ABC"/>
    <w:rsid w:val="00F50002"/>
    <w:rsid w:val="00F50206"/>
    <w:rsid w:val="00F503F9"/>
    <w:rsid w:val="00F51942"/>
    <w:rsid w:val="00F519A1"/>
    <w:rsid w:val="00F51E55"/>
    <w:rsid w:val="00F521B1"/>
    <w:rsid w:val="00F522A9"/>
    <w:rsid w:val="00F52303"/>
    <w:rsid w:val="00F523FF"/>
    <w:rsid w:val="00F52451"/>
    <w:rsid w:val="00F5369B"/>
    <w:rsid w:val="00F53DB5"/>
    <w:rsid w:val="00F53F85"/>
    <w:rsid w:val="00F54190"/>
    <w:rsid w:val="00F541BA"/>
    <w:rsid w:val="00F54AEB"/>
    <w:rsid w:val="00F55859"/>
    <w:rsid w:val="00F55C8B"/>
    <w:rsid w:val="00F56190"/>
    <w:rsid w:val="00F564B7"/>
    <w:rsid w:val="00F568DD"/>
    <w:rsid w:val="00F571A4"/>
    <w:rsid w:val="00F571B5"/>
    <w:rsid w:val="00F572D1"/>
    <w:rsid w:val="00F57839"/>
    <w:rsid w:val="00F57AB3"/>
    <w:rsid w:val="00F57DEF"/>
    <w:rsid w:val="00F60324"/>
    <w:rsid w:val="00F60326"/>
    <w:rsid w:val="00F60823"/>
    <w:rsid w:val="00F6084D"/>
    <w:rsid w:val="00F609EC"/>
    <w:rsid w:val="00F60A61"/>
    <w:rsid w:val="00F60B8F"/>
    <w:rsid w:val="00F60CBF"/>
    <w:rsid w:val="00F61236"/>
    <w:rsid w:val="00F6168F"/>
    <w:rsid w:val="00F61875"/>
    <w:rsid w:val="00F618DE"/>
    <w:rsid w:val="00F61CF7"/>
    <w:rsid w:val="00F625EB"/>
    <w:rsid w:val="00F62EEB"/>
    <w:rsid w:val="00F62FC5"/>
    <w:rsid w:val="00F639C7"/>
    <w:rsid w:val="00F63B2F"/>
    <w:rsid w:val="00F63CEA"/>
    <w:rsid w:val="00F63DC6"/>
    <w:rsid w:val="00F63FB0"/>
    <w:rsid w:val="00F64045"/>
    <w:rsid w:val="00F64714"/>
    <w:rsid w:val="00F64A1F"/>
    <w:rsid w:val="00F64F57"/>
    <w:rsid w:val="00F64F92"/>
    <w:rsid w:val="00F650C0"/>
    <w:rsid w:val="00F65143"/>
    <w:rsid w:val="00F652C9"/>
    <w:rsid w:val="00F65711"/>
    <w:rsid w:val="00F65990"/>
    <w:rsid w:val="00F65DBA"/>
    <w:rsid w:val="00F66610"/>
    <w:rsid w:val="00F70715"/>
    <w:rsid w:val="00F70E9D"/>
    <w:rsid w:val="00F7142B"/>
    <w:rsid w:val="00F71463"/>
    <w:rsid w:val="00F715CC"/>
    <w:rsid w:val="00F7180E"/>
    <w:rsid w:val="00F722F2"/>
    <w:rsid w:val="00F72491"/>
    <w:rsid w:val="00F727FD"/>
    <w:rsid w:val="00F72A5D"/>
    <w:rsid w:val="00F72ED4"/>
    <w:rsid w:val="00F73646"/>
    <w:rsid w:val="00F73757"/>
    <w:rsid w:val="00F7381B"/>
    <w:rsid w:val="00F73E9D"/>
    <w:rsid w:val="00F74119"/>
    <w:rsid w:val="00F742C4"/>
    <w:rsid w:val="00F745FB"/>
    <w:rsid w:val="00F74624"/>
    <w:rsid w:val="00F74D3E"/>
    <w:rsid w:val="00F74DBD"/>
    <w:rsid w:val="00F750BB"/>
    <w:rsid w:val="00F75418"/>
    <w:rsid w:val="00F7583E"/>
    <w:rsid w:val="00F7584B"/>
    <w:rsid w:val="00F75D6C"/>
    <w:rsid w:val="00F76169"/>
    <w:rsid w:val="00F76CA6"/>
    <w:rsid w:val="00F76D49"/>
    <w:rsid w:val="00F771EF"/>
    <w:rsid w:val="00F774C2"/>
    <w:rsid w:val="00F778D6"/>
    <w:rsid w:val="00F77DC0"/>
    <w:rsid w:val="00F77EE2"/>
    <w:rsid w:val="00F8024D"/>
    <w:rsid w:val="00F80372"/>
    <w:rsid w:val="00F80547"/>
    <w:rsid w:val="00F8067C"/>
    <w:rsid w:val="00F80B64"/>
    <w:rsid w:val="00F8142E"/>
    <w:rsid w:val="00F814CC"/>
    <w:rsid w:val="00F815F7"/>
    <w:rsid w:val="00F81896"/>
    <w:rsid w:val="00F81AB9"/>
    <w:rsid w:val="00F834DC"/>
    <w:rsid w:val="00F83A37"/>
    <w:rsid w:val="00F83B1A"/>
    <w:rsid w:val="00F84100"/>
    <w:rsid w:val="00F84112"/>
    <w:rsid w:val="00F84489"/>
    <w:rsid w:val="00F85165"/>
    <w:rsid w:val="00F85B87"/>
    <w:rsid w:val="00F85E70"/>
    <w:rsid w:val="00F86666"/>
    <w:rsid w:val="00F86753"/>
    <w:rsid w:val="00F872DF"/>
    <w:rsid w:val="00F8779A"/>
    <w:rsid w:val="00F878F2"/>
    <w:rsid w:val="00F904C1"/>
    <w:rsid w:val="00F9073A"/>
    <w:rsid w:val="00F90B2F"/>
    <w:rsid w:val="00F91616"/>
    <w:rsid w:val="00F91752"/>
    <w:rsid w:val="00F92154"/>
    <w:rsid w:val="00F92965"/>
    <w:rsid w:val="00F92C30"/>
    <w:rsid w:val="00F93839"/>
    <w:rsid w:val="00F93B39"/>
    <w:rsid w:val="00F93E8D"/>
    <w:rsid w:val="00F9417C"/>
    <w:rsid w:val="00F94921"/>
    <w:rsid w:val="00F94AAB"/>
    <w:rsid w:val="00F94BB7"/>
    <w:rsid w:val="00F94BE4"/>
    <w:rsid w:val="00F95065"/>
    <w:rsid w:val="00F952A6"/>
    <w:rsid w:val="00F9572C"/>
    <w:rsid w:val="00F95D8B"/>
    <w:rsid w:val="00F95F1C"/>
    <w:rsid w:val="00F95FCE"/>
    <w:rsid w:val="00F9698F"/>
    <w:rsid w:val="00F96BDC"/>
    <w:rsid w:val="00FA02BE"/>
    <w:rsid w:val="00FA06C2"/>
    <w:rsid w:val="00FA0DDB"/>
    <w:rsid w:val="00FA0E69"/>
    <w:rsid w:val="00FA12B9"/>
    <w:rsid w:val="00FA1CC6"/>
    <w:rsid w:val="00FA1F2C"/>
    <w:rsid w:val="00FA2021"/>
    <w:rsid w:val="00FA2BD7"/>
    <w:rsid w:val="00FA2BE1"/>
    <w:rsid w:val="00FA2F45"/>
    <w:rsid w:val="00FA316E"/>
    <w:rsid w:val="00FA368A"/>
    <w:rsid w:val="00FA3AF5"/>
    <w:rsid w:val="00FA3DC5"/>
    <w:rsid w:val="00FA450B"/>
    <w:rsid w:val="00FA46D5"/>
    <w:rsid w:val="00FA47C2"/>
    <w:rsid w:val="00FA4874"/>
    <w:rsid w:val="00FA4C14"/>
    <w:rsid w:val="00FA4C1A"/>
    <w:rsid w:val="00FA4F6B"/>
    <w:rsid w:val="00FA60B6"/>
    <w:rsid w:val="00FA6280"/>
    <w:rsid w:val="00FA63C5"/>
    <w:rsid w:val="00FA6966"/>
    <w:rsid w:val="00FA6B56"/>
    <w:rsid w:val="00FA6FE4"/>
    <w:rsid w:val="00FA70E2"/>
    <w:rsid w:val="00FA7745"/>
    <w:rsid w:val="00FA7C84"/>
    <w:rsid w:val="00FB0995"/>
    <w:rsid w:val="00FB0EBE"/>
    <w:rsid w:val="00FB2713"/>
    <w:rsid w:val="00FB3585"/>
    <w:rsid w:val="00FB35CD"/>
    <w:rsid w:val="00FB3723"/>
    <w:rsid w:val="00FB3E31"/>
    <w:rsid w:val="00FB40C8"/>
    <w:rsid w:val="00FB484F"/>
    <w:rsid w:val="00FB4C80"/>
    <w:rsid w:val="00FB4EAB"/>
    <w:rsid w:val="00FB4F12"/>
    <w:rsid w:val="00FB5974"/>
    <w:rsid w:val="00FB5FA0"/>
    <w:rsid w:val="00FB65E7"/>
    <w:rsid w:val="00FB6898"/>
    <w:rsid w:val="00FB7676"/>
    <w:rsid w:val="00FB7996"/>
    <w:rsid w:val="00FB79AB"/>
    <w:rsid w:val="00FB7B84"/>
    <w:rsid w:val="00FB7FD7"/>
    <w:rsid w:val="00FC0700"/>
    <w:rsid w:val="00FC0E84"/>
    <w:rsid w:val="00FC11AF"/>
    <w:rsid w:val="00FC1B34"/>
    <w:rsid w:val="00FC1CFD"/>
    <w:rsid w:val="00FC26C2"/>
    <w:rsid w:val="00FC273B"/>
    <w:rsid w:val="00FC286E"/>
    <w:rsid w:val="00FC2C47"/>
    <w:rsid w:val="00FC2CF0"/>
    <w:rsid w:val="00FC2DF0"/>
    <w:rsid w:val="00FC301C"/>
    <w:rsid w:val="00FC3699"/>
    <w:rsid w:val="00FC39C0"/>
    <w:rsid w:val="00FC3B8C"/>
    <w:rsid w:val="00FC3E13"/>
    <w:rsid w:val="00FC3EC8"/>
    <w:rsid w:val="00FC4530"/>
    <w:rsid w:val="00FC48F0"/>
    <w:rsid w:val="00FC4E71"/>
    <w:rsid w:val="00FC51DF"/>
    <w:rsid w:val="00FC548F"/>
    <w:rsid w:val="00FC556A"/>
    <w:rsid w:val="00FC572F"/>
    <w:rsid w:val="00FC584A"/>
    <w:rsid w:val="00FC59EE"/>
    <w:rsid w:val="00FC5BF0"/>
    <w:rsid w:val="00FC5E8E"/>
    <w:rsid w:val="00FC61B3"/>
    <w:rsid w:val="00FC70E9"/>
    <w:rsid w:val="00FC7695"/>
    <w:rsid w:val="00FC7C5D"/>
    <w:rsid w:val="00FC7D2D"/>
    <w:rsid w:val="00FD0231"/>
    <w:rsid w:val="00FD06A7"/>
    <w:rsid w:val="00FD06F7"/>
    <w:rsid w:val="00FD0D27"/>
    <w:rsid w:val="00FD160C"/>
    <w:rsid w:val="00FD1B04"/>
    <w:rsid w:val="00FD1D79"/>
    <w:rsid w:val="00FD2163"/>
    <w:rsid w:val="00FD254E"/>
    <w:rsid w:val="00FD2622"/>
    <w:rsid w:val="00FD33D6"/>
    <w:rsid w:val="00FD3744"/>
    <w:rsid w:val="00FD38CE"/>
    <w:rsid w:val="00FD3919"/>
    <w:rsid w:val="00FD3F4C"/>
    <w:rsid w:val="00FD407F"/>
    <w:rsid w:val="00FD43F4"/>
    <w:rsid w:val="00FD4679"/>
    <w:rsid w:val="00FD49D4"/>
    <w:rsid w:val="00FD4D14"/>
    <w:rsid w:val="00FD4D29"/>
    <w:rsid w:val="00FD55E7"/>
    <w:rsid w:val="00FD5CB7"/>
    <w:rsid w:val="00FD6112"/>
    <w:rsid w:val="00FD654D"/>
    <w:rsid w:val="00FD6FAF"/>
    <w:rsid w:val="00FD737A"/>
    <w:rsid w:val="00FD7483"/>
    <w:rsid w:val="00FD788B"/>
    <w:rsid w:val="00FD7914"/>
    <w:rsid w:val="00FE018D"/>
    <w:rsid w:val="00FE056E"/>
    <w:rsid w:val="00FE0757"/>
    <w:rsid w:val="00FE0D31"/>
    <w:rsid w:val="00FE0F20"/>
    <w:rsid w:val="00FE1148"/>
    <w:rsid w:val="00FE187D"/>
    <w:rsid w:val="00FE19A9"/>
    <w:rsid w:val="00FE1A50"/>
    <w:rsid w:val="00FE20DF"/>
    <w:rsid w:val="00FE2739"/>
    <w:rsid w:val="00FE2ADF"/>
    <w:rsid w:val="00FE37E3"/>
    <w:rsid w:val="00FE38B4"/>
    <w:rsid w:val="00FE38DA"/>
    <w:rsid w:val="00FE3B62"/>
    <w:rsid w:val="00FE3E6A"/>
    <w:rsid w:val="00FE45F0"/>
    <w:rsid w:val="00FE4667"/>
    <w:rsid w:val="00FE4691"/>
    <w:rsid w:val="00FE49A5"/>
    <w:rsid w:val="00FE4AAC"/>
    <w:rsid w:val="00FE4FD7"/>
    <w:rsid w:val="00FE5287"/>
    <w:rsid w:val="00FE53D9"/>
    <w:rsid w:val="00FE5423"/>
    <w:rsid w:val="00FE55D4"/>
    <w:rsid w:val="00FE5844"/>
    <w:rsid w:val="00FE58BB"/>
    <w:rsid w:val="00FE5B15"/>
    <w:rsid w:val="00FE5C7A"/>
    <w:rsid w:val="00FE5FD1"/>
    <w:rsid w:val="00FE632F"/>
    <w:rsid w:val="00FE673F"/>
    <w:rsid w:val="00FE6CCE"/>
    <w:rsid w:val="00FE6F30"/>
    <w:rsid w:val="00FE70C0"/>
    <w:rsid w:val="00FE7139"/>
    <w:rsid w:val="00FE7154"/>
    <w:rsid w:val="00FE722B"/>
    <w:rsid w:val="00FE78AB"/>
    <w:rsid w:val="00FF0455"/>
    <w:rsid w:val="00FF0969"/>
    <w:rsid w:val="00FF0A68"/>
    <w:rsid w:val="00FF0B33"/>
    <w:rsid w:val="00FF13CE"/>
    <w:rsid w:val="00FF197F"/>
    <w:rsid w:val="00FF1AEA"/>
    <w:rsid w:val="00FF1B38"/>
    <w:rsid w:val="00FF1B5B"/>
    <w:rsid w:val="00FF1B98"/>
    <w:rsid w:val="00FF1C00"/>
    <w:rsid w:val="00FF1D3A"/>
    <w:rsid w:val="00FF1F90"/>
    <w:rsid w:val="00FF258E"/>
    <w:rsid w:val="00FF2D29"/>
    <w:rsid w:val="00FF2F77"/>
    <w:rsid w:val="00FF31CC"/>
    <w:rsid w:val="00FF323C"/>
    <w:rsid w:val="00FF365C"/>
    <w:rsid w:val="00FF3A65"/>
    <w:rsid w:val="00FF44FA"/>
    <w:rsid w:val="00FF4946"/>
    <w:rsid w:val="00FF499D"/>
    <w:rsid w:val="00FF4A3A"/>
    <w:rsid w:val="00FF4AC0"/>
    <w:rsid w:val="00FF5767"/>
    <w:rsid w:val="00FF5BDB"/>
    <w:rsid w:val="00FF6851"/>
    <w:rsid w:val="00FF69C5"/>
    <w:rsid w:val="00FF6A6B"/>
    <w:rsid w:val="00FF6CF8"/>
    <w:rsid w:val="00FF6E56"/>
    <w:rsid w:val="00FF7200"/>
    <w:rsid w:val="00FF7330"/>
    <w:rsid w:val="00FF7716"/>
    <w:rsid w:val="00FF78CC"/>
    <w:rsid w:val="00FF791C"/>
    <w:rsid w:val="00FF7B85"/>
    <w:rsid w:val="046CA635"/>
    <w:rsid w:val="04766042"/>
    <w:rsid w:val="0667739C"/>
    <w:rsid w:val="085B7899"/>
    <w:rsid w:val="0CB788C6"/>
    <w:rsid w:val="0D4B20D7"/>
    <w:rsid w:val="14A60EB2"/>
    <w:rsid w:val="1608306D"/>
    <w:rsid w:val="167ACBAA"/>
    <w:rsid w:val="16817FA8"/>
    <w:rsid w:val="19F3FB73"/>
    <w:rsid w:val="238416E9"/>
    <w:rsid w:val="2405DB83"/>
    <w:rsid w:val="24AE8E6E"/>
    <w:rsid w:val="263B438D"/>
    <w:rsid w:val="27141480"/>
    <w:rsid w:val="35F22078"/>
    <w:rsid w:val="36FED709"/>
    <w:rsid w:val="39631317"/>
    <w:rsid w:val="3E07A8EF"/>
    <w:rsid w:val="484EB6DF"/>
    <w:rsid w:val="4E23B89F"/>
    <w:rsid w:val="4EE0FCF3"/>
    <w:rsid w:val="4FF5FF20"/>
    <w:rsid w:val="55BFCEE9"/>
    <w:rsid w:val="61C152A4"/>
    <w:rsid w:val="620C1083"/>
    <w:rsid w:val="62B6C0AB"/>
    <w:rsid w:val="67494D86"/>
    <w:rsid w:val="6794F51A"/>
    <w:rsid w:val="69EA54FD"/>
    <w:rsid w:val="6D24AE72"/>
    <w:rsid w:val="6E1AE64D"/>
    <w:rsid w:val="70748AC6"/>
    <w:rsid w:val="71E2C46E"/>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53C13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2"/>
        <w:szCs w:val="22"/>
        <w:lang w:val="en-AU" w:eastAsia="en-US" w:bidi="ar-SA"/>
      </w:rPr>
    </w:rPrDefault>
    <w:pPrDefault>
      <w:pPr>
        <w:spacing w:after="120"/>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5C05"/>
    <w:pPr>
      <w:jc w:val="both"/>
    </w:pPr>
  </w:style>
  <w:style w:type="paragraph" w:styleId="Heading1">
    <w:name w:val="heading 1"/>
    <w:basedOn w:val="Normal"/>
    <w:next w:val="Normal"/>
    <w:link w:val="Heading1Char"/>
    <w:autoRedefine/>
    <w:uiPriority w:val="99"/>
    <w:qFormat/>
    <w:rsid w:val="00D217FF"/>
    <w:pPr>
      <w:keepNext/>
      <w:numPr>
        <w:numId w:val="53"/>
      </w:numPr>
      <w:spacing w:before="240" w:after="240"/>
      <w:jc w:val="left"/>
      <w:outlineLvl w:val="0"/>
    </w:pPr>
    <w:rPr>
      <w:rFonts w:eastAsia="SimSun"/>
      <w:b/>
      <w:i/>
      <w:color w:val="000000" w:themeColor="text1"/>
      <w:kern w:val="28"/>
      <w:sz w:val="32"/>
      <w:szCs w:val="28"/>
      <w:lang w:eastAsia="en-AU"/>
    </w:rPr>
  </w:style>
  <w:style w:type="paragraph" w:styleId="Heading2">
    <w:name w:val="heading 2"/>
    <w:basedOn w:val="Normal"/>
    <w:next w:val="Normal"/>
    <w:link w:val="Heading2Char1"/>
    <w:autoRedefine/>
    <w:uiPriority w:val="99"/>
    <w:qFormat/>
    <w:rsid w:val="006F1D4F"/>
    <w:pPr>
      <w:keepNext/>
      <w:keepLines/>
      <w:numPr>
        <w:ilvl w:val="1"/>
        <w:numId w:val="53"/>
      </w:numPr>
      <w:spacing w:before="120"/>
      <w:jc w:val="left"/>
      <w:outlineLvl w:val="1"/>
    </w:pPr>
    <w:rPr>
      <w:rFonts w:eastAsiaTheme="majorEastAsia" w:cstheme="majorBidi"/>
      <w:b/>
      <w:bCs/>
      <w:sz w:val="26"/>
      <w:szCs w:val="26"/>
    </w:rPr>
  </w:style>
  <w:style w:type="paragraph" w:styleId="Heading3">
    <w:name w:val="heading 3"/>
    <w:basedOn w:val="Normal"/>
    <w:next w:val="Normal"/>
    <w:link w:val="Heading3Char"/>
    <w:autoRedefine/>
    <w:uiPriority w:val="99"/>
    <w:qFormat/>
    <w:rsid w:val="00727D87"/>
    <w:pPr>
      <w:keepNext/>
      <w:numPr>
        <w:ilvl w:val="2"/>
        <w:numId w:val="53"/>
      </w:numPr>
      <w:spacing w:before="240" w:after="240"/>
      <w:outlineLvl w:val="2"/>
    </w:pPr>
    <w:rPr>
      <w:rFonts w:eastAsia="SimSun"/>
      <w:b/>
      <w:color w:val="000000" w:themeColor="text1"/>
      <w:sz w:val="24"/>
      <w:lang w:val="en-US"/>
    </w:rPr>
  </w:style>
  <w:style w:type="paragraph" w:styleId="Heading4">
    <w:name w:val="heading 4"/>
    <w:basedOn w:val="Caption"/>
    <w:next w:val="Normal"/>
    <w:link w:val="Heading4Char"/>
    <w:uiPriority w:val="99"/>
    <w:qFormat/>
    <w:rsid w:val="008A1A24"/>
    <w:pPr>
      <w:numPr>
        <w:ilvl w:val="3"/>
        <w:numId w:val="53"/>
      </w:numPr>
      <w:outlineLvl w:val="3"/>
    </w:pPr>
    <w:rPr>
      <w:rFonts w:ascii="Arial" w:hAnsi="Arial"/>
      <w:i/>
      <w:sz w:val="22"/>
    </w:rPr>
  </w:style>
  <w:style w:type="paragraph" w:styleId="Heading5">
    <w:name w:val="heading 5"/>
    <w:basedOn w:val="Normal"/>
    <w:next w:val="Normal"/>
    <w:link w:val="Heading5Char"/>
    <w:autoRedefine/>
    <w:uiPriority w:val="99"/>
    <w:qFormat/>
    <w:rsid w:val="008A1A24"/>
    <w:pPr>
      <w:keepNext/>
      <w:numPr>
        <w:ilvl w:val="4"/>
        <w:numId w:val="53"/>
      </w:numPr>
      <w:outlineLvl w:val="4"/>
    </w:pPr>
    <w:rPr>
      <w:rFonts w:ascii="Gill Sans MT" w:hAnsi="Gill Sans MT"/>
      <w:b/>
      <w:color w:val="000000"/>
    </w:rPr>
  </w:style>
  <w:style w:type="paragraph" w:styleId="Heading6">
    <w:name w:val="heading 6"/>
    <w:aliases w:val="Appendix Heading 1"/>
    <w:next w:val="Normal"/>
    <w:link w:val="Heading6Char"/>
    <w:uiPriority w:val="99"/>
    <w:qFormat/>
    <w:rsid w:val="00F80547"/>
    <w:pPr>
      <w:keepNext/>
      <w:numPr>
        <w:ilvl w:val="5"/>
        <w:numId w:val="53"/>
      </w:numPr>
      <w:jc w:val="center"/>
      <w:outlineLvl w:val="5"/>
    </w:pPr>
    <w:rPr>
      <w:rFonts w:eastAsia="SimSun" w:cs="Times New Roman"/>
      <w:color w:val="000000"/>
      <w:sz w:val="40"/>
      <w:lang w:val="en-GB"/>
    </w:rPr>
  </w:style>
  <w:style w:type="paragraph" w:styleId="Heading7">
    <w:name w:val="heading 7"/>
    <w:aliases w:val="Tables"/>
    <w:basedOn w:val="Normal"/>
    <w:next w:val="Normal"/>
    <w:link w:val="Heading7Char"/>
    <w:uiPriority w:val="99"/>
    <w:qFormat/>
    <w:rsid w:val="008A1A24"/>
    <w:pPr>
      <w:keepNext/>
      <w:numPr>
        <w:ilvl w:val="6"/>
        <w:numId w:val="53"/>
      </w:numPr>
      <w:outlineLvl w:val="6"/>
    </w:pPr>
    <w:rPr>
      <w:rFonts w:ascii="Arial Narrow" w:hAnsi="Arial Narrow"/>
      <w:sz w:val="20"/>
    </w:rPr>
  </w:style>
  <w:style w:type="paragraph" w:styleId="Heading8">
    <w:name w:val="heading 8"/>
    <w:basedOn w:val="Normal"/>
    <w:next w:val="Normal"/>
    <w:link w:val="Heading8Char"/>
    <w:uiPriority w:val="99"/>
    <w:qFormat/>
    <w:rsid w:val="008A1A24"/>
    <w:pPr>
      <w:numPr>
        <w:ilvl w:val="7"/>
        <w:numId w:val="53"/>
      </w:numPr>
      <w:spacing w:before="240" w:after="60"/>
      <w:outlineLvl w:val="7"/>
    </w:pPr>
    <w:rPr>
      <w:rFonts w:ascii="Calibri" w:hAnsi="Calibri"/>
      <w:i/>
      <w:iCs/>
      <w:sz w:val="24"/>
    </w:rPr>
  </w:style>
  <w:style w:type="paragraph" w:styleId="Heading9">
    <w:name w:val="heading 9"/>
    <w:basedOn w:val="Normal"/>
    <w:next w:val="Normal"/>
    <w:link w:val="Heading9Char"/>
    <w:uiPriority w:val="99"/>
    <w:qFormat/>
    <w:rsid w:val="008A1A24"/>
    <w:pPr>
      <w:keepNext/>
      <w:numPr>
        <w:ilvl w:val="8"/>
        <w:numId w:val="53"/>
      </w:numPr>
      <w:outlineLvl w:val="8"/>
    </w:pPr>
    <w:rPr>
      <w:rFonts w:ascii="Cambria" w:hAnsi="Cambria"/>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D217FF"/>
    <w:rPr>
      <w:rFonts w:eastAsia="SimSun"/>
      <w:b/>
      <w:i/>
      <w:color w:val="000000" w:themeColor="text1"/>
      <w:kern w:val="28"/>
      <w:sz w:val="32"/>
      <w:szCs w:val="28"/>
      <w:lang w:eastAsia="en-AU"/>
    </w:rPr>
  </w:style>
  <w:style w:type="character" w:customStyle="1" w:styleId="Heading2Char">
    <w:name w:val="Heading 2 Char"/>
    <w:aliases w:val="h2 Char"/>
    <w:basedOn w:val="DefaultParagraphFont"/>
    <w:uiPriority w:val="9"/>
    <w:rsid w:val="008A1A24"/>
    <w:rPr>
      <w:rFonts w:asciiTheme="majorHAnsi" w:eastAsiaTheme="majorEastAsia" w:hAnsiTheme="majorHAnsi" w:cstheme="majorBidi"/>
      <w:b/>
      <w:bCs/>
      <w:color w:val="4F81BD" w:themeColor="accent1"/>
      <w:sz w:val="26"/>
      <w:szCs w:val="26"/>
      <w:lang w:val="en-GB"/>
    </w:rPr>
  </w:style>
  <w:style w:type="character" w:customStyle="1" w:styleId="Heading3Char">
    <w:name w:val="Heading 3 Char"/>
    <w:basedOn w:val="DefaultParagraphFont"/>
    <w:link w:val="Heading3"/>
    <w:uiPriority w:val="99"/>
    <w:rsid w:val="00727D87"/>
    <w:rPr>
      <w:rFonts w:eastAsia="SimSun"/>
      <w:b/>
      <w:color w:val="000000" w:themeColor="text1"/>
      <w:sz w:val="24"/>
      <w:lang w:val="en-US"/>
    </w:rPr>
  </w:style>
  <w:style w:type="character" w:customStyle="1" w:styleId="Heading4Char">
    <w:name w:val="Heading 4 Char"/>
    <w:basedOn w:val="DefaultParagraphFont"/>
    <w:link w:val="Heading4"/>
    <w:uiPriority w:val="99"/>
    <w:rsid w:val="008A1A24"/>
    <w:rPr>
      <w:rFonts w:ascii="Arial" w:eastAsia="SimSun" w:hAnsi="Arial" w:cs="Times New Roman"/>
      <w:i/>
      <w:szCs w:val="24"/>
      <w:lang w:val="en-GB"/>
    </w:rPr>
  </w:style>
  <w:style w:type="character" w:customStyle="1" w:styleId="Heading5Char">
    <w:name w:val="Heading 5 Char"/>
    <w:basedOn w:val="DefaultParagraphFont"/>
    <w:link w:val="Heading5"/>
    <w:uiPriority w:val="99"/>
    <w:rsid w:val="008A1A24"/>
    <w:rPr>
      <w:rFonts w:ascii="Gill Sans MT" w:eastAsia="Times New Roman" w:hAnsi="Gill Sans MT" w:cs="Times New Roman"/>
      <w:b/>
      <w:color w:val="000000"/>
      <w:szCs w:val="20"/>
      <w:lang w:val="en-GB"/>
    </w:rPr>
  </w:style>
  <w:style w:type="character" w:customStyle="1" w:styleId="Heading6Char">
    <w:name w:val="Heading 6 Char"/>
    <w:aliases w:val="Appendix Heading 1 Char"/>
    <w:basedOn w:val="DefaultParagraphFont"/>
    <w:link w:val="Heading6"/>
    <w:uiPriority w:val="99"/>
    <w:rsid w:val="00F80547"/>
    <w:rPr>
      <w:rFonts w:ascii="Arial" w:eastAsia="SimSun" w:hAnsi="Arial" w:cs="Times New Roman"/>
      <w:color w:val="000000"/>
      <w:sz w:val="40"/>
      <w:szCs w:val="24"/>
      <w:lang w:val="en-GB"/>
    </w:rPr>
  </w:style>
  <w:style w:type="character" w:customStyle="1" w:styleId="Heading7Char">
    <w:name w:val="Heading 7 Char"/>
    <w:aliases w:val="Tables Char"/>
    <w:basedOn w:val="DefaultParagraphFont"/>
    <w:link w:val="Heading7"/>
    <w:uiPriority w:val="99"/>
    <w:rsid w:val="008A1A24"/>
    <w:rPr>
      <w:rFonts w:ascii="Arial Narrow" w:eastAsia="Times New Roman" w:hAnsi="Arial Narrow" w:cs="Times New Roman"/>
      <w:sz w:val="20"/>
      <w:szCs w:val="24"/>
      <w:lang w:val="en-GB"/>
    </w:rPr>
  </w:style>
  <w:style w:type="character" w:customStyle="1" w:styleId="Heading8Char">
    <w:name w:val="Heading 8 Char"/>
    <w:basedOn w:val="DefaultParagraphFont"/>
    <w:link w:val="Heading8"/>
    <w:uiPriority w:val="99"/>
    <w:rsid w:val="008A1A24"/>
    <w:rPr>
      <w:rFonts w:ascii="Calibri" w:eastAsia="Times New Roman" w:hAnsi="Calibri" w:cs="Times New Roman"/>
      <w:i/>
      <w:iCs/>
      <w:sz w:val="24"/>
      <w:szCs w:val="24"/>
      <w:lang w:val="en-GB"/>
    </w:rPr>
  </w:style>
  <w:style w:type="character" w:customStyle="1" w:styleId="Heading9Char">
    <w:name w:val="Heading 9 Char"/>
    <w:basedOn w:val="DefaultParagraphFont"/>
    <w:link w:val="Heading9"/>
    <w:uiPriority w:val="99"/>
    <w:rsid w:val="008A1A24"/>
    <w:rPr>
      <w:rFonts w:ascii="Cambria" w:eastAsia="Times New Roman" w:hAnsi="Cambria" w:cs="Times New Roman"/>
      <w:sz w:val="20"/>
      <w:szCs w:val="20"/>
      <w:lang w:val="en-GB"/>
    </w:rPr>
  </w:style>
  <w:style w:type="paragraph" w:customStyle="1" w:styleId="References">
    <w:name w:val="References"/>
    <w:basedOn w:val="Normal"/>
    <w:uiPriority w:val="99"/>
    <w:rsid w:val="008A1A24"/>
    <w:pPr>
      <w:ind w:left="288" w:hanging="288"/>
    </w:pPr>
  </w:style>
  <w:style w:type="character" w:styleId="CommentReference">
    <w:name w:val="annotation reference"/>
    <w:basedOn w:val="DefaultParagraphFont"/>
    <w:uiPriority w:val="99"/>
    <w:rsid w:val="008A1A24"/>
    <w:rPr>
      <w:rFonts w:cs="Times New Roman"/>
      <w:sz w:val="28"/>
    </w:rPr>
  </w:style>
  <w:style w:type="paragraph" w:styleId="CommentText">
    <w:name w:val="annotation text"/>
    <w:basedOn w:val="Normal"/>
    <w:link w:val="CommentTextChar"/>
    <w:uiPriority w:val="99"/>
    <w:rsid w:val="008A1A24"/>
    <w:pPr>
      <w:numPr>
        <w:numId w:val="1"/>
      </w:numPr>
    </w:pPr>
    <w:rPr>
      <w:rFonts w:ascii="Gill Sans MT" w:hAnsi="Gill Sans MT"/>
      <w:sz w:val="20"/>
      <w:lang w:eastAsia="en-AU"/>
    </w:rPr>
  </w:style>
  <w:style w:type="character" w:customStyle="1" w:styleId="CommentTextChar">
    <w:name w:val="Comment Text Char"/>
    <w:basedOn w:val="DefaultParagraphFont"/>
    <w:link w:val="CommentText"/>
    <w:uiPriority w:val="99"/>
    <w:rsid w:val="008A1A24"/>
    <w:rPr>
      <w:rFonts w:ascii="Gill Sans MT" w:eastAsia="Times New Roman" w:hAnsi="Gill Sans MT" w:cs="Times New Roman"/>
      <w:sz w:val="20"/>
      <w:szCs w:val="20"/>
      <w:lang w:eastAsia="en-AU"/>
    </w:rPr>
  </w:style>
  <w:style w:type="paragraph" w:styleId="Footer">
    <w:name w:val="footer"/>
    <w:basedOn w:val="Normal"/>
    <w:link w:val="FooterChar"/>
    <w:uiPriority w:val="99"/>
    <w:rsid w:val="008A1A24"/>
    <w:pPr>
      <w:tabs>
        <w:tab w:val="center" w:pos="4153"/>
        <w:tab w:val="right" w:pos="8306"/>
      </w:tabs>
      <w:spacing w:line="320" w:lineRule="exact"/>
    </w:pPr>
    <w:rPr>
      <w:rFonts w:ascii="Gill Sans MT" w:hAnsi="Gill Sans MT"/>
      <w:sz w:val="20"/>
    </w:rPr>
  </w:style>
  <w:style w:type="character" w:customStyle="1" w:styleId="FooterChar">
    <w:name w:val="Footer Char"/>
    <w:basedOn w:val="DefaultParagraphFont"/>
    <w:link w:val="Footer"/>
    <w:uiPriority w:val="99"/>
    <w:rsid w:val="008A1A24"/>
    <w:rPr>
      <w:rFonts w:ascii="Gill Sans MT" w:eastAsia="Times New Roman" w:hAnsi="Gill Sans MT" w:cs="Times New Roman"/>
      <w:sz w:val="20"/>
      <w:szCs w:val="20"/>
      <w:lang w:val="en-GB"/>
    </w:rPr>
  </w:style>
  <w:style w:type="paragraph" w:customStyle="1" w:styleId="Reportsummary">
    <w:name w:val="Report summary"/>
    <w:basedOn w:val="Normal"/>
    <w:uiPriority w:val="99"/>
    <w:rsid w:val="008A1A24"/>
    <w:pPr>
      <w:tabs>
        <w:tab w:val="num" w:pos="432"/>
      </w:tabs>
      <w:spacing w:after="240"/>
      <w:ind w:left="432" w:hanging="432"/>
    </w:pPr>
    <w:rPr>
      <w:sz w:val="24"/>
    </w:rPr>
  </w:style>
  <w:style w:type="paragraph" w:customStyle="1" w:styleId="Reportrefs">
    <w:name w:val="Report refs"/>
    <w:basedOn w:val="Normal"/>
    <w:uiPriority w:val="99"/>
    <w:rsid w:val="008A1A24"/>
    <w:pPr>
      <w:spacing w:after="180"/>
      <w:ind w:left="432" w:hanging="432"/>
    </w:pPr>
    <w:rPr>
      <w:sz w:val="24"/>
    </w:rPr>
  </w:style>
  <w:style w:type="paragraph" w:styleId="TOC4">
    <w:name w:val="toc 4"/>
    <w:basedOn w:val="Normal"/>
    <w:next w:val="Normal"/>
    <w:autoRedefine/>
    <w:uiPriority w:val="39"/>
    <w:rsid w:val="004F3736"/>
    <w:pPr>
      <w:tabs>
        <w:tab w:val="left" w:pos="1440"/>
        <w:tab w:val="right" w:leader="dot" w:pos="9072"/>
      </w:tabs>
    </w:pPr>
    <w:rPr>
      <w:rFonts w:eastAsiaTheme="majorEastAsia"/>
      <w:noProof/>
      <w:sz w:val="20"/>
    </w:rPr>
  </w:style>
  <w:style w:type="paragraph" w:customStyle="1" w:styleId="Figure">
    <w:name w:val="Figure"/>
    <w:basedOn w:val="Normal"/>
    <w:link w:val="FigureChar"/>
    <w:qFormat/>
    <w:rsid w:val="008A1A24"/>
    <w:pPr>
      <w:spacing w:before="120"/>
    </w:pPr>
    <w:rPr>
      <w:rFonts w:ascii="Arial Narrow" w:hAnsi="Arial Narrow"/>
    </w:rPr>
  </w:style>
  <w:style w:type="character" w:customStyle="1" w:styleId="FigureChar">
    <w:name w:val="Figure Char"/>
    <w:link w:val="Figure"/>
    <w:locked/>
    <w:rsid w:val="008A1A24"/>
    <w:rPr>
      <w:rFonts w:ascii="Arial Narrow" w:eastAsia="Times New Roman" w:hAnsi="Arial Narrow" w:cs="Times New Roman"/>
      <w:szCs w:val="20"/>
      <w:lang w:val="en-GB"/>
    </w:rPr>
  </w:style>
  <w:style w:type="paragraph" w:customStyle="1" w:styleId="Table">
    <w:name w:val="Table"/>
    <w:basedOn w:val="Normal"/>
    <w:link w:val="TableChar"/>
    <w:autoRedefine/>
    <w:rsid w:val="008A1A24"/>
    <w:pPr>
      <w:spacing w:before="120"/>
    </w:pPr>
    <w:rPr>
      <w:rFonts w:ascii="Arial Narrow" w:hAnsi="Arial Narrow"/>
    </w:rPr>
  </w:style>
  <w:style w:type="character" w:customStyle="1" w:styleId="TableChar">
    <w:name w:val="Table Char"/>
    <w:link w:val="Table"/>
    <w:locked/>
    <w:rsid w:val="008A1A24"/>
    <w:rPr>
      <w:rFonts w:ascii="Arial Narrow" w:eastAsia="Times New Roman" w:hAnsi="Arial Narrow" w:cs="Times New Roman"/>
      <w:szCs w:val="20"/>
      <w:lang w:val="en-GB"/>
    </w:rPr>
  </w:style>
  <w:style w:type="paragraph" w:customStyle="1" w:styleId="Infopage">
    <w:name w:val="Info page"/>
    <w:basedOn w:val="Normal"/>
    <w:uiPriority w:val="99"/>
    <w:rsid w:val="008A1A24"/>
    <w:rPr>
      <w:rFonts w:ascii="Arial Narrow" w:hAnsi="Arial Narrow"/>
    </w:rPr>
  </w:style>
  <w:style w:type="paragraph" w:styleId="TOC1">
    <w:name w:val="toc 1"/>
    <w:basedOn w:val="Normal"/>
    <w:next w:val="Normal"/>
    <w:autoRedefine/>
    <w:uiPriority w:val="39"/>
    <w:qFormat/>
    <w:rsid w:val="00BB3AE5"/>
    <w:pPr>
      <w:tabs>
        <w:tab w:val="left" w:pos="450"/>
        <w:tab w:val="left" w:pos="1100"/>
        <w:tab w:val="right" w:leader="dot" w:pos="9061"/>
      </w:tabs>
      <w:spacing w:before="120"/>
      <w:ind w:right="1134"/>
    </w:pPr>
    <w:rPr>
      <w:b/>
      <w:noProof/>
    </w:rPr>
  </w:style>
  <w:style w:type="paragraph" w:customStyle="1" w:styleId="TableContents">
    <w:name w:val="Table Contents"/>
    <w:basedOn w:val="Normal"/>
    <w:uiPriority w:val="99"/>
    <w:rsid w:val="008A1A24"/>
    <w:pPr>
      <w:suppressLineNumbers/>
      <w:suppressAutoHyphens/>
      <w:spacing w:after="142" w:line="276" w:lineRule="auto"/>
    </w:pPr>
    <w:rPr>
      <w:rFonts w:ascii="Trebuchet MS" w:hAnsi="Trebuchet MS"/>
      <w:sz w:val="21"/>
      <w:lang w:val="en-US"/>
    </w:rPr>
  </w:style>
  <w:style w:type="paragraph" w:styleId="NormalWeb">
    <w:name w:val="Normal (Web)"/>
    <w:basedOn w:val="Normal"/>
    <w:uiPriority w:val="99"/>
    <w:rsid w:val="008A1A24"/>
    <w:pPr>
      <w:spacing w:before="100" w:beforeAutospacing="1" w:after="100" w:afterAutospacing="1"/>
    </w:pPr>
    <w:rPr>
      <w:rFonts w:ascii="Times New Roman" w:hAnsi="Times New Roman"/>
      <w:sz w:val="24"/>
      <w:lang w:eastAsia="en-AU"/>
    </w:rPr>
  </w:style>
  <w:style w:type="character" w:styleId="Hyperlink">
    <w:name w:val="Hyperlink"/>
    <w:basedOn w:val="DefaultParagraphFont"/>
    <w:uiPriority w:val="99"/>
    <w:rsid w:val="008A1A24"/>
    <w:rPr>
      <w:rFonts w:cs="Times New Roman"/>
      <w:color w:val="0000FF"/>
      <w:u w:val="single"/>
    </w:rPr>
  </w:style>
  <w:style w:type="paragraph" w:customStyle="1" w:styleId="name1">
    <w:name w:val="name1"/>
    <w:basedOn w:val="Normal"/>
    <w:uiPriority w:val="99"/>
    <w:rsid w:val="008A1A24"/>
    <w:pPr>
      <w:keepNext/>
      <w:tabs>
        <w:tab w:val="left" w:pos="284"/>
        <w:tab w:val="left" w:pos="567"/>
        <w:tab w:val="left" w:pos="851"/>
        <w:tab w:val="left" w:pos="1134"/>
      </w:tabs>
    </w:pPr>
    <w:rPr>
      <w:rFonts w:eastAsia="MS Mincho"/>
      <w:b/>
      <w:sz w:val="20"/>
    </w:rPr>
  </w:style>
  <w:style w:type="paragraph" w:styleId="DocumentMap">
    <w:name w:val="Document Map"/>
    <w:basedOn w:val="Normal"/>
    <w:link w:val="DocumentMapChar"/>
    <w:uiPriority w:val="99"/>
    <w:semiHidden/>
    <w:rsid w:val="008A1A24"/>
    <w:pPr>
      <w:shd w:val="clear" w:color="auto" w:fill="000080"/>
    </w:pPr>
    <w:rPr>
      <w:rFonts w:ascii="Times New Roman" w:hAnsi="Times New Roman"/>
      <w:sz w:val="2"/>
    </w:rPr>
  </w:style>
  <w:style w:type="character" w:customStyle="1" w:styleId="DocumentMapChar">
    <w:name w:val="Document Map Char"/>
    <w:basedOn w:val="DefaultParagraphFont"/>
    <w:link w:val="DocumentMap"/>
    <w:uiPriority w:val="99"/>
    <w:semiHidden/>
    <w:rsid w:val="008A1A24"/>
    <w:rPr>
      <w:rFonts w:ascii="Times New Roman" w:eastAsia="Times New Roman" w:hAnsi="Times New Roman" w:cs="Times New Roman"/>
      <w:sz w:val="2"/>
      <w:szCs w:val="20"/>
      <w:shd w:val="clear" w:color="auto" w:fill="000080"/>
      <w:lang w:val="en-GB"/>
    </w:rPr>
  </w:style>
  <w:style w:type="paragraph" w:styleId="BalloonText">
    <w:name w:val="Balloon Text"/>
    <w:basedOn w:val="Normal"/>
    <w:link w:val="BalloonTextChar"/>
    <w:uiPriority w:val="99"/>
    <w:rsid w:val="008A1A24"/>
    <w:rPr>
      <w:rFonts w:ascii="Times New Roman" w:hAnsi="Times New Roman"/>
      <w:sz w:val="16"/>
    </w:rPr>
  </w:style>
  <w:style w:type="character" w:customStyle="1" w:styleId="BalloonTextChar">
    <w:name w:val="Balloon Text Char"/>
    <w:basedOn w:val="DefaultParagraphFont"/>
    <w:link w:val="BalloonText"/>
    <w:uiPriority w:val="99"/>
    <w:rsid w:val="008A1A24"/>
    <w:rPr>
      <w:rFonts w:ascii="Times New Roman" w:eastAsia="Times New Roman" w:hAnsi="Times New Roman" w:cs="Times New Roman"/>
      <w:sz w:val="16"/>
      <w:szCs w:val="20"/>
      <w:lang w:val="en-GB"/>
    </w:rPr>
  </w:style>
  <w:style w:type="paragraph" w:styleId="Title">
    <w:name w:val="Title"/>
    <w:basedOn w:val="Normal"/>
    <w:link w:val="TitleChar"/>
    <w:uiPriority w:val="99"/>
    <w:qFormat/>
    <w:rsid w:val="008A1A24"/>
    <w:pPr>
      <w:jc w:val="center"/>
    </w:pPr>
    <w:rPr>
      <w:rFonts w:ascii="Cambria" w:hAnsi="Cambria"/>
      <w:b/>
      <w:bCs/>
      <w:kern w:val="28"/>
      <w:sz w:val="32"/>
      <w:szCs w:val="32"/>
    </w:rPr>
  </w:style>
  <w:style w:type="character" w:customStyle="1" w:styleId="TitleChar">
    <w:name w:val="Title Char"/>
    <w:basedOn w:val="DefaultParagraphFont"/>
    <w:link w:val="Title"/>
    <w:uiPriority w:val="99"/>
    <w:rsid w:val="008A1A24"/>
    <w:rPr>
      <w:rFonts w:ascii="Cambria" w:eastAsia="Times New Roman" w:hAnsi="Cambria" w:cs="Times New Roman"/>
      <w:b/>
      <w:bCs/>
      <w:kern w:val="28"/>
      <w:sz w:val="32"/>
      <w:szCs w:val="32"/>
      <w:lang w:val="en-GB"/>
    </w:rPr>
  </w:style>
  <w:style w:type="character" w:styleId="PageNumber">
    <w:name w:val="page number"/>
    <w:basedOn w:val="DefaultParagraphFont"/>
    <w:uiPriority w:val="99"/>
    <w:rsid w:val="008A1A24"/>
    <w:rPr>
      <w:rFonts w:cs="Times New Roman"/>
    </w:rPr>
  </w:style>
  <w:style w:type="paragraph" w:styleId="TOC2">
    <w:name w:val="toc 2"/>
    <w:basedOn w:val="Normal"/>
    <w:next w:val="Normal"/>
    <w:uiPriority w:val="39"/>
    <w:qFormat/>
    <w:rsid w:val="006A53C6"/>
    <w:pPr>
      <w:tabs>
        <w:tab w:val="left" w:pos="720"/>
        <w:tab w:val="right" w:leader="dot" w:pos="9072"/>
      </w:tabs>
      <w:spacing w:after="0"/>
      <w:ind w:left="215" w:right="431"/>
    </w:pPr>
    <w:rPr>
      <w:sz w:val="18"/>
    </w:rPr>
  </w:style>
  <w:style w:type="paragraph" w:styleId="TOC3">
    <w:name w:val="toc 3"/>
    <w:basedOn w:val="Normal"/>
    <w:next w:val="Normal"/>
    <w:autoRedefine/>
    <w:uiPriority w:val="39"/>
    <w:qFormat/>
    <w:rsid w:val="006A53C6"/>
    <w:pPr>
      <w:tabs>
        <w:tab w:val="left" w:pos="450"/>
        <w:tab w:val="left" w:pos="720"/>
        <w:tab w:val="left" w:pos="1540"/>
        <w:tab w:val="right" w:leader="dot" w:pos="9061"/>
      </w:tabs>
      <w:spacing w:after="0"/>
      <w:ind w:left="1134" w:right="1134" w:hanging="567"/>
    </w:pPr>
    <w:rPr>
      <w:rFonts w:eastAsia="SimSun"/>
      <w:noProof/>
      <w:color w:val="000000" w:themeColor="text1"/>
      <w:sz w:val="18"/>
    </w:rPr>
  </w:style>
  <w:style w:type="paragraph" w:styleId="TOC5">
    <w:name w:val="toc 5"/>
    <w:basedOn w:val="Normal"/>
    <w:next w:val="Normal"/>
    <w:autoRedefine/>
    <w:uiPriority w:val="39"/>
    <w:rsid w:val="008A1A24"/>
    <w:pPr>
      <w:ind w:left="880"/>
    </w:pPr>
  </w:style>
  <w:style w:type="paragraph" w:customStyle="1" w:styleId="StyleTitleOptimum">
    <w:name w:val="Style Title + Optimum"/>
    <w:basedOn w:val="Title"/>
    <w:uiPriority w:val="99"/>
    <w:rsid w:val="008A1A24"/>
    <w:rPr>
      <w:rFonts w:ascii="Arial Black" w:hAnsi="Arial Black"/>
      <w:b w:val="0"/>
    </w:rPr>
  </w:style>
  <w:style w:type="paragraph" w:customStyle="1" w:styleId="StyleHeading5Optimum">
    <w:name w:val="Style Heading 5 + Optimum"/>
    <w:basedOn w:val="Heading5"/>
    <w:uiPriority w:val="99"/>
    <w:rsid w:val="008A1A24"/>
    <w:pPr>
      <w:numPr>
        <w:numId w:val="61"/>
      </w:numPr>
      <w:spacing w:after="60"/>
    </w:pPr>
    <w:rPr>
      <w:bCs/>
      <w:i/>
      <w:sz w:val="32"/>
    </w:rPr>
  </w:style>
  <w:style w:type="paragraph" w:customStyle="1" w:styleId="StyleHeading4After6pt">
    <w:name w:val="Style Heading 4 + After:  6 pt"/>
    <w:basedOn w:val="Heading4"/>
    <w:uiPriority w:val="99"/>
    <w:rsid w:val="008A1A24"/>
    <w:pPr>
      <w:numPr>
        <w:numId w:val="61"/>
      </w:numPr>
    </w:pPr>
    <w:rPr>
      <w:b/>
      <w:bCs/>
      <w:i w:val="0"/>
      <w:iCs/>
    </w:rPr>
  </w:style>
  <w:style w:type="character" w:customStyle="1" w:styleId="pubref">
    <w:name w:val="pubref"/>
    <w:rsid w:val="008A1A24"/>
  </w:style>
  <w:style w:type="paragraph" w:styleId="FootnoteText">
    <w:name w:val="footnote text"/>
    <w:basedOn w:val="Normal"/>
    <w:link w:val="FootnoteTextChar"/>
    <w:uiPriority w:val="99"/>
    <w:rsid w:val="008A1A24"/>
    <w:rPr>
      <w:rFonts w:ascii="Gill Sans MT" w:hAnsi="Gill Sans MT"/>
      <w:sz w:val="20"/>
    </w:rPr>
  </w:style>
  <w:style w:type="character" w:customStyle="1" w:styleId="FootnoteTextChar">
    <w:name w:val="Footnote Text Char"/>
    <w:basedOn w:val="DefaultParagraphFont"/>
    <w:link w:val="FootnoteText"/>
    <w:uiPriority w:val="99"/>
    <w:rsid w:val="008A1A24"/>
    <w:rPr>
      <w:rFonts w:ascii="Gill Sans MT" w:eastAsia="Times New Roman" w:hAnsi="Gill Sans MT" w:cs="Times New Roman"/>
      <w:sz w:val="20"/>
      <w:szCs w:val="20"/>
      <w:lang w:val="en-GB"/>
    </w:rPr>
  </w:style>
  <w:style w:type="paragraph" w:styleId="ListBullet2">
    <w:name w:val="List Bullet 2"/>
    <w:basedOn w:val="Normal"/>
    <w:uiPriority w:val="99"/>
    <w:rsid w:val="008A1A24"/>
    <w:pPr>
      <w:tabs>
        <w:tab w:val="num" w:pos="432"/>
      </w:tabs>
      <w:spacing w:before="120"/>
      <w:ind w:left="432" w:hanging="432"/>
    </w:pPr>
    <w:rPr>
      <w:rFonts w:ascii="Optimum" w:hAnsi="Optimum"/>
    </w:rPr>
  </w:style>
  <w:style w:type="paragraph" w:styleId="PlainText">
    <w:name w:val="Plain Text"/>
    <w:basedOn w:val="Normal"/>
    <w:link w:val="PlainTextChar"/>
    <w:uiPriority w:val="99"/>
    <w:rsid w:val="008A1A24"/>
    <w:rPr>
      <w:rFonts w:ascii="Courier New" w:hAnsi="Courier New"/>
      <w:sz w:val="20"/>
    </w:rPr>
  </w:style>
  <w:style w:type="character" w:customStyle="1" w:styleId="PlainTextChar">
    <w:name w:val="Plain Text Char"/>
    <w:basedOn w:val="DefaultParagraphFont"/>
    <w:link w:val="PlainText"/>
    <w:uiPriority w:val="99"/>
    <w:rsid w:val="008A1A24"/>
    <w:rPr>
      <w:rFonts w:ascii="Courier New" w:eastAsia="Times New Roman" w:hAnsi="Courier New" w:cs="Times New Roman"/>
      <w:sz w:val="20"/>
      <w:szCs w:val="20"/>
      <w:lang w:val="en-GB"/>
    </w:rPr>
  </w:style>
  <w:style w:type="paragraph" w:customStyle="1" w:styleId="references0">
    <w:name w:val="references"/>
    <w:basedOn w:val="Normal"/>
    <w:uiPriority w:val="99"/>
    <w:rsid w:val="008A1A24"/>
    <w:pPr>
      <w:spacing w:before="100" w:beforeAutospacing="1" w:after="100" w:afterAutospacing="1"/>
    </w:pPr>
    <w:rPr>
      <w:rFonts w:ascii="Arial Unicode MS" w:eastAsia="Arial Unicode MS" w:hAnsi="Arial Unicode MS" w:cs="Arial Unicode MS"/>
      <w:sz w:val="24"/>
    </w:rPr>
  </w:style>
  <w:style w:type="paragraph" w:customStyle="1" w:styleId="Heading54">
    <w:name w:val="Heading 54"/>
    <w:basedOn w:val="Heading5"/>
    <w:uiPriority w:val="99"/>
    <w:rsid w:val="008A1A24"/>
    <w:pPr>
      <w:keepNext w:val="0"/>
      <w:numPr>
        <w:ilvl w:val="0"/>
        <w:numId w:val="0"/>
      </w:numPr>
      <w:spacing w:before="240" w:after="60"/>
      <w:ind w:left="1008" w:hanging="1008"/>
    </w:pPr>
    <w:rPr>
      <w:rFonts w:ascii="Times New Roman" w:hAnsi="Times New Roman"/>
      <w:bCs/>
      <w:i/>
      <w:iCs/>
      <w:sz w:val="24"/>
      <w:u w:val="single"/>
    </w:rPr>
  </w:style>
  <w:style w:type="paragraph" w:customStyle="1" w:styleId="xl551">
    <w:name w:val="xl551"/>
    <w:basedOn w:val="Normal"/>
    <w:uiPriority w:val="99"/>
    <w:rsid w:val="008A1A24"/>
    <w:pPr>
      <w:pBdr>
        <w:top w:val="single" w:sz="8" w:space="0" w:color="auto"/>
        <w:left w:val="single" w:sz="8" w:space="0" w:color="auto"/>
        <w:right w:val="single" w:sz="4" w:space="0" w:color="C0C0C0"/>
      </w:pBdr>
      <w:spacing w:before="100" w:beforeAutospacing="1" w:after="100" w:afterAutospacing="1"/>
      <w:jc w:val="center"/>
      <w:textAlignment w:val="center"/>
    </w:pPr>
    <w:rPr>
      <w:rFonts w:eastAsia="Arial Unicode MS"/>
      <w:color w:val="000000"/>
      <w:sz w:val="18"/>
      <w:szCs w:val="18"/>
    </w:rPr>
  </w:style>
  <w:style w:type="paragraph" w:customStyle="1" w:styleId="xl741">
    <w:name w:val="xl741"/>
    <w:basedOn w:val="Normal"/>
    <w:uiPriority w:val="99"/>
    <w:rsid w:val="008A1A24"/>
    <w:pPr>
      <w:pBdr>
        <w:bottom w:val="single" w:sz="8" w:space="0" w:color="auto"/>
      </w:pBdr>
      <w:spacing w:before="100" w:beforeAutospacing="1" w:after="100" w:afterAutospacing="1"/>
    </w:pPr>
    <w:rPr>
      <w:rFonts w:ascii="Arial Unicode MS" w:eastAsia="Arial Unicode MS" w:hAnsi="Arial Unicode MS" w:cs="Arial Unicode MS"/>
      <w:sz w:val="24"/>
    </w:rPr>
  </w:style>
  <w:style w:type="paragraph" w:customStyle="1" w:styleId="xl251">
    <w:name w:val="xl251"/>
    <w:basedOn w:val="Normal"/>
    <w:uiPriority w:val="99"/>
    <w:rsid w:val="008A1A24"/>
    <w:pPr>
      <w:spacing w:before="100" w:beforeAutospacing="1" w:after="100" w:afterAutospacing="1"/>
      <w:jc w:val="center"/>
      <w:textAlignment w:val="center"/>
    </w:pPr>
    <w:rPr>
      <w:rFonts w:eastAsia="Arial Unicode MS"/>
      <w:sz w:val="16"/>
      <w:szCs w:val="16"/>
    </w:rPr>
  </w:style>
  <w:style w:type="character" w:styleId="Strong">
    <w:name w:val="Strong"/>
    <w:basedOn w:val="DefaultParagraphFont"/>
    <w:uiPriority w:val="22"/>
    <w:qFormat/>
    <w:rsid w:val="008A1A24"/>
    <w:rPr>
      <w:rFonts w:cs="Times New Roman"/>
      <w:b/>
    </w:rPr>
  </w:style>
  <w:style w:type="paragraph" w:customStyle="1" w:styleId="Style2">
    <w:name w:val="Style2"/>
    <w:basedOn w:val="Heading5"/>
    <w:uiPriority w:val="99"/>
    <w:rsid w:val="008A1A24"/>
    <w:pPr>
      <w:keepNext w:val="0"/>
      <w:numPr>
        <w:ilvl w:val="0"/>
        <w:numId w:val="0"/>
      </w:numPr>
      <w:spacing w:before="240" w:after="60"/>
      <w:ind w:left="1008" w:hanging="1008"/>
    </w:pPr>
    <w:rPr>
      <w:rFonts w:ascii="Times New Roman" w:hAnsi="Times New Roman"/>
      <w:bCs/>
      <w:i/>
      <w:iCs/>
      <w:sz w:val="24"/>
      <w:u w:val="single"/>
    </w:rPr>
  </w:style>
  <w:style w:type="paragraph" w:customStyle="1" w:styleId="Style3">
    <w:name w:val="Style3"/>
    <w:basedOn w:val="Heading5"/>
    <w:uiPriority w:val="99"/>
    <w:rsid w:val="008A1A24"/>
    <w:pPr>
      <w:keepNext w:val="0"/>
      <w:numPr>
        <w:ilvl w:val="0"/>
        <w:numId w:val="0"/>
      </w:numPr>
      <w:spacing w:before="240" w:after="60"/>
      <w:ind w:left="1008" w:hanging="1008"/>
    </w:pPr>
    <w:rPr>
      <w:rFonts w:ascii="Times New Roman" w:hAnsi="Times New Roman"/>
      <w:bCs/>
      <w:i/>
      <w:iCs/>
      <w:sz w:val="24"/>
      <w:u w:val="single"/>
    </w:rPr>
  </w:style>
  <w:style w:type="paragraph" w:customStyle="1" w:styleId="Style4">
    <w:name w:val="Style4"/>
    <w:basedOn w:val="Heading5"/>
    <w:autoRedefine/>
    <w:uiPriority w:val="99"/>
    <w:rsid w:val="008A1A24"/>
    <w:pPr>
      <w:keepNext w:val="0"/>
      <w:numPr>
        <w:ilvl w:val="0"/>
        <w:numId w:val="0"/>
      </w:numPr>
      <w:spacing w:before="240" w:after="60"/>
      <w:ind w:left="1008" w:hanging="1008"/>
    </w:pPr>
    <w:rPr>
      <w:rFonts w:ascii="Times New Roman" w:hAnsi="Times New Roman"/>
      <w:bCs/>
      <w:i/>
      <w:iCs/>
      <w:sz w:val="24"/>
      <w:u w:val="single"/>
    </w:rPr>
  </w:style>
  <w:style w:type="paragraph" w:styleId="BodyTextIndent">
    <w:name w:val="Body Text Indent"/>
    <w:basedOn w:val="Normal"/>
    <w:link w:val="BodyTextIndentChar"/>
    <w:uiPriority w:val="99"/>
    <w:rsid w:val="008A1A24"/>
    <w:pPr>
      <w:ind w:left="283"/>
    </w:pPr>
    <w:rPr>
      <w:rFonts w:ascii="Gill Sans MT" w:hAnsi="Gill Sans MT"/>
      <w:sz w:val="20"/>
    </w:rPr>
  </w:style>
  <w:style w:type="character" w:customStyle="1" w:styleId="BodyTextIndentChar">
    <w:name w:val="Body Text Indent Char"/>
    <w:basedOn w:val="DefaultParagraphFont"/>
    <w:link w:val="BodyTextIndent"/>
    <w:uiPriority w:val="99"/>
    <w:rsid w:val="008A1A24"/>
    <w:rPr>
      <w:rFonts w:ascii="Gill Sans MT" w:eastAsia="Times New Roman" w:hAnsi="Gill Sans MT" w:cs="Times New Roman"/>
      <w:sz w:val="20"/>
      <w:szCs w:val="20"/>
      <w:lang w:val="en-GB"/>
    </w:rPr>
  </w:style>
  <w:style w:type="paragraph" w:customStyle="1" w:styleId="TOCfig-table">
    <w:name w:val="TOC fig-table"/>
    <w:basedOn w:val="Normal"/>
    <w:uiPriority w:val="99"/>
    <w:rsid w:val="008A1A24"/>
    <w:pPr>
      <w:tabs>
        <w:tab w:val="left" w:pos="1152"/>
        <w:tab w:val="right" w:leader="dot" w:pos="8640"/>
      </w:tabs>
      <w:spacing w:before="120"/>
      <w:ind w:left="1152" w:right="720" w:hanging="1152"/>
    </w:pPr>
    <w:rPr>
      <w:b/>
      <w:sz w:val="20"/>
    </w:rPr>
  </w:style>
  <w:style w:type="table" w:styleId="TableGrid">
    <w:name w:val="Table Grid"/>
    <w:basedOn w:val="TableNormal"/>
    <w:uiPriority w:val="59"/>
    <w:rsid w:val="008A1A24"/>
    <w:pPr>
      <w:spacing w:after="0"/>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TOC7"/>
    <w:next w:val="Normal"/>
    <w:link w:val="TableofFiguresChar"/>
    <w:uiPriority w:val="99"/>
    <w:rsid w:val="00864A42"/>
    <w:pPr>
      <w:tabs>
        <w:tab w:val="clear" w:pos="709"/>
        <w:tab w:val="right" w:leader="dot" w:pos="9629"/>
      </w:tabs>
      <w:spacing w:after="0"/>
      <w:ind w:left="440" w:hanging="440"/>
    </w:pPr>
    <w:rPr>
      <w:rFonts w:eastAsiaTheme="majorEastAsia"/>
      <w:bCs/>
      <w:noProof/>
    </w:rPr>
  </w:style>
  <w:style w:type="paragraph" w:styleId="Header">
    <w:name w:val="header"/>
    <w:basedOn w:val="Normal"/>
    <w:link w:val="HeaderChar"/>
    <w:uiPriority w:val="99"/>
    <w:rsid w:val="008A1A24"/>
    <w:pPr>
      <w:pBdr>
        <w:bottom w:val="single" w:sz="4" w:space="1" w:color="auto"/>
      </w:pBdr>
      <w:tabs>
        <w:tab w:val="right" w:pos="8496"/>
      </w:tabs>
    </w:pPr>
    <w:rPr>
      <w:rFonts w:ascii="Gill Sans MT" w:hAnsi="Gill Sans MT"/>
      <w:sz w:val="20"/>
    </w:rPr>
  </w:style>
  <w:style w:type="character" w:customStyle="1" w:styleId="HeaderChar">
    <w:name w:val="Header Char"/>
    <w:basedOn w:val="DefaultParagraphFont"/>
    <w:link w:val="Header"/>
    <w:uiPriority w:val="99"/>
    <w:rsid w:val="008A1A24"/>
    <w:rPr>
      <w:rFonts w:ascii="Gill Sans MT" w:eastAsia="Times New Roman" w:hAnsi="Gill Sans MT" w:cs="Times New Roman"/>
      <w:sz w:val="20"/>
      <w:szCs w:val="20"/>
      <w:lang w:val="en-GB"/>
    </w:rPr>
  </w:style>
  <w:style w:type="paragraph" w:customStyle="1" w:styleId="Head4">
    <w:name w:val="Head 4"/>
    <w:basedOn w:val="Heading3"/>
    <w:uiPriority w:val="99"/>
    <w:rsid w:val="008A1A24"/>
    <w:pPr>
      <w:numPr>
        <w:numId w:val="61"/>
      </w:numPr>
      <w:spacing w:before="120"/>
      <w:outlineLvl w:val="9"/>
    </w:pPr>
    <w:rPr>
      <w:b w:val="0"/>
      <w:smallCaps/>
      <w:sz w:val="22"/>
      <w:u w:val="single"/>
    </w:rPr>
  </w:style>
  <w:style w:type="paragraph" w:customStyle="1" w:styleId="Bodytxt">
    <w:name w:val="Body txt"/>
    <w:basedOn w:val="Normal"/>
    <w:uiPriority w:val="99"/>
    <w:rsid w:val="008A1A24"/>
    <w:pPr>
      <w:spacing w:line="320" w:lineRule="exact"/>
    </w:pPr>
  </w:style>
  <w:style w:type="paragraph" w:styleId="BodyText">
    <w:name w:val="Body Text"/>
    <w:basedOn w:val="Normal"/>
    <w:link w:val="BodyTextChar"/>
    <w:uiPriority w:val="99"/>
    <w:rsid w:val="008A1A24"/>
    <w:pPr>
      <w:autoSpaceDE w:val="0"/>
      <w:autoSpaceDN w:val="0"/>
      <w:adjustRightInd w:val="0"/>
      <w:spacing w:line="360" w:lineRule="auto"/>
    </w:pPr>
    <w:rPr>
      <w:rFonts w:ascii="Gill Sans MT" w:hAnsi="Gill Sans MT"/>
      <w:sz w:val="20"/>
    </w:rPr>
  </w:style>
  <w:style w:type="character" w:customStyle="1" w:styleId="BodyTextChar">
    <w:name w:val="Body Text Char"/>
    <w:basedOn w:val="DefaultParagraphFont"/>
    <w:link w:val="BodyText"/>
    <w:uiPriority w:val="99"/>
    <w:rsid w:val="008A1A24"/>
    <w:rPr>
      <w:rFonts w:ascii="Gill Sans MT" w:eastAsia="Times New Roman" w:hAnsi="Gill Sans MT" w:cs="Times New Roman"/>
      <w:sz w:val="20"/>
      <w:szCs w:val="20"/>
      <w:lang w:val="en-GB"/>
    </w:rPr>
  </w:style>
  <w:style w:type="character" w:customStyle="1" w:styleId="CharChar">
    <w:name w:val="Char Char"/>
    <w:uiPriority w:val="99"/>
    <w:rsid w:val="008A1A24"/>
    <w:rPr>
      <w:rFonts w:ascii="Arial" w:hAnsi="Arial"/>
      <w:b/>
      <w:kern w:val="32"/>
      <w:sz w:val="32"/>
      <w:lang w:val="en-AU" w:eastAsia="en-US"/>
    </w:rPr>
  </w:style>
  <w:style w:type="paragraph" w:styleId="BodyTextIndent2">
    <w:name w:val="Body Text Indent 2"/>
    <w:basedOn w:val="Normal"/>
    <w:link w:val="BodyTextIndent2Char"/>
    <w:uiPriority w:val="99"/>
    <w:rsid w:val="008A1A24"/>
    <w:pPr>
      <w:tabs>
        <w:tab w:val="left" w:pos="993"/>
      </w:tabs>
      <w:ind w:left="1704" w:hanging="1704"/>
    </w:pPr>
    <w:rPr>
      <w:rFonts w:ascii="Gill Sans MT" w:hAnsi="Gill Sans MT"/>
      <w:sz w:val="20"/>
    </w:rPr>
  </w:style>
  <w:style w:type="character" w:customStyle="1" w:styleId="BodyTextIndent2Char">
    <w:name w:val="Body Text Indent 2 Char"/>
    <w:basedOn w:val="DefaultParagraphFont"/>
    <w:link w:val="BodyTextIndent2"/>
    <w:uiPriority w:val="99"/>
    <w:rsid w:val="008A1A24"/>
    <w:rPr>
      <w:rFonts w:ascii="Gill Sans MT" w:eastAsia="Times New Roman" w:hAnsi="Gill Sans MT" w:cs="Times New Roman"/>
      <w:sz w:val="20"/>
      <w:szCs w:val="20"/>
      <w:lang w:val="en-GB"/>
    </w:rPr>
  </w:style>
  <w:style w:type="character" w:customStyle="1" w:styleId="CaptionChar">
    <w:name w:val="Caption Char"/>
    <w:uiPriority w:val="99"/>
    <w:rsid w:val="008A1A24"/>
    <w:rPr>
      <w:rFonts w:eastAsia="SimSun"/>
      <w:sz w:val="24"/>
      <w:lang w:val="en-GB" w:eastAsia="en-US"/>
    </w:rPr>
  </w:style>
  <w:style w:type="paragraph" w:styleId="BodyText2">
    <w:name w:val="Body Text 2"/>
    <w:basedOn w:val="Normal"/>
    <w:link w:val="BodyText2Char"/>
    <w:uiPriority w:val="99"/>
    <w:rsid w:val="008A1A24"/>
    <w:pPr>
      <w:spacing w:line="480" w:lineRule="auto"/>
    </w:pPr>
    <w:rPr>
      <w:rFonts w:ascii="Times New Roman" w:hAnsi="Times New Roman"/>
      <w:sz w:val="24"/>
    </w:rPr>
  </w:style>
  <w:style w:type="character" w:customStyle="1" w:styleId="BodyText2Char">
    <w:name w:val="Body Text 2 Char"/>
    <w:basedOn w:val="DefaultParagraphFont"/>
    <w:link w:val="BodyText2"/>
    <w:uiPriority w:val="99"/>
    <w:rsid w:val="008A1A24"/>
    <w:rPr>
      <w:rFonts w:ascii="Times New Roman" w:eastAsia="Times New Roman" w:hAnsi="Times New Roman" w:cs="Times New Roman"/>
      <w:sz w:val="24"/>
      <w:szCs w:val="24"/>
    </w:rPr>
  </w:style>
  <w:style w:type="character" w:styleId="Emphasis">
    <w:name w:val="Emphasis"/>
    <w:basedOn w:val="DefaultParagraphFont"/>
    <w:uiPriority w:val="20"/>
    <w:qFormat/>
    <w:rsid w:val="008A1A24"/>
    <w:rPr>
      <w:rFonts w:cs="Times New Roman"/>
      <w:i/>
    </w:rPr>
  </w:style>
  <w:style w:type="character" w:customStyle="1" w:styleId="CharChar1">
    <w:name w:val="Char Char1"/>
    <w:uiPriority w:val="99"/>
    <w:rsid w:val="008A1A24"/>
    <w:rPr>
      <w:rFonts w:ascii="Arial" w:eastAsia="MS Mincho" w:hAnsi="Arial"/>
      <w:b/>
      <w:kern w:val="32"/>
      <w:sz w:val="32"/>
      <w:lang w:val="en-AU" w:eastAsia="ja-JP"/>
    </w:rPr>
  </w:style>
  <w:style w:type="paragraph" w:styleId="BodyTextIndent3">
    <w:name w:val="Body Text Indent 3"/>
    <w:basedOn w:val="Normal"/>
    <w:link w:val="BodyTextIndent3Char"/>
    <w:uiPriority w:val="99"/>
    <w:rsid w:val="008A1A24"/>
    <w:pPr>
      <w:ind w:left="283"/>
    </w:pPr>
    <w:rPr>
      <w:rFonts w:ascii="Gill Sans MT" w:hAnsi="Gill Sans MT"/>
      <w:sz w:val="16"/>
      <w:szCs w:val="16"/>
    </w:rPr>
  </w:style>
  <w:style w:type="character" w:customStyle="1" w:styleId="BodyTextIndent3Char">
    <w:name w:val="Body Text Indent 3 Char"/>
    <w:basedOn w:val="DefaultParagraphFont"/>
    <w:link w:val="BodyTextIndent3"/>
    <w:uiPriority w:val="99"/>
    <w:rsid w:val="008A1A24"/>
    <w:rPr>
      <w:rFonts w:ascii="Gill Sans MT" w:eastAsia="Times New Roman" w:hAnsi="Gill Sans MT" w:cs="Times New Roman"/>
      <w:sz w:val="16"/>
      <w:szCs w:val="16"/>
      <w:lang w:val="en-GB"/>
    </w:rPr>
  </w:style>
  <w:style w:type="paragraph" w:styleId="CommentSubject">
    <w:name w:val="annotation subject"/>
    <w:basedOn w:val="CommentText"/>
    <w:next w:val="CommentText"/>
    <w:link w:val="CommentSubjectChar"/>
    <w:uiPriority w:val="99"/>
    <w:semiHidden/>
    <w:rsid w:val="008A1A24"/>
    <w:rPr>
      <w:b/>
      <w:bCs/>
    </w:rPr>
  </w:style>
  <w:style w:type="character" w:customStyle="1" w:styleId="CommentSubjectChar">
    <w:name w:val="Comment Subject Char"/>
    <w:basedOn w:val="CommentTextChar"/>
    <w:link w:val="CommentSubject"/>
    <w:uiPriority w:val="99"/>
    <w:semiHidden/>
    <w:rsid w:val="008A1A24"/>
    <w:rPr>
      <w:rFonts w:ascii="Gill Sans MT" w:eastAsia="Times New Roman" w:hAnsi="Gill Sans MT" w:cs="Times New Roman"/>
      <w:b/>
      <w:bCs/>
      <w:sz w:val="20"/>
      <w:szCs w:val="20"/>
      <w:lang w:eastAsia="en-AU"/>
    </w:rPr>
  </w:style>
  <w:style w:type="paragraph" w:styleId="Caption">
    <w:name w:val="caption"/>
    <w:aliases w:val="Fig title,Figures,Caption Char Char,Caption Char1,Caption Char4 Char1,Caption Char1 Char5 Char,Caption Char4 Char Char2 Char,Caption Char1 Char2 Char Char4 Char,Caption Char4 Char Char Char1 Char2 Char"/>
    <w:basedOn w:val="Normal"/>
    <w:next w:val="Normal"/>
    <w:autoRedefine/>
    <w:uiPriority w:val="99"/>
    <w:qFormat/>
    <w:rsid w:val="002B5296"/>
    <w:pPr>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before="120"/>
    </w:pPr>
    <w:rPr>
      <w:rFonts w:ascii="Arial Narrow" w:eastAsia="SimSun" w:hAnsi="Arial Narrow" w:cs="Times New Roman"/>
      <w:sz w:val="20"/>
      <w:lang w:val="en-GB"/>
    </w:rPr>
  </w:style>
  <w:style w:type="paragraph" w:customStyle="1" w:styleId="Captions">
    <w:name w:val="Captions"/>
    <w:basedOn w:val="Normal"/>
    <w:uiPriority w:val="99"/>
    <w:semiHidden/>
    <w:rsid w:val="008A1A24"/>
    <w:rPr>
      <w:rFonts w:ascii="Times New Roman" w:hAnsi="Times New Roman"/>
      <w:i/>
      <w:sz w:val="24"/>
    </w:rPr>
  </w:style>
  <w:style w:type="paragraph" w:customStyle="1" w:styleId="Pa3">
    <w:name w:val="Pa3"/>
    <w:basedOn w:val="Normal"/>
    <w:next w:val="Normal"/>
    <w:uiPriority w:val="99"/>
    <w:rsid w:val="008A1A24"/>
    <w:pPr>
      <w:autoSpaceDE w:val="0"/>
      <w:autoSpaceDN w:val="0"/>
      <w:adjustRightInd w:val="0"/>
      <w:spacing w:line="161" w:lineRule="atLeast"/>
    </w:pPr>
    <w:rPr>
      <w:rFonts w:ascii="Minion Pro" w:eastAsia="MS Mincho" w:hAnsi="Minion Pro"/>
      <w:sz w:val="24"/>
      <w:lang w:eastAsia="ja-JP"/>
    </w:rPr>
  </w:style>
  <w:style w:type="character" w:customStyle="1" w:styleId="A3">
    <w:name w:val="A3"/>
    <w:uiPriority w:val="99"/>
    <w:rsid w:val="008A1A24"/>
    <w:rPr>
      <w:color w:val="221E1F"/>
      <w:sz w:val="22"/>
    </w:rPr>
  </w:style>
  <w:style w:type="paragraph" w:customStyle="1" w:styleId="default">
    <w:name w:val="default"/>
    <w:basedOn w:val="Normal"/>
    <w:uiPriority w:val="99"/>
    <w:rsid w:val="008A1A24"/>
    <w:pPr>
      <w:autoSpaceDE w:val="0"/>
      <w:autoSpaceDN w:val="0"/>
    </w:pPr>
    <w:rPr>
      <w:rFonts w:ascii="Times New Roman" w:eastAsia="MS Mincho" w:hAnsi="Times New Roman"/>
      <w:color w:val="000000"/>
      <w:sz w:val="24"/>
      <w:lang w:eastAsia="ja-JP"/>
    </w:rPr>
  </w:style>
  <w:style w:type="character" w:customStyle="1" w:styleId="ant1">
    <w:name w:val="ant1"/>
    <w:uiPriority w:val="99"/>
    <w:rsid w:val="008A1A24"/>
  </w:style>
  <w:style w:type="paragraph" w:customStyle="1" w:styleId="table0">
    <w:name w:val="table"/>
    <w:basedOn w:val="Normal"/>
    <w:uiPriority w:val="99"/>
    <w:rsid w:val="008A1A24"/>
    <w:rPr>
      <w:rFonts w:ascii="Arial Narrow" w:hAnsi="Arial Narrow"/>
      <w:lang w:eastAsia="en-AU"/>
    </w:rPr>
  </w:style>
  <w:style w:type="character" w:styleId="FootnoteReference">
    <w:name w:val="footnote reference"/>
    <w:basedOn w:val="DefaultParagraphFont"/>
    <w:uiPriority w:val="99"/>
    <w:rsid w:val="008A1A24"/>
    <w:rPr>
      <w:rFonts w:cs="Times New Roman"/>
      <w:vertAlign w:val="superscript"/>
    </w:rPr>
  </w:style>
  <w:style w:type="character" w:customStyle="1" w:styleId="authors5">
    <w:name w:val="authors5"/>
    <w:uiPriority w:val="99"/>
    <w:rsid w:val="008A1A24"/>
  </w:style>
  <w:style w:type="character" w:styleId="FollowedHyperlink">
    <w:name w:val="FollowedHyperlink"/>
    <w:basedOn w:val="DefaultParagraphFont"/>
    <w:uiPriority w:val="99"/>
    <w:rsid w:val="008A1A24"/>
    <w:rPr>
      <w:rFonts w:cs="Times New Roman"/>
      <w:color w:val="800080"/>
      <w:u w:val="single"/>
    </w:rPr>
  </w:style>
  <w:style w:type="paragraph" w:styleId="ListParagraph">
    <w:name w:val="List Paragraph"/>
    <w:basedOn w:val="Normal"/>
    <w:link w:val="ListParagraphChar"/>
    <w:uiPriority w:val="34"/>
    <w:qFormat/>
    <w:rsid w:val="008A1A24"/>
    <w:pPr>
      <w:ind w:left="720"/>
      <w:contextualSpacing/>
    </w:pPr>
    <w:rPr>
      <w:lang w:eastAsia="en-GB"/>
    </w:rPr>
  </w:style>
  <w:style w:type="paragraph" w:customStyle="1" w:styleId="Default0">
    <w:name w:val="Default"/>
    <w:uiPriority w:val="99"/>
    <w:rsid w:val="008A1A24"/>
    <w:pPr>
      <w:autoSpaceDE w:val="0"/>
      <w:autoSpaceDN w:val="0"/>
      <w:adjustRightInd w:val="0"/>
      <w:spacing w:after="0"/>
    </w:pPr>
    <w:rPr>
      <w:rFonts w:ascii="Calibri" w:eastAsia="Times New Roman" w:hAnsi="Calibri" w:cs="Calibri"/>
      <w:color w:val="000000"/>
      <w:sz w:val="24"/>
      <w:lang w:val="en-GB" w:eastAsia="en-GB"/>
    </w:rPr>
  </w:style>
  <w:style w:type="paragraph" w:styleId="Revision">
    <w:name w:val="Revision"/>
    <w:hidden/>
    <w:uiPriority w:val="99"/>
    <w:semiHidden/>
    <w:rsid w:val="008A1A24"/>
    <w:pPr>
      <w:spacing w:after="0"/>
    </w:pPr>
    <w:rPr>
      <w:rFonts w:ascii="Gill Sans MT" w:eastAsia="Times New Roman" w:hAnsi="Gill Sans MT" w:cs="Times New Roman"/>
      <w:szCs w:val="20"/>
      <w:lang w:val="en-GB"/>
    </w:rPr>
  </w:style>
  <w:style w:type="paragraph" w:styleId="NoSpacing">
    <w:name w:val="No Spacing"/>
    <w:uiPriority w:val="99"/>
    <w:qFormat/>
    <w:rsid w:val="008A1A24"/>
    <w:pPr>
      <w:spacing w:after="0"/>
    </w:pPr>
    <w:rPr>
      <w:rFonts w:ascii="Gill Sans MT" w:eastAsia="Times New Roman" w:hAnsi="Gill Sans MT" w:cs="Times New Roman"/>
      <w:szCs w:val="20"/>
      <w:lang w:val="en-GB"/>
    </w:rPr>
  </w:style>
  <w:style w:type="character" w:customStyle="1" w:styleId="Heading2Char1">
    <w:name w:val="Heading 2 Char1"/>
    <w:basedOn w:val="DefaultParagraphFont"/>
    <w:link w:val="Heading2"/>
    <w:uiPriority w:val="99"/>
    <w:rsid w:val="006F1D4F"/>
    <w:rPr>
      <w:rFonts w:eastAsiaTheme="majorEastAsia" w:cstheme="majorBidi"/>
      <w:b/>
      <w:bCs/>
      <w:sz w:val="26"/>
      <w:szCs w:val="26"/>
    </w:rPr>
  </w:style>
  <w:style w:type="character" w:styleId="SubtleReference">
    <w:name w:val="Subtle Reference"/>
    <w:basedOn w:val="DefaultParagraphFont"/>
    <w:uiPriority w:val="31"/>
    <w:qFormat/>
    <w:rsid w:val="008A1A24"/>
    <w:rPr>
      <w:rFonts w:ascii="Arial Narrow" w:hAnsi="Arial Narrow"/>
      <w:smallCaps/>
      <w:color w:val="000000" w:themeColor="text1"/>
      <w:sz w:val="20"/>
      <w:u w:val="none"/>
    </w:rPr>
  </w:style>
  <w:style w:type="character" w:styleId="IntenseReference">
    <w:name w:val="Intense Reference"/>
    <w:aliases w:val="fig tab body"/>
    <w:uiPriority w:val="32"/>
    <w:qFormat/>
    <w:rsid w:val="003E1937"/>
    <w:rPr>
      <w:rFonts w:ascii="Arial Narrow" w:eastAsia="SimSun" w:hAnsi="Arial Narrow"/>
      <w:bCs/>
      <w:sz w:val="20"/>
    </w:rPr>
  </w:style>
  <w:style w:type="character" w:customStyle="1" w:styleId="cit-issue1">
    <w:name w:val="cit-issue1"/>
    <w:basedOn w:val="DefaultParagraphFont"/>
    <w:rsid w:val="008A1A24"/>
    <w:rPr>
      <w:vanish/>
      <w:webHidden w:val="0"/>
      <w:specVanish w:val="0"/>
    </w:rPr>
  </w:style>
  <w:style w:type="character" w:customStyle="1" w:styleId="cit-vol2">
    <w:name w:val="cit-vol2"/>
    <w:basedOn w:val="DefaultParagraphFont"/>
    <w:rsid w:val="008A1A24"/>
  </w:style>
  <w:style w:type="character" w:customStyle="1" w:styleId="cit-elocation">
    <w:name w:val="cit-elocation"/>
    <w:basedOn w:val="DefaultParagraphFont"/>
    <w:rsid w:val="008A1A24"/>
  </w:style>
  <w:style w:type="character" w:customStyle="1" w:styleId="cit-sep2">
    <w:name w:val="cit-sep2"/>
    <w:basedOn w:val="DefaultParagraphFont"/>
    <w:rsid w:val="008A1A24"/>
  </w:style>
  <w:style w:type="character" w:customStyle="1" w:styleId="cit-doi3">
    <w:name w:val="cit-doi3"/>
    <w:basedOn w:val="DefaultParagraphFont"/>
    <w:rsid w:val="008A1A24"/>
  </w:style>
  <w:style w:type="character" w:customStyle="1" w:styleId="ListParagraphChar">
    <w:name w:val="List Paragraph Char"/>
    <w:basedOn w:val="DefaultParagraphFont"/>
    <w:link w:val="ListParagraph"/>
    <w:uiPriority w:val="34"/>
    <w:locked/>
    <w:rsid w:val="008A1A24"/>
    <w:rPr>
      <w:rFonts w:ascii="Arial" w:eastAsia="Times New Roman" w:hAnsi="Arial" w:cs="Times New Roman"/>
      <w:szCs w:val="24"/>
      <w:lang w:val="en-GB" w:eastAsia="en-GB"/>
    </w:rPr>
  </w:style>
  <w:style w:type="paragraph" w:styleId="Bibliography">
    <w:name w:val="Bibliography"/>
    <w:basedOn w:val="Normal"/>
    <w:next w:val="Normal"/>
    <w:uiPriority w:val="37"/>
    <w:semiHidden/>
    <w:unhideWhenUsed/>
    <w:rsid w:val="008A1A24"/>
  </w:style>
  <w:style w:type="paragraph" w:styleId="BlockText">
    <w:name w:val="Block Text"/>
    <w:basedOn w:val="Normal"/>
    <w:uiPriority w:val="99"/>
    <w:semiHidden/>
    <w:unhideWhenUsed/>
    <w:rsid w:val="008A1A24"/>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eastAsiaTheme="minorEastAsia" w:hAnsiTheme="minorHAnsi" w:cstheme="minorBidi"/>
      <w:i/>
      <w:iCs/>
      <w:color w:val="4F81BD" w:themeColor="accent1"/>
    </w:rPr>
  </w:style>
  <w:style w:type="paragraph" w:styleId="BodyText3">
    <w:name w:val="Body Text 3"/>
    <w:basedOn w:val="Normal"/>
    <w:link w:val="BodyText3Char"/>
    <w:uiPriority w:val="99"/>
    <w:semiHidden/>
    <w:unhideWhenUsed/>
    <w:rsid w:val="008A1A24"/>
    <w:rPr>
      <w:sz w:val="16"/>
      <w:szCs w:val="16"/>
    </w:rPr>
  </w:style>
  <w:style w:type="character" w:customStyle="1" w:styleId="BodyText3Char">
    <w:name w:val="Body Text 3 Char"/>
    <w:basedOn w:val="DefaultParagraphFont"/>
    <w:link w:val="BodyText3"/>
    <w:uiPriority w:val="99"/>
    <w:semiHidden/>
    <w:rsid w:val="008A1A24"/>
    <w:rPr>
      <w:rFonts w:ascii="Arial" w:eastAsia="Times New Roman" w:hAnsi="Arial" w:cs="Times New Roman"/>
      <w:sz w:val="16"/>
      <w:szCs w:val="16"/>
      <w:lang w:val="en-GB"/>
    </w:rPr>
  </w:style>
  <w:style w:type="paragraph" w:styleId="BodyTextFirstIndent">
    <w:name w:val="Body Text First Indent"/>
    <w:basedOn w:val="BodyText"/>
    <w:link w:val="BodyTextFirstIndentChar"/>
    <w:uiPriority w:val="99"/>
    <w:semiHidden/>
    <w:unhideWhenUsed/>
    <w:rsid w:val="008A1A24"/>
    <w:pPr>
      <w:autoSpaceDE/>
      <w:autoSpaceDN/>
      <w:adjustRightInd/>
      <w:spacing w:line="240" w:lineRule="auto"/>
      <w:ind w:firstLine="360"/>
    </w:pPr>
    <w:rPr>
      <w:rFonts w:ascii="Arial" w:hAnsi="Arial"/>
      <w:sz w:val="22"/>
    </w:rPr>
  </w:style>
  <w:style w:type="character" w:customStyle="1" w:styleId="BodyTextFirstIndentChar">
    <w:name w:val="Body Text First Indent Char"/>
    <w:basedOn w:val="BodyTextChar"/>
    <w:link w:val="BodyTextFirstIndent"/>
    <w:uiPriority w:val="99"/>
    <w:semiHidden/>
    <w:rsid w:val="008A1A24"/>
    <w:rPr>
      <w:rFonts w:ascii="Arial" w:eastAsia="Times New Roman" w:hAnsi="Arial" w:cs="Times New Roman"/>
      <w:sz w:val="20"/>
      <w:szCs w:val="20"/>
      <w:lang w:val="en-GB"/>
    </w:rPr>
  </w:style>
  <w:style w:type="paragraph" w:styleId="BodyTextFirstIndent2">
    <w:name w:val="Body Text First Indent 2"/>
    <w:basedOn w:val="BodyTextIndent"/>
    <w:link w:val="BodyTextFirstIndent2Char"/>
    <w:uiPriority w:val="99"/>
    <w:semiHidden/>
    <w:unhideWhenUsed/>
    <w:rsid w:val="008A1A24"/>
    <w:pPr>
      <w:spacing w:after="0"/>
      <w:ind w:left="360" w:firstLine="360"/>
    </w:pPr>
    <w:rPr>
      <w:rFonts w:ascii="Arial" w:hAnsi="Arial"/>
      <w:sz w:val="22"/>
    </w:rPr>
  </w:style>
  <w:style w:type="character" w:customStyle="1" w:styleId="BodyTextFirstIndent2Char">
    <w:name w:val="Body Text First Indent 2 Char"/>
    <w:basedOn w:val="BodyTextIndentChar"/>
    <w:link w:val="BodyTextFirstIndent2"/>
    <w:uiPriority w:val="99"/>
    <w:semiHidden/>
    <w:rsid w:val="008A1A24"/>
    <w:rPr>
      <w:rFonts w:ascii="Arial" w:eastAsia="Times New Roman" w:hAnsi="Arial" w:cs="Times New Roman"/>
      <w:sz w:val="20"/>
      <w:szCs w:val="20"/>
      <w:lang w:val="en-GB"/>
    </w:rPr>
  </w:style>
  <w:style w:type="paragraph" w:styleId="Closing">
    <w:name w:val="Closing"/>
    <w:basedOn w:val="Normal"/>
    <w:link w:val="ClosingChar"/>
    <w:uiPriority w:val="99"/>
    <w:semiHidden/>
    <w:unhideWhenUsed/>
    <w:rsid w:val="008A1A24"/>
    <w:pPr>
      <w:ind w:left="4252"/>
    </w:pPr>
  </w:style>
  <w:style w:type="character" w:customStyle="1" w:styleId="ClosingChar">
    <w:name w:val="Closing Char"/>
    <w:basedOn w:val="DefaultParagraphFont"/>
    <w:link w:val="Closing"/>
    <w:uiPriority w:val="99"/>
    <w:semiHidden/>
    <w:rsid w:val="008A1A24"/>
    <w:rPr>
      <w:rFonts w:ascii="Arial" w:eastAsia="Times New Roman" w:hAnsi="Arial" w:cs="Times New Roman"/>
      <w:szCs w:val="20"/>
      <w:lang w:val="en-GB"/>
    </w:rPr>
  </w:style>
  <w:style w:type="paragraph" w:styleId="Date">
    <w:name w:val="Date"/>
    <w:basedOn w:val="Normal"/>
    <w:next w:val="Normal"/>
    <w:link w:val="DateChar"/>
    <w:uiPriority w:val="99"/>
    <w:semiHidden/>
    <w:unhideWhenUsed/>
    <w:rsid w:val="008A1A24"/>
  </w:style>
  <w:style w:type="character" w:customStyle="1" w:styleId="DateChar">
    <w:name w:val="Date Char"/>
    <w:basedOn w:val="DefaultParagraphFont"/>
    <w:link w:val="Date"/>
    <w:uiPriority w:val="99"/>
    <w:semiHidden/>
    <w:rsid w:val="008A1A24"/>
    <w:rPr>
      <w:rFonts w:ascii="Arial" w:eastAsia="Times New Roman" w:hAnsi="Arial" w:cs="Times New Roman"/>
      <w:szCs w:val="20"/>
      <w:lang w:val="en-GB"/>
    </w:rPr>
  </w:style>
  <w:style w:type="paragraph" w:styleId="E-mailSignature">
    <w:name w:val="E-mail Signature"/>
    <w:basedOn w:val="Normal"/>
    <w:link w:val="E-mailSignatureChar"/>
    <w:uiPriority w:val="99"/>
    <w:semiHidden/>
    <w:unhideWhenUsed/>
    <w:rsid w:val="008A1A24"/>
  </w:style>
  <w:style w:type="character" w:customStyle="1" w:styleId="E-mailSignatureChar">
    <w:name w:val="E-mail Signature Char"/>
    <w:basedOn w:val="DefaultParagraphFont"/>
    <w:link w:val="E-mailSignature"/>
    <w:uiPriority w:val="99"/>
    <w:semiHidden/>
    <w:rsid w:val="008A1A24"/>
    <w:rPr>
      <w:rFonts w:ascii="Arial" w:eastAsia="Times New Roman" w:hAnsi="Arial" w:cs="Times New Roman"/>
      <w:szCs w:val="20"/>
      <w:lang w:val="en-GB"/>
    </w:rPr>
  </w:style>
  <w:style w:type="paragraph" w:styleId="EndnoteText">
    <w:name w:val="endnote text"/>
    <w:basedOn w:val="Normal"/>
    <w:link w:val="EndnoteTextChar"/>
    <w:uiPriority w:val="99"/>
    <w:semiHidden/>
    <w:unhideWhenUsed/>
    <w:rsid w:val="008A1A24"/>
    <w:rPr>
      <w:sz w:val="20"/>
    </w:rPr>
  </w:style>
  <w:style w:type="character" w:customStyle="1" w:styleId="EndnoteTextChar">
    <w:name w:val="Endnote Text Char"/>
    <w:basedOn w:val="DefaultParagraphFont"/>
    <w:link w:val="EndnoteText"/>
    <w:uiPriority w:val="99"/>
    <w:semiHidden/>
    <w:rsid w:val="008A1A24"/>
    <w:rPr>
      <w:rFonts w:ascii="Arial" w:eastAsia="Times New Roman" w:hAnsi="Arial" w:cs="Times New Roman"/>
      <w:sz w:val="20"/>
      <w:szCs w:val="20"/>
      <w:lang w:val="en-GB"/>
    </w:rPr>
  </w:style>
  <w:style w:type="paragraph" w:styleId="EnvelopeAddress">
    <w:name w:val="envelope address"/>
    <w:basedOn w:val="Normal"/>
    <w:uiPriority w:val="99"/>
    <w:semiHidden/>
    <w:unhideWhenUsed/>
    <w:rsid w:val="008A1A24"/>
    <w:pPr>
      <w:framePr w:w="7920" w:h="1980" w:hRule="exact" w:hSpace="180" w:wrap="auto" w:hAnchor="page" w:xAlign="center" w:yAlign="bottom"/>
      <w:ind w:left="2880"/>
    </w:pPr>
    <w:rPr>
      <w:rFonts w:asciiTheme="majorHAnsi" w:eastAsiaTheme="majorEastAsia" w:hAnsiTheme="majorHAnsi" w:cstheme="majorBidi"/>
      <w:sz w:val="24"/>
    </w:rPr>
  </w:style>
  <w:style w:type="paragraph" w:styleId="EnvelopeReturn">
    <w:name w:val="envelope return"/>
    <w:basedOn w:val="Normal"/>
    <w:uiPriority w:val="99"/>
    <w:semiHidden/>
    <w:unhideWhenUsed/>
    <w:rsid w:val="008A1A24"/>
    <w:rPr>
      <w:rFonts w:asciiTheme="majorHAnsi" w:eastAsiaTheme="majorEastAsia" w:hAnsiTheme="majorHAnsi" w:cstheme="majorBidi"/>
      <w:sz w:val="20"/>
    </w:rPr>
  </w:style>
  <w:style w:type="paragraph" w:styleId="HTMLAddress">
    <w:name w:val="HTML Address"/>
    <w:basedOn w:val="Normal"/>
    <w:link w:val="HTMLAddressChar"/>
    <w:uiPriority w:val="99"/>
    <w:semiHidden/>
    <w:unhideWhenUsed/>
    <w:rsid w:val="008A1A24"/>
    <w:rPr>
      <w:i/>
      <w:iCs/>
    </w:rPr>
  </w:style>
  <w:style w:type="character" w:customStyle="1" w:styleId="HTMLAddressChar">
    <w:name w:val="HTML Address Char"/>
    <w:basedOn w:val="DefaultParagraphFont"/>
    <w:link w:val="HTMLAddress"/>
    <w:uiPriority w:val="99"/>
    <w:semiHidden/>
    <w:rsid w:val="008A1A24"/>
    <w:rPr>
      <w:rFonts w:ascii="Arial" w:eastAsia="Times New Roman" w:hAnsi="Arial" w:cs="Times New Roman"/>
      <w:i/>
      <w:iCs/>
      <w:szCs w:val="20"/>
      <w:lang w:val="en-GB"/>
    </w:rPr>
  </w:style>
  <w:style w:type="paragraph" w:styleId="HTMLPreformatted">
    <w:name w:val="HTML Preformatted"/>
    <w:basedOn w:val="Normal"/>
    <w:link w:val="HTMLPreformattedChar"/>
    <w:uiPriority w:val="99"/>
    <w:semiHidden/>
    <w:unhideWhenUsed/>
    <w:rsid w:val="008A1A24"/>
    <w:rPr>
      <w:rFonts w:ascii="Consolas" w:hAnsi="Consolas" w:cs="Consolas"/>
      <w:sz w:val="20"/>
    </w:rPr>
  </w:style>
  <w:style w:type="character" w:customStyle="1" w:styleId="HTMLPreformattedChar">
    <w:name w:val="HTML Preformatted Char"/>
    <w:basedOn w:val="DefaultParagraphFont"/>
    <w:link w:val="HTMLPreformatted"/>
    <w:uiPriority w:val="99"/>
    <w:semiHidden/>
    <w:rsid w:val="008A1A24"/>
    <w:rPr>
      <w:rFonts w:ascii="Consolas" w:eastAsia="Times New Roman" w:hAnsi="Consolas" w:cs="Consolas"/>
      <w:sz w:val="20"/>
      <w:szCs w:val="20"/>
      <w:lang w:val="en-GB"/>
    </w:rPr>
  </w:style>
  <w:style w:type="paragraph" w:styleId="Index1">
    <w:name w:val="index 1"/>
    <w:basedOn w:val="Normal"/>
    <w:next w:val="Normal"/>
    <w:autoRedefine/>
    <w:uiPriority w:val="99"/>
    <w:semiHidden/>
    <w:unhideWhenUsed/>
    <w:rsid w:val="008A1A24"/>
    <w:pPr>
      <w:ind w:left="220" w:hanging="220"/>
    </w:pPr>
  </w:style>
  <w:style w:type="paragraph" w:styleId="Index2">
    <w:name w:val="index 2"/>
    <w:basedOn w:val="Normal"/>
    <w:next w:val="Normal"/>
    <w:autoRedefine/>
    <w:uiPriority w:val="99"/>
    <w:semiHidden/>
    <w:unhideWhenUsed/>
    <w:rsid w:val="008A1A24"/>
    <w:pPr>
      <w:ind w:left="440" w:hanging="220"/>
    </w:pPr>
  </w:style>
  <w:style w:type="paragraph" w:styleId="Index3">
    <w:name w:val="index 3"/>
    <w:basedOn w:val="Normal"/>
    <w:next w:val="Normal"/>
    <w:autoRedefine/>
    <w:uiPriority w:val="99"/>
    <w:semiHidden/>
    <w:unhideWhenUsed/>
    <w:rsid w:val="008A1A24"/>
    <w:pPr>
      <w:ind w:left="660" w:hanging="220"/>
    </w:pPr>
  </w:style>
  <w:style w:type="paragraph" w:styleId="Index4">
    <w:name w:val="index 4"/>
    <w:basedOn w:val="Normal"/>
    <w:next w:val="Normal"/>
    <w:autoRedefine/>
    <w:uiPriority w:val="99"/>
    <w:semiHidden/>
    <w:unhideWhenUsed/>
    <w:rsid w:val="008A1A24"/>
    <w:pPr>
      <w:ind w:left="880" w:hanging="220"/>
    </w:pPr>
  </w:style>
  <w:style w:type="paragraph" w:styleId="Index5">
    <w:name w:val="index 5"/>
    <w:basedOn w:val="Normal"/>
    <w:next w:val="Normal"/>
    <w:autoRedefine/>
    <w:uiPriority w:val="99"/>
    <w:semiHidden/>
    <w:unhideWhenUsed/>
    <w:rsid w:val="008A1A24"/>
    <w:pPr>
      <w:ind w:left="1100" w:hanging="220"/>
    </w:pPr>
  </w:style>
  <w:style w:type="paragraph" w:styleId="Index6">
    <w:name w:val="index 6"/>
    <w:basedOn w:val="Normal"/>
    <w:next w:val="Normal"/>
    <w:autoRedefine/>
    <w:uiPriority w:val="99"/>
    <w:semiHidden/>
    <w:unhideWhenUsed/>
    <w:rsid w:val="008A1A24"/>
    <w:pPr>
      <w:ind w:left="1320" w:hanging="220"/>
    </w:pPr>
  </w:style>
  <w:style w:type="paragraph" w:styleId="Index7">
    <w:name w:val="index 7"/>
    <w:basedOn w:val="Normal"/>
    <w:next w:val="Normal"/>
    <w:autoRedefine/>
    <w:uiPriority w:val="99"/>
    <w:semiHidden/>
    <w:unhideWhenUsed/>
    <w:rsid w:val="008A1A24"/>
    <w:pPr>
      <w:ind w:left="1540" w:hanging="220"/>
    </w:pPr>
  </w:style>
  <w:style w:type="paragraph" w:styleId="Index8">
    <w:name w:val="index 8"/>
    <w:basedOn w:val="Normal"/>
    <w:next w:val="Normal"/>
    <w:autoRedefine/>
    <w:uiPriority w:val="99"/>
    <w:semiHidden/>
    <w:unhideWhenUsed/>
    <w:rsid w:val="008A1A24"/>
    <w:pPr>
      <w:ind w:left="1760" w:hanging="220"/>
    </w:pPr>
  </w:style>
  <w:style w:type="paragraph" w:styleId="Index9">
    <w:name w:val="index 9"/>
    <w:basedOn w:val="Normal"/>
    <w:next w:val="Normal"/>
    <w:autoRedefine/>
    <w:uiPriority w:val="99"/>
    <w:semiHidden/>
    <w:unhideWhenUsed/>
    <w:rsid w:val="008A1A24"/>
    <w:pPr>
      <w:ind w:left="1980" w:hanging="220"/>
    </w:pPr>
  </w:style>
  <w:style w:type="paragraph" w:styleId="IndexHeading">
    <w:name w:val="index heading"/>
    <w:basedOn w:val="Normal"/>
    <w:next w:val="Index1"/>
    <w:uiPriority w:val="99"/>
    <w:semiHidden/>
    <w:unhideWhenUsed/>
    <w:rsid w:val="008A1A24"/>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8A1A24"/>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8A1A24"/>
    <w:rPr>
      <w:rFonts w:ascii="Arial" w:eastAsia="Times New Roman" w:hAnsi="Arial" w:cs="Times New Roman"/>
      <w:b/>
      <w:bCs/>
      <w:i/>
      <w:iCs/>
      <w:color w:val="4F81BD" w:themeColor="accent1"/>
      <w:szCs w:val="20"/>
      <w:lang w:val="en-GB"/>
    </w:rPr>
  </w:style>
  <w:style w:type="paragraph" w:styleId="List">
    <w:name w:val="List"/>
    <w:basedOn w:val="Normal"/>
    <w:uiPriority w:val="99"/>
    <w:semiHidden/>
    <w:unhideWhenUsed/>
    <w:rsid w:val="008A1A24"/>
    <w:pPr>
      <w:ind w:left="283" w:hanging="283"/>
      <w:contextualSpacing/>
    </w:pPr>
  </w:style>
  <w:style w:type="paragraph" w:styleId="List2">
    <w:name w:val="List 2"/>
    <w:basedOn w:val="Normal"/>
    <w:uiPriority w:val="99"/>
    <w:semiHidden/>
    <w:unhideWhenUsed/>
    <w:rsid w:val="008A1A24"/>
    <w:pPr>
      <w:ind w:left="566" w:hanging="283"/>
      <w:contextualSpacing/>
    </w:pPr>
  </w:style>
  <w:style w:type="paragraph" w:styleId="List3">
    <w:name w:val="List 3"/>
    <w:basedOn w:val="Normal"/>
    <w:uiPriority w:val="99"/>
    <w:semiHidden/>
    <w:unhideWhenUsed/>
    <w:rsid w:val="008A1A24"/>
    <w:pPr>
      <w:ind w:left="849" w:hanging="283"/>
      <w:contextualSpacing/>
    </w:pPr>
  </w:style>
  <w:style w:type="paragraph" w:styleId="List4">
    <w:name w:val="List 4"/>
    <w:basedOn w:val="Normal"/>
    <w:uiPriority w:val="99"/>
    <w:semiHidden/>
    <w:unhideWhenUsed/>
    <w:rsid w:val="008A1A24"/>
    <w:pPr>
      <w:ind w:left="1132" w:hanging="283"/>
      <w:contextualSpacing/>
    </w:pPr>
  </w:style>
  <w:style w:type="paragraph" w:styleId="List5">
    <w:name w:val="List 5"/>
    <w:basedOn w:val="Normal"/>
    <w:uiPriority w:val="99"/>
    <w:semiHidden/>
    <w:unhideWhenUsed/>
    <w:rsid w:val="008A1A24"/>
    <w:pPr>
      <w:ind w:left="1415" w:hanging="283"/>
      <w:contextualSpacing/>
    </w:pPr>
  </w:style>
  <w:style w:type="paragraph" w:styleId="ListBullet">
    <w:name w:val="List Bullet"/>
    <w:basedOn w:val="Normal"/>
    <w:uiPriority w:val="99"/>
    <w:semiHidden/>
    <w:unhideWhenUsed/>
    <w:rsid w:val="008A1A24"/>
    <w:pPr>
      <w:numPr>
        <w:numId w:val="3"/>
      </w:numPr>
      <w:contextualSpacing/>
    </w:pPr>
  </w:style>
  <w:style w:type="paragraph" w:styleId="ListBullet3">
    <w:name w:val="List Bullet 3"/>
    <w:basedOn w:val="Normal"/>
    <w:uiPriority w:val="99"/>
    <w:semiHidden/>
    <w:unhideWhenUsed/>
    <w:rsid w:val="008A1A24"/>
    <w:pPr>
      <w:numPr>
        <w:numId w:val="4"/>
      </w:numPr>
      <w:contextualSpacing/>
    </w:pPr>
  </w:style>
  <w:style w:type="paragraph" w:styleId="ListBullet4">
    <w:name w:val="List Bullet 4"/>
    <w:basedOn w:val="Normal"/>
    <w:uiPriority w:val="99"/>
    <w:semiHidden/>
    <w:unhideWhenUsed/>
    <w:rsid w:val="008A1A24"/>
    <w:pPr>
      <w:numPr>
        <w:numId w:val="5"/>
      </w:numPr>
      <w:contextualSpacing/>
    </w:pPr>
  </w:style>
  <w:style w:type="paragraph" w:styleId="ListBullet5">
    <w:name w:val="List Bullet 5"/>
    <w:basedOn w:val="Normal"/>
    <w:uiPriority w:val="99"/>
    <w:semiHidden/>
    <w:unhideWhenUsed/>
    <w:rsid w:val="008A1A24"/>
    <w:pPr>
      <w:numPr>
        <w:numId w:val="6"/>
      </w:numPr>
      <w:contextualSpacing/>
    </w:pPr>
  </w:style>
  <w:style w:type="paragraph" w:styleId="ListContinue">
    <w:name w:val="List Continue"/>
    <w:basedOn w:val="Normal"/>
    <w:uiPriority w:val="99"/>
    <w:semiHidden/>
    <w:unhideWhenUsed/>
    <w:rsid w:val="008A1A24"/>
    <w:pPr>
      <w:ind w:left="283"/>
      <w:contextualSpacing/>
    </w:pPr>
  </w:style>
  <w:style w:type="paragraph" w:styleId="ListContinue2">
    <w:name w:val="List Continue 2"/>
    <w:basedOn w:val="Normal"/>
    <w:uiPriority w:val="99"/>
    <w:semiHidden/>
    <w:unhideWhenUsed/>
    <w:rsid w:val="008A1A24"/>
    <w:pPr>
      <w:ind w:left="566"/>
      <w:contextualSpacing/>
    </w:pPr>
  </w:style>
  <w:style w:type="paragraph" w:styleId="ListContinue3">
    <w:name w:val="List Continue 3"/>
    <w:basedOn w:val="Normal"/>
    <w:uiPriority w:val="99"/>
    <w:semiHidden/>
    <w:unhideWhenUsed/>
    <w:rsid w:val="008A1A24"/>
    <w:pPr>
      <w:ind w:left="849"/>
      <w:contextualSpacing/>
    </w:pPr>
  </w:style>
  <w:style w:type="paragraph" w:styleId="ListContinue4">
    <w:name w:val="List Continue 4"/>
    <w:basedOn w:val="Normal"/>
    <w:uiPriority w:val="99"/>
    <w:semiHidden/>
    <w:unhideWhenUsed/>
    <w:rsid w:val="008A1A24"/>
    <w:pPr>
      <w:ind w:left="1132"/>
      <w:contextualSpacing/>
    </w:pPr>
  </w:style>
  <w:style w:type="paragraph" w:styleId="ListContinue5">
    <w:name w:val="List Continue 5"/>
    <w:basedOn w:val="Normal"/>
    <w:uiPriority w:val="99"/>
    <w:semiHidden/>
    <w:unhideWhenUsed/>
    <w:rsid w:val="008A1A24"/>
    <w:pPr>
      <w:ind w:left="1415"/>
      <w:contextualSpacing/>
    </w:pPr>
  </w:style>
  <w:style w:type="paragraph" w:styleId="ListNumber">
    <w:name w:val="List Number"/>
    <w:basedOn w:val="Normal"/>
    <w:uiPriority w:val="99"/>
    <w:semiHidden/>
    <w:unhideWhenUsed/>
    <w:rsid w:val="008A1A24"/>
    <w:pPr>
      <w:numPr>
        <w:numId w:val="7"/>
      </w:numPr>
      <w:contextualSpacing/>
    </w:pPr>
  </w:style>
  <w:style w:type="paragraph" w:styleId="ListNumber2">
    <w:name w:val="List Number 2"/>
    <w:basedOn w:val="Normal"/>
    <w:uiPriority w:val="99"/>
    <w:semiHidden/>
    <w:unhideWhenUsed/>
    <w:rsid w:val="008A1A24"/>
    <w:pPr>
      <w:numPr>
        <w:numId w:val="8"/>
      </w:numPr>
      <w:contextualSpacing/>
    </w:pPr>
  </w:style>
  <w:style w:type="paragraph" w:styleId="ListNumber3">
    <w:name w:val="List Number 3"/>
    <w:basedOn w:val="Normal"/>
    <w:uiPriority w:val="99"/>
    <w:semiHidden/>
    <w:unhideWhenUsed/>
    <w:rsid w:val="008A1A24"/>
    <w:pPr>
      <w:numPr>
        <w:numId w:val="9"/>
      </w:numPr>
      <w:contextualSpacing/>
    </w:pPr>
  </w:style>
  <w:style w:type="paragraph" w:styleId="ListNumber4">
    <w:name w:val="List Number 4"/>
    <w:basedOn w:val="Normal"/>
    <w:uiPriority w:val="99"/>
    <w:semiHidden/>
    <w:unhideWhenUsed/>
    <w:rsid w:val="008A1A24"/>
    <w:pPr>
      <w:numPr>
        <w:numId w:val="10"/>
      </w:numPr>
      <w:contextualSpacing/>
    </w:pPr>
  </w:style>
  <w:style w:type="paragraph" w:styleId="ListNumber5">
    <w:name w:val="List Number 5"/>
    <w:basedOn w:val="Normal"/>
    <w:uiPriority w:val="99"/>
    <w:semiHidden/>
    <w:unhideWhenUsed/>
    <w:rsid w:val="008A1A24"/>
    <w:pPr>
      <w:numPr>
        <w:numId w:val="11"/>
      </w:numPr>
      <w:contextualSpacing/>
    </w:pPr>
  </w:style>
  <w:style w:type="paragraph" w:styleId="MacroText">
    <w:name w:val="macro"/>
    <w:link w:val="MacroTextChar"/>
    <w:uiPriority w:val="99"/>
    <w:semiHidden/>
    <w:unhideWhenUsed/>
    <w:rsid w:val="008A1A24"/>
    <w:pPr>
      <w:tabs>
        <w:tab w:val="left" w:pos="480"/>
        <w:tab w:val="left" w:pos="960"/>
        <w:tab w:val="left" w:pos="1440"/>
        <w:tab w:val="left" w:pos="1920"/>
        <w:tab w:val="left" w:pos="2400"/>
        <w:tab w:val="left" w:pos="2880"/>
        <w:tab w:val="left" w:pos="3360"/>
        <w:tab w:val="left" w:pos="3840"/>
        <w:tab w:val="left" w:pos="4320"/>
      </w:tabs>
      <w:spacing w:after="0"/>
    </w:pPr>
    <w:rPr>
      <w:rFonts w:ascii="Consolas" w:eastAsia="Times New Roman" w:hAnsi="Consolas" w:cs="Consolas"/>
      <w:sz w:val="20"/>
      <w:szCs w:val="20"/>
      <w:lang w:val="en-GB"/>
    </w:rPr>
  </w:style>
  <w:style w:type="character" w:customStyle="1" w:styleId="MacroTextChar">
    <w:name w:val="Macro Text Char"/>
    <w:basedOn w:val="DefaultParagraphFont"/>
    <w:link w:val="MacroText"/>
    <w:uiPriority w:val="99"/>
    <w:semiHidden/>
    <w:rsid w:val="008A1A24"/>
    <w:rPr>
      <w:rFonts w:ascii="Consolas" w:eastAsia="Times New Roman" w:hAnsi="Consolas" w:cs="Consolas"/>
      <w:sz w:val="20"/>
      <w:szCs w:val="20"/>
      <w:lang w:val="en-GB"/>
    </w:rPr>
  </w:style>
  <w:style w:type="paragraph" w:styleId="MessageHeader">
    <w:name w:val="Message Header"/>
    <w:basedOn w:val="Normal"/>
    <w:link w:val="MessageHeaderChar"/>
    <w:uiPriority w:val="99"/>
    <w:semiHidden/>
    <w:unhideWhenUsed/>
    <w:rsid w:val="008A1A2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rPr>
  </w:style>
  <w:style w:type="character" w:customStyle="1" w:styleId="MessageHeaderChar">
    <w:name w:val="Message Header Char"/>
    <w:basedOn w:val="DefaultParagraphFont"/>
    <w:link w:val="MessageHeader"/>
    <w:uiPriority w:val="99"/>
    <w:semiHidden/>
    <w:rsid w:val="008A1A24"/>
    <w:rPr>
      <w:rFonts w:asciiTheme="majorHAnsi" w:eastAsiaTheme="majorEastAsia" w:hAnsiTheme="majorHAnsi" w:cstheme="majorBidi"/>
      <w:sz w:val="24"/>
      <w:szCs w:val="24"/>
      <w:shd w:val="pct20" w:color="auto" w:fill="auto"/>
      <w:lang w:val="en-GB"/>
    </w:rPr>
  </w:style>
  <w:style w:type="paragraph" w:styleId="NormalIndent">
    <w:name w:val="Normal Indent"/>
    <w:basedOn w:val="Normal"/>
    <w:uiPriority w:val="99"/>
    <w:semiHidden/>
    <w:unhideWhenUsed/>
    <w:rsid w:val="008A1A24"/>
    <w:pPr>
      <w:ind w:left="720"/>
    </w:pPr>
  </w:style>
  <w:style w:type="paragraph" w:styleId="NoteHeading">
    <w:name w:val="Note Heading"/>
    <w:basedOn w:val="Normal"/>
    <w:next w:val="Normal"/>
    <w:link w:val="NoteHeadingChar"/>
    <w:uiPriority w:val="99"/>
    <w:semiHidden/>
    <w:unhideWhenUsed/>
    <w:rsid w:val="008A1A24"/>
  </w:style>
  <w:style w:type="character" w:customStyle="1" w:styleId="NoteHeadingChar">
    <w:name w:val="Note Heading Char"/>
    <w:basedOn w:val="DefaultParagraphFont"/>
    <w:link w:val="NoteHeading"/>
    <w:uiPriority w:val="99"/>
    <w:semiHidden/>
    <w:rsid w:val="008A1A24"/>
    <w:rPr>
      <w:rFonts w:ascii="Arial" w:eastAsia="Times New Roman" w:hAnsi="Arial" w:cs="Times New Roman"/>
      <w:szCs w:val="20"/>
      <w:lang w:val="en-GB"/>
    </w:rPr>
  </w:style>
  <w:style w:type="paragraph" w:styleId="Quote">
    <w:name w:val="Quote"/>
    <w:basedOn w:val="Normal"/>
    <w:next w:val="Normal"/>
    <w:link w:val="QuoteChar"/>
    <w:uiPriority w:val="29"/>
    <w:qFormat/>
    <w:rsid w:val="008A1A24"/>
    <w:rPr>
      <w:i/>
      <w:iCs/>
      <w:color w:val="000000" w:themeColor="text1"/>
    </w:rPr>
  </w:style>
  <w:style w:type="character" w:customStyle="1" w:styleId="QuoteChar">
    <w:name w:val="Quote Char"/>
    <w:basedOn w:val="DefaultParagraphFont"/>
    <w:link w:val="Quote"/>
    <w:uiPriority w:val="29"/>
    <w:rsid w:val="008A1A24"/>
    <w:rPr>
      <w:rFonts w:ascii="Arial" w:eastAsia="Times New Roman" w:hAnsi="Arial" w:cs="Times New Roman"/>
      <w:i/>
      <w:iCs/>
      <w:color w:val="000000" w:themeColor="text1"/>
      <w:szCs w:val="20"/>
      <w:lang w:val="en-GB"/>
    </w:rPr>
  </w:style>
  <w:style w:type="paragraph" w:styleId="Salutation">
    <w:name w:val="Salutation"/>
    <w:basedOn w:val="Normal"/>
    <w:next w:val="Normal"/>
    <w:link w:val="SalutationChar"/>
    <w:uiPriority w:val="99"/>
    <w:semiHidden/>
    <w:unhideWhenUsed/>
    <w:rsid w:val="008A1A24"/>
  </w:style>
  <w:style w:type="character" w:customStyle="1" w:styleId="SalutationChar">
    <w:name w:val="Salutation Char"/>
    <w:basedOn w:val="DefaultParagraphFont"/>
    <w:link w:val="Salutation"/>
    <w:uiPriority w:val="99"/>
    <w:semiHidden/>
    <w:rsid w:val="008A1A24"/>
    <w:rPr>
      <w:rFonts w:ascii="Arial" w:eastAsia="Times New Roman" w:hAnsi="Arial" w:cs="Times New Roman"/>
      <w:szCs w:val="20"/>
      <w:lang w:val="en-GB"/>
    </w:rPr>
  </w:style>
  <w:style w:type="paragraph" w:styleId="Signature">
    <w:name w:val="Signature"/>
    <w:basedOn w:val="Normal"/>
    <w:link w:val="SignatureChar"/>
    <w:uiPriority w:val="99"/>
    <w:semiHidden/>
    <w:unhideWhenUsed/>
    <w:rsid w:val="008A1A24"/>
    <w:pPr>
      <w:ind w:left="4252"/>
    </w:pPr>
  </w:style>
  <w:style w:type="character" w:customStyle="1" w:styleId="SignatureChar">
    <w:name w:val="Signature Char"/>
    <w:basedOn w:val="DefaultParagraphFont"/>
    <w:link w:val="Signature"/>
    <w:uiPriority w:val="99"/>
    <w:semiHidden/>
    <w:rsid w:val="008A1A24"/>
    <w:rPr>
      <w:rFonts w:ascii="Arial" w:eastAsia="Times New Roman" w:hAnsi="Arial" w:cs="Times New Roman"/>
      <w:szCs w:val="20"/>
      <w:lang w:val="en-GB"/>
    </w:rPr>
  </w:style>
  <w:style w:type="paragraph" w:styleId="Subtitle">
    <w:name w:val="Subtitle"/>
    <w:basedOn w:val="Normal"/>
    <w:next w:val="Normal"/>
    <w:link w:val="SubtitleChar"/>
    <w:uiPriority w:val="99"/>
    <w:qFormat/>
    <w:rsid w:val="008A1A24"/>
    <w:pPr>
      <w:numPr>
        <w:ilvl w:val="1"/>
      </w:numPr>
    </w:pPr>
    <w:rPr>
      <w:rFonts w:asciiTheme="majorHAnsi" w:eastAsiaTheme="majorEastAsia" w:hAnsiTheme="majorHAnsi" w:cstheme="majorBidi"/>
      <w:i/>
      <w:iCs/>
      <w:color w:val="4F81BD" w:themeColor="accent1"/>
      <w:spacing w:val="15"/>
      <w:sz w:val="24"/>
    </w:rPr>
  </w:style>
  <w:style w:type="character" w:customStyle="1" w:styleId="SubtitleChar">
    <w:name w:val="Subtitle Char"/>
    <w:basedOn w:val="DefaultParagraphFont"/>
    <w:link w:val="Subtitle"/>
    <w:uiPriority w:val="99"/>
    <w:rsid w:val="008A1A24"/>
    <w:rPr>
      <w:rFonts w:asciiTheme="majorHAnsi" w:eastAsiaTheme="majorEastAsia" w:hAnsiTheme="majorHAnsi" w:cstheme="majorBidi"/>
      <w:i/>
      <w:iCs/>
      <w:color w:val="4F81BD" w:themeColor="accent1"/>
      <w:spacing w:val="15"/>
      <w:sz w:val="24"/>
      <w:szCs w:val="24"/>
      <w:lang w:val="en-GB"/>
    </w:rPr>
  </w:style>
  <w:style w:type="paragraph" w:styleId="TableofAuthorities">
    <w:name w:val="table of authorities"/>
    <w:basedOn w:val="Normal"/>
    <w:next w:val="Normal"/>
    <w:uiPriority w:val="99"/>
    <w:semiHidden/>
    <w:unhideWhenUsed/>
    <w:rsid w:val="008A1A24"/>
    <w:pPr>
      <w:ind w:left="220" w:hanging="220"/>
    </w:pPr>
  </w:style>
  <w:style w:type="paragraph" w:styleId="TOAHeading">
    <w:name w:val="toa heading"/>
    <w:basedOn w:val="Normal"/>
    <w:next w:val="Normal"/>
    <w:uiPriority w:val="99"/>
    <w:semiHidden/>
    <w:unhideWhenUsed/>
    <w:rsid w:val="008A1A24"/>
    <w:pPr>
      <w:spacing w:before="120"/>
    </w:pPr>
    <w:rPr>
      <w:rFonts w:asciiTheme="majorHAnsi" w:eastAsiaTheme="majorEastAsia" w:hAnsiTheme="majorHAnsi" w:cstheme="majorBidi"/>
      <w:b/>
      <w:bCs/>
      <w:sz w:val="24"/>
    </w:rPr>
  </w:style>
  <w:style w:type="paragraph" w:styleId="TOC6">
    <w:name w:val="toc 6"/>
    <w:basedOn w:val="Normal"/>
    <w:next w:val="Normal"/>
    <w:autoRedefine/>
    <w:uiPriority w:val="39"/>
    <w:rsid w:val="008A1A24"/>
    <w:pPr>
      <w:spacing w:after="100"/>
      <w:ind w:left="1100"/>
    </w:pPr>
  </w:style>
  <w:style w:type="paragraph" w:styleId="TOC7">
    <w:name w:val="toc 7"/>
    <w:basedOn w:val="Normal"/>
    <w:next w:val="Normal"/>
    <w:link w:val="TOC7Char"/>
    <w:autoRedefine/>
    <w:uiPriority w:val="39"/>
    <w:rsid w:val="0038659A"/>
    <w:pPr>
      <w:tabs>
        <w:tab w:val="left" w:pos="709"/>
      </w:tabs>
    </w:pPr>
    <w:rPr>
      <w:sz w:val="20"/>
    </w:rPr>
  </w:style>
  <w:style w:type="paragraph" w:styleId="TOC8">
    <w:name w:val="toc 8"/>
    <w:basedOn w:val="Normal"/>
    <w:next w:val="Normal"/>
    <w:autoRedefine/>
    <w:uiPriority w:val="39"/>
    <w:rsid w:val="008A1A24"/>
    <w:pPr>
      <w:spacing w:after="100"/>
      <w:ind w:left="1540"/>
    </w:pPr>
  </w:style>
  <w:style w:type="paragraph" w:styleId="TOC9">
    <w:name w:val="toc 9"/>
    <w:basedOn w:val="Normal"/>
    <w:next w:val="Normal"/>
    <w:autoRedefine/>
    <w:uiPriority w:val="39"/>
    <w:rsid w:val="008A1A24"/>
    <w:pPr>
      <w:spacing w:after="100"/>
      <w:ind w:left="1760"/>
    </w:pPr>
  </w:style>
  <w:style w:type="paragraph" w:styleId="TOCHeading">
    <w:name w:val="TOC Heading"/>
    <w:basedOn w:val="Heading1"/>
    <w:next w:val="Normal"/>
    <w:uiPriority w:val="39"/>
    <w:unhideWhenUsed/>
    <w:qFormat/>
    <w:rsid w:val="008A1A24"/>
    <w:pPr>
      <w:keepLines/>
      <w:numPr>
        <w:numId w:val="61"/>
      </w:numPr>
      <w:spacing w:before="480"/>
      <w:outlineLvl w:val="9"/>
    </w:pPr>
    <w:rPr>
      <w:rFonts w:asciiTheme="majorHAnsi" w:eastAsiaTheme="majorEastAsia" w:hAnsiTheme="majorHAnsi" w:cstheme="majorBidi"/>
      <w:bCs/>
      <w:color w:val="365F91" w:themeColor="accent1" w:themeShade="BF"/>
      <w:kern w:val="0"/>
      <w:sz w:val="28"/>
    </w:rPr>
  </w:style>
  <w:style w:type="paragraph" w:customStyle="1" w:styleId="List-bullet-Council">
    <w:name w:val="List-bullet-Council"/>
    <w:basedOn w:val="Normal"/>
    <w:uiPriority w:val="99"/>
    <w:qFormat/>
    <w:rsid w:val="008A1A24"/>
    <w:pPr>
      <w:spacing w:after="40"/>
      <w:ind w:left="360" w:hanging="360"/>
    </w:pPr>
    <w:rPr>
      <w:rFonts w:ascii="Gill Sans MT" w:hAnsi="Gill Sans MT"/>
      <w:sz w:val="20"/>
    </w:rPr>
  </w:style>
  <w:style w:type="character" w:customStyle="1" w:styleId="math">
    <w:name w:val="math"/>
    <w:basedOn w:val="DefaultParagraphFont"/>
    <w:rsid w:val="008A1A24"/>
  </w:style>
  <w:style w:type="character" w:customStyle="1" w:styleId="st">
    <w:name w:val="st"/>
    <w:basedOn w:val="DefaultParagraphFont"/>
    <w:rsid w:val="008A1A24"/>
  </w:style>
  <w:style w:type="paragraph" w:customStyle="1" w:styleId="Imprint">
    <w:name w:val="Imprint"/>
    <w:basedOn w:val="Normal"/>
    <w:uiPriority w:val="99"/>
    <w:rsid w:val="008A1A24"/>
    <w:rPr>
      <w:sz w:val="18"/>
      <w:szCs w:val="18"/>
      <w:lang w:val="en-US"/>
    </w:rPr>
  </w:style>
  <w:style w:type="numbering" w:customStyle="1" w:styleId="NoList1">
    <w:name w:val="No List1"/>
    <w:next w:val="NoList"/>
    <w:uiPriority w:val="99"/>
    <w:semiHidden/>
    <w:unhideWhenUsed/>
    <w:rsid w:val="008A1A24"/>
  </w:style>
  <w:style w:type="table" w:customStyle="1" w:styleId="TableGrid1">
    <w:name w:val="Table Grid1"/>
    <w:basedOn w:val="TableNormal"/>
    <w:next w:val="TableGrid"/>
    <w:uiPriority w:val="59"/>
    <w:rsid w:val="008A1A24"/>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8A1A24"/>
    <w:pPr>
      <w:spacing w:before="100" w:beforeAutospacing="1" w:after="100" w:afterAutospacing="1"/>
    </w:pPr>
    <w:rPr>
      <w:rFonts w:ascii="Times New Roman" w:hAnsi="Times New Roman"/>
      <w:sz w:val="20"/>
      <w:lang w:eastAsia="en-AU"/>
    </w:rPr>
  </w:style>
  <w:style w:type="paragraph" w:customStyle="1" w:styleId="xl66">
    <w:name w:val="xl66"/>
    <w:basedOn w:val="Normal"/>
    <w:rsid w:val="008A1A24"/>
    <w:pPr>
      <w:shd w:val="clear" w:color="000000" w:fill="A6A6A6"/>
      <w:spacing w:before="100" w:beforeAutospacing="1" w:after="100" w:afterAutospacing="1"/>
    </w:pPr>
    <w:rPr>
      <w:rFonts w:ascii="Times New Roman" w:hAnsi="Times New Roman"/>
      <w:b/>
      <w:bCs/>
      <w:sz w:val="20"/>
      <w:lang w:eastAsia="en-AU"/>
    </w:rPr>
  </w:style>
  <w:style w:type="table" w:styleId="LightGrid">
    <w:name w:val="Light Grid"/>
    <w:basedOn w:val="TableNormal"/>
    <w:uiPriority w:val="62"/>
    <w:rsid w:val="008A1A24"/>
    <w:pPr>
      <w:spacing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8A1A24"/>
    <w:pPr>
      <w:spacing w:after="0"/>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numbering" w:customStyle="1" w:styleId="NoList2">
    <w:name w:val="No List2"/>
    <w:next w:val="NoList"/>
    <w:uiPriority w:val="99"/>
    <w:semiHidden/>
    <w:unhideWhenUsed/>
    <w:rsid w:val="008A1A24"/>
  </w:style>
  <w:style w:type="paragraph" w:customStyle="1" w:styleId="DocDefaults">
    <w:name w:val="DocDefaults"/>
    <w:uiPriority w:val="99"/>
    <w:rsid w:val="008A1A24"/>
    <w:pPr>
      <w:spacing w:after="0"/>
    </w:pPr>
    <w:rPr>
      <w:rFonts w:ascii="Times New Roman" w:eastAsia="Times New Roman" w:hAnsi="Times New Roman" w:cs="Times New Roman"/>
      <w:sz w:val="20"/>
      <w:szCs w:val="20"/>
      <w:lang w:val="en-US"/>
    </w:rPr>
  </w:style>
  <w:style w:type="character" w:customStyle="1" w:styleId="apple-style-span">
    <w:name w:val="apple-style-span"/>
    <w:basedOn w:val="DefaultParagraphFont"/>
    <w:rsid w:val="008A1A24"/>
  </w:style>
  <w:style w:type="character" w:customStyle="1" w:styleId="apple-converted-space">
    <w:name w:val="apple-converted-space"/>
    <w:basedOn w:val="DefaultParagraphFont"/>
    <w:rsid w:val="008A1A24"/>
  </w:style>
  <w:style w:type="paragraph" w:customStyle="1" w:styleId="CM51">
    <w:name w:val="CM51"/>
    <w:basedOn w:val="Default0"/>
    <w:next w:val="Default0"/>
    <w:uiPriority w:val="99"/>
    <w:rsid w:val="008A1A24"/>
    <w:rPr>
      <w:rFonts w:ascii="Times New Roman" w:eastAsiaTheme="minorHAnsi" w:hAnsi="Times New Roman" w:cs="Times New Roman"/>
      <w:color w:val="auto"/>
      <w:lang w:val="en-AU" w:eastAsia="en-US"/>
    </w:rPr>
  </w:style>
  <w:style w:type="paragraph" w:customStyle="1" w:styleId="CM6">
    <w:name w:val="CM6"/>
    <w:basedOn w:val="Default0"/>
    <w:next w:val="Default0"/>
    <w:uiPriority w:val="99"/>
    <w:rsid w:val="008A1A24"/>
    <w:pPr>
      <w:spacing w:line="288" w:lineRule="atLeast"/>
    </w:pPr>
    <w:rPr>
      <w:rFonts w:ascii="Arial" w:eastAsiaTheme="minorHAnsi" w:hAnsi="Arial" w:cs="Arial"/>
      <w:color w:val="auto"/>
      <w:lang w:val="en-AU" w:eastAsia="en-US"/>
    </w:rPr>
  </w:style>
  <w:style w:type="paragraph" w:customStyle="1" w:styleId="CM114">
    <w:name w:val="CM114"/>
    <w:basedOn w:val="Default0"/>
    <w:next w:val="Default0"/>
    <w:uiPriority w:val="99"/>
    <w:rsid w:val="008A1A24"/>
    <w:rPr>
      <w:rFonts w:ascii="Arial" w:eastAsiaTheme="minorHAnsi" w:hAnsi="Arial" w:cs="Arial"/>
      <w:color w:val="auto"/>
      <w:lang w:val="en-AU" w:eastAsia="en-US"/>
    </w:rPr>
  </w:style>
  <w:style w:type="paragraph" w:customStyle="1" w:styleId="CM4">
    <w:name w:val="CM4"/>
    <w:basedOn w:val="Default0"/>
    <w:next w:val="Default0"/>
    <w:uiPriority w:val="99"/>
    <w:rsid w:val="008A1A24"/>
    <w:pPr>
      <w:spacing w:line="288" w:lineRule="atLeast"/>
    </w:pPr>
    <w:rPr>
      <w:rFonts w:ascii="Arial" w:eastAsiaTheme="minorHAnsi" w:hAnsi="Arial" w:cs="Arial"/>
      <w:color w:val="auto"/>
      <w:lang w:val="en-AU" w:eastAsia="en-US"/>
    </w:rPr>
  </w:style>
  <w:style w:type="paragraph" w:customStyle="1" w:styleId="CM34">
    <w:name w:val="CM34"/>
    <w:basedOn w:val="Default0"/>
    <w:next w:val="Default0"/>
    <w:uiPriority w:val="99"/>
    <w:rsid w:val="008A1A24"/>
    <w:pPr>
      <w:spacing w:line="283" w:lineRule="atLeast"/>
    </w:pPr>
    <w:rPr>
      <w:rFonts w:ascii="Times New Roman" w:eastAsiaTheme="minorHAnsi" w:hAnsi="Times New Roman" w:cs="Times New Roman"/>
      <w:color w:val="auto"/>
      <w:lang w:val="en-AU" w:eastAsia="en-US"/>
    </w:rPr>
  </w:style>
  <w:style w:type="character" w:styleId="EndnoteReference">
    <w:name w:val="endnote reference"/>
    <w:basedOn w:val="DefaultParagraphFont"/>
    <w:uiPriority w:val="99"/>
    <w:semiHidden/>
    <w:unhideWhenUsed/>
    <w:rsid w:val="008A1A24"/>
    <w:rPr>
      <w:vertAlign w:val="superscript"/>
    </w:rPr>
  </w:style>
  <w:style w:type="character" w:customStyle="1" w:styleId="pbtocarticletitle1">
    <w:name w:val="pb_toc_article_title1"/>
    <w:basedOn w:val="DefaultParagraphFont"/>
    <w:rsid w:val="008A1A24"/>
    <w:rPr>
      <w:rFonts w:ascii="Verdana" w:hAnsi="Verdana" w:hint="default"/>
      <w:b/>
      <w:bCs/>
      <w:color w:val="000000"/>
    </w:rPr>
  </w:style>
  <w:style w:type="character" w:customStyle="1" w:styleId="pbtocauthors1">
    <w:name w:val="pb_toc_authors1"/>
    <w:basedOn w:val="DefaultParagraphFont"/>
    <w:rsid w:val="008A1A24"/>
    <w:rPr>
      <w:rFonts w:ascii="Verdana" w:hAnsi="Verdana" w:hint="default"/>
      <w:b w:val="0"/>
      <w:bCs w:val="0"/>
      <w:color w:val="000000"/>
    </w:rPr>
  </w:style>
  <w:style w:type="character" w:customStyle="1" w:styleId="pbtocpages1">
    <w:name w:val="pb_toc_pages1"/>
    <w:basedOn w:val="DefaultParagraphFont"/>
    <w:rsid w:val="008A1A24"/>
    <w:rPr>
      <w:rFonts w:ascii="Verdana" w:hAnsi="Verdana" w:hint="default"/>
      <w:b w:val="0"/>
      <w:bCs w:val="0"/>
      <w:color w:val="000000"/>
    </w:rPr>
  </w:style>
  <w:style w:type="character" w:customStyle="1" w:styleId="style1">
    <w:name w:val="style1"/>
    <w:basedOn w:val="DefaultParagraphFont"/>
    <w:rsid w:val="008A1A24"/>
    <w:rPr>
      <w:rFonts w:ascii="Arial" w:hAnsi="Arial" w:cs="Arial" w:hint="default"/>
      <w:b/>
      <w:bCs/>
      <w:i w:val="0"/>
      <w:iCs w:val="0"/>
    </w:rPr>
  </w:style>
  <w:style w:type="paragraph" w:customStyle="1" w:styleId="mainTOC">
    <w:name w:val="main TOC"/>
    <w:basedOn w:val="TOC3"/>
    <w:uiPriority w:val="99"/>
    <w:qFormat/>
    <w:rsid w:val="007A3D01"/>
    <w:pPr>
      <w:tabs>
        <w:tab w:val="left" w:pos="1320"/>
      </w:tabs>
    </w:pPr>
  </w:style>
  <w:style w:type="character" w:customStyle="1" w:styleId="TOC7Char">
    <w:name w:val="TOC 7 Char"/>
    <w:basedOn w:val="DefaultParagraphFont"/>
    <w:link w:val="TOC7"/>
    <w:uiPriority w:val="39"/>
    <w:rsid w:val="0038659A"/>
    <w:rPr>
      <w:rFonts w:ascii="Arial" w:eastAsia="Times New Roman" w:hAnsi="Arial" w:cs="Times New Roman"/>
      <w:sz w:val="20"/>
      <w:szCs w:val="20"/>
      <w:lang w:val="en-GB"/>
    </w:rPr>
  </w:style>
  <w:style w:type="character" w:customStyle="1" w:styleId="TableofFiguresChar">
    <w:name w:val="Table of Figures Char"/>
    <w:basedOn w:val="TOC7Char"/>
    <w:link w:val="TableofFigures"/>
    <w:uiPriority w:val="99"/>
    <w:rsid w:val="00864A42"/>
    <w:rPr>
      <w:rFonts w:ascii="Arial" w:eastAsiaTheme="majorEastAsia" w:hAnsi="Arial" w:cs="Times New Roman"/>
      <w:bCs/>
      <w:noProof/>
      <w:sz w:val="20"/>
      <w:szCs w:val="20"/>
      <w:lang w:val="en-GB"/>
    </w:rPr>
  </w:style>
  <w:style w:type="paragraph" w:customStyle="1" w:styleId="TOC-figs-tables">
    <w:name w:val="TOC-figs-tables"/>
    <w:basedOn w:val="Figure"/>
    <w:next w:val="TableofFigures"/>
    <w:uiPriority w:val="99"/>
    <w:qFormat/>
    <w:rsid w:val="00CF402D"/>
    <w:pPr>
      <w:tabs>
        <w:tab w:val="left" w:pos="1296"/>
      </w:tabs>
      <w:ind w:left="1296"/>
    </w:pPr>
  </w:style>
  <w:style w:type="paragraph" w:customStyle="1" w:styleId="font5">
    <w:name w:val="font5"/>
    <w:basedOn w:val="Normal"/>
    <w:uiPriority w:val="99"/>
    <w:rsid w:val="00AB651D"/>
    <w:pPr>
      <w:spacing w:before="100" w:beforeAutospacing="1" w:after="100" w:afterAutospacing="1"/>
    </w:pPr>
    <w:rPr>
      <w:rFonts w:ascii="Arial Narrow" w:hAnsi="Arial Narrow"/>
      <w:b/>
      <w:bCs/>
      <w:color w:val="000000"/>
      <w:sz w:val="18"/>
      <w:szCs w:val="18"/>
      <w:lang w:eastAsia="en-AU"/>
    </w:rPr>
  </w:style>
  <w:style w:type="paragraph" w:customStyle="1" w:styleId="font6">
    <w:name w:val="font6"/>
    <w:basedOn w:val="Normal"/>
    <w:uiPriority w:val="99"/>
    <w:rsid w:val="00AB651D"/>
    <w:pPr>
      <w:spacing w:before="100" w:beforeAutospacing="1" w:after="100" w:afterAutospacing="1"/>
    </w:pPr>
    <w:rPr>
      <w:rFonts w:ascii="Cambria Math" w:hAnsi="Cambria Math"/>
      <w:b/>
      <w:bCs/>
      <w:color w:val="000000"/>
      <w:sz w:val="18"/>
      <w:szCs w:val="18"/>
      <w:lang w:eastAsia="en-AU"/>
    </w:rPr>
  </w:style>
  <w:style w:type="paragraph" w:customStyle="1" w:styleId="xl67">
    <w:name w:val="xl67"/>
    <w:basedOn w:val="Normal"/>
    <w:rsid w:val="00AB65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lang w:eastAsia="en-AU"/>
    </w:rPr>
  </w:style>
  <w:style w:type="paragraph" w:customStyle="1" w:styleId="xl68">
    <w:name w:val="xl68"/>
    <w:basedOn w:val="Normal"/>
    <w:rsid w:val="00AB651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pPr>
    <w:rPr>
      <w:rFonts w:ascii="Times New Roman" w:hAnsi="Times New Roman"/>
      <w:sz w:val="18"/>
      <w:szCs w:val="18"/>
      <w:lang w:eastAsia="en-AU"/>
    </w:rPr>
  </w:style>
  <w:style w:type="paragraph" w:customStyle="1" w:styleId="xl69">
    <w:name w:val="xl69"/>
    <w:basedOn w:val="Normal"/>
    <w:rsid w:val="00AB651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18"/>
      <w:szCs w:val="18"/>
      <w:lang w:eastAsia="en-AU"/>
    </w:rPr>
  </w:style>
  <w:style w:type="paragraph" w:customStyle="1" w:styleId="xl70">
    <w:name w:val="xl70"/>
    <w:basedOn w:val="Normal"/>
    <w:rsid w:val="00AB651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18"/>
      <w:szCs w:val="18"/>
      <w:lang w:eastAsia="en-AU"/>
    </w:rPr>
  </w:style>
  <w:style w:type="numbering" w:customStyle="1" w:styleId="NoList3">
    <w:name w:val="No List3"/>
    <w:next w:val="NoList"/>
    <w:uiPriority w:val="99"/>
    <w:semiHidden/>
    <w:unhideWhenUsed/>
    <w:rsid w:val="00737850"/>
  </w:style>
  <w:style w:type="numbering" w:customStyle="1" w:styleId="NoList4">
    <w:name w:val="No List4"/>
    <w:next w:val="NoList"/>
    <w:uiPriority w:val="99"/>
    <w:semiHidden/>
    <w:unhideWhenUsed/>
    <w:rsid w:val="00737850"/>
  </w:style>
  <w:style w:type="numbering" w:customStyle="1" w:styleId="NoList5">
    <w:name w:val="No List5"/>
    <w:next w:val="NoList"/>
    <w:uiPriority w:val="99"/>
    <w:semiHidden/>
    <w:unhideWhenUsed/>
    <w:rsid w:val="00737850"/>
  </w:style>
  <w:style w:type="character" w:styleId="PlaceholderText">
    <w:name w:val="Placeholder Text"/>
    <w:basedOn w:val="DefaultParagraphFont"/>
    <w:uiPriority w:val="99"/>
    <w:semiHidden/>
    <w:rsid w:val="002B057C"/>
    <w:rPr>
      <w:color w:val="808080"/>
    </w:rPr>
  </w:style>
  <w:style w:type="paragraph" w:customStyle="1" w:styleId="AppendixFigures">
    <w:name w:val="Appendix Figures"/>
    <w:next w:val="Normal"/>
    <w:autoRedefine/>
    <w:qFormat/>
    <w:rsid w:val="001C36F4"/>
    <w:pPr>
      <w:spacing w:after="0"/>
      <w:ind w:left="426"/>
    </w:pPr>
    <w:rPr>
      <w:rFonts w:ascii="Arial Narrow" w:eastAsia="SimSun" w:hAnsi="Arial Narrow" w:cs="Times New Roman"/>
      <w:sz w:val="20"/>
      <w:lang w:val="en-GB"/>
    </w:rPr>
  </w:style>
  <w:style w:type="character" w:customStyle="1" w:styleId="Heading7Char1">
    <w:name w:val="Heading 7 Char1"/>
    <w:aliases w:val="Tables Char1"/>
    <w:basedOn w:val="DefaultParagraphFont"/>
    <w:uiPriority w:val="99"/>
    <w:semiHidden/>
    <w:rsid w:val="007372D2"/>
    <w:rPr>
      <w:rFonts w:asciiTheme="majorHAnsi" w:eastAsiaTheme="majorEastAsia" w:hAnsiTheme="majorHAnsi" w:cstheme="majorBidi"/>
      <w:i/>
      <w:iCs/>
      <w:color w:val="404040" w:themeColor="text1" w:themeTint="BF"/>
      <w:sz w:val="22"/>
      <w:szCs w:val="22"/>
    </w:rPr>
  </w:style>
  <w:style w:type="paragraph" w:customStyle="1" w:styleId="xl63">
    <w:name w:val="xl63"/>
    <w:basedOn w:val="Normal"/>
    <w:rsid w:val="00C63155"/>
    <w:pPr>
      <w:spacing w:before="100" w:beforeAutospacing="1" w:after="100" w:afterAutospacing="1"/>
    </w:pPr>
    <w:rPr>
      <w:rFonts w:ascii="Arial Narrow" w:hAnsi="Arial Narrow"/>
      <w:sz w:val="20"/>
      <w:lang w:eastAsia="en-AU"/>
    </w:rPr>
  </w:style>
  <w:style w:type="paragraph" w:customStyle="1" w:styleId="xl64">
    <w:name w:val="xl64"/>
    <w:basedOn w:val="Normal"/>
    <w:rsid w:val="00C63155"/>
    <w:pPr>
      <w:spacing w:before="100" w:beforeAutospacing="1" w:after="100" w:afterAutospacing="1"/>
      <w:jc w:val="center"/>
      <w:textAlignment w:val="center"/>
    </w:pPr>
    <w:rPr>
      <w:rFonts w:ascii="Times New Roman" w:hAnsi="Times New Roman"/>
      <w:sz w:val="24"/>
      <w:lang w:eastAsia="en-AU"/>
    </w:rPr>
  </w:style>
  <w:style w:type="paragraph" w:customStyle="1" w:styleId="xl71">
    <w:name w:val="xl71"/>
    <w:basedOn w:val="Normal"/>
    <w:rsid w:val="00C63155"/>
    <w:pPr>
      <w:spacing w:before="100" w:beforeAutospacing="1" w:after="100" w:afterAutospacing="1"/>
      <w:jc w:val="center"/>
      <w:textAlignment w:val="center"/>
    </w:pPr>
    <w:rPr>
      <w:rFonts w:ascii="Arial Narrow" w:hAnsi="Arial Narrow"/>
      <w:sz w:val="20"/>
      <w:lang w:eastAsia="en-AU"/>
    </w:rPr>
  </w:style>
  <w:style w:type="paragraph" w:customStyle="1" w:styleId="xl72">
    <w:name w:val="xl72"/>
    <w:basedOn w:val="Normal"/>
    <w:rsid w:val="00C63155"/>
    <w:pPr>
      <w:spacing w:before="100" w:beforeAutospacing="1" w:after="100" w:afterAutospacing="1"/>
      <w:jc w:val="center"/>
      <w:textAlignment w:val="center"/>
    </w:pPr>
    <w:rPr>
      <w:rFonts w:ascii="Arial Narrow" w:hAnsi="Arial Narrow"/>
      <w:sz w:val="20"/>
      <w:lang w:eastAsia="en-AU"/>
    </w:rPr>
  </w:style>
  <w:style w:type="paragraph" w:customStyle="1" w:styleId="xl73">
    <w:name w:val="xl73"/>
    <w:basedOn w:val="Normal"/>
    <w:rsid w:val="00A073D4"/>
    <w:pPr>
      <w:spacing w:before="100" w:beforeAutospacing="1" w:after="100" w:afterAutospacing="1"/>
      <w:jc w:val="center"/>
      <w:textAlignment w:val="center"/>
    </w:pPr>
    <w:rPr>
      <w:rFonts w:ascii="Arial Narrow" w:hAnsi="Arial Narrow"/>
      <w:sz w:val="20"/>
      <w:lang w:eastAsia="en-AU"/>
    </w:rPr>
  </w:style>
  <w:style w:type="paragraph" w:customStyle="1" w:styleId="xl74">
    <w:name w:val="xl74"/>
    <w:basedOn w:val="Normal"/>
    <w:rsid w:val="00A073D4"/>
    <w:pPr>
      <w:spacing w:before="100" w:beforeAutospacing="1" w:after="100" w:afterAutospacing="1"/>
      <w:jc w:val="center"/>
      <w:textAlignment w:val="center"/>
    </w:pPr>
    <w:rPr>
      <w:rFonts w:ascii="Arial Narrow" w:hAnsi="Arial Narrow"/>
      <w:sz w:val="20"/>
      <w:lang w:eastAsia="en-AU"/>
    </w:rPr>
  </w:style>
  <w:style w:type="paragraph" w:customStyle="1" w:styleId="xl75">
    <w:name w:val="xl75"/>
    <w:basedOn w:val="Normal"/>
    <w:rsid w:val="00B33EE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n-AU"/>
    </w:rPr>
  </w:style>
  <w:style w:type="paragraph" w:customStyle="1" w:styleId="xl76">
    <w:name w:val="xl76"/>
    <w:basedOn w:val="Normal"/>
    <w:rsid w:val="00B33EE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n-AU"/>
    </w:rPr>
  </w:style>
  <w:style w:type="table" w:customStyle="1" w:styleId="TableGrid2">
    <w:name w:val="Table Grid2"/>
    <w:basedOn w:val="TableNormal"/>
    <w:next w:val="TableGrid"/>
    <w:uiPriority w:val="59"/>
    <w:rsid w:val="00FB7B84"/>
    <w:pPr>
      <w:spacing w:after="0"/>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A2572F"/>
    <w:pPr>
      <w:spacing w:after="0"/>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A2572F"/>
    <w:pPr>
      <w:spacing w:after="0"/>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AA43B2"/>
    <w:pPr>
      <w:spacing w:after="0"/>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39351B"/>
    <w:rPr>
      <w:i/>
      <w:iCs/>
    </w:rPr>
  </w:style>
  <w:style w:type="character" w:customStyle="1" w:styleId="doi1">
    <w:name w:val="doi1"/>
    <w:basedOn w:val="DefaultParagraphFont"/>
    <w:rsid w:val="00DA3A00"/>
  </w:style>
  <w:style w:type="character" w:styleId="IntenseEmphasis">
    <w:name w:val="Intense Emphasis"/>
    <w:basedOn w:val="DefaultParagraphFont"/>
    <w:uiPriority w:val="21"/>
    <w:qFormat/>
    <w:rsid w:val="00365E95"/>
    <w:rPr>
      <w:i/>
      <w:iCs/>
      <w:color w:val="4F81BD" w:themeColor="accent1"/>
    </w:rPr>
  </w:style>
  <w:style w:type="character" w:customStyle="1" w:styleId="UnresolvedMention1">
    <w:name w:val="Unresolved Mention1"/>
    <w:basedOn w:val="DefaultParagraphFont"/>
    <w:uiPriority w:val="99"/>
    <w:semiHidden/>
    <w:unhideWhenUsed/>
    <w:rsid w:val="00420481"/>
    <w:rPr>
      <w:color w:val="808080"/>
      <w:shd w:val="clear" w:color="auto" w:fill="E6E6E6"/>
    </w:rPr>
  </w:style>
  <w:style w:type="character" w:customStyle="1" w:styleId="UnresolvedMention11">
    <w:name w:val="Unresolved Mention11"/>
    <w:basedOn w:val="DefaultParagraphFont"/>
    <w:uiPriority w:val="99"/>
    <w:semiHidden/>
    <w:unhideWhenUsed/>
    <w:rsid w:val="00A84742"/>
    <w:rPr>
      <w:color w:val="808080"/>
      <w:shd w:val="clear" w:color="auto" w:fill="E6E6E6"/>
    </w:rPr>
  </w:style>
  <w:style w:type="character" w:customStyle="1" w:styleId="UnresolvedMention2">
    <w:name w:val="Unresolved Mention2"/>
    <w:basedOn w:val="DefaultParagraphFont"/>
    <w:uiPriority w:val="99"/>
    <w:semiHidden/>
    <w:unhideWhenUsed/>
    <w:rsid w:val="0010434C"/>
    <w:rPr>
      <w:color w:val="808080"/>
      <w:shd w:val="clear" w:color="auto" w:fill="E6E6E6"/>
    </w:rPr>
  </w:style>
  <w:style w:type="character" w:customStyle="1" w:styleId="UnresolvedMention3">
    <w:name w:val="Unresolved Mention3"/>
    <w:basedOn w:val="DefaultParagraphFont"/>
    <w:uiPriority w:val="99"/>
    <w:semiHidden/>
    <w:unhideWhenUsed/>
    <w:rsid w:val="00C8687E"/>
    <w:rPr>
      <w:color w:val="605E5C"/>
      <w:shd w:val="clear" w:color="auto" w:fill="E1DFDD"/>
    </w:rPr>
  </w:style>
  <w:style w:type="character" w:customStyle="1" w:styleId="UnresolvedMention4">
    <w:name w:val="Unresolved Mention4"/>
    <w:basedOn w:val="DefaultParagraphFont"/>
    <w:uiPriority w:val="99"/>
    <w:semiHidden/>
    <w:unhideWhenUsed/>
    <w:rsid w:val="00877F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17720">
      <w:bodyDiv w:val="1"/>
      <w:marLeft w:val="0"/>
      <w:marRight w:val="0"/>
      <w:marTop w:val="0"/>
      <w:marBottom w:val="0"/>
      <w:divBdr>
        <w:top w:val="none" w:sz="0" w:space="0" w:color="auto"/>
        <w:left w:val="none" w:sz="0" w:space="0" w:color="auto"/>
        <w:bottom w:val="none" w:sz="0" w:space="0" w:color="auto"/>
        <w:right w:val="none" w:sz="0" w:space="0" w:color="auto"/>
      </w:divBdr>
    </w:div>
    <w:div w:id="104425342">
      <w:bodyDiv w:val="1"/>
      <w:marLeft w:val="0"/>
      <w:marRight w:val="0"/>
      <w:marTop w:val="0"/>
      <w:marBottom w:val="0"/>
      <w:divBdr>
        <w:top w:val="none" w:sz="0" w:space="0" w:color="auto"/>
        <w:left w:val="none" w:sz="0" w:space="0" w:color="auto"/>
        <w:bottom w:val="none" w:sz="0" w:space="0" w:color="auto"/>
        <w:right w:val="none" w:sz="0" w:space="0" w:color="auto"/>
      </w:divBdr>
    </w:div>
    <w:div w:id="113986197">
      <w:bodyDiv w:val="1"/>
      <w:marLeft w:val="0"/>
      <w:marRight w:val="0"/>
      <w:marTop w:val="0"/>
      <w:marBottom w:val="0"/>
      <w:divBdr>
        <w:top w:val="none" w:sz="0" w:space="0" w:color="auto"/>
        <w:left w:val="none" w:sz="0" w:space="0" w:color="auto"/>
        <w:bottom w:val="none" w:sz="0" w:space="0" w:color="auto"/>
        <w:right w:val="none" w:sz="0" w:space="0" w:color="auto"/>
      </w:divBdr>
      <w:divsChild>
        <w:div w:id="639462841">
          <w:marLeft w:val="0"/>
          <w:marRight w:val="0"/>
          <w:marTop w:val="0"/>
          <w:marBottom w:val="0"/>
          <w:divBdr>
            <w:top w:val="none" w:sz="0" w:space="0" w:color="auto"/>
            <w:left w:val="none" w:sz="0" w:space="0" w:color="auto"/>
            <w:bottom w:val="none" w:sz="0" w:space="0" w:color="auto"/>
            <w:right w:val="none" w:sz="0" w:space="0" w:color="auto"/>
          </w:divBdr>
          <w:divsChild>
            <w:div w:id="809516951">
              <w:marLeft w:val="0"/>
              <w:marRight w:val="0"/>
              <w:marTop w:val="0"/>
              <w:marBottom w:val="0"/>
              <w:divBdr>
                <w:top w:val="none" w:sz="0" w:space="0" w:color="auto"/>
                <w:left w:val="none" w:sz="0" w:space="0" w:color="auto"/>
                <w:bottom w:val="none" w:sz="0" w:space="0" w:color="auto"/>
                <w:right w:val="none" w:sz="0" w:space="0" w:color="auto"/>
              </w:divBdr>
              <w:divsChild>
                <w:div w:id="1779055855">
                  <w:marLeft w:val="0"/>
                  <w:marRight w:val="0"/>
                  <w:marTop w:val="0"/>
                  <w:marBottom w:val="0"/>
                  <w:divBdr>
                    <w:top w:val="none" w:sz="0" w:space="0" w:color="auto"/>
                    <w:left w:val="none" w:sz="0" w:space="0" w:color="auto"/>
                    <w:bottom w:val="none" w:sz="0" w:space="0" w:color="auto"/>
                    <w:right w:val="none" w:sz="0" w:space="0" w:color="auto"/>
                  </w:divBdr>
                  <w:divsChild>
                    <w:div w:id="2118402489">
                      <w:marLeft w:val="120"/>
                      <w:marRight w:val="120"/>
                      <w:marTop w:val="120"/>
                      <w:marBottom w:val="120"/>
                      <w:divBdr>
                        <w:top w:val="none" w:sz="0" w:space="0" w:color="auto"/>
                        <w:left w:val="none" w:sz="0" w:space="0" w:color="auto"/>
                        <w:bottom w:val="single" w:sz="6" w:space="0" w:color="FFFFFF"/>
                        <w:right w:val="none" w:sz="0" w:space="0" w:color="auto"/>
                      </w:divBdr>
                      <w:divsChild>
                        <w:div w:id="1115637068">
                          <w:marLeft w:val="0"/>
                          <w:marRight w:val="0"/>
                          <w:marTop w:val="0"/>
                          <w:marBottom w:val="0"/>
                          <w:divBdr>
                            <w:top w:val="none" w:sz="0" w:space="0" w:color="auto"/>
                            <w:left w:val="none" w:sz="0" w:space="0" w:color="auto"/>
                            <w:bottom w:val="none" w:sz="0" w:space="0" w:color="auto"/>
                            <w:right w:val="none" w:sz="0" w:space="0" w:color="auto"/>
                          </w:divBdr>
                          <w:divsChild>
                            <w:div w:id="298925118">
                              <w:marLeft w:val="0"/>
                              <w:marRight w:val="0"/>
                              <w:marTop w:val="0"/>
                              <w:marBottom w:val="0"/>
                              <w:divBdr>
                                <w:top w:val="none" w:sz="0" w:space="0" w:color="auto"/>
                                <w:left w:val="none" w:sz="0" w:space="0" w:color="auto"/>
                                <w:bottom w:val="none" w:sz="0" w:space="0" w:color="auto"/>
                                <w:right w:val="none" w:sz="0" w:space="0" w:color="auto"/>
                              </w:divBdr>
                              <w:divsChild>
                                <w:div w:id="1630282655">
                                  <w:marLeft w:val="0"/>
                                  <w:marRight w:val="0"/>
                                  <w:marTop w:val="0"/>
                                  <w:marBottom w:val="0"/>
                                  <w:divBdr>
                                    <w:top w:val="none" w:sz="0" w:space="0" w:color="auto"/>
                                    <w:left w:val="none" w:sz="0" w:space="0" w:color="auto"/>
                                    <w:bottom w:val="none" w:sz="0" w:space="0" w:color="auto"/>
                                    <w:right w:val="none" w:sz="0" w:space="0" w:color="auto"/>
                                  </w:divBdr>
                                  <w:divsChild>
                                    <w:div w:id="112136676">
                                      <w:marLeft w:val="0"/>
                                      <w:marRight w:val="0"/>
                                      <w:marTop w:val="0"/>
                                      <w:marBottom w:val="0"/>
                                      <w:divBdr>
                                        <w:top w:val="none" w:sz="0" w:space="0" w:color="auto"/>
                                        <w:left w:val="none" w:sz="0" w:space="0" w:color="auto"/>
                                        <w:bottom w:val="none" w:sz="0" w:space="0" w:color="auto"/>
                                        <w:right w:val="none" w:sz="0" w:space="0" w:color="auto"/>
                                      </w:divBdr>
                                      <w:divsChild>
                                        <w:div w:id="37381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3432064">
      <w:bodyDiv w:val="1"/>
      <w:marLeft w:val="0"/>
      <w:marRight w:val="0"/>
      <w:marTop w:val="0"/>
      <w:marBottom w:val="0"/>
      <w:divBdr>
        <w:top w:val="none" w:sz="0" w:space="0" w:color="auto"/>
        <w:left w:val="none" w:sz="0" w:space="0" w:color="auto"/>
        <w:bottom w:val="none" w:sz="0" w:space="0" w:color="auto"/>
        <w:right w:val="none" w:sz="0" w:space="0" w:color="auto"/>
      </w:divBdr>
    </w:div>
    <w:div w:id="141773860">
      <w:bodyDiv w:val="1"/>
      <w:marLeft w:val="0"/>
      <w:marRight w:val="0"/>
      <w:marTop w:val="0"/>
      <w:marBottom w:val="0"/>
      <w:divBdr>
        <w:top w:val="none" w:sz="0" w:space="0" w:color="auto"/>
        <w:left w:val="none" w:sz="0" w:space="0" w:color="auto"/>
        <w:bottom w:val="none" w:sz="0" w:space="0" w:color="auto"/>
        <w:right w:val="none" w:sz="0" w:space="0" w:color="auto"/>
      </w:divBdr>
    </w:div>
    <w:div w:id="160586523">
      <w:bodyDiv w:val="1"/>
      <w:marLeft w:val="0"/>
      <w:marRight w:val="0"/>
      <w:marTop w:val="0"/>
      <w:marBottom w:val="0"/>
      <w:divBdr>
        <w:top w:val="none" w:sz="0" w:space="0" w:color="auto"/>
        <w:left w:val="none" w:sz="0" w:space="0" w:color="auto"/>
        <w:bottom w:val="none" w:sz="0" w:space="0" w:color="auto"/>
        <w:right w:val="none" w:sz="0" w:space="0" w:color="auto"/>
      </w:divBdr>
    </w:div>
    <w:div w:id="168563918">
      <w:bodyDiv w:val="1"/>
      <w:marLeft w:val="0"/>
      <w:marRight w:val="0"/>
      <w:marTop w:val="0"/>
      <w:marBottom w:val="0"/>
      <w:divBdr>
        <w:top w:val="none" w:sz="0" w:space="0" w:color="auto"/>
        <w:left w:val="none" w:sz="0" w:space="0" w:color="auto"/>
        <w:bottom w:val="none" w:sz="0" w:space="0" w:color="auto"/>
        <w:right w:val="none" w:sz="0" w:space="0" w:color="auto"/>
      </w:divBdr>
      <w:divsChild>
        <w:div w:id="1180126010">
          <w:marLeft w:val="0"/>
          <w:marRight w:val="0"/>
          <w:marTop w:val="0"/>
          <w:marBottom w:val="0"/>
          <w:divBdr>
            <w:top w:val="none" w:sz="0" w:space="0" w:color="auto"/>
            <w:left w:val="none" w:sz="0" w:space="0" w:color="auto"/>
            <w:bottom w:val="none" w:sz="0" w:space="0" w:color="auto"/>
            <w:right w:val="none" w:sz="0" w:space="0" w:color="auto"/>
          </w:divBdr>
          <w:divsChild>
            <w:div w:id="38626937">
              <w:marLeft w:val="0"/>
              <w:marRight w:val="0"/>
              <w:marTop w:val="0"/>
              <w:marBottom w:val="0"/>
              <w:divBdr>
                <w:top w:val="none" w:sz="0" w:space="0" w:color="auto"/>
                <w:left w:val="none" w:sz="0" w:space="0" w:color="auto"/>
                <w:bottom w:val="none" w:sz="0" w:space="0" w:color="auto"/>
                <w:right w:val="none" w:sz="0" w:space="0" w:color="auto"/>
              </w:divBdr>
              <w:divsChild>
                <w:div w:id="50271390">
                  <w:marLeft w:val="0"/>
                  <w:marRight w:val="0"/>
                  <w:marTop w:val="0"/>
                  <w:marBottom w:val="0"/>
                  <w:divBdr>
                    <w:top w:val="none" w:sz="0" w:space="0" w:color="auto"/>
                    <w:left w:val="none" w:sz="0" w:space="0" w:color="auto"/>
                    <w:bottom w:val="none" w:sz="0" w:space="0" w:color="auto"/>
                    <w:right w:val="none" w:sz="0" w:space="0" w:color="auto"/>
                  </w:divBdr>
                  <w:divsChild>
                    <w:div w:id="2128771971">
                      <w:marLeft w:val="0"/>
                      <w:marRight w:val="0"/>
                      <w:marTop w:val="0"/>
                      <w:marBottom w:val="0"/>
                      <w:divBdr>
                        <w:top w:val="none" w:sz="0" w:space="0" w:color="auto"/>
                        <w:left w:val="none" w:sz="0" w:space="0" w:color="auto"/>
                        <w:bottom w:val="none" w:sz="0" w:space="0" w:color="auto"/>
                        <w:right w:val="none" w:sz="0" w:space="0" w:color="auto"/>
                      </w:divBdr>
                      <w:divsChild>
                        <w:div w:id="1217618497">
                          <w:marLeft w:val="0"/>
                          <w:marRight w:val="0"/>
                          <w:marTop w:val="0"/>
                          <w:marBottom w:val="0"/>
                          <w:divBdr>
                            <w:top w:val="none" w:sz="0" w:space="0" w:color="auto"/>
                            <w:left w:val="none" w:sz="0" w:space="0" w:color="auto"/>
                            <w:bottom w:val="none" w:sz="0" w:space="0" w:color="auto"/>
                            <w:right w:val="none" w:sz="0" w:space="0" w:color="auto"/>
                          </w:divBdr>
                          <w:divsChild>
                            <w:div w:id="840971269">
                              <w:marLeft w:val="0"/>
                              <w:marRight w:val="0"/>
                              <w:marTop w:val="0"/>
                              <w:marBottom w:val="0"/>
                              <w:divBdr>
                                <w:top w:val="none" w:sz="0" w:space="0" w:color="auto"/>
                                <w:left w:val="none" w:sz="0" w:space="0" w:color="auto"/>
                                <w:bottom w:val="none" w:sz="0" w:space="0" w:color="auto"/>
                                <w:right w:val="none" w:sz="0" w:space="0" w:color="auto"/>
                              </w:divBdr>
                              <w:divsChild>
                                <w:div w:id="952057108">
                                  <w:marLeft w:val="0"/>
                                  <w:marRight w:val="0"/>
                                  <w:marTop w:val="0"/>
                                  <w:marBottom w:val="0"/>
                                  <w:divBdr>
                                    <w:top w:val="none" w:sz="0" w:space="0" w:color="auto"/>
                                    <w:left w:val="none" w:sz="0" w:space="0" w:color="auto"/>
                                    <w:bottom w:val="none" w:sz="0" w:space="0" w:color="auto"/>
                                    <w:right w:val="none" w:sz="0" w:space="0" w:color="auto"/>
                                  </w:divBdr>
                                  <w:divsChild>
                                    <w:div w:id="1118334408">
                                      <w:marLeft w:val="0"/>
                                      <w:marRight w:val="0"/>
                                      <w:marTop w:val="0"/>
                                      <w:marBottom w:val="0"/>
                                      <w:divBdr>
                                        <w:top w:val="none" w:sz="0" w:space="0" w:color="auto"/>
                                        <w:left w:val="none" w:sz="0" w:space="0" w:color="auto"/>
                                        <w:bottom w:val="none" w:sz="0" w:space="0" w:color="auto"/>
                                        <w:right w:val="none" w:sz="0" w:space="0" w:color="auto"/>
                                      </w:divBdr>
                                      <w:divsChild>
                                        <w:div w:id="1059088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732604">
      <w:bodyDiv w:val="1"/>
      <w:marLeft w:val="0"/>
      <w:marRight w:val="0"/>
      <w:marTop w:val="0"/>
      <w:marBottom w:val="0"/>
      <w:divBdr>
        <w:top w:val="none" w:sz="0" w:space="0" w:color="auto"/>
        <w:left w:val="none" w:sz="0" w:space="0" w:color="auto"/>
        <w:bottom w:val="none" w:sz="0" w:space="0" w:color="auto"/>
        <w:right w:val="none" w:sz="0" w:space="0" w:color="auto"/>
      </w:divBdr>
    </w:div>
    <w:div w:id="213271629">
      <w:bodyDiv w:val="1"/>
      <w:marLeft w:val="0"/>
      <w:marRight w:val="0"/>
      <w:marTop w:val="0"/>
      <w:marBottom w:val="0"/>
      <w:divBdr>
        <w:top w:val="none" w:sz="0" w:space="0" w:color="auto"/>
        <w:left w:val="none" w:sz="0" w:space="0" w:color="auto"/>
        <w:bottom w:val="none" w:sz="0" w:space="0" w:color="auto"/>
        <w:right w:val="none" w:sz="0" w:space="0" w:color="auto"/>
      </w:divBdr>
    </w:div>
    <w:div w:id="278076579">
      <w:bodyDiv w:val="1"/>
      <w:marLeft w:val="0"/>
      <w:marRight w:val="0"/>
      <w:marTop w:val="0"/>
      <w:marBottom w:val="0"/>
      <w:divBdr>
        <w:top w:val="none" w:sz="0" w:space="0" w:color="auto"/>
        <w:left w:val="none" w:sz="0" w:space="0" w:color="auto"/>
        <w:bottom w:val="none" w:sz="0" w:space="0" w:color="auto"/>
        <w:right w:val="none" w:sz="0" w:space="0" w:color="auto"/>
      </w:divBdr>
    </w:div>
    <w:div w:id="285047667">
      <w:bodyDiv w:val="1"/>
      <w:marLeft w:val="0"/>
      <w:marRight w:val="0"/>
      <w:marTop w:val="0"/>
      <w:marBottom w:val="0"/>
      <w:divBdr>
        <w:top w:val="none" w:sz="0" w:space="0" w:color="auto"/>
        <w:left w:val="none" w:sz="0" w:space="0" w:color="auto"/>
        <w:bottom w:val="none" w:sz="0" w:space="0" w:color="auto"/>
        <w:right w:val="none" w:sz="0" w:space="0" w:color="auto"/>
      </w:divBdr>
    </w:div>
    <w:div w:id="326592767">
      <w:bodyDiv w:val="1"/>
      <w:marLeft w:val="0"/>
      <w:marRight w:val="0"/>
      <w:marTop w:val="0"/>
      <w:marBottom w:val="0"/>
      <w:divBdr>
        <w:top w:val="none" w:sz="0" w:space="0" w:color="auto"/>
        <w:left w:val="none" w:sz="0" w:space="0" w:color="auto"/>
        <w:bottom w:val="none" w:sz="0" w:space="0" w:color="auto"/>
        <w:right w:val="none" w:sz="0" w:space="0" w:color="auto"/>
      </w:divBdr>
    </w:div>
    <w:div w:id="360519417">
      <w:bodyDiv w:val="1"/>
      <w:marLeft w:val="0"/>
      <w:marRight w:val="0"/>
      <w:marTop w:val="0"/>
      <w:marBottom w:val="0"/>
      <w:divBdr>
        <w:top w:val="none" w:sz="0" w:space="0" w:color="auto"/>
        <w:left w:val="none" w:sz="0" w:space="0" w:color="auto"/>
        <w:bottom w:val="none" w:sz="0" w:space="0" w:color="auto"/>
        <w:right w:val="none" w:sz="0" w:space="0" w:color="auto"/>
      </w:divBdr>
    </w:div>
    <w:div w:id="404961236">
      <w:bodyDiv w:val="1"/>
      <w:marLeft w:val="0"/>
      <w:marRight w:val="0"/>
      <w:marTop w:val="0"/>
      <w:marBottom w:val="0"/>
      <w:divBdr>
        <w:top w:val="none" w:sz="0" w:space="0" w:color="auto"/>
        <w:left w:val="none" w:sz="0" w:space="0" w:color="auto"/>
        <w:bottom w:val="none" w:sz="0" w:space="0" w:color="auto"/>
        <w:right w:val="none" w:sz="0" w:space="0" w:color="auto"/>
      </w:divBdr>
    </w:div>
    <w:div w:id="417214704">
      <w:bodyDiv w:val="1"/>
      <w:marLeft w:val="0"/>
      <w:marRight w:val="0"/>
      <w:marTop w:val="0"/>
      <w:marBottom w:val="0"/>
      <w:divBdr>
        <w:top w:val="none" w:sz="0" w:space="0" w:color="auto"/>
        <w:left w:val="none" w:sz="0" w:space="0" w:color="auto"/>
        <w:bottom w:val="none" w:sz="0" w:space="0" w:color="auto"/>
        <w:right w:val="none" w:sz="0" w:space="0" w:color="auto"/>
      </w:divBdr>
    </w:div>
    <w:div w:id="420680508">
      <w:bodyDiv w:val="1"/>
      <w:marLeft w:val="0"/>
      <w:marRight w:val="0"/>
      <w:marTop w:val="0"/>
      <w:marBottom w:val="0"/>
      <w:divBdr>
        <w:top w:val="none" w:sz="0" w:space="0" w:color="auto"/>
        <w:left w:val="none" w:sz="0" w:space="0" w:color="auto"/>
        <w:bottom w:val="none" w:sz="0" w:space="0" w:color="auto"/>
        <w:right w:val="none" w:sz="0" w:space="0" w:color="auto"/>
      </w:divBdr>
    </w:div>
    <w:div w:id="424612096">
      <w:bodyDiv w:val="1"/>
      <w:marLeft w:val="0"/>
      <w:marRight w:val="0"/>
      <w:marTop w:val="0"/>
      <w:marBottom w:val="0"/>
      <w:divBdr>
        <w:top w:val="none" w:sz="0" w:space="0" w:color="auto"/>
        <w:left w:val="none" w:sz="0" w:space="0" w:color="auto"/>
        <w:bottom w:val="none" w:sz="0" w:space="0" w:color="auto"/>
        <w:right w:val="none" w:sz="0" w:space="0" w:color="auto"/>
      </w:divBdr>
    </w:div>
    <w:div w:id="431164868">
      <w:bodyDiv w:val="1"/>
      <w:marLeft w:val="0"/>
      <w:marRight w:val="0"/>
      <w:marTop w:val="0"/>
      <w:marBottom w:val="0"/>
      <w:divBdr>
        <w:top w:val="none" w:sz="0" w:space="0" w:color="auto"/>
        <w:left w:val="none" w:sz="0" w:space="0" w:color="auto"/>
        <w:bottom w:val="none" w:sz="0" w:space="0" w:color="auto"/>
        <w:right w:val="none" w:sz="0" w:space="0" w:color="auto"/>
      </w:divBdr>
    </w:div>
    <w:div w:id="447965901">
      <w:bodyDiv w:val="1"/>
      <w:marLeft w:val="0"/>
      <w:marRight w:val="0"/>
      <w:marTop w:val="0"/>
      <w:marBottom w:val="0"/>
      <w:divBdr>
        <w:top w:val="none" w:sz="0" w:space="0" w:color="auto"/>
        <w:left w:val="none" w:sz="0" w:space="0" w:color="auto"/>
        <w:bottom w:val="none" w:sz="0" w:space="0" w:color="auto"/>
        <w:right w:val="none" w:sz="0" w:space="0" w:color="auto"/>
      </w:divBdr>
    </w:div>
    <w:div w:id="495222715">
      <w:bodyDiv w:val="1"/>
      <w:marLeft w:val="0"/>
      <w:marRight w:val="0"/>
      <w:marTop w:val="0"/>
      <w:marBottom w:val="0"/>
      <w:divBdr>
        <w:top w:val="none" w:sz="0" w:space="0" w:color="auto"/>
        <w:left w:val="none" w:sz="0" w:space="0" w:color="auto"/>
        <w:bottom w:val="none" w:sz="0" w:space="0" w:color="auto"/>
        <w:right w:val="none" w:sz="0" w:space="0" w:color="auto"/>
      </w:divBdr>
    </w:div>
    <w:div w:id="541790663">
      <w:bodyDiv w:val="1"/>
      <w:marLeft w:val="0"/>
      <w:marRight w:val="0"/>
      <w:marTop w:val="0"/>
      <w:marBottom w:val="0"/>
      <w:divBdr>
        <w:top w:val="none" w:sz="0" w:space="0" w:color="auto"/>
        <w:left w:val="none" w:sz="0" w:space="0" w:color="auto"/>
        <w:bottom w:val="none" w:sz="0" w:space="0" w:color="auto"/>
        <w:right w:val="none" w:sz="0" w:space="0" w:color="auto"/>
      </w:divBdr>
    </w:div>
    <w:div w:id="589511318">
      <w:bodyDiv w:val="1"/>
      <w:marLeft w:val="0"/>
      <w:marRight w:val="0"/>
      <w:marTop w:val="0"/>
      <w:marBottom w:val="0"/>
      <w:divBdr>
        <w:top w:val="none" w:sz="0" w:space="0" w:color="auto"/>
        <w:left w:val="none" w:sz="0" w:space="0" w:color="auto"/>
        <w:bottom w:val="none" w:sz="0" w:space="0" w:color="auto"/>
        <w:right w:val="none" w:sz="0" w:space="0" w:color="auto"/>
      </w:divBdr>
    </w:div>
    <w:div w:id="676538295">
      <w:bodyDiv w:val="1"/>
      <w:marLeft w:val="0"/>
      <w:marRight w:val="0"/>
      <w:marTop w:val="0"/>
      <w:marBottom w:val="0"/>
      <w:divBdr>
        <w:top w:val="none" w:sz="0" w:space="0" w:color="auto"/>
        <w:left w:val="none" w:sz="0" w:space="0" w:color="auto"/>
        <w:bottom w:val="none" w:sz="0" w:space="0" w:color="auto"/>
        <w:right w:val="none" w:sz="0" w:space="0" w:color="auto"/>
      </w:divBdr>
    </w:div>
    <w:div w:id="679313215">
      <w:bodyDiv w:val="1"/>
      <w:marLeft w:val="0"/>
      <w:marRight w:val="0"/>
      <w:marTop w:val="0"/>
      <w:marBottom w:val="0"/>
      <w:divBdr>
        <w:top w:val="none" w:sz="0" w:space="0" w:color="auto"/>
        <w:left w:val="none" w:sz="0" w:space="0" w:color="auto"/>
        <w:bottom w:val="none" w:sz="0" w:space="0" w:color="auto"/>
        <w:right w:val="none" w:sz="0" w:space="0" w:color="auto"/>
      </w:divBdr>
    </w:div>
    <w:div w:id="687028920">
      <w:bodyDiv w:val="1"/>
      <w:marLeft w:val="0"/>
      <w:marRight w:val="0"/>
      <w:marTop w:val="0"/>
      <w:marBottom w:val="0"/>
      <w:divBdr>
        <w:top w:val="none" w:sz="0" w:space="0" w:color="auto"/>
        <w:left w:val="none" w:sz="0" w:space="0" w:color="auto"/>
        <w:bottom w:val="none" w:sz="0" w:space="0" w:color="auto"/>
        <w:right w:val="none" w:sz="0" w:space="0" w:color="auto"/>
      </w:divBdr>
    </w:div>
    <w:div w:id="693385731">
      <w:bodyDiv w:val="1"/>
      <w:marLeft w:val="0"/>
      <w:marRight w:val="0"/>
      <w:marTop w:val="0"/>
      <w:marBottom w:val="0"/>
      <w:divBdr>
        <w:top w:val="none" w:sz="0" w:space="0" w:color="auto"/>
        <w:left w:val="none" w:sz="0" w:space="0" w:color="auto"/>
        <w:bottom w:val="none" w:sz="0" w:space="0" w:color="auto"/>
        <w:right w:val="none" w:sz="0" w:space="0" w:color="auto"/>
      </w:divBdr>
      <w:divsChild>
        <w:div w:id="297761488">
          <w:marLeft w:val="0"/>
          <w:marRight w:val="0"/>
          <w:marTop w:val="0"/>
          <w:marBottom w:val="0"/>
          <w:divBdr>
            <w:top w:val="none" w:sz="0" w:space="0" w:color="auto"/>
            <w:left w:val="none" w:sz="0" w:space="0" w:color="auto"/>
            <w:bottom w:val="none" w:sz="0" w:space="0" w:color="auto"/>
            <w:right w:val="none" w:sz="0" w:space="0" w:color="auto"/>
          </w:divBdr>
          <w:divsChild>
            <w:div w:id="811823960">
              <w:marLeft w:val="0"/>
              <w:marRight w:val="0"/>
              <w:marTop w:val="0"/>
              <w:marBottom w:val="0"/>
              <w:divBdr>
                <w:top w:val="none" w:sz="0" w:space="0" w:color="auto"/>
                <w:left w:val="none" w:sz="0" w:space="0" w:color="auto"/>
                <w:bottom w:val="none" w:sz="0" w:space="0" w:color="auto"/>
                <w:right w:val="none" w:sz="0" w:space="0" w:color="auto"/>
              </w:divBdr>
              <w:divsChild>
                <w:div w:id="112022642">
                  <w:marLeft w:val="0"/>
                  <w:marRight w:val="0"/>
                  <w:marTop w:val="0"/>
                  <w:marBottom w:val="0"/>
                  <w:divBdr>
                    <w:top w:val="none" w:sz="0" w:space="0" w:color="auto"/>
                    <w:left w:val="none" w:sz="0" w:space="0" w:color="auto"/>
                    <w:bottom w:val="none" w:sz="0" w:space="0" w:color="auto"/>
                    <w:right w:val="none" w:sz="0" w:space="0" w:color="auto"/>
                  </w:divBdr>
                  <w:divsChild>
                    <w:div w:id="1176765240">
                      <w:marLeft w:val="-225"/>
                      <w:marRight w:val="-225"/>
                      <w:marTop w:val="0"/>
                      <w:marBottom w:val="0"/>
                      <w:divBdr>
                        <w:top w:val="none" w:sz="0" w:space="0" w:color="auto"/>
                        <w:left w:val="none" w:sz="0" w:space="0" w:color="auto"/>
                        <w:bottom w:val="none" w:sz="0" w:space="0" w:color="auto"/>
                        <w:right w:val="none" w:sz="0" w:space="0" w:color="auto"/>
                      </w:divBdr>
                      <w:divsChild>
                        <w:div w:id="1991518016">
                          <w:marLeft w:val="0"/>
                          <w:marRight w:val="0"/>
                          <w:marTop w:val="0"/>
                          <w:marBottom w:val="0"/>
                          <w:divBdr>
                            <w:top w:val="none" w:sz="0" w:space="0" w:color="auto"/>
                            <w:left w:val="none" w:sz="0" w:space="0" w:color="auto"/>
                            <w:bottom w:val="none" w:sz="0" w:space="0" w:color="auto"/>
                            <w:right w:val="none" w:sz="0" w:space="0" w:color="auto"/>
                          </w:divBdr>
                          <w:divsChild>
                            <w:div w:id="1794324167">
                              <w:marLeft w:val="-225"/>
                              <w:marRight w:val="-225"/>
                              <w:marTop w:val="0"/>
                              <w:marBottom w:val="0"/>
                              <w:divBdr>
                                <w:top w:val="none" w:sz="0" w:space="0" w:color="auto"/>
                                <w:left w:val="none" w:sz="0" w:space="0" w:color="auto"/>
                                <w:bottom w:val="none" w:sz="0" w:space="0" w:color="auto"/>
                                <w:right w:val="none" w:sz="0" w:space="0" w:color="auto"/>
                              </w:divBdr>
                              <w:divsChild>
                                <w:div w:id="395202598">
                                  <w:marLeft w:val="0"/>
                                  <w:marRight w:val="0"/>
                                  <w:marTop w:val="0"/>
                                  <w:marBottom w:val="0"/>
                                  <w:divBdr>
                                    <w:top w:val="none" w:sz="0" w:space="0" w:color="auto"/>
                                    <w:left w:val="none" w:sz="0" w:space="0" w:color="auto"/>
                                    <w:bottom w:val="none" w:sz="0" w:space="0" w:color="auto"/>
                                    <w:right w:val="none" w:sz="0" w:space="0" w:color="auto"/>
                                  </w:divBdr>
                                  <w:divsChild>
                                    <w:div w:id="1533961307">
                                      <w:marLeft w:val="0"/>
                                      <w:marRight w:val="0"/>
                                      <w:marTop w:val="0"/>
                                      <w:marBottom w:val="0"/>
                                      <w:divBdr>
                                        <w:top w:val="none" w:sz="0" w:space="0" w:color="auto"/>
                                        <w:left w:val="none" w:sz="0" w:space="0" w:color="auto"/>
                                        <w:bottom w:val="none" w:sz="0" w:space="0" w:color="auto"/>
                                        <w:right w:val="none" w:sz="0" w:space="0" w:color="auto"/>
                                      </w:divBdr>
                                      <w:divsChild>
                                        <w:div w:id="643394313">
                                          <w:marLeft w:val="0"/>
                                          <w:marRight w:val="0"/>
                                          <w:marTop w:val="0"/>
                                          <w:marBottom w:val="0"/>
                                          <w:divBdr>
                                            <w:top w:val="none" w:sz="0" w:space="0" w:color="auto"/>
                                            <w:left w:val="none" w:sz="0" w:space="0" w:color="auto"/>
                                            <w:bottom w:val="none" w:sz="0" w:space="0" w:color="auto"/>
                                            <w:right w:val="none" w:sz="0" w:space="0" w:color="auto"/>
                                          </w:divBdr>
                                          <w:divsChild>
                                            <w:div w:id="45567092">
                                              <w:marLeft w:val="0"/>
                                              <w:marRight w:val="0"/>
                                              <w:marTop w:val="0"/>
                                              <w:marBottom w:val="225"/>
                                              <w:divBdr>
                                                <w:top w:val="none" w:sz="0" w:space="0" w:color="auto"/>
                                                <w:left w:val="none" w:sz="0" w:space="0" w:color="auto"/>
                                                <w:bottom w:val="none" w:sz="0" w:space="0" w:color="auto"/>
                                                <w:right w:val="none" w:sz="0" w:space="0" w:color="auto"/>
                                              </w:divBdr>
                                              <w:divsChild>
                                                <w:div w:id="355156129">
                                                  <w:marLeft w:val="0"/>
                                                  <w:marRight w:val="0"/>
                                                  <w:marTop w:val="0"/>
                                                  <w:marBottom w:val="0"/>
                                                  <w:divBdr>
                                                    <w:top w:val="none" w:sz="0" w:space="0" w:color="auto"/>
                                                    <w:left w:val="none" w:sz="0" w:space="0" w:color="auto"/>
                                                    <w:bottom w:val="none" w:sz="0" w:space="0" w:color="auto"/>
                                                    <w:right w:val="none" w:sz="0" w:space="0" w:color="auto"/>
                                                  </w:divBdr>
                                                  <w:divsChild>
                                                    <w:div w:id="1336878894">
                                                      <w:marLeft w:val="0"/>
                                                      <w:marRight w:val="0"/>
                                                      <w:marTop w:val="0"/>
                                                      <w:marBottom w:val="0"/>
                                                      <w:divBdr>
                                                        <w:top w:val="none" w:sz="0" w:space="0" w:color="auto"/>
                                                        <w:left w:val="none" w:sz="0" w:space="0" w:color="auto"/>
                                                        <w:bottom w:val="none" w:sz="0" w:space="0" w:color="auto"/>
                                                        <w:right w:val="none" w:sz="0" w:space="0" w:color="auto"/>
                                                      </w:divBdr>
                                                      <w:divsChild>
                                                        <w:div w:id="237516085">
                                                          <w:marLeft w:val="0"/>
                                                          <w:marRight w:val="0"/>
                                                          <w:marTop w:val="0"/>
                                                          <w:marBottom w:val="0"/>
                                                          <w:divBdr>
                                                            <w:top w:val="none" w:sz="0" w:space="0" w:color="auto"/>
                                                            <w:left w:val="none" w:sz="0" w:space="0" w:color="auto"/>
                                                            <w:bottom w:val="none" w:sz="0" w:space="0" w:color="auto"/>
                                                            <w:right w:val="none" w:sz="0" w:space="0" w:color="auto"/>
                                                          </w:divBdr>
                                                          <w:divsChild>
                                                            <w:div w:id="112048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18675107">
      <w:bodyDiv w:val="1"/>
      <w:marLeft w:val="0"/>
      <w:marRight w:val="0"/>
      <w:marTop w:val="0"/>
      <w:marBottom w:val="0"/>
      <w:divBdr>
        <w:top w:val="none" w:sz="0" w:space="0" w:color="auto"/>
        <w:left w:val="none" w:sz="0" w:space="0" w:color="auto"/>
        <w:bottom w:val="none" w:sz="0" w:space="0" w:color="auto"/>
        <w:right w:val="none" w:sz="0" w:space="0" w:color="auto"/>
      </w:divBdr>
    </w:div>
    <w:div w:id="738862773">
      <w:bodyDiv w:val="1"/>
      <w:marLeft w:val="0"/>
      <w:marRight w:val="0"/>
      <w:marTop w:val="0"/>
      <w:marBottom w:val="0"/>
      <w:divBdr>
        <w:top w:val="none" w:sz="0" w:space="0" w:color="auto"/>
        <w:left w:val="none" w:sz="0" w:space="0" w:color="auto"/>
        <w:bottom w:val="none" w:sz="0" w:space="0" w:color="auto"/>
        <w:right w:val="none" w:sz="0" w:space="0" w:color="auto"/>
      </w:divBdr>
    </w:div>
    <w:div w:id="764811058">
      <w:bodyDiv w:val="1"/>
      <w:marLeft w:val="0"/>
      <w:marRight w:val="0"/>
      <w:marTop w:val="0"/>
      <w:marBottom w:val="0"/>
      <w:divBdr>
        <w:top w:val="none" w:sz="0" w:space="0" w:color="auto"/>
        <w:left w:val="none" w:sz="0" w:space="0" w:color="auto"/>
        <w:bottom w:val="none" w:sz="0" w:space="0" w:color="auto"/>
        <w:right w:val="none" w:sz="0" w:space="0" w:color="auto"/>
      </w:divBdr>
      <w:divsChild>
        <w:div w:id="1188787953">
          <w:marLeft w:val="0"/>
          <w:marRight w:val="0"/>
          <w:marTop w:val="0"/>
          <w:marBottom w:val="0"/>
          <w:divBdr>
            <w:top w:val="none" w:sz="0" w:space="0" w:color="auto"/>
            <w:left w:val="none" w:sz="0" w:space="0" w:color="auto"/>
            <w:bottom w:val="none" w:sz="0" w:space="0" w:color="auto"/>
            <w:right w:val="none" w:sz="0" w:space="0" w:color="auto"/>
          </w:divBdr>
          <w:divsChild>
            <w:div w:id="2097166231">
              <w:marLeft w:val="0"/>
              <w:marRight w:val="0"/>
              <w:marTop w:val="0"/>
              <w:marBottom w:val="0"/>
              <w:divBdr>
                <w:top w:val="none" w:sz="0" w:space="0" w:color="auto"/>
                <w:left w:val="none" w:sz="0" w:space="0" w:color="auto"/>
                <w:bottom w:val="none" w:sz="0" w:space="0" w:color="auto"/>
                <w:right w:val="none" w:sz="0" w:space="0" w:color="auto"/>
              </w:divBdr>
              <w:divsChild>
                <w:div w:id="588928316">
                  <w:marLeft w:val="0"/>
                  <w:marRight w:val="0"/>
                  <w:marTop w:val="0"/>
                  <w:marBottom w:val="0"/>
                  <w:divBdr>
                    <w:top w:val="none" w:sz="0" w:space="0" w:color="auto"/>
                    <w:left w:val="none" w:sz="0" w:space="0" w:color="auto"/>
                    <w:bottom w:val="none" w:sz="0" w:space="0" w:color="auto"/>
                    <w:right w:val="none" w:sz="0" w:space="0" w:color="auto"/>
                  </w:divBdr>
                  <w:divsChild>
                    <w:div w:id="1477721530">
                      <w:marLeft w:val="120"/>
                      <w:marRight w:val="120"/>
                      <w:marTop w:val="120"/>
                      <w:marBottom w:val="120"/>
                      <w:divBdr>
                        <w:top w:val="none" w:sz="0" w:space="0" w:color="auto"/>
                        <w:left w:val="none" w:sz="0" w:space="0" w:color="auto"/>
                        <w:bottom w:val="single" w:sz="6" w:space="0" w:color="FFFFFF"/>
                        <w:right w:val="none" w:sz="0" w:space="0" w:color="auto"/>
                      </w:divBdr>
                      <w:divsChild>
                        <w:div w:id="619990587">
                          <w:marLeft w:val="0"/>
                          <w:marRight w:val="0"/>
                          <w:marTop w:val="0"/>
                          <w:marBottom w:val="0"/>
                          <w:divBdr>
                            <w:top w:val="none" w:sz="0" w:space="0" w:color="auto"/>
                            <w:left w:val="none" w:sz="0" w:space="0" w:color="auto"/>
                            <w:bottom w:val="none" w:sz="0" w:space="0" w:color="auto"/>
                            <w:right w:val="none" w:sz="0" w:space="0" w:color="auto"/>
                          </w:divBdr>
                          <w:divsChild>
                            <w:div w:id="997534097">
                              <w:marLeft w:val="0"/>
                              <w:marRight w:val="0"/>
                              <w:marTop w:val="0"/>
                              <w:marBottom w:val="0"/>
                              <w:divBdr>
                                <w:top w:val="none" w:sz="0" w:space="0" w:color="auto"/>
                                <w:left w:val="none" w:sz="0" w:space="0" w:color="auto"/>
                                <w:bottom w:val="none" w:sz="0" w:space="0" w:color="auto"/>
                                <w:right w:val="none" w:sz="0" w:space="0" w:color="auto"/>
                              </w:divBdr>
                              <w:divsChild>
                                <w:div w:id="614026153">
                                  <w:marLeft w:val="0"/>
                                  <w:marRight w:val="0"/>
                                  <w:marTop w:val="0"/>
                                  <w:marBottom w:val="0"/>
                                  <w:divBdr>
                                    <w:top w:val="none" w:sz="0" w:space="0" w:color="auto"/>
                                    <w:left w:val="none" w:sz="0" w:space="0" w:color="auto"/>
                                    <w:bottom w:val="none" w:sz="0" w:space="0" w:color="auto"/>
                                    <w:right w:val="none" w:sz="0" w:space="0" w:color="auto"/>
                                  </w:divBdr>
                                  <w:divsChild>
                                    <w:div w:id="1040663941">
                                      <w:marLeft w:val="0"/>
                                      <w:marRight w:val="0"/>
                                      <w:marTop w:val="0"/>
                                      <w:marBottom w:val="0"/>
                                      <w:divBdr>
                                        <w:top w:val="none" w:sz="0" w:space="0" w:color="auto"/>
                                        <w:left w:val="none" w:sz="0" w:space="0" w:color="auto"/>
                                        <w:bottom w:val="none" w:sz="0" w:space="0" w:color="auto"/>
                                        <w:right w:val="none" w:sz="0" w:space="0" w:color="auto"/>
                                      </w:divBdr>
                                      <w:divsChild>
                                        <w:div w:id="62855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04470812">
      <w:bodyDiv w:val="1"/>
      <w:marLeft w:val="0"/>
      <w:marRight w:val="0"/>
      <w:marTop w:val="0"/>
      <w:marBottom w:val="0"/>
      <w:divBdr>
        <w:top w:val="none" w:sz="0" w:space="0" w:color="auto"/>
        <w:left w:val="none" w:sz="0" w:space="0" w:color="auto"/>
        <w:bottom w:val="none" w:sz="0" w:space="0" w:color="auto"/>
        <w:right w:val="none" w:sz="0" w:space="0" w:color="auto"/>
      </w:divBdr>
    </w:div>
    <w:div w:id="824055432">
      <w:bodyDiv w:val="1"/>
      <w:marLeft w:val="0"/>
      <w:marRight w:val="0"/>
      <w:marTop w:val="0"/>
      <w:marBottom w:val="0"/>
      <w:divBdr>
        <w:top w:val="none" w:sz="0" w:space="0" w:color="auto"/>
        <w:left w:val="none" w:sz="0" w:space="0" w:color="auto"/>
        <w:bottom w:val="none" w:sz="0" w:space="0" w:color="auto"/>
        <w:right w:val="none" w:sz="0" w:space="0" w:color="auto"/>
      </w:divBdr>
    </w:div>
    <w:div w:id="837766901">
      <w:bodyDiv w:val="1"/>
      <w:marLeft w:val="0"/>
      <w:marRight w:val="0"/>
      <w:marTop w:val="0"/>
      <w:marBottom w:val="0"/>
      <w:divBdr>
        <w:top w:val="none" w:sz="0" w:space="0" w:color="auto"/>
        <w:left w:val="none" w:sz="0" w:space="0" w:color="auto"/>
        <w:bottom w:val="none" w:sz="0" w:space="0" w:color="auto"/>
        <w:right w:val="none" w:sz="0" w:space="0" w:color="auto"/>
      </w:divBdr>
    </w:div>
    <w:div w:id="846794871">
      <w:bodyDiv w:val="1"/>
      <w:marLeft w:val="0"/>
      <w:marRight w:val="0"/>
      <w:marTop w:val="0"/>
      <w:marBottom w:val="0"/>
      <w:divBdr>
        <w:top w:val="none" w:sz="0" w:space="0" w:color="auto"/>
        <w:left w:val="none" w:sz="0" w:space="0" w:color="auto"/>
        <w:bottom w:val="none" w:sz="0" w:space="0" w:color="auto"/>
        <w:right w:val="none" w:sz="0" w:space="0" w:color="auto"/>
      </w:divBdr>
    </w:div>
    <w:div w:id="978994492">
      <w:bodyDiv w:val="1"/>
      <w:marLeft w:val="0"/>
      <w:marRight w:val="0"/>
      <w:marTop w:val="0"/>
      <w:marBottom w:val="0"/>
      <w:divBdr>
        <w:top w:val="none" w:sz="0" w:space="0" w:color="auto"/>
        <w:left w:val="none" w:sz="0" w:space="0" w:color="auto"/>
        <w:bottom w:val="none" w:sz="0" w:space="0" w:color="auto"/>
        <w:right w:val="none" w:sz="0" w:space="0" w:color="auto"/>
      </w:divBdr>
    </w:div>
    <w:div w:id="1034308008">
      <w:bodyDiv w:val="1"/>
      <w:marLeft w:val="0"/>
      <w:marRight w:val="0"/>
      <w:marTop w:val="0"/>
      <w:marBottom w:val="0"/>
      <w:divBdr>
        <w:top w:val="none" w:sz="0" w:space="0" w:color="auto"/>
        <w:left w:val="none" w:sz="0" w:space="0" w:color="auto"/>
        <w:bottom w:val="none" w:sz="0" w:space="0" w:color="auto"/>
        <w:right w:val="none" w:sz="0" w:space="0" w:color="auto"/>
      </w:divBdr>
      <w:divsChild>
        <w:div w:id="552816510">
          <w:marLeft w:val="0"/>
          <w:marRight w:val="0"/>
          <w:marTop w:val="0"/>
          <w:marBottom w:val="0"/>
          <w:divBdr>
            <w:top w:val="none" w:sz="0" w:space="0" w:color="auto"/>
            <w:left w:val="none" w:sz="0" w:space="0" w:color="auto"/>
            <w:bottom w:val="none" w:sz="0" w:space="0" w:color="auto"/>
            <w:right w:val="none" w:sz="0" w:space="0" w:color="auto"/>
          </w:divBdr>
          <w:divsChild>
            <w:div w:id="1818255751">
              <w:marLeft w:val="0"/>
              <w:marRight w:val="0"/>
              <w:marTop w:val="0"/>
              <w:marBottom w:val="0"/>
              <w:divBdr>
                <w:top w:val="none" w:sz="0" w:space="0" w:color="auto"/>
                <w:left w:val="none" w:sz="0" w:space="0" w:color="auto"/>
                <w:bottom w:val="none" w:sz="0" w:space="0" w:color="auto"/>
                <w:right w:val="none" w:sz="0" w:space="0" w:color="auto"/>
              </w:divBdr>
              <w:divsChild>
                <w:div w:id="1752389878">
                  <w:marLeft w:val="0"/>
                  <w:marRight w:val="0"/>
                  <w:marTop w:val="0"/>
                  <w:marBottom w:val="0"/>
                  <w:divBdr>
                    <w:top w:val="none" w:sz="0" w:space="0" w:color="auto"/>
                    <w:left w:val="none" w:sz="0" w:space="0" w:color="auto"/>
                    <w:bottom w:val="none" w:sz="0" w:space="0" w:color="auto"/>
                    <w:right w:val="none" w:sz="0" w:space="0" w:color="auto"/>
                  </w:divBdr>
                  <w:divsChild>
                    <w:div w:id="159583105">
                      <w:marLeft w:val="0"/>
                      <w:marRight w:val="0"/>
                      <w:marTop w:val="0"/>
                      <w:marBottom w:val="0"/>
                      <w:divBdr>
                        <w:top w:val="none" w:sz="0" w:space="0" w:color="auto"/>
                        <w:left w:val="none" w:sz="0" w:space="0" w:color="auto"/>
                        <w:bottom w:val="none" w:sz="0" w:space="0" w:color="auto"/>
                        <w:right w:val="none" w:sz="0" w:space="0" w:color="auto"/>
                      </w:divBdr>
                      <w:divsChild>
                        <w:div w:id="1730222389">
                          <w:marLeft w:val="0"/>
                          <w:marRight w:val="0"/>
                          <w:marTop w:val="0"/>
                          <w:marBottom w:val="0"/>
                          <w:divBdr>
                            <w:top w:val="none" w:sz="0" w:space="0" w:color="auto"/>
                            <w:left w:val="none" w:sz="0" w:space="0" w:color="auto"/>
                            <w:bottom w:val="none" w:sz="0" w:space="0" w:color="auto"/>
                            <w:right w:val="none" w:sz="0" w:space="0" w:color="auto"/>
                          </w:divBdr>
                          <w:divsChild>
                            <w:div w:id="115618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0035542">
      <w:bodyDiv w:val="1"/>
      <w:marLeft w:val="0"/>
      <w:marRight w:val="0"/>
      <w:marTop w:val="0"/>
      <w:marBottom w:val="0"/>
      <w:divBdr>
        <w:top w:val="none" w:sz="0" w:space="0" w:color="auto"/>
        <w:left w:val="none" w:sz="0" w:space="0" w:color="auto"/>
        <w:bottom w:val="none" w:sz="0" w:space="0" w:color="auto"/>
        <w:right w:val="none" w:sz="0" w:space="0" w:color="auto"/>
      </w:divBdr>
    </w:div>
    <w:div w:id="1063916333">
      <w:bodyDiv w:val="1"/>
      <w:marLeft w:val="0"/>
      <w:marRight w:val="0"/>
      <w:marTop w:val="0"/>
      <w:marBottom w:val="0"/>
      <w:divBdr>
        <w:top w:val="none" w:sz="0" w:space="0" w:color="auto"/>
        <w:left w:val="none" w:sz="0" w:space="0" w:color="auto"/>
        <w:bottom w:val="none" w:sz="0" w:space="0" w:color="auto"/>
        <w:right w:val="none" w:sz="0" w:space="0" w:color="auto"/>
      </w:divBdr>
    </w:div>
    <w:div w:id="1085348410">
      <w:bodyDiv w:val="1"/>
      <w:marLeft w:val="0"/>
      <w:marRight w:val="0"/>
      <w:marTop w:val="0"/>
      <w:marBottom w:val="0"/>
      <w:divBdr>
        <w:top w:val="none" w:sz="0" w:space="0" w:color="auto"/>
        <w:left w:val="none" w:sz="0" w:space="0" w:color="auto"/>
        <w:bottom w:val="none" w:sz="0" w:space="0" w:color="auto"/>
        <w:right w:val="none" w:sz="0" w:space="0" w:color="auto"/>
      </w:divBdr>
    </w:div>
    <w:div w:id="1104378306">
      <w:bodyDiv w:val="1"/>
      <w:marLeft w:val="0"/>
      <w:marRight w:val="0"/>
      <w:marTop w:val="0"/>
      <w:marBottom w:val="0"/>
      <w:divBdr>
        <w:top w:val="none" w:sz="0" w:space="0" w:color="auto"/>
        <w:left w:val="none" w:sz="0" w:space="0" w:color="auto"/>
        <w:bottom w:val="none" w:sz="0" w:space="0" w:color="auto"/>
        <w:right w:val="none" w:sz="0" w:space="0" w:color="auto"/>
      </w:divBdr>
    </w:div>
    <w:div w:id="1161196298">
      <w:bodyDiv w:val="1"/>
      <w:marLeft w:val="0"/>
      <w:marRight w:val="0"/>
      <w:marTop w:val="0"/>
      <w:marBottom w:val="0"/>
      <w:divBdr>
        <w:top w:val="none" w:sz="0" w:space="0" w:color="auto"/>
        <w:left w:val="none" w:sz="0" w:space="0" w:color="auto"/>
        <w:bottom w:val="none" w:sz="0" w:space="0" w:color="auto"/>
        <w:right w:val="none" w:sz="0" w:space="0" w:color="auto"/>
      </w:divBdr>
    </w:div>
    <w:div w:id="1174146576">
      <w:bodyDiv w:val="1"/>
      <w:marLeft w:val="0"/>
      <w:marRight w:val="0"/>
      <w:marTop w:val="0"/>
      <w:marBottom w:val="0"/>
      <w:divBdr>
        <w:top w:val="none" w:sz="0" w:space="0" w:color="auto"/>
        <w:left w:val="none" w:sz="0" w:space="0" w:color="auto"/>
        <w:bottom w:val="none" w:sz="0" w:space="0" w:color="auto"/>
        <w:right w:val="none" w:sz="0" w:space="0" w:color="auto"/>
      </w:divBdr>
      <w:divsChild>
        <w:div w:id="717625941">
          <w:marLeft w:val="0"/>
          <w:marRight w:val="0"/>
          <w:marTop w:val="0"/>
          <w:marBottom w:val="0"/>
          <w:divBdr>
            <w:top w:val="none" w:sz="0" w:space="0" w:color="auto"/>
            <w:left w:val="none" w:sz="0" w:space="0" w:color="auto"/>
            <w:bottom w:val="none" w:sz="0" w:space="0" w:color="auto"/>
            <w:right w:val="none" w:sz="0" w:space="0" w:color="auto"/>
          </w:divBdr>
          <w:divsChild>
            <w:div w:id="445079760">
              <w:marLeft w:val="0"/>
              <w:marRight w:val="0"/>
              <w:marTop w:val="0"/>
              <w:marBottom w:val="0"/>
              <w:divBdr>
                <w:top w:val="none" w:sz="0" w:space="0" w:color="auto"/>
                <w:left w:val="none" w:sz="0" w:space="0" w:color="auto"/>
                <w:bottom w:val="none" w:sz="0" w:space="0" w:color="auto"/>
                <w:right w:val="none" w:sz="0" w:space="0" w:color="auto"/>
              </w:divBdr>
              <w:divsChild>
                <w:div w:id="1913199428">
                  <w:marLeft w:val="0"/>
                  <w:marRight w:val="0"/>
                  <w:marTop w:val="0"/>
                  <w:marBottom w:val="0"/>
                  <w:divBdr>
                    <w:top w:val="none" w:sz="0" w:space="0" w:color="auto"/>
                    <w:left w:val="none" w:sz="0" w:space="0" w:color="auto"/>
                    <w:bottom w:val="none" w:sz="0" w:space="0" w:color="auto"/>
                    <w:right w:val="none" w:sz="0" w:space="0" w:color="auto"/>
                  </w:divBdr>
                  <w:divsChild>
                    <w:div w:id="152454682">
                      <w:marLeft w:val="0"/>
                      <w:marRight w:val="0"/>
                      <w:marTop w:val="0"/>
                      <w:marBottom w:val="0"/>
                      <w:divBdr>
                        <w:top w:val="none" w:sz="0" w:space="0" w:color="auto"/>
                        <w:left w:val="none" w:sz="0" w:space="0" w:color="auto"/>
                        <w:bottom w:val="none" w:sz="0" w:space="0" w:color="auto"/>
                        <w:right w:val="none" w:sz="0" w:space="0" w:color="auto"/>
                      </w:divBdr>
                      <w:divsChild>
                        <w:div w:id="677194638">
                          <w:marLeft w:val="0"/>
                          <w:marRight w:val="0"/>
                          <w:marTop w:val="0"/>
                          <w:marBottom w:val="0"/>
                          <w:divBdr>
                            <w:top w:val="none" w:sz="0" w:space="0" w:color="auto"/>
                            <w:left w:val="none" w:sz="0" w:space="0" w:color="auto"/>
                            <w:bottom w:val="none" w:sz="0" w:space="0" w:color="auto"/>
                            <w:right w:val="none" w:sz="0" w:space="0" w:color="auto"/>
                          </w:divBdr>
                          <w:divsChild>
                            <w:div w:id="1818644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5656388">
      <w:bodyDiv w:val="1"/>
      <w:marLeft w:val="0"/>
      <w:marRight w:val="0"/>
      <w:marTop w:val="0"/>
      <w:marBottom w:val="0"/>
      <w:divBdr>
        <w:top w:val="none" w:sz="0" w:space="0" w:color="auto"/>
        <w:left w:val="none" w:sz="0" w:space="0" w:color="auto"/>
        <w:bottom w:val="none" w:sz="0" w:space="0" w:color="auto"/>
        <w:right w:val="none" w:sz="0" w:space="0" w:color="auto"/>
      </w:divBdr>
    </w:div>
    <w:div w:id="1199852131">
      <w:bodyDiv w:val="1"/>
      <w:marLeft w:val="0"/>
      <w:marRight w:val="0"/>
      <w:marTop w:val="0"/>
      <w:marBottom w:val="0"/>
      <w:divBdr>
        <w:top w:val="none" w:sz="0" w:space="0" w:color="auto"/>
        <w:left w:val="none" w:sz="0" w:space="0" w:color="auto"/>
        <w:bottom w:val="none" w:sz="0" w:space="0" w:color="auto"/>
        <w:right w:val="none" w:sz="0" w:space="0" w:color="auto"/>
      </w:divBdr>
    </w:div>
    <w:div w:id="1217158386">
      <w:bodyDiv w:val="1"/>
      <w:marLeft w:val="0"/>
      <w:marRight w:val="0"/>
      <w:marTop w:val="0"/>
      <w:marBottom w:val="0"/>
      <w:divBdr>
        <w:top w:val="none" w:sz="0" w:space="0" w:color="auto"/>
        <w:left w:val="none" w:sz="0" w:space="0" w:color="auto"/>
        <w:bottom w:val="none" w:sz="0" w:space="0" w:color="auto"/>
        <w:right w:val="none" w:sz="0" w:space="0" w:color="auto"/>
      </w:divBdr>
    </w:div>
    <w:div w:id="1240939047">
      <w:bodyDiv w:val="1"/>
      <w:marLeft w:val="0"/>
      <w:marRight w:val="0"/>
      <w:marTop w:val="0"/>
      <w:marBottom w:val="0"/>
      <w:divBdr>
        <w:top w:val="none" w:sz="0" w:space="0" w:color="auto"/>
        <w:left w:val="none" w:sz="0" w:space="0" w:color="auto"/>
        <w:bottom w:val="none" w:sz="0" w:space="0" w:color="auto"/>
        <w:right w:val="none" w:sz="0" w:space="0" w:color="auto"/>
      </w:divBdr>
    </w:div>
    <w:div w:id="1245187581">
      <w:bodyDiv w:val="1"/>
      <w:marLeft w:val="0"/>
      <w:marRight w:val="0"/>
      <w:marTop w:val="0"/>
      <w:marBottom w:val="0"/>
      <w:divBdr>
        <w:top w:val="none" w:sz="0" w:space="0" w:color="auto"/>
        <w:left w:val="none" w:sz="0" w:space="0" w:color="auto"/>
        <w:bottom w:val="none" w:sz="0" w:space="0" w:color="auto"/>
        <w:right w:val="none" w:sz="0" w:space="0" w:color="auto"/>
      </w:divBdr>
    </w:div>
    <w:div w:id="1270813040">
      <w:bodyDiv w:val="1"/>
      <w:marLeft w:val="0"/>
      <w:marRight w:val="0"/>
      <w:marTop w:val="0"/>
      <w:marBottom w:val="0"/>
      <w:divBdr>
        <w:top w:val="none" w:sz="0" w:space="0" w:color="auto"/>
        <w:left w:val="none" w:sz="0" w:space="0" w:color="auto"/>
        <w:bottom w:val="none" w:sz="0" w:space="0" w:color="auto"/>
        <w:right w:val="none" w:sz="0" w:space="0" w:color="auto"/>
      </w:divBdr>
    </w:div>
    <w:div w:id="1274558550">
      <w:bodyDiv w:val="1"/>
      <w:marLeft w:val="0"/>
      <w:marRight w:val="0"/>
      <w:marTop w:val="0"/>
      <w:marBottom w:val="0"/>
      <w:divBdr>
        <w:top w:val="none" w:sz="0" w:space="0" w:color="auto"/>
        <w:left w:val="none" w:sz="0" w:space="0" w:color="auto"/>
        <w:bottom w:val="none" w:sz="0" w:space="0" w:color="auto"/>
        <w:right w:val="none" w:sz="0" w:space="0" w:color="auto"/>
      </w:divBdr>
      <w:divsChild>
        <w:div w:id="2004234555">
          <w:marLeft w:val="0"/>
          <w:marRight w:val="0"/>
          <w:marTop w:val="0"/>
          <w:marBottom w:val="0"/>
          <w:divBdr>
            <w:top w:val="none" w:sz="0" w:space="0" w:color="auto"/>
            <w:left w:val="none" w:sz="0" w:space="0" w:color="auto"/>
            <w:bottom w:val="none" w:sz="0" w:space="0" w:color="auto"/>
            <w:right w:val="none" w:sz="0" w:space="0" w:color="auto"/>
          </w:divBdr>
          <w:divsChild>
            <w:div w:id="1344819242">
              <w:marLeft w:val="0"/>
              <w:marRight w:val="0"/>
              <w:marTop w:val="0"/>
              <w:marBottom w:val="0"/>
              <w:divBdr>
                <w:top w:val="none" w:sz="0" w:space="0" w:color="auto"/>
                <w:left w:val="none" w:sz="0" w:space="0" w:color="auto"/>
                <w:bottom w:val="none" w:sz="0" w:space="0" w:color="auto"/>
                <w:right w:val="none" w:sz="0" w:space="0" w:color="auto"/>
              </w:divBdr>
              <w:divsChild>
                <w:div w:id="594827042">
                  <w:marLeft w:val="0"/>
                  <w:marRight w:val="0"/>
                  <w:marTop w:val="0"/>
                  <w:marBottom w:val="0"/>
                  <w:divBdr>
                    <w:top w:val="none" w:sz="0" w:space="0" w:color="auto"/>
                    <w:left w:val="none" w:sz="0" w:space="0" w:color="auto"/>
                    <w:bottom w:val="none" w:sz="0" w:space="0" w:color="auto"/>
                    <w:right w:val="none" w:sz="0" w:space="0" w:color="auto"/>
                  </w:divBdr>
                  <w:divsChild>
                    <w:div w:id="609357349">
                      <w:marLeft w:val="0"/>
                      <w:marRight w:val="0"/>
                      <w:marTop w:val="0"/>
                      <w:marBottom w:val="0"/>
                      <w:divBdr>
                        <w:top w:val="none" w:sz="0" w:space="0" w:color="auto"/>
                        <w:left w:val="none" w:sz="0" w:space="0" w:color="auto"/>
                        <w:bottom w:val="none" w:sz="0" w:space="0" w:color="auto"/>
                        <w:right w:val="none" w:sz="0" w:space="0" w:color="auto"/>
                      </w:divBdr>
                      <w:divsChild>
                        <w:div w:id="1629125264">
                          <w:marLeft w:val="0"/>
                          <w:marRight w:val="0"/>
                          <w:marTop w:val="0"/>
                          <w:marBottom w:val="0"/>
                          <w:divBdr>
                            <w:top w:val="none" w:sz="0" w:space="0" w:color="auto"/>
                            <w:left w:val="none" w:sz="0" w:space="0" w:color="auto"/>
                            <w:bottom w:val="none" w:sz="0" w:space="0" w:color="auto"/>
                            <w:right w:val="none" w:sz="0" w:space="0" w:color="auto"/>
                          </w:divBdr>
                          <w:divsChild>
                            <w:div w:id="1936857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1203936">
      <w:bodyDiv w:val="1"/>
      <w:marLeft w:val="0"/>
      <w:marRight w:val="0"/>
      <w:marTop w:val="0"/>
      <w:marBottom w:val="0"/>
      <w:divBdr>
        <w:top w:val="none" w:sz="0" w:space="0" w:color="auto"/>
        <w:left w:val="none" w:sz="0" w:space="0" w:color="auto"/>
        <w:bottom w:val="none" w:sz="0" w:space="0" w:color="auto"/>
        <w:right w:val="none" w:sz="0" w:space="0" w:color="auto"/>
      </w:divBdr>
    </w:div>
    <w:div w:id="1384407596">
      <w:bodyDiv w:val="1"/>
      <w:marLeft w:val="0"/>
      <w:marRight w:val="0"/>
      <w:marTop w:val="0"/>
      <w:marBottom w:val="0"/>
      <w:divBdr>
        <w:top w:val="none" w:sz="0" w:space="0" w:color="auto"/>
        <w:left w:val="none" w:sz="0" w:space="0" w:color="auto"/>
        <w:bottom w:val="none" w:sz="0" w:space="0" w:color="auto"/>
        <w:right w:val="none" w:sz="0" w:space="0" w:color="auto"/>
      </w:divBdr>
    </w:div>
    <w:div w:id="1403798342">
      <w:bodyDiv w:val="1"/>
      <w:marLeft w:val="0"/>
      <w:marRight w:val="0"/>
      <w:marTop w:val="0"/>
      <w:marBottom w:val="0"/>
      <w:divBdr>
        <w:top w:val="none" w:sz="0" w:space="0" w:color="auto"/>
        <w:left w:val="none" w:sz="0" w:space="0" w:color="auto"/>
        <w:bottom w:val="none" w:sz="0" w:space="0" w:color="auto"/>
        <w:right w:val="none" w:sz="0" w:space="0" w:color="auto"/>
      </w:divBdr>
    </w:div>
    <w:div w:id="1438794759">
      <w:bodyDiv w:val="1"/>
      <w:marLeft w:val="0"/>
      <w:marRight w:val="0"/>
      <w:marTop w:val="0"/>
      <w:marBottom w:val="0"/>
      <w:divBdr>
        <w:top w:val="none" w:sz="0" w:space="0" w:color="auto"/>
        <w:left w:val="none" w:sz="0" w:space="0" w:color="auto"/>
        <w:bottom w:val="none" w:sz="0" w:space="0" w:color="auto"/>
        <w:right w:val="none" w:sz="0" w:space="0" w:color="auto"/>
      </w:divBdr>
    </w:div>
    <w:div w:id="1464956805">
      <w:bodyDiv w:val="1"/>
      <w:marLeft w:val="0"/>
      <w:marRight w:val="0"/>
      <w:marTop w:val="0"/>
      <w:marBottom w:val="0"/>
      <w:divBdr>
        <w:top w:val="none" w:sz="0" w:space="0" w:color="auto"/>
        <w:left w:val="none" w:sz="0" w:space="0" w:color="auto"/>
        <w:bottom w:val="none" w:sz="0" w:space="0" w:color="auto"/>
        <w:right w:val="none" w:sz="0" w:space="0" w:color="auto"/>
      </w:divBdr>
    </w:div>
    <w:div w:id="1467434387">
      <w:bodyDiv w:val="1"/>
      <w:marLeft w:val="0"/>
      <w:marRight w:val="0"/>
      <w:marTop w:val="0"/>
      <w:marBottom w:val="0"/>
      <w:divBdr>
        <w:top w:val="none" w:sz="0" w:space="0" w:color="auto"/>
        <w:left w:val="none" w:sz="0" w:space="0" w:color="auto"/>
        <w:bottom w:val="none" w:sz="0" w:space="0" w:color="auto"/>
        <w:right w:val="none" w:sz="0" w:space="0" w:color="auto"/>
      </w:divBdr>
    </w:div>
    <w:div w:id="1475021055">
      <w:bodyDiv w:val="1"/>
      <w:marLeft w:val="0"/>
      <w:marRight w:val="0"/>
      <w:marTop w:val="0"/>
      <w:marBottom w:val="0"/>
      <w:divBdr>
        <w:top w:val="none" w:sz="0" w:space="0" w:color="auto"/>
        <w:left w:val="none" w:sz="0" w:space="0" w:color="auto"/>
        <w:bottom w:val="none" w:sz="0" w:space="0" w:color="auto"/>
        <w:right w:val="none" w:sz="0" w:space="0" w:color="auto"/>
      </w:divBdr>
    </w:div>
    <w:div w:id="1498693403">
      <w:bodyDiv w:val="1"/>
      <w:marLeft w:val="0"/>
      <w:marRight w:val="0"/>
      <w:marTop w:val="0"/>
      <w:marBottom w:val="0"/>
      <w:divBdr>
        <w:top w:val="none" w:sz="0" w:space="0" w:color="auto"/>
        <w:left w:val="none" w:sz="0" w:space="0" w:color="auto"/>
        <w:bottom w:val="none" w:sz="0" w:space="0" w:color="auto"/>
        <w:right w:val="none" w:sz="0" w:space="0" w:color="auto"/>
      </w:divBdr>
    </w:div>
    <w:div w:id="1504975516">
      <w:bodyDiv w:val="1"/>
      <w:marLeft w:val="0"/>
      <w:marRight w:val="0"/>
      <w:marTop w:val="0"/>
      <w:marBottom w:val="0"/>
      <w:divBdr>
        <w:top w:val="none" w:sz="0" w:space="0" w:color="auto"/>
        <w:left w:val="none" w:sz="0" w:space="0" w:color="auto"/>
        <w:bottom w:val="none" w:sz="0" w:space="0" w:color="auto"/>
        <w:right w:val="none" w:sz="0" w:space="0" w:color="auto"/>
      </w:divBdr>
    </w:div>
    <w:div w:id="1590852424">
      <w:bodyDiv w:val="1"/>
      <w:marLeft w:val="0"/>
      <w:marRight w:val="0"/>
      <w:marTop w:val="0"/>
      <w:marBottom w:val="0"/>
      <w:divBdr>
        <w:top w:val="none" w:sz="0" w:space="0" w:color="auto"/>
        <w:left w:val="none" w:sz="0" w:space="0" w:color="auto"/>
        <w:bottom w:val="none" w:sz="0" w:space="0" w:color="auto"/>
        <w:right w:val="none" w:sz="0" w:space="0" w:color="auto"/>
      </w:divBdr>
    </w:div>
    <w:div w:id="1636176716">
      <w:bodyDiv w:val="1"/>
      <w:marLeft w:val="0"/>
      <w:marRight w:val="0"/>
      <w:marTop w:val="0"/>
      <w:marBottom w:val="0"/>
      <w:divBdr>
        <w:top w:val="none" w:sz="0" w:space="0" w:color="auto"/>
        <w:left w:val="none" w:sz="0" w:space="0" w:color="auto"/>
        <w:bottom w:val="none" w:sz="0" w:space="0" w:color="auto"/>
        <w:right w:val="none" w:sz="0" w:space="0" w:color="auto"/>
      </w:divBdr>
    </w:div>
    <w:div w:id="1637948253">
      <w:bodyDiv w:val="1"/>
      <w:marLeft w:val="0"/>
      <w:marRight w:val="0"/>
      <w:marTop w:val="0"/>
      <w:marBottom w:val="0"/>
      <w:divBdr>
        <w:top w:val="none" w:sz="0" w:space="0" w:color="auto"/>
        <w:left w:val="none" w:sz="0" w:space="0" w:color="auto"/>
        <w:bottom w:val="none" w:sz="0" w:space="0" w:color="auto"/>
        <w:right w:val="none" w:sz="0" w:space="0" w:color="auto"/>
      </w:divBdr>
    </w:div>
    <w:div w:id="1647081921">
      <w:bodyDiv w:val="1"/>
      <w:marLeft w:val="0"/>
      <w:marRight w:val="0"/>
      <w:marTop w:val="0"/>
      <w:marBottom w:val="0"/>
      <w:divBdr>
        <w:top w:val="none" w:sz="0" w:space="0" w:color="auto"/>
        <w:left w:val="none" w:sz="0" w:space="0" w:color="auto"/>
        <w:bottom w:val="none" w:sz="0" w:space="0" w:color="auto"/>
        <w:right w:val="none" w:sz="0" w:space="0" w:color="auto"/>
      </w:divBdr>
    </w:div>
    <w:div w:id="1841894817">
      <w:bodyDiv w:val="1"/>
      <w:marLeft w:val="0"/>
      <w:marRight w:val="0"/>
      <w:marTop w:val="0"/>
      <w:marBottom w:val="0"/>
      <w:divBdr>
        <w:top w:val="none" w:sz="0" w:space="0" w:color="auto"/>
        <w:left w:val="none" w:sz="0" w:space="0" w:color="auto"/>
        <w:bottom w:val="none" w:sz="0" w:space="0" w:color="auto"/>
        <w:right w:val="none" w:sz="0" w:space="0" w:color="auto"/>
      </w:divBdr>
    </w:div>
    <w:div w:id="1847280463">
      <w:bodyDiv w:val="1"/>
      <w:marLeft w:val="0"/>
      <w:marRight w:val="0"/>
      <w:marTop w:val="0"/>
      <w:marBottom w:val="0"/>
      <w:divBdr>
        <w:top w:val="none" w:sz="0" w:space="0" w:color="auto"/>
        <w:left w:val="none" w:sz="0" w:space="0" w:color="auto"/>
        <w:bottom w:val="none" w:sz="0" w:space="0" w:color="auto"/>
        <w:right w:val="none" w:sz="0" w:space="0" w:color="auto"/>
      </w:divBdr>
      <w:divsChild>
        <w:div w:id="2080902678">
          <w:marLeft w:val="0"/>
          <w:marRight w:val="0"/>
          <w:marTop w:val="0"/>
          <w:marBottom w:val="0"/>
          <w:divBdr>
            <w:top w:val="none" w:sz="0" w:space="0" w:color="auto"/>
            <w:left w:val="none" w:sz="0" w:space="0" w:color="auto"/>
            <w:bottom w:val="none" w:sz="0" w:space="0" w:color="auto"/>
            <w:right w:val="none" w:sz="0" w:space="0" w:color="auto"/>
          </w:divBdr>
          <w:divsChild>
            <w:div w:id="1889026963">
              <w:marLeft w:val="0"/>
              <w:marRight w:val="0"/>
              <w:marTop w:val="0"/>
              <w:marBottom w:val="0"/>
              <w:divBdr>
                <w:top w:val="none" w:sz="0" w:space="0" w:color="auto"/>
                <w:left w:val="none" w:sz="0" w:space="0" w:color="auto"/>
                <w:bottom w:val="none" w:sz="0" w:space="0" w:color="auto"/>
                <w:right w:val="none" w:sz="0" w:space="0" w:color="auto"/>
              </w:divBdr>
              <w:divsChild>
                <w:div w:id="1991253847">
                  <w:marLeft w:val="0"/>
                  <w:marRight w:val="0"/>
                  <w:marTop w:val="0"/>
                  <w:marBottom w:val="0"/>
                  <w:divBdr>
                    <w:top w:val="none" w:sz="0" w:space="0" w:color="auto"/>
                    <w:left w:val="none" w:sz="0" w:space="0" w:color="auto"/>
                    <w:bottom w:val="none" w:sz="0" w:space="0" w:color="auto"/>
                    <w:right w:val="none" w:sz="0" w:space="0" w:color="auto"/>
                  </w:divBdr>
                  <w:divsChild>
                    <w:div w:id="1712222409">
                      <w:marLeft w:val="0"/>
                      <w:marRight w:val="0"/>
                      <w:marTop w:val="0"/>
                      <w:marBottom w:val="0"/>
                      <w:divBdr>
                        <w:top w:val="none" w:sz="0" w:space="0" w:color="auto"/>
                        <w:left w:val="none" w:sz="0" w:space="0" w:color="auto"/>
                        <w:bottom w:val="none" w:sz="0" w:space="0" w:color="auto"/>
                        <w:right w:val="none" w:sz="0" w:space="0" w:color="auto"/>
                      </w:divBdr>
                      <w:divsChild>
                        <w:div w:id="542791018">
                          <w:marLeft w:val="0"/>
                          <w:marRight w:val="0"/>
                          <w:marTop w:val="0"/>
                          <w:marBottom w:val="0"/>
                          <w:divBdr>
                            <w:top w:val="none" w:sz="0" w:space="0" w:color="auto"/>
                            <w:left w:val="none" w:sz="0" w:space="0" w:color="auto"/>
                            <w:bottom w:val="none" w:sz="0" w:space="0" w:color="auto"/>
                            <w:right w:val="none" w:sz="0" w:space="0" w:color="auto"/>
                          </w:divBdr>
                          <w:divsChild>
                            <w:div w:id="885028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2572644">
      <w:bodyDiv w:val="1"/>
      <w:marLeft w:val="0"/>
      <w:marRight w:val="0"/>
      <w:marTop w:val="0"/>
      <w:marBottom w:val="0"/>
      <w:divBdr>
        <w:top w:val="none" w:sz="0" w:space="0" w:color="auto"/>
        <w:left w:val="none" w:sz="0" w:space="0" w:color="auto"/>
        <w:bottom w:val="none" w:sz="0" w:space="0" w:color="auto"/>
        <w:right w:val="none" w:sz="0" w:space="0" w:color="auto"/>
      </w:divBdr>
      <w:divsChild>
        <w:div w:id="1027558168">
          <w:marLeft w:val="0"/>
          <w:marRight w:val="0"/>
          <w:marTop w:val="0"/>
          <w:marBottom w:val="0"/>
          <w:divBdr>
            <w:top w:val="none" w:sz="0" w:space="0" w:color="auto"/>
            <w:left w:val="none" w:sz="0" w:space="0" w:color="auto"/>
            <w:bottom w:val="none" w:sz="0" w:space="0" w:color="auto"/>
            <w:right w:val="none" w:sz="0" w:space="0" w:color="auto"/>
          </w:divBdr>
          <w:divsChild>
            <w:div w:id="527832754">
              <w:marLeft w:val="0"/>
              <w:marRight w:val="0"/>
              <w:marTop w:val="0"/>
              <w:marBottom w:val="0"/>
              <w:divBdr>
                <w:top w:val="none" w:sz="0" w:space="0" w:color="auto"/>
                <w:left w:val="none" w:sz="0" w:space="0" w:color="auto"/>
                <w:bottom w:val="none" w:sz="0" w:space="0" w:color="auto"/>
                <w:right w:val="none" w:sz="0" w:space="0" w:color="auto"/>
              </w:divBdr>
              <w:divsChild>
                <w:div w:id="1466579446">
                  <w:marLeft w:val="0"/>
                  <w:marRight w:val="0"/>
                  <w:marTop w:val="0"/>
                  <w:marBottom w:val="0"/>
                  <w:divBdr>
                    <w:top w:val="none" w:sz="0" w:space="0" w:color="auto"/>
                    <w:left w:val="none" w:sz="0" w:space="0" w:color="auto"/>
                    <w:bottom w:val="none" w:sz="0" w:space="0" w:color="auto"/>
                    <w:right w:val="none" w:sz="0" w:space="0" w:color="auto"/>
                  </w:divBdr>
                  <w:divsChild>
                    <w:div w:id="535119766">
                      <w:marLeft w:val="0"/>
                      <w:marRight w:val="0"/>
                      <w:marTop w:val="0"/>
                      <w:marBottom w:val="0"/>
                      <w:divBdr>
                        <w:top w:val="none" w:sz="0" w:space="0" w:color="auto"/>
                        <w:left w:val="none" w:sz="0" w:space="0" w:color="auto"/>
                        <w:bottom w:val="none" w:sz="0" w:space="0" w:color="auto"/>
                        <w:right w:val="none" w:sz="0" w:space="0" w:color="auto"/>
                      </w:divBdr>
                      <w:divsChild>
                        <w:div w:id="1697386318">
                          <w:marLeft w:val="0"/>
                          <w:marRight w:val="0"/>
                          <w:marTop w:val="0"/>
                          <w:marBottom w:val="0"/>
                          <w:divBdr>
                            <w:top w:val="none" w:sz="0" w:space="0" w:color="auto"/>
                            <w:left w:val="none" w:sz="0" w:space="0" w:color="auto"/>
                            <w:bottom w:val="none" w:sz="0" w:space="0" w:color="auto"/>
                            <w:right w:val="none" w:sz="0" w:space="0" w:color="auto"/>
                          </w:divBdr>
                          <w:divsChild>
                            <w:div w:id="1837451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6521029">
      <w:bodyDiv w:val="1"/>
      <w:marLeft w:val="0"/>
      <w:marRight w:val="0"/>
      <w:marTop w:val="0"/>
      <w:marBottom w:val="0"/>
      <w:divBdr>
        <w:top w:val="none" w:sz="0" w:space="0" w:color="auto"/>
        <w:left w:val="none" w:sz="0" w:space="0" w:color="auto"/>
        <w:bottom w:val="none" w:sz="0" w:space="0" w:color="auto"/>
        <w:right w:val="none" w:sz="0" w:space="0" w:color="auto"/>
      </w:divBdr>
    </w:div>
    <w:div w:id="2014138751">
      <w:bodyDiv w:val="1"/>
      <w:marLeft w:val="0"/>
      <w:marRight w:val="0"/>
      <w:marTop w:val="0"/>
      <w:marBottom w:val="0"/>
      <w:divBdr>
        <w:top w:val="none" w:sz="0" w:space="0" w:color="auto"/>
        <w:left w:val="none" w:sz="0" w:space="0" w:color="auto"/>
        <w:bottom w:val="none" w:sz="0" w:space="0" w:color="auto"/>
        <w:right w:val="none" w:sz="0" w:space="0" w:color="auto"/>
      </w:divBdr>
    </w:div>
    <w:div w:id="2017346802">
      <w:bodyDiv w:val="1"/>
      <w:marLeft w:val="0"/>
      <w:marRight w:val="0"/>
      <w:marTop w:val="0"/>
      <w:marBottom w:val="0"/>
      <w:divBdr>
        <w:top w:val="none" w:sz="0" w:space="0" w:color="auto"/>
        <w:left w:val="none" w:sz="0" w:space="0" w:color="auto"/>
        <w:bottom w:val="none" w:sz="0" w:space="0" w:color="auto"/>
        <w:right w:val="none" w:sz="0" w:space="0" w:color="auto"/>
      </w:divBdr>
    </w:div>
    <w:div w:id="2091851453">
      <w:bodyDiv w:val="1"/>
      <w:marLeft w:val="0"/>
      <w:marRight w:val="0"/>
      <w:marTop w:val="0"/>
      <w:marBottom w:val="0"/>
      <w:divBdr>
        <w:top w:val="none" w:sz="0" w:space="0" w:color="auto"/>
        <w:left w:val="none" w:sz="0" w:space="0" w:color="auto"/>
        <w:bottom w:val="none" w:sz="0" w:space="0" w:color="auto"/>
        <w:right w:val="none" w:sz="0" w:space="0" w:color="auto"/>
      </w:divBdr>
    </w:div>
    <w:div w:id="2097089891">
      <w:bodyDiv w:val="1"/>
      <w:marLeft w:val="0"/>
      <w:marRight w:val="0"/>
      <w:marTop w:val="0"/>
      <w:marBottom w:val="0"/>
      <w:divBdr>
        <w:top w:val="none" w:sz="0" w:space="0" w:color="auto"/>
        <w:left w:val="none" w:sz="0" w:space="0" w:color="auto"/>
        <w:bottom w:val="none" w:sz="0" w:space="0" w:color="auto"/>
        <w:right w:val="none" w:sz="0" w:space="0" w:color="auto"/>
      </w:divBdr>
    </w:div>
    <w:div w:id="2144079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26" Type="http://schemas.openxmlformats.org/officeDocument/2006/relationships/image" Target="media/image3.png"/><Relationship Id="rId21" Type="http://schemas.openxmlformats.org/officeDocument/2006/relationships/header" Target="header3.xml"/><Relationship Id="rId42" Type="http://schemas.openxmlformats.org/officeDocument/2006/relationships/hyperlink" Target="http://watermonitoring.dnrm.qld.gov.au/host.htm" TargetMode="External"/><Relationship Id="rId47" Type="http://schemas.openxmlformats.org/officeDocument/2006/relationships/image" Target="media/image16.png"/><Relationship Id="rId63" Type="http://schemas.openxmlformats.org/officeDocument/2006/relationships/image" Target="media/image31.png"/><Relationship Id="rId68" Type="http://schemas.openxmlformats.org/officeDocument/2006/relationships/image" Target="media/image36.png"/><Relationship Id="rId84" Type="http://schemas.openxmlformats.org/officeDocument/2006/relationships/hyperlink" Target="http://www.reefplan.qld.gov.au" TargetMode="External"/><Relationship Id="rId89" Type="http://schemas.openxmlformats.org/officeDocument/2006/relationships/image" Target="media/image40.png"/><Relationship Id="rId112" Type="http://schemas.openxmlformats.org/officeDocument/2006/relationships/hyperlink" Target="https://doi.org/10.1371/journal.pone.0209771" TargetMode="External"/><Relationship Id="rId16" Type="http://schemas.openxmlformats.org/officeDocument/2006/relationships/image" Target="media/image2.png"/><Relationship Id="rId107" Type="http://schemas.openxmlformats.org/officeDocument/2006/relationships/image" Target="media/image58.png"/><Relationship Id="rId11" Type="http://schemas.openxmlformats.org/officeDocument/2006/relationships/footnotes" Target="footnotes.xml"/><Relationship Id="rId32" Type="http://schemas.openxmlformats.org/officeDocument/2006/relationships/image" Target="media/image4.jpeg"/><Relationship Id="rId37" Type="http://schemas.openxmlformats.org/officeDocument/2006/relationships/image" Target="media/image9.png"/><Relationship Id="rId53" Type="http://schemas.openxmlformats.org/officeDocument/2006/relationships/image" Target="media/image22.png"/><Relationship Id="rId58" Type="http://schemas.openxmlformats.org/officeDocument/2006/relationships/image" Target="media/image26.png"/><Relationship Id="rId74" Type="http://schemas.openxmlformats.org/officeDocument/2006/relationships/hyperlink" Target="https://www.nature.com/articles/s41598-017-02810-0" TargetMode="External"/><Relationship Id="rId79" Type="http://schemas.openxmlformats.org/officeDocument/2006/relationships/hyperlink" Target="http://www.bom.gov.au/environment/activities/reeftemp/documents/Garde_JOO_2014.pdf" TargetMode="External"/><Relationship Id="rId102" Type="http://schemas.openxmlformats.org/officeDocument/2006/relationships/image" Target="media/image53.png"/><Relationship Id="rId5" Type="http://schemas.openxmlformats.org/officeDocument/2006/relationships/customXml" Target="../customXml/item4.xml"/><Relationship Id="rId90" Type="http://schemas.openxmlformats.org/officeDocument/2006/relationships/image" Target="media/image41.png"/><Relationship Id="rId95" Type="http://schemas.openxmlformats.org/officeDocument/2006/relationships/image" Target="media/image46.png"/><Relationship Id="rId22" Type="http://schemas.openxmlformats.org/officeDocument/2006/relationships/footer" Target="footer3.xml"/><Relationship Id="rId27" Type="http://schemas.openxmlformats.org/officeDocument/2006/relationships/footer" Target="footer6.xml"/><Relationship Id="rId43" Type="http://schemas.openxmlformats.org/officeDocument/2006/relationships/hyperlink" Target="http://apps.aims.gov.au/reef-monitoring/" TargetMode="External"/><Relationship Id="rId48" Type="http://schemas.openxmlformats.org/officeDocument/2006/relationships/image" Target="media/image17.png"/><Relationship Id="rId64" Type="http://schemas.openxmlformats.org/officeDocument/2006/relationships/image" Target="media/image32.png"/><Relationship Id="rId69" Type="http://schemas.openxmlformats.org/officeDocument/2006/relationships/image" Target="media/image37.png"/><Relationship Id="rId113" Type="http://schemas.openxmlformats.org/officeDocument/2006/relationships/footer" Target="footer9.xml"/><Relationship Id="rId80" Type="http://schemas.openxmlformats.org/officeDocument/2006/relationships/hyperlink" Target="http://www.nature.com/articles/srep21567" TargetMode="External"/><Relationship Id="rId85" Type="http://schemas.openxmlformats.org/officeDocument/2006/relationships/hyperlink" Target="http://dx.doi.org/10.1016/j.marpolbul.2016.04.054" TargetMode="External"/><Relationship Id="rId12" Type="http://schemas.openxmlformats.org/officeDocument/2006/relationships/endnotes" Target="endnotes.xml"/><Relationship Id="rId17" Type="http://schemas.openxmlformats.org/officeDocument/2006/relationships/header" Target="header1.xml"/><Relationship Id="rId33" Type="http://schemas.openxmlformats.org/officeDocument/2006/relationships/image" Target="media/image5.png"/><Relationship Id="rId38" Type="http://schemas.openxmlformats.org/officeDocument/2006/relationships/image" Target="media/image10.png"/><Relationship Id="rId59" Type="http://schemas.openxmlformats.org/officeDocument/2006/relationships/image" Target="media/image27.png"/><Relationship Id="rId103" Type="http://schemas.openxmlformats.org/officeDocument/2006/relationships/image" Target="media/image54.png"/><Relationship Id="rId108" Type="http://schemas.openxmlformats.org/officeDocument/2006/relationships/image" Target="media/image59.png"/><Relationship Id="rId54" Type="http://schemas.openxmlformats.org/officeDocument/2006/relationships/image" Target="media/image23.png"/><Relationship Id="rId70" Type="http://schemas.openxmlformats.org/officeDocument/2006/relationships/hyperlink" Target="https://www.reefplan.qld.gov.au/__data/assets/pdf_file/0017/46115/reef-2050-water-quality-improvement-plan-2017-22.pdf" TargetMode="External"/><Relationship Id="rId75" Type="http://schemas.openxmlformats.org/officeDocument/2006/relationships/hyperlink" Target="https://www.nature.com/articles/s41598-017-02810-0" TargetMode="External"/><Relationship Id="rId91" Type="http://schemas.openxmlformats.org/officeDocument/2006/relationships/image" Target="media/image42.png"/><Relationship Id="rId96" Type="http://schemas.openxmlformats.org/officeDocument/2006/relationships/image" Target="media/image47.png"/><Relationship Id="rId1" Type="http://schemas.microsoft.com/office/2006/relationships/keyMapCustomizations" Target="customizations.xml"/><Relationship Id="rId6" Type="http://schemas.openxmlformats.org/officeDocument/2006/relationships/customXml" Target="../customXml/item5.xml"/><Relationship Id="rId15" Type="http://schemas.openxmlformats.org/officeDocument/2006/relationships/hyperlink" Target="http://creativecommons.org/licences/by/3.0/au" TargetMode="External"/><Relationship Id="rId23" Type="http://schemas.openxmlformats.org/officeDocument/2006/relationships/header" Target="header4.xml"/><Relationship Id="rId28" Type="http://schemas.openxmlformats.org/officeDocument/2006/relationships/hyperlink" Target="http://apps.aims.gov.au/reef-monitoring/" TargetMode="External"/><Relationship Id="rId36" Type="http://schemas.openxmlformats.org/officeDocument/2006/relationships/image" Target="media/image8.png"/><Relationship Id="rId49" Type="http://schemas.openxmlformats.org/officeDocument/2006/relationships/image" Target="media/image18.png"/><Relationship Id="rId57" Type="http://schemas.openxmlformats.org/officeDocument/2006/relationships/image" Target="media/image25.png"/><Relationship Id="rId106" Type="http://schemas.openxmlformats.org/officeDocument/2006/relationships/image" Target="media/image57.png"/><Relationship Id="rId114" Type="http://schemas.openxmlformats.org/officeDocument/2006/relationships/header" Target="header5.xml"/><Relationship Id="rId10" Type="http://schemas.openxmlformats.org/officeDocument/2006/relationships/webSettings" Target="webSettings.xml"/><Relationship Id="rId31" Type="http://schemas.openxmlformats.org/officeDocument/2006/relationships/footer" Target="footer7.xml"/><Relationship Id="rId44" Type="http://schemas.openxmlformats.org/officeDocument/2006/relationships/image" Target="media/image13.png"/><Relationship Id="rId52" Type="http://schemas.openxmlformats.org/officeDocument/2006/relationships/image" Target="media/image21.png"/><Relationship Id="rId60" Type="http://schemas.openxmlformats.org/officeDocument/2006/relationships/image" Target="media/image28.png"/><Relationship Id="rId65" Type="http://schemas.openxmlformats.org/officeDocument/2006/relationships/image" Target="media/image33.png"/><Relationship Id="rId73" Type="http://schemas.openxmlformats.org/officeDocument/2006/relationships/hyperlink" Target="https://www.nature.com/articles/s41598-017-11783-z?WT.feed_name=subjects_climate-sciences" TargetMode="External"/><Relationship Id="rId78" Type="http://schemas.openxmlformats.org/officeDocument/2006/relationships/hyperlink" Target="http://www.sciencedirect.com/science/article/pii/S0025326X17307063" TargetMode="External"/><Relationship Id="rId81" Type="http://schemas.openxmlformats.org/officeDocument/2006/relationships/hyperlink" Target="http://www.wamsi.org.au/sites/wamsi.org.au/files/files/(2017)%20Ricardo%20et%20al_%20Settlement%20reprint.pdf" TargetMode="External"/><Relationship Id="rId86" Type="http://schemas.openxmlformats.org/officeDocument/2006/relationships/footer" Target="footer8.xml"/><Relationship Id="rId94" Type="http://schemas.openxmlformats.org/officeDocument/2006/relationships/image" Target="media/image45.png"/><Relationship Id="rId99" Type="http://schemas.openxmlformats.org/officeDocument/2006/relationships/image" Target="media/image50.png"/><Relationship Id="rId101" Type="http://schemas.openxmlformats.org/officeDocument/2006/relationships/image" Target="media/image52.png"/><Relationship Id="rId4" Type="http://schemas.openxmlformats.org/officeDocument/2006/relationships/customXml" Target="../customXml/item3.xml"/><Relationship Id="rId9" Type="http://schemas.openxmlformats.org/officeDocument/2006/relationships/settings" Target="settings.xml"/><Relationship Id="rId13" Type="http://schemas.openxmlformats.org/officeDocument/2006/relationships/image" Target="media/image1.jpeg"/><Relationship Id="rId18" Type="http://schemas.openxmlformats.org/officeDocument/2006/relationships/header" Target="header2.xml"/><Relationship Id="rId39" Type="http://schemas.openxmlformats.org/officeDocument/2006/relationships/image" Target="media/image11.png"/><Relationship Id="rId109" Type="http://schemas.openxmlformats.org/officeDocument/2006/relationships/image" Target="media/image60.png"/><Relationship Id="rId34" Type="http://schemas.openxmlformats.org/officeDocument/2006/relationships/image" Target="media/image6.png"/><Relationship Id="rId50" Type="http://schemas.openxmlformats.org/officeDocument/2006/relationships/image" Target="media/image19.png"/><Relationship Id="rId55" Type="http://schemas.openxmlformats.org/officeDocument/2006/relationships/image" Target="media/image24.png"/><Relationship Id="rId76" Type="http://schemas.openxmlformats.org/officeDocument/2006/relationships/hyperlink" Target="https://doi.org/10.1371/journal.pone.0209771" TargetMode="External"/><Relationship Id="rId97" Type="http://schemas.openxmlformats.org/officeDocument/2006/relationships/image" Target="media/image48.png"/><Relationship Id="rId104" Type="http://schemas.openxmlformats.org/officeDocument/2006/relationships/image" Target="media/image55.png"/><Relationship Id="rId7" Type="http://schemas.openxmlformats.org/officeDocument/2006/relationships/numbering" Target="numbering.xml"/><Relationship Id="rId71" Type="http://schemas.openxmlformats.org/officeDocument/2006/relationships/hyperlink" Target="https://www.nature.com/articles/s41598-017-11783-z?WT.feed_name=subjects_climate-sciences" TargetMode="External"/><Relationship Id="rId92" Type="http://schemas.openxmlformats.org/officeDocument/2006/relationships/image" Target="media/image43.png"/><Relationship Id="rId2" Type="http://schemas.openxmlformats.org/officeDocument/2006/relationships/customXml" Target="../customXml/item1.xml"/><Relationship Id="rId29" Type="http://schemas.openxmlformats.org/officeDocument/2006/relationships/hyperlink" Target="http://qgsp.maps.arcgis.com/apps/MapSeries/index.html?appid=9d1aad1e2b444ec6a1890e4032284147" TargetMode="External"/><Relationship Id="rId24" Type="http://schemas.openxmlformats.org/officeDocument/2006/relationships/footer" Target="footer4.xml"/><Relationship Id="rId40" Type="http://schemas.openxmlformats.org/officeDocument/2006/relationships/hyperlink" Target="http://data.aims.gov.au/waCOTSPage/cotspage.jsp" TargetMode="External"/><Relationship Id="rId45" Type="http://schemas.openxmlformats.org/officeDocument/2006/relationships/image" Target="media/image14.png"/><Relationship Id="rId66" Type="http://schemas.openxmlformats.org/officeDocument/2006/relationships/image" Target="media/image34.png"/><Relationship Id="rId87" Type="http://schemas.openxmlformats.org/officeDocument/2006/relationships/image" Target="media/image38.png"/><Relationship Id="rId110" Type="http://schemas.openxmlformats.org/officeDocument/2006/relationships/image" Target="media/image61.png"/><Relationship Id="rId115" Type="http://schemas.openxmlformats.org/officeDocument/2006/relationships/fontTable" Target="fontTable.xml"/><Relationship Id="rId61" Type="http://schemas.openxmlformats.org/officeDocument/2006/relationships/image" Target="media/image29.png"/><Relationship Id="rId82" Type="http://schemas.openxmlformats.org/officeDocument/2006/relationships/hyperlink" Target="http://www.sciencedirect.com/science/article/pii/S0048969717318569" TargetMode="External"/><Relationship Id="rId19" Type="http://schemas.openxmlformats.org/officeDocument/2006/relationships/footer" Target="footer1.xml"/><Relationship Id="rId14" Type="http://schemas.openxmlformats.org/officeDocument/2006/relationships/hyperlink" Target="http://creativecommons.org/licences/by/4.0" TargetMode="External"/><Relationship Id="rId30" Type="http://schemas.openxmlformats.org/officeDocument/2006/relationships/hyperlink" Target="http://www.bom.gov.au/cyclone/history/index.shtml" TargetMode="External"/><Relationship Id="rId35" Type="http://schemas.openxmlformats.org/officeDocument/2006/relationships/image" Target="media/image7.png"/><Relationship Id="rId56" Type="http://schemas.openxmlformats.org/officeDocument/2006/relationships/hyperlink" Target="http://www.aims.gov.au/docs/research/monitoring/reef/reef-monitoring.html" TargetMode="External"/><Relationship Id="rId77" Type="http://schemas.openxmlformats.org/officeDocument/2006/relationships/hyperlink" Target="http://www.sciencedirect.com/science/article/pii/S0025326X17307063" TargetMode="External"/><Relationship Id="rId100" Type="http://schemas.openxmlformats.org/officeDocument/2006/relationships/image" Target="media/image51.png"/><Relationship Id="rId105" Type="http://schemas.openxmlformats.org/officeDocument/2006/relationships/image" Target="media/image56.png"/><Relationship Id="rId8" Type="http://schemas.openxmlformats.org/officeDocument/2006/relationships/styles" Target="styles.xml"/><Relationship Id="rId51" Type="http://schemas.openxmlformats.org/officeDocument/2006/relationships/image" Target="media/image20.png"/><Relationship Id="rId72" Type="http://schemas.openxmlformats.org/officeDocument/2006/relationships/hyperlink" Target="https://www.nature.com/articles/s41598-017-11783-z?WT.feed_name=subjects_climate-sciences" TargetMode="External"/><Relationship Id="rId93" Type="http://schemas.openxmlformats.org/officeDocument/2006/relationships/image" Target="media/image44.png"/><Relationship Id="rId98" Type="http://schemas.openxmlformats.org/officeDocument/2006/relationships/image" Target="media/image49.png"/><Relationship Id="rId3" Type="http://schemas.openxmlformats.org/officeDocument/2006/relationships/customXml" Target="../customXml/item2.xml"/><Relationship Id="rId25" Type="http://schemas.openxmlformats.org/officeDocument/2006/relationships/footer" Target="footer5.xml"/><Relationship Id="rId46" Type="http://schemas.openxmlformats.org/officeDocument/2006/relationships/image" Target="media/image15.png"/><Relationship Id="rId67" Type="http://schemas.openxmlformats.org/officeDocument/2006/relationships/image" Target="media/image35.png"/><Relationship Id="rId116" Type="http://schemas.openxmlformats.org/officeDocument/2006/relationships/theme" Target="theme/theme1.xml"/><Relationship Id="rId20" Type="http://schemas.openxmlformats.org/officeDocument/2006/relationships/footer" Target="footer2.xml"/><Relationship Id="rId41" Type="http://schemas.openxmlformats.org/officeDocument/2006/relationships/image" Target="media/image12.jpeg"/><Relationship Id="rId62" Type="http://schemas.openxmlformats.org/officeDocument/2006/relationships/image" Target="media/image30.png"/><Relationship Id="rId83" Type="http://schemas.openxmlformats.org/officeDocument/2006/relationships/hyperlink" Target="http://www.saedsayad.com/docs/gbm2.pdf" TargetMode="External"/><Relationship Id="rId88" Type="http://schemas.openxmlformats.org/officeDocument/2006/relationships/image" Target="media/image39.png"/><Relationship Id="rId111" Type="http://schemas.openxmlformats.org/officeDocument/2006/relationships/image" Target="media/image62.png"/></Relationships>
</file>

<file path=word/_rels/footnotes.xml.rels><?xml version="1.0" encoding="UTF-8" standalone="yes"?>
<Relationships xmlns="http://schemas.openxmlformats.org/package/2006/relationships"><Relationship Id="rId3" Type="http://schemas.openxmlformats.org/officeDocument/2006/relationships/hyperlink" Target="http://www.csiro.au/connie2/" TargetMode="External"/><Relationship Id="rId2" Type="http://schemas.openxmlformats.org/officeDocument/2006/relationships/hyperlink" Target="http://www.csiro.au/connie2/" TargetMode="External"/><Relationship Id="rId1" Type="http://schemas.openxmlformats.org/officeDocument/2006/relationships/hyperlink" Target="http://www.bom.gov.au/marinewaterqua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8ccc4631-9afc-4718-b120-5e2e37a03cc7">PROJ-1577287649-499</_dlc_DocId>
    <_dlc_DocIdUrl xmlns="8ccc4631-9afc-4718-b120-5e2e37a03cc7">
      <Url>http://thedock.gbrmpa.gov.au/sites/Projects/P000056/_layouts/DocIdRedir.aspx?ID=PROJ-1577287649-499</Url>
      <Description>PROJ-1577287649-499</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14206DAF773D642AB4BBAE5FA28F7D9" ma:contentTypeVersion="4" ma:contentTypeDescription="Create a new document." ma:contentTypeScope="" ma:versionID="3cda4ffa9ff3e251ccbb77cbc440385b">
  <xsd:schema xmlns:xsd="http://www.w3.org/2001/XMLSchema" xmlns:xs="http://www.w3.org/2001/XMLSchema" xmlns:p="http://schemas.microsoft.com/office/2006/metadata/properties" xmlns:ns2="8ccc4631-9afc-4718-b120-5e2e37a03cc7" targetNamespace="http://schemas.microsoft.com/office/2006/metadata/properties" ma:root="true" ma:fieldsID="442f0ff6356e886b5a0b59af1d9833a4" ns2:_="">
    <xsd:import namespace="8ccc4631-9afc-4718-b120-5e2e37a03cc7"/>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cc4631-9afc-4718-b120-5e2e37a03cc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B19E7B-3A0A-440C-AB54-4DCECEB2CEEF}">
  <ds:schemaRefs>
    <ds:schemaRef ds:uri="http://purl.org/dc/elements/1.1/"/>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8ccc4631-9afc-4718-b120-5e2e37a03cc7"/>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0F50DAA1-BC78-46AE-BE98-C8E099A92F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cc4631-9afc-4718-b120-5e2e37a03c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6048318-AA4E-470F-9964-F29A3F751C09}">
  <ds:schemaRefs>
    <ds:schemaRef ds:uri="http://schemas.microsoft.com/sharepoint/v3/contenttype/forms"/>
  </ds:schemaRefs>
</ds:datastoreItem>
</file>

<file path=customXml/itemProps4.xml><?xml version="1.0" encoding="utf-8"?>
<ds:datastoreItem xmlns:ds="http://schemas.openxmlformats.org/officeDocument/2006/customXml" ds:itemID="{8FD3F449-CF20-4816-AC98-8477A9378AE8}">
  <ds:schemaRefs>
    <ds:schemaRef ds:uri="http://schemas.microsoft.com/sharepoint/events"/>
  </ds:schemaRefs>
</ds:datastoreItem>
</file>

<file path=customXml/itemProps5.xml><?xml version="1.0" encoding="utf-8"?>
<ds:datastoreItem xmlns:ds="http://schemas.openxmlformats.org/officeDocument/2006/customXml" ds:itemID="{A943FC4F-1512-4A96-A6B3-C270B332F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149</Pages>
  <Words>51696</Words>
  <Characters>271405</Characters>
  <Application>Microsoft Office Word</Application>
  <DocSecurity>0</DocSecurity>
  <Lines>13570</Lines>
  <Paragraphs>8284</Paragraphs>
  <ScaleCrop>false</ScaleCrop>
  <HeadingPairs>
    <vt:vector size="2" baseType="variant">
      <vt:variant>
        <vt:lpstr>Title</vt:lpstr>
      </vt:variant>
      <vt:variant>
        <vt:i4>1</vt:i4>
      </vt:variant>
    </vt:vector>
  </HeadingPairs>
  <TitlesOfParts>
    <vt:vector size="1" baseType="lpstr">
      <vt:lpstr>RE: Final versions of the annual technical reports for 2018-19 [SEC=OFFICIAL]</vt:lpstr>
    </vt:vector>
  </TitlesOfParts>
  <LinksUpToDate>false</LinksUpToDate>
  <CharactersWithSpaces>314817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 Final versions of the annual technical reports for 2018-19 [SEC=OFFICIAL]</dc:title>
  <dc:subject/>
  <dc:creator/>
  <cp:keywords>OFFICIAL</cp:keywords>
  <dc:description/>
  <cp:lastModifiedBy/>
  <cp:revision>1</cp:revision>
  <dcterms:created xsi:type="dcterms:W3CDTF">2020-08-21T03:48:00Z</dcterms:created>
  <dcterms:modified xsi:type="dcterms:W3CDTF">2021-01-28T04:39:00Z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0x010100514206DAF773D642AB4BBAE5FA28F7D9</vt:lpwstr>
  </property>
  <property fmtid="{D5CDD505-2E9C-101B-9397-08002B2CF9AE}" pid="3" name="_dlc_DocIdItemGuid">
    <vt:lpwstr>2ebb4256-e1b2-457a-b55e-2ffc5c42e0fa</vt:lpwstr>
  </property>
  <property fmtid="{D5CDD505-2E9C-101B-9397-08002B2CF9AE}" pid="4" name="TaxCatchAll">
    <vt:lpwstr>1;#Implement|62d382d8-9615-4fb9-9171-542b0baa426a</vt:lpwstr>
  </property>
  <property fmtid="{D5CDD505-2E9C-101B-9397-08002B2CF9AE}" pid="5" name="ProjectPhase">
    <vt:lpwstr>1;#Implement|62d382d8-9615-4fb9-9171-542b0baa426a</vt:lpwstr>
  </property>
  <property fmtid="{D5CDD505-2E9C-101B-9397-08002B2CF9AE}" pid="6" name="a2118650a77a4a97b805ceb1a6b3e3dc">
    <vt:lpwstr>Implement|62d382d8-9615-4fb9-9171-542b0baa426a</vt:lpwstr>
  </property>
  <property fmtid="{D5CDD505-2E9C-101B-9397-08002B2CF9AE}" pid="7" name="RecordPoint_WorkflowType">
    <vt:lpwstr>ActiveSubmit</vt:lpwstr>
  </property>
  <property fmtid="{D5CDD505-2E9C-101B-9397-08002B2CF9AE}" pid="8" name="RecordPoint_ActiveItemSiteId">
    <vt:lpwstr>{8ce9eba2-d4a5-4da0-9276-1d47a92e9210}</vt:lpwstr>
  </property>
  <property fmtid="{D5CDD505-2E9C-101B-9397-08002B2CF9AE}" pid="9" name="RecordPoint_ActiveItemListId">
    <vt:lpwstr>{4b37b1f1-1864-45c7-8f8d-9f91400467f1}</vt:lpwstr>
  </property>
  <property fmtid="{D5CDD505-2E9C-101B-9397-08002B2CF9AE}" pid="10" name="RecordPoint_ActiveItemUniqueId">
    <vt:lpwstr>{3fe3c926-39a3-4111-be12-6f76cae6f0c2}</vt:lpwstr>
  </property>
  <property fmtid="{D5CDD505-2E9C-101B-9397-08002B2CF9AE}" pid="11" name="RecordPoint_ActiveItemWebId">
    <vt:lpwstr>{e7821751-c451-45dc-b45e-82cfe574dc6e}</vt:lpwstr>
  </property>
  <property fmtid="{D5CDD505-2E9C-101B-9397-08002B2CF9AE}" pid="12" name="RecordPoint_SubmissionDate">
    <vt:lpwstr/>
  </property>
  <property fmtid="{D5CDD505-2E9C-101B-9397-08002B2CF9AE}" pid="13" name="RecordPoint_RecordNumberSubmitted">
    <vt:lpwstr>R0000535334</vt:lpwstr>
  </property>
  <property fmtid="{D5CDD505-2E9C-101B-9397-08002B2CF9AE}" pid="14" name="RecordPoint_ActiveItemMoved">
    <vt:lpwstr/>
  </property>
  <property fmtid="{D5CDD505-2E9C-101B-9397-08002B2CF9AE}" pid="15" name="RecordPoint_SubmissionCompleted">
    <vt:lpwstr>2019-03-12T18:07:49.8691628+10:00</vt:lpwstr>
  </property>
  <property fmtid="{D5CDD505-2E9C-101B-9397-08002B2CF9AE}" pid="16" name="RecordPoint_RecordFormat">
    <vt:lpwstr/>
  </property>
  <property fmtid="{D5CDD505-2E9C-101B-9397-08002B2CF9AE}" pid="17" name="DocumentSetDescription">
    <vt:lpwstr>documents developing to finalizing the annual reports_x000d_
includes reviewers comments and tracking to and fro</vt:lpwstr>
  </property>
  <property fmtid="{D5CDD505-2E9C-101B-9397-08002B2CF9AE}" pid="18" name="TitusGUID">
    <vt:lpwstr>bc2a09b8-f3c6-414d-b649-5ee4a6805c01</vt:lpwstr>
  </property>
  <property fmtid="{D5CDD505-2E9C-101B-9397-08002B2CF9AE}" pid="19" name="DLM">
    <vt:lpwstr>No DLM</vt:lpwstr>
  </property>
  <property fmtid="{D5CDD505-2E9C-101B-9397-08002B2CF9AE}" pid="20" name="SEC">
    <vt:lpwstr>OFFICIAL</vt:lpwstr>
  </property>
</Properties>
</file>